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525D6B9">
      <w:pPr>
        <w:spacing w:line="360" w:lineRule="auto"/>
        <w:jc w:val="center"/>
        <w:rPr>
          <w:rFonts w:hint="eastAsia" w:ascii="方正小标宋简体" w:hAnsi="宋体" w:eastAsia="方正小标宋简体"/>
          <w:sz w:val="52"/>
          <w:szCs w:val="52"/>
        </w:rPr>
      </w:pPr>
      <w:r>
        <w:rPr>
          <w:rFonts w:hint="eastAsia" w:ascii="方正小标宋简体" w:hAnsi="宋体" w:eastAsia="方正小标宋简体"/>
          <w:sz w:val="52"/>
          <w:szCs w:val="52"/>
        </w:rPr>
        <w:t>广西同泽工程项目管理股份有限公司</w:t>
      </w:r>
    </w:p>
    <w:p w14:paraId="47AB79BB">
      <w:pPr>
        <w:spacing w:line="360" w:lineRule="auto"/>
        <w:jc w:val="center"/>
        <w:rPr>
          <w:rFonts w:hint="eastAsia" w:ascii="方正小标宋简体" w:hAnsi="方正小标宋简体" w:eastAsia="方正小标宋简体" w:cs="方正小标宋简体"/>
          <w:b/>
          <w:sz w:val="44"/>
          <w:szCs w:val="44"/>
        </w:rPr>
      </w:pPr>
      <w:r>
        <w:rPr>
          <w:rFonts w:hint="eastAsia" w:ascii="宋体" w:hAnsi="宋体" w:cs="宋体"/>
        </w:rPr>
        <w:drawing>
          <wp:inline distT="0" distB="0" distL="114300" distR="114300">
            <wp:extent cx="2223135" cy="1630045"/>
            <wp:effectExtent l="0" t="0" r="12065" b="8255"/>
            <wp:docPr id="1" name="图片 1" descr="C:\Users\Administrator\Documents\Tencent Files\84425129\Image\C2C\Image4\6]1@G9C5R~CC}}01UDG]T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ocuments\Tencent Files\84425129\Image\C2C\Image4\6]1@G9C5R~CC}}01UDG]TP5.png"/>
                    <pic:cNvPicPr>
                      <a:picLocks noChangeAspect="1"/>
                    </pic:cNvPicPr>
                  </pic:nvPicPr>
                  <pic:blipFill>
                    <a:blip r:embed="rId19"/>
                    <a:stretch>
                      <a:fillRect/>
                    </a:stretch>
                  </pic:blipFill>
                  <pic:spPr>
                    <a:xfrm>
                      <a:off x="0" y="0"/>
                      <a:ext cx="2223135" cy="1630045"/>
                    </a:xfrm>
                    <a:prstGeom prst="rect">
                      <a:avLst/>
                    </a:prstGeom>
                    <a:noFill/>
                    <a:ln>
                      <a:noFill/>
                    </a:ln>
                  </pic:spPr>
                </pic:pic>
              </a:graphicData>
            </a:graphic>
          </wp:inline>
        </w:drawing>
      </w:r>
    </w:p>
    <w:p w14:paraId="1869E4F6">
      <w:pPr>
        <w:snapToGrid w:val="0"/>
        <w:spacing w:before="120" w:beforeLines="50" w:line="360" w:lineRule="auto"/>
        <w:jc w:val="center"/>
        <w:rPr>
          <w:rFonts w:hint="eastAsia" w:ascii="华文新魏" w:hAnsi="宋体" w:eastAsia="华文新魏"/>
          <w:sz w:val="72"/>
          <w:szCs w:val="72"/>
        </w:rPr>
      </w:pPr>
      <w:r>
        <w:rPr>
          <w:rFonts w:hint="eastAsia" w:ascii="华文新魏" w:hAnsi="宋体" w:eastAsia="华文新魏"/>
          <w:sz w:val="120"/>
          <w:szCs w:val="120"/>
        </w:rPr>
        <w:t>招 标 文 件</w:t>
      </w:r>
    </w:p>
    <w:p w14:paraId="318165AB">
      <w:pPr>
        <w:snapToGrid w:val="0"/>
        <w:spacing w:before="120" w:beforeLines="50" w:line="360" w:lineRule="auto"/>
        <w:jc w:val="center"/>
        <w:rPr>
          <w:rFonts w:hint="eastAsia" w:ascii="仿宋_GB2312" w:hAnsi="宋体" w:eastAsia="仿宋_GB2312"/>
          <w:b/>
          <w:sz w:val="48"/>
          <w:szCs w:val="48"/>
        </w:rPr>
      </w:pPr>
      <w:r>
        <w:rPr>
          <w:rFonts w:hint="eastAsia" w:ascii="仿宋_GB2312" w:hAnsi="宋体" w:eastAsia="仿宋_GB2312"/>
          <w:b/>
          <w:sz w:val="48"/>
          <w:szCs w:val="48"/>
        </w:rPr>
        <w:t>（全流程电子化采购）</w:t>
      </w:r>
    </w:p>
    <w:p w14:paraId="4C2622B8">
      <w:pPr>
        <w:snapToGrid w:val="0"/>
        <w:spacing w:line="360" w:lineRule="auto"/>
        <w:rPr>
          <w:rFonts w:hint="eastAsia" w:ascii="仿宋_GB2312" w:hAnsi="宋体" w:eastAsia="仿宋_GB2312"/>
          <w:sz w:val="30"/>
          <w:szCs w:val="72"/>
        </w:rPr>
      </w:pPr>
    </w:p>
    <w:p w14:paraId="6E0EBF43">
      <w:pPr>
        <w:pStyle w:val="18"/>
        <w:snapToGrid w:val="0"/>
        <w:spacing w:line="480" w:lineRule="auto"/>
        <w:ind w:firstLine="1205" w:firstLineChars="400"/>
        <w:rPr>
          <w:rFonts w:hint="eastAsia" w:hAnsi="宋体" w:eastAsia="宋体" w:cs="宋体"/>
          <w:b/>
          <w:bCs/>
          <w:sz w:val="30"/>
          <w:szCs w:val="30"/>
          <w:lang w:eastAsia="zh-CN"/>
        </w:rPr>
      </w:pPr>
      <w:r>
        <w:rPr>
          <w:rFonts w:hint="eastAsia" w:hAnsi="宋体" w:cs="宋体"/>
          <w:b/>
          <w:bCs/>
          <w:sz w:val="30"/>
          <w:szCs w:val="30"/>
        </w:rPr>
        <w:t>项目</w:t>
      </w:r>
      <w:r>
        <w:rPr>
          <w:rFonts w:hint="eastAsia" w:hAnsi="宋体" w:cs="宋体"/>
          <w:b/>
          <w:bCs/>
          <w:w w:val="95"/>
          <w:sz w:val="30"/>
          <w:szCs w:val="30"/>
        </w:rPr>
        <w:t>名称</w:t>
      </w:r>
      <w:r>
        <w:rPr>
          <w:rFonts w:hint="eastAsia" w:hAnsi="宋体" w:cs="宋体"/>
          <w:b/>
          <w:bCs/>
          <w:sz w:val="30"/>
          <w:szCs w:val="30"/>
        </w:rPr>
        <w:t>：</w:t>
      </w:r>
      <w:r>
        <w:rPr>
          <w:rFonts w:hint="eastAsia" w:hAnsi="宋体" w:cs="宋体"/>
          <w:b/>
          <w:bCs/>
          <w:sz w:val="30"/>
          <w:szCs w:val="30"/>
          <w:lang w:eastAsia="zh-CN"/>
        </w:rPr>
        <w:t>2026年云平台基础设施运维服务项目（核心区云平台设备运维、软件运维、数字证书系统运维）</w:t>
      </w:r>
    </w:p>
    <w:p w14:paraId="46CC660D">
      <w:pPr>
        <w:snapToGrid w:val="0"/>
        <w:spacing w:line="480" w:lineRule="auto"/>
        <w:ind w:firstLine="1145" w:firstLineChars="400"/>
        <w:rPr>
          <w:rFonts w:hint="eastAsia" w:ascii="宋体" w:hAnsi="宋体" w:cs="宋体"/>
          <w:b/>
          <w:bCs/>
          <w:w w:val="95"/>
          <w:sz w:val="30"/>
          <w:szCs w:val="30"/>
        </w:rPr>
      </w:pPr>
      <w:r>
        <w:rPr>
          <w:rFonts w:hint="eastAsia" w:ascii="宋体" w:hAnsi="宋体" w:cs="宋体"/>
          <w:b/>
          <w:bCs/>
          <w:w w:val="95"/>
          <w:sz w:val="30"/>
          <w:szCs w:val="30"/>
        </w:rPr>
        <w:t>项目</w:t>
      </w:r>
      <w:r>
        <w:rPr>
          <w:rFonts w:hint="eastAsia" w:ascii="宋体" w:hAnsi="宋体" w:cs="宋体"/>
          <w:b/>
          <w:bCs/>
          <w:sz w:val="30"/>
          <w:szCs w:val="30"/>
        </w:rPr>
        <w:t>编号</w:t>
      </w:r>
      <w:r>
        <w:rPr>
          <w:rFonts w:hint="eastAsia" w:ascii="宋体" w:hAnsi="宋体" w:cs="宋体"/>
          <w:b/>
          <w:bCs/>
          <w:w w:val="95"/>
          <w:sz w:val="30"/>
          <w:szCs w:val="30"/>
        </w:rPr>
        <w:t>：</w:t>
      </w:r>
      <w:r>
        <w:rPr>
          <w:rFonts w:hint="eastAsia" w:ascii="宋体" w:hAnsi="宋体" w:cs="宋体"/>
          <w:b/>
          <w:bCs/>
          <w:color w:val="auto"/>
          <w:w w:val="95"/>
          <w:sz w:val="30"/>
          <w:szCs w:val="30"/>
          <w:highlight w:val="none"/>
        </w:rPr>
        <w:t>GXZC2026-G3-002420-GXTZ</w:t>
      </w:r>
    </w:p>
    <w:p w14:paraId="2A73CC2D">
      <w:pPr>
        <w:pStyle w:val="18"/>
        <w:snapToGrid w:val="0"/>
        <w:spacing w:line="480" w:lineRule="auto"/>
        <w:ind w:firstLine="1125" w:firstLineChars="393"/>
        <w:rPr>
          <w:rFonts w:hint="eastAsia" w:hAnsi="宋体" w:cs="宋体"/>
          <w:b/>
          <w:bCs/>
          <w:w w:val="95"/>
          <w:sz w:val="30"/>
          <w:szCs w:val="30"/>
        </w:rPr>
      </w:pPr>
      <w:r>
        <w:rPr>
          <w:rFonts w:hint="eastAsia" w:hAnsi="宋体" w:cs="宋体"/>
          <w:b/>
          <w:bCs/>
          <w:w w:val="95"/>
          <w:sz w:val="30"/>
          <w:szCs w:val="30"/>
        </w:rPr>
        <w:t>采 购 人：广西壮族自治区医疗保障局</w:t>
      </w:r>
    </w:p>
    <w:p w14:paraId="376CB0D1">
      <w:pPr>
        <w:pStyle w:val="18"/>
        <w:snapToGrid w:val="0"/>
        <w:spacing w:line="480" w:lineRule="auto"/>
        <w:ind w:firstLine="1125" w:firstLineChars="393"/>
        <w:rPr>
          <w:rFonts w:hint="eastAsia" w:hAnsi="宋体" w:cs="宋体"/>
          <w:b/>
          <w:bCs/>
          <w:w w:val="95"/>
          <w:sz w:val="30"/>
          <w:szCs w:val="30"/>
        </w:rPr>
      </w:pPr>
      <w:r>
        <w:rPr>
          <w:rFonts w:hint="eastAsia" w:hAnsi="宋体" w:cs="宋体"/>
          <w:b/>
          <w:bCs/>
          <w:w w:val="95"/>
          <w:sz w:val="30"/>
          <w:szCs w:val="30"/>
        </w:rPr>
        <w:t>采购代理机构：广西同泽工程项目管理股份有限公司</w:t>
      </w:r>
    </w:p>
    <w:p w14:paraId="5FC80CED">
      <w:pPr>
        <w:pStyle w:val="18"/>
        <w:snapToGrid w:val="0"/>
        <w:spacing w:line="360" w:lineRule="auto"/>
        <w:ind w:firstLine="1125" w:firstLineChars="393"/>
        <w:rPr>
          <w:rFonts w:hint="eastAsia" w:ascii="仿宋_GB2312" w:hAnsi="宋体" w:eastAsia="仿宋_GB2312"/>
          <w:b/>
          <w:bCs/>
          <w:w w:val="95"/>
          <w:sz w:val="30"/>
          <w:szCs w:val="30"/>
        </w:rPr>
      </w:pPr>
    </w:p>
    <w:p w14:paraId="18A4D97C">
      <w:pPr>
        <w:pStyle w:val="18"/>
        <w:snapToGrid w:val="0"/>
        <w:spacing w:line="360" w:lineRule="auto"/>
        <w:ind w:firstLine="1125" w:firstLineChars="393"/>
        <w:rPr>
          <w:rFonts w:hint="eastAsia" w:ascii="仿宋_GB2312" w:hAnsi="宋体" w:eastAsia="仿宋_GB2312"/>
          <w:b/>
          <w:bCs/>
          <w:w w:val="95"/>
          <w:sz w:val="30"/>
          <w:szCs w:val="30"/>
        </w:rPr>
      </w:pPr>
    </w:p>
    <w:p w14:paraId="0738276B">
      <w:pPr>
        <w:pStyle w:val="18"/>
        <w:snapToGrid w:val="0"/>
        <w:spacing w:line="360" w:lineRule="auto"/>
        <w:ind w:firstLine="841" w:firstLineChars="294"/>
        <w:rPr>
          <w:rFonts w:ascii="仿宋_GB2312" w:eastAsia="仿宋_GB2312"/>
        </w:rPr>
      </w:pPr>
      <w:r>
        <w:rPr>
          <w:rFonts w:hint="eastAsia" w:ascii="仿宋_GB2312" w:hAnsi="宋体" w:eastAsia="仿宋_GB2312"/>
          <w:b/>
          <w:bCs/>
          <w:w w:val="95"/>
          <w:sz w:val="30"/>
          <w:szCs w:val="30"/>
        </w:rPr>
        <w:t xml:space="preserve">        </w:t>
      </w:r>
      <w:r>
        <w:rPr>
          <w:rFonts w:hint="eastAsia" w:hAnsi="宋体" w:cs="宋体"/>
          <w:b/>
          <w:bCs/>
          <w:w w:val="95"/>
          <w:sz w:val="30"/>
          <w:szCs w:val="30"/>
        </w:rPr>
        <w:t xml:space="preserve">        2026年</w:t>
      </w:r>
      <w:r>
        <w:rPr>
          <w:rFonts w:hint="eastAsia" w:hAnsi="宋体" w:cs="宋体"/>
          <w:b/>
          <w:bCs/>
          <w:w w:val="95"/>
          <w:sz w:val="30"/>
          <w:szCs w:val="30"/>
          <w:lang w:val="en-US" w:eastAsia="zh-CN"/>
        </w:rPr>
        <w:t>8</w:t>
      </w:r>
      <w:r>
        <w:rPr>
          <w:rFonts w:hint="eastAsia" w:hAnsi="宋体" w:cs="宋体"/>
          <w:b/>
          <w:bCs/>
          <w:w w:val="95"/>
          <w:sz w:val="30"/>
          <w:szCs w:val="30"/>
        </w:rPr>
        <w:t>月</w:t>
      </w:r>
      <w:r>
        <w:rPr>
          <w:rFonts w:hint="eastAsia" w:hAnsi="宋体" w:cs="宋体"/>
          <w:b/>
          <w:bCs/>
          <w:w w:val="95"/>
          <w:sz w:val="30"/>
          <w:szCs w:val="30"/>
          <w:lang w:val="en-US" w:eastAsia="zh-CN"/>
        </w:rPr>
        <w:t>4</w:t>
      </w:r>
      <w:r>
        <w:rPr>
          <w:rFonts w:hint="eastAsia" w:hAnsi="宋体" w:cs="宋体"/>
          <w:b/>
          <w:bCs/>
          <w:w w:val="95"/>
          <w:sz w:val="30"/>
          <w:szCs w:val="30"/>
        </w:rPr>
        <w:t>日</w:t>
      </w:r>
    </w:p>
    <w:p w14:paraId="104CDE49">
      <w:pPr>
        <w:pStyle w:val="18"/>
        <w:spacing w:before="120" w:after="120" w:line="360" w:lineRule="auto"/>
        <w:jc w:val="center"/>
        <w:rPr>
          <w:rFonts w:hint="eastAsia" w:ascii="仿宋_GB2312" w:hAnsi="宋体" w:eastAsia="仿宋_GB2312"/>
        </w:rPr>
        <w:sectPr>
          <w:headerReference r:id="rId3" w:type="first"/>
          <w:footerReference r:id="rId5" w:type="first"/>
          <w:footerReference r:id="rId4" w:type="default"/>
          <w:pgSz w:w="11906" w:h="16838"/>
          <w:pgMar w:top="993" w:right="1133" w:bottom="1246" w:left="1418" w:header="851" w:footer="992" w:gutter="0"/>
          <w:pgNumType w:fmt="decimal" w:start="1"/>
          <w:cols w:space="720" w:num="1"/>
          <w:titlePg/>
          <w:docGrid w:linePitch="312" w:charSpace="0"/>
        </w:sectPr>
      </w:pPr>
    </w:p>
    <w:p w14:paraId="6FF842A6">
      <w:pPr>
        <w:pStyle w:val="18"/>
        <w:spacing w:before="120" w:after="120" w:line="360" w:lineRule="auto"/>
        <w:jc w:val="center"/>
        <w:rPr>
          <w:rFonts w:hint="eastAsia" w:ascii="仿宋_GB2312" w:hAnsi="宋体" w:eastAsia="仿宋_GB2312"/>
        </w:rPr>
      </w:pPr>
    </w:p>
    <w:p w14:paraId="2221D9FC">
      <w:pPr>
        <w:spacing w:line="360" w:lineRule="auto"/>
        <w:jc w:val="center"/>
        <w:rPr>
          <w:rFonts w:hint="eastAsia" w:ascii="宋体" w:hAnsi="宋体"/>
          <w:b/>
          <w:sz w:val="44"/>
          <w:szCs w:val="44"/>
        </w:rPr>
      </w:pPr>
      <w:r>
        <w:rPr>
          <w:rFonts w:hint="eastAsia" w:ascii="宋体" w:hAnsi="宋体"/>
          <w:b/>
          <w:sz w:val="44"/>
          <w:szCs w:val="44"/>
        </w:rPr>
        <w:t>目  录</w:t>
      </w:r>
    </w:p>
    <w:p w14:paraId="07B45FCF">
      <w:pPr>
        <w:spacing w:line="400" w:lineRule="exact"/>
        <w:jc w:val="center"/>
        <w:rPr>
          <w:rFonts w:hint="eastAsia" w:ascii="宋体" w:hAnsi="宋体"/>
          <w:b/>
          <w:sz w:val="44"/>
          <w:szCs w:val="44"/>
        </w:rPr>
      </w:pPr>
    </w:p>
    <w:p w14:paraId="2DCC31B6">
      <w:pPr>
        <w:pStyle w:val="25"/>
        <w:tabs>
          <w:tab w:val="right" w:leader="dot" w:pos="8398"/>
        </w:tabs>
        <w:ind w:firstLine="320" w:firstLineChars="100"/>
        <w:rPr>
          <w:rFonts w:hint="eastAsia" w:ascii="等线" w:hAnsi="等线" w:eastAsia="等线"/>
          <w:b w:val="0"/>
          <w:bCs w:val="0"/>
          <w:caps w:val="0"/>
          <w:sz w:val="32"/>
          <w:szCs w:val="32"/>
        </w:rPr>
      </w:pPr>
      <w:r>
        <w:rPr>
          <w:rFonts w:ascii="仿宋_GB2312" w:eastAsia="仿宋_GB2312"/>
          <w:b w:val="0"/>
          <w:sz w:val="32"/>
          <w:szCs w:val="32"/>
        </w:rPr>
        <w:fldChar w:fldCharType="begin"/>
      </w:r>
      <w:r>
        <w:rPr>
          <w:rFonts w:ascii="仿宋_GB2312" w:eastAsia="仿宋_GB2312"/>
          <w:b w:val="0"/>
          <w:sz w:val="32"/>
          <w:szCs w:val="32"/>
        </w:rPr>
        <w:instrText xml:space="preserve"> </w:instrText>
      </w:r>
      <w:r>
        <w:rPr>
          <w:rFonts w:hint="eastAsia" w:ascii="仿宋_GB2312" w:eastAsia="仿宋_GB2312"/>
          <w:b w:val="0"/>
          <w:sz w:val="32"/>
          <w:szCs w:val="32"/>
        </w:rPr>
        <w:instrText xml:space="preserve">TOC \o "1-2" \h \z \u</w:instrText>
      </w:r>
      <w:r>
        <w:rPr>
          <w:rFonts w:ascii="仿宋_GB2312" w:eastAsia="仿宋_GB2312"/>
          <w:b w:val="0"/>
          <w:sz w:val="32"/>
          <w:szCs w:val="32"/>
        </w:rPr>
        <w:instrText xml:space="preserve"> </w:instrText>
      </w:r>
      <w:r>
        <w:rPr>
          <w:rFonts w:ascii="仿宋_GB2312" w:eastAsia="仿宋_GB2312"/>
          <w:b w:val="0"/>
          <w:sz w:val="32"/>
          <w:szCs w:val="32"/>
        </w:rPr>
        <w:fldChar w:fldCharType="separate"/>
      </w:r>
      <w:r>
        <w:fldChar w:fldCharType="begin"/>
      </w:r>
      <w:r>
        <w:instrText xml:space="preserve"> HYPERLINK \l "_Toc187937693" </w:instrText>
      </w:r>
      <w:r>
        <w:fldChar w:fldCharType="separate"/>
      </w:r>
      <w:r>
        <w:rPr>
          <w:rStyle w:val="42"/>
          <w:color w:val="auto"/>
          <w:sz w:val="32"/>
          <w:szCs w:val="32"/>
        </w:rPr>
        <w:t>第一章  招标公告</w:t>
      </w:r>
      <w:r>
        <w:rPr>
          <w:sz w:val="32"/>
          <w:szCs w:val="32"/>
        </w:rPr>
        <w:tab/>
      </w:r>
      <w:r>
        <w:rPr>
          <w:sz w:val="32"/>
          <w:szCs w:val="32"/>
        </w:rPr>
        <w:fldChar w:fldCharType="begin"/>
      </w:r>
      <w:r>
        <w:rPr>
          <w:sz w:val="32"/>
          <w:szCs w:val="32"/>
        </w:rPr>
        <w:instrText xml:space="preserve"> PAGEREF _Toc187937693 \h </w:instrText>
      </w:r>
      <w:r>
        <w:rPr>
          <w:sz w:val="32"/>
          <w:szCs w:val="32"/>
        </w:rPr>
        <w:fldChar w:fldCharType="separate"/>
      </w:r>
      <w:r>
        <w:rPr>
          <w:sz w:val="32"/>
          <w:szCs w:val="32"/>
        </w:rPr>
        <w:t>3</w:t>
      </w:r>
      <w:r>
        <w:rPr>
          <w:sz w:val="32"/>
          <w:szCs w:val="32"/>
        </w:rPr>
        <w:fldChar w:fldCharType="end"/>
      </w:r>
      <w:r>
        <w:rPr>
          <w:sz w:val="32"/>
          <w:szCs w:val="32"/>
        </w:rPr>
        <w:fldChar w:fldCharType="end"/>
      </w:r>
    </w:p>
    <w:p w14:paraId="0D9BDEB9">
      <w:pPr>
        <w:pStyle w:val="25"/>
        <w:tabs>
          <w:tab w:val="right" w:leader="dot" w:pos="8398"/>
        </w:tabs>
        <w:ind w:firstLine="241"/>
        <w:rPr>
          <w:rFonts w:hint="eastAsia" w:ascii="等线" w:hAnsi="等线" w:eastAsia="等线"/>
          <w:b w:val="0"/>
          <w:bCs w:val="0"/>
          <w:caps w:val="0"/>
          <w:sz w:val="32"/>
          <w:szCs w:val="32"/>
        </w:rPr>
      </w:pPr>
      <w:r>
        <w:fldChar w:fldCharType="begin"/>
      </w:r>
      <w:r>
        <w:instrText xml:space="preserve"> HYPERLINK \l "_Toc187937694" </w:instrText>
      </w:r>
      <w:r>
        <w:fldChar w:fldCharType="separate"/>
      </w:r>
      <w:r>
        <w:rPr>
          <w:rStyle w:val="42"/>
          <w:color w:val="auto"/>
          <w:sz w:val="32"/>
          <w:szCs w:val="32"/>
        </w:rPr>
        <w:t>第二章  采购需求</w:t>
      </w:r>
      <w:r>
        <w:rPr>
          <w:sz w:val="32"/>
          <w:szCs w:val="32"/>
        </w:rPr>
        <w:tab/>
      </w:r>
      <w:r>
        <w:rPr>
          <w:sz w:val="32"/>
          <w:szCs w:val="32"/>
        </w:rPr>
        <w:fldChar w:fldCharType="begin"/>
      </w:r>
      <w:r>
        <w:rPr>
          <w:sz w:val="32"/>
          <w:szCs w:val="32"/>
        </w:rPr>
        <w:instrText xml:space="preserve"> PAGEREF _Toc187937694 \h </w:instrText>
      </w:r>
      <w:r>
        <w:rPr>
          <w:sz w:val="32"/>
          <w:szCs w:val="32"/>
        </w:rPr>
        <w:fldChar w:fldCharType="separate"/>
      </w:r>
      <w:r>
        <w:rPr>
          <w:sz w:val="32"/>
          <w:szCs w:val="32"/>
        </w:rPr>
        <w:t>6</w:t>
      </w:r>
      <w:r>
        <w:rPr>
          <w:sz w:val="32"/>
          <w:szCs w:val="32"/>
        </w:rPr>
        <w:fldChar w:fldCharType="end"/>
      </w:r>
      <w:r>
        <w:rPr>
          <w:sz w:val="32"/>
          <w:szCs w:val="32"/>
        </w:rPr>
        <w:fldChar w:fldCharType="end"/>
      </w:r>
    </w:p>
    <w:p w14:paraId="2FBC1D40">
      <w:pPr>
        <w:pStyle w:val="25"/>
        <w:tabs>
          <w:tab w:val="right" w:leader="dot" w:pos="8398"/>
        </w:tabs>
        <w:ind w:firstLine="241"/>
        <w:rPr>
          <w:rFonts w:hint="eastAsia" w:ascii="等线" w:hAnsi="等线" w:eastAsia="等线"/>
          <w:b w:val="0"/>
          <w:bCs w:val="0"/>
          <w:caps w:val="0"/>
          <w:sz w:val="32"/>
          <w:szCs w:val="32"/>
        </w:rPr>
      </w:pPr>
      <w:r>
        <w:fldChar w:fldCharType="begin"/>
      </w:r>
      <w:r>
        <w:instrText xml:space="preserve"> HYPERLINK \l "_Toc187937695" </w:instrText>
      </w:r>
      <w:r>
        <w:fldChar w:fldCharType="separate"/>
      </w:r>
      <w:r>
        <w:rPr>
          <w:rStyle w:val="42"/>
          <w:color w:val="auto"/>
          <w:sz w:val="32"/>
          <w:szCs w:val="32"/>
        </w:rPr>
        <w:t>第三章  投标人须知</w:t>
      </w:r>
      <w:r>
        <w:rPr>
          <w:sz w:val="32"/>
          <w:szCs w:val="32"/>
        </w:rPr>
        <w:tab/>
      </w:r>
      <w:r>
        <w:rPr>
          <w:sz w:val="32"/>
          <w:szCs w:val="32"/>
        </w:rPr>
        <w:fldChar w:fldCharType="begin"/>
      </w:r>
      <w:r>
        <w:rPr>
          <w:sz w:val="32"/>
          <w:szCs w:val="32"/>
        </w:rPr>
        <w:instrText xml:space="preserve"> PAGEREF _Toc187937695 \h </w:instrText>
      </w:r>
      <w:r>
        <w:rPr>
          <w:sz w:val="32"/>
          <w:szCs w:val="32"/>
        </w:rPr>
        <w:fldChar w:fldCharType="separate"/>
      </w:r>
      <w:r>
        <w:rPr>
          <w:sz w:val="32"/>
          <w:szCs w:val="32"/>
        </w:rPr>
        <w:t>15</w:t>
      </w:r>
      <w:r>
        <w:rPr>
          <w:sz w:val="32"/>
          <w:szCs w:val="32"/>
        </w:rPr>
        <w:fldChar w:fldCharType="end"/>
      </w:r>
      <w:r>
        <w:rPr>
          <w:sz w:val="32"/>
          <w:szCs w:val="32"/>
        </w:rPr>
        <w:fldChar w:fldCharType="end"/>
      </w:r>
    </w:p>
    <w:p w14:paraId="5EBAE302">
      <w:pPr>
        <w:pStyle w:val="25"/>
        <w:tabs>
          <w:tab w:val="right" w:leader="dot" w:pos="8398"/>
        </w:tabs>
        <w:ind w:firstLine="241"/>
        <w:rPr>
          <w:rFonts w:hint="eastAsia" w:ascii="等线" w:hAnsi="等线" w:eastAsia="等线"/>
          <w:b w:val="0"/>
          <w:bCs w:val="0"/>
          <w:caps w:val="0"/>
          <w:sz w:val="32"/>
          <w:szCs w:val="32"/>
        </w:rPr>
      </w:pPr>
      <w:r>
        <w:fldChar w:fldCharType="begin"/>
      </w:r>
      <w:r>
        <w:instrText xml:space="preserve"> HYPERLINK \l "_Toc187937696" </w:instrText>
      </w:r>
      <w:r>
        <w:fldChar w:fldCharType="separate"/>
      </w:r>
      <w:r>
        <w:rPr>
          <w:rStyle w:val="42"/>
          <w:color w:val="auto"/>
          <w:sz w:val="32"/>
          <w:szCs w:val="32"/>
        </w:rPr>
        <w:t>第四章  评标方法及评标标准</w:t>
      </w:r>
      <w:r>
        <w:rPr>
          <w:sz w:val="32"/>
          <w:szCs w:val="32"/>
        </w:rPr>
        <w:tab/>
      </w:r>
      <w:r>
        <w:rPr>
          <w:sz w:val="32"/>
          <w:szCs w:val="32"/>
        </w:rPr>
        <w:fldChar w:fldCharType="begin"/>
      </w:r>
      <w:r>
        <w:rPr>
          <w:sz w:val="32"/>
          <w:szCs w:val="32"/>
        </w:rPr>
        <w:instrText xml:space="preserve"> PAGEREF _Toc187937696 \h </w:instrText>
      </w:r>
      <w:r>
        <w:rPr>
          <w:sz w:val="32"/>
          <w:szCs w:val="32"/>
        </w:rPr>
        <w:fldChar w:fldCharType="separate"/>
      </w:r>
      <w:r>
        <w:rPr>
          <w:sz w:val="32"/>
          <w:szCs w:val="32"/>
        </w:rPr>
        <w:t>38</w:t>
      </w:r>
      <w:r>
        <w:rPr>
          <w:sz w:val="32"/>
          <w:szCs w:val="32"/>
        </w:rPr>
        <w:fldChar w:fldCharType="end"/>
      </w:r>
      <w:r>
        <w:rPr>
          <w:sz w:val="32"/>
          <w:szCs w:val="32"/>
        </w:rPr>
        <w:fldChar w:fldCharType="end"/>
      </w:r>
    </w:p>
    <w:p w14:paraId="42A3BDDC">
      <w:pPr>
        <w:pStyle w:val="25"/>
        <w:tabs>
          <w:tab w:val="right" w:leader="dot" w:pos="8398"/>
        </w:tabs>
        <w:ind w:firstLine="241"/>
        <w:rPr>
          <w:rFonts w:hint="eastAsia" w:ascii="等线" w:hAnsi="等线" w:eastAsia="等线"/>
          <w:b w:val="0"/>
          <w:bCs w:val="0"/>
          <w:caps w:val="0"/>
          <w:sz w:val="32"/>
          <w:szCs w:val="32"/>
        </w:rPr>
      </w:pPr>
      <w:r>
        <w:fldChar w:fldCharType="begin"/>
      </w:r>
      <w:r>
        <w:instrText xml:space="preserve"> HYPERLINK \l "_Toc187937697" </w:instrText>
      </w:r>
      <w:r>
        <w:fldChar w:fldCharType="separate"/>
      </w:r>
      <w:r>
        <w:rPr>
          <w:rStyle w:val="42"/>
          <w:color w:val="auto"/>
          <w:sz w:val="32"/>
          <w:szCs w:val="32"/>
        </w:rPr>
        <w:t>第五章  拟签订的合同文本</w:t>
      </w:r>
      <w:r>
        <w:rPr>
          <w:sz w:val="32"/>
          <w:szCs w:val="32"/>
        </w:rPr>
        <w:tab/>
      </w:r>
      <w:r>
        <w:rPr>
          <w:sz w:val="32"/>
          <w:szCs w:val="32"/>
        </w:rPr>
        <w:fldChar w:fldCharType="begin"/>
      </w:r>
      <w:r>
        <w:rPr>
          <w:sz w:val="32"/>
          <w:szCs w:val="32"/>
        </w:rPr>
        <w:instrText xml:space="preserve"> PAGEREF _Toc187937697 \h </w:instrText>
      </w:r>
      <w:r>
        <w:rPr>
          <w:sz w:val="32"/>
          <w:szCs w:val="32"/>
        </w:rPr>
        <w:fldChar w:fldCharType="separate"/>
      </w:r>
      <w:r>
        <w:rPr>
          <w:sz w:val="32"/>
          <w:szCs w:val="32"/>
        </w:rPr>
        <w:t>51</w:t>
      </w:r>
      <w:r>
        <w:rPr>
          <w:sz w:val="32"/>
          <w:szCs w:val="32"/>
        </w:rPr>
        <w:fldChar w:fldCharType="end"/>
      </w:r>
      <w:r>
        <w:rPr>
          <w:sz w:val="32"/>
          <w:szCs w:val="32"/>
        </w:rPr>
        <w:fldChar w:fldCharType="end"/>
      </w:r>
    </w:p>
    <w:p w14:paraId="1EB77D9C">
      <w:pPr>
        <w:pStyle w:val="25"/>
        <w:tabs>
          <w:tab w:val="right" w:leader="dot" w:pos="8398"/>
        </w:tabs>
        <w:ind w:firstLine="241"/>
        <w:rPr>
          <w:rFonts w:hint="eastAsia" w:ascii="等线" w:hAnsi="等线" w:eastAsia="等线"/>
          <w:b w:val="0"/>
          <w:bCs w:val="0"/>
          <w:caps w:val="0"/>
          <w:sz w:val="32"/>
          <w:szCs w:val="32"/>
        </w:rPr>
      </w:pPr>
      <w:r>
        <w:fldChar w:fldCharType="begin"/>
      </w:r>
      <w:r>
        <w:instrText xml:space="preserve"> HYPERLINK \l "_Toc187937698" </w:instrText>
      </w:r>
      <w:r>
        <w:fldChar w:fldCharType="separate"/>
      </w:r>
      <w:r>
        <w:rPr>
          <w:rStyle w:val="42"/>
          <w:color w:val="auto"/>
          <w:sz w:val="32"/>
          <w:szCs w:val="32"/>
        </w:rPr>
        <w:t>第六章　投标文件格式</w:t>
      </w:r>
      <w:r>
        <w:rPr>
          <w:sz w:val="32"/>
          <w:szCs w:val="32"/>
        </w:rPr>
        <w:tab/>
      </w:r>
      <w:r>
        <w:rPr>
          <w:sz w:val="32"/>
          <w:szCs w:val="32"/>
        </w:rPr>
        <w:fldChar w:fldCharType="begin"/>
      </w:r>
      <w:r>
        <w:rPr>
          <w:sz w:val="32"/>
          <w:szCs w:val="32"/>
        </w:rPr>
        <w:instrText xml:space="preserve"> PAGEREF _Toc187937698 \h </w:instrText>
      </w:r>
      <w:r>
        <w:rPr>
          <w:sz w:val="32"/>
          <w:szCs w:val="32"/>
        </w:rPr>
        <w:fldChar w:fldCharType="separate"/>
      </w:r>
      <w:r>
        <w:rPr>
          <w:sz w:val="32"/>
          <w:szCs w:val="32"/>
        </w:rPr>
        <w:t>61</w:t>
      </w:r>
      <w:r>
        <w:rPr>
          <w:sz w:val="32"/>
          <w:szCs w:val="32"/>
        </w:rPr>
        <w:fldChar w:fldCharType="end"/>
      </w:r>
      <w:r>
        <w:rPr>
          <w:sz w:val="32"/>
          <w:szCs w:val="32"/>
        </w:rPr>
        <w:fldChar w:fldCharType="end"/>
      </w:r>
    </w:p>
    <w:p w14:paraId="005A979A">
      <w:pPr>
        <w:tabs>
          <w:tab w:val="right" w:leader="dot" w:pos="8789"/>
        </w:tabs>
        <w:snapToGrid w:val="0"/>
        <w:spacing w:line="500" w:lineRule="atLeast"/>
        <w:rPr>
          <w:rFonts w:hint="eastAsia" w:ascii="仿宋_GB2312" w:hAnsi="宋体" w:eastAsia="仿宋_GB2312"/>
          <w:sz w:val="24"/>
        </w:rPr>
      </w:pPr>
      <w:r>
        <w:rPr>
          <w:rFonts w:ascii="仿宋_GB2312" w:hAnsi="宋体" w:eastAsia="仿宋_GB2312"/>
          <w:sz w:val="32"/>
          <w:szCs w:val="32"/>
        </w:rPr>
        <w:fldChar w:fldCharType="end"/>
      </w:r>
    </w:p>
    <w:p w14:paraId="2E769ED3">
      <w:pPr>
        <w:spacing w:before="120" w:beforeLines="50" w:line="480" w:lineRule="exact"/>
        <w:rPr>
          <w:rFonts w:hint="eastAsia" w:ascii="仿宋_GB2312" w:hAnsi="宋体" w:eastAsia="仿宋_GB2312"/>
          <w:sz w:val="30"/>
        </w:rPr>
      </w:pPr>
    </w:p>
    <w:p w14:paraId="17B7E11E"/>
    <w:p w14:paraId="0444034F">
      <w:pPr>
        <w:spacing w:before="120" w:beforeLines="50" w:line="480" w:lineRule="exact"/>
        <w:rPr>
          <w:rFonts w:hint="eastAsia" w:ascii="仿宋_GB2312" w:hAnsi="宋体" w:eastAsia="仿宋_GB2312"/>
          <w:sz w:val="30"/>
        </w:rPr>
      </w:pPr>
    </w:p>
    <w:p w14:paraId="403FA525">
      <w:pPr>
        <w:spacing w:before="120" w:beforeLines="50" w:line="480" w:lineRule="exact"/>
        <w:rPr>
          <w:rFonts w:hint="eastAsia" w:ascii="仿宋_GB2312" w:hAnsi="宋体" w:eastAsia="仿宋_GB2312"/>
          <w:sz w:val="30"/>
        </w:rPr>
      </w:pPr>
    </w:p>
    <w:p w14:paraId="64AF662A">
      <w:pPr>
        <w:pStyle w:val="13"/>
        <w:rPr>
          <w:rFonts w:hint="eastAsia" w:ascii="宋体" w:hAnsi="宋体" w:cs="宋体"/>
          <w:b/>
          <w:bCs/>
        </w:rPr>
      </w:pPr>
      <w:bookmarkStart w:id="0" w:name="_Toc254970489"/>
      <w:bookmarkStart w:id="1" w:name="_Toc254970630"/>
    </w:p>
    <w:p w14:paraId="37EF3E69">
      <w:pPr>
        <w:pStyle w:val="4"/>
        <w:keepNext w:val="0"/>
        <w:keepLines w:val="0"/>
        <w:tabs>
          <w:tab w:val="left" w:pos="0"/>
          <w:tab w:val="left" w:pos="3165"/>
          <w:tab w:val="center" w:pos="4153"/>
        </w:tabs>
        <w:autoSpaceDE w:val="0"/>
        <w:autoSpaceDN w:val="0"/>
        <w:adjustRightInd w:val="0"/>
        <w:spacing w:before="0" w:after="0" w:line="360" w:lineRule="auto"/>
        <w:jc w:val="center"/>
        <w:rPr>
          <w:rFonts w:hint="eastAsia" w:ascii="宋体" w:hAnsi="宋体" w:cs="宋体"/>
          <w:b w:val="0"/>
          <w:bCs w:val="0"/>
        </w:rPr>
        <w:sectPr>
          <w:pgSz w:w="11906" w:h="16838"/>
          <w:pgMar w:top="993" w:right="1133" w:bottom="1246" w:left="1418" w:header="851" w:footer="992" w:gutter="0"/>
          <w:pgNumType w:fmt="decimal"/>
          <w:cols w:space="720" w:num="1"/>
          <w:titlePg/>
          <w:docGrid w:linePitch="312" w:charSpace="0"/>
        </w:sectPr>
      </w:pPr>
      <w:bookmarkStart w:id="2" w:name="_Toc187937693"/>
    </w:p>
    <w:p w14:paraId="703A2439">
      <w:pPr>
        <w:pStyle w:val="4"/>
        <w:keepNext w:val="0"/>
        <w:keepLines w:val="0"/>
        <w:tabs>
          <w:tab w:val="left" w:pos="0"/>
          <w:tab w:val="left" w:pos="3165"/>
          <w:tab w:val="center" w:pos="4153"/>
        </w:tabs>
        <w:autoSpaceDE w:val="0"/>
        <w:autoSpaceDN w:val="0"/>
        <w:adjustRightInd w:val="0"/>
        <w:spacing w:before="0" w:after="0" w:line="360" w:lineRule="auto"/>
        <w:jc w:val="center"/>
      </w:pPr>
      <w:r>
        <w:rPr>
          <w:rFonts w:hint="eastAsia"/>
        </w:rPr>
        <w:t>第一章</w:t>
      </w:r>
      <w:bookmarkEnd w:id="0"/>
      <w:bookmarkEnd w:id="1"/>
      <w:bookmarkStart w:id="3" w:name="_Toc35393789"/>
      <w:bookmarkStart w:id="4" w:name="_Toc28359001"/>
      <w:r>
        <w:rPr>
          <w:rFonts w:hint="eastAsia"/>
        </w:rPr>
        <w:t xml:space="preserve"> 招标公告</w:t>
      </w:r>
      <w:bookmarkEnd w:id="2"/>
      <w:bookmarkEnd w:id="3"/>
      <w:bookmarkEnd w:id="4"/>
    </w:p>
    <w:p w14:paraId="018C95FF">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szCs w:val="21"/>
        </w:rPr>
      </w:pPr>
      <w:r>
        <w:rPr>
          <w:rFonts w:hint="eastAsia" w:ascii="宋体" w:hAnsi="宋体"/>
          <w:szCs w:val="21"/>
        </w:rPr>
        <w:t>项目概况</w:t>
      </w:r>
    </w:p>
    <w:p w14:paraId="096311B6">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szCs w:val="21"/>
        </w:rPr>
      </w:pPr>
      <w:r>
        <w:rPr>
          <w:rFonts w:hint="eastAsia" w:ascii="宋体" w:hAnsi="宋体"/>
          <w:szCs w:val="21"/>
          <w:u w:val="single"/>
        </w:rPr>
        <w:t xml:space="preserve"> </w:t>
      </w:r>
      <w:r>
        <w:rPr>
          <w:rFonts w:hint="eastAsia" w:ascii="宋体" w:hAnsi="宋体"/>
          <w:szCs w:val="21"/>
          <w:u w:val="single"/>
          <w:lang w:eastAsia="zh-CN"/>
        </w:rPr>
        <w:t>2026年云平台基础设施运维服务项目（核心区云平台设备运维、软件运维、数字证书系统运维）</w:t>
      </w:r>
      <w:r>
        <w:rPr>
          <w:rFonts w:hint="eastAsia" w:ascii="宋体" w:hAnsi="宋体"/>
          <w:szCs w:val="21"/>
        </w:rPr>
        <w:t>招标项目的潜在投标人应在</w:t>
      </w:r>
      <w:r>
        <w:rPr>
          <w:rFonts w:ascii="宋体" w:hAnsi="宋体"/>
          <w:szCs w:val="21"/>
        </w:rPr>
        <w:t>广西政府采购云平台</w:t>
      </w:r>
      <w:r>
        <w:rPr>
          <w:rFonts w:hint="eastAsia" w:ascii="宋体" w:hAnsi="宋体"/>
          <w:szCs w:val="21"/>
        </w:rPr>
        <w:t>（</w:t>
      </w:r>
      <w:r>
        <w:rPr>
          <w:rFonts w:ascii="宋体" w:hAnsi="宋体"/>
          <w:bCs/>
          <w:szCs w:val="21"/>
        </w:rPr>
        <w:t>https://www.gcy.zfcg.gxzf.gov.cn/</w:t>
      </w:r>
      <w:r>
        <w:rPr>
          <w:rFonts w:hint="eastAsia" w:ascii="宋体" w:hAnsi="宋体"/>
          <w:szCs w:val="21"/>
        </w:rPr>
        <w:t>）获取（下载）招标文件，并于</w:t>
      </w:r>
      <w:r>
        <w:rPr>
          <w:rFonts w:ascii="宋体" w:hAnsi="宋体"/>
          <w:szCs w:val="21"/>
          <w:u w:val="single"/>
        </w:rPr>
        <w:t xml:space="preserve"> 202</w:t>
      </w:r>
      <w:r>
        <w:rPr>
          <w:rFonts w:hint="eastAsia" w:ascii="宋体" w:hAnsi="宋体"/>
          <w:szCs w:val="21"/>
          <w:u w:val="single"/>
        </w:rPr>
        <w:t>6</w:t>
      </w:r>
      <w:r>
        <w:rPr>
          <w:rFonts w:hint="eastAsia" w:ascii="宋体" w:hAnsi="宋体"/>
          <w:bCs/>
          <w:szCs w:val="21"/>
          <w:u w:val="single"/>
        </w:rPr>
        <w:t>年</w:t>
      </w:r>
      <w:r>
        <w:rPr>
          <w:rFonts w:hint="eastAsia" w:ascii="宋体" w:hAnsi="宋体"/>
          <w:bCs/>
          <w:szCs w:val="21"/>
          <w:u w:val="single"/>
          <w:lang w:val="en-US" w:eastAsia="zh-CN"/>
        </w:rPr>
        <w:t>8</w:t>
      </w:r>
      <w:r>
        <w:rPr>
          <w:rFonts w:hint="eastAsia" w:ascii="宋体" w:hAnsi="宋体"/>
          <w:bCs/>
          <w:szCs w:val="21"/>
          <w:u w:val="single"/>
        </w:rPr>
        <w:t>月</w:t>
      </w:r>
      <w:r>
        <w:rPr>
          <w:rFonts w:hint="eastAsia" w:ascii="宋体" w:hAnsi="宋体"/>
          <w:bCs/>
          <w:szCs w:val="21"/>
          <w:u w:val="single"/>
          <w:lang w:val="en-US" w:eastAsia="zh-CN"/>
        </w:rPr>
        <w:t>27</w:t>
      </w:r>
      <w:r>
        <w:rPr>
          <w:rFonts w:hint="eastAsia" w:ascii="宋体" w:hAnsi="宋体"/>
          <w:bCs/>
          <w:szCs w:val="21"/>
          <w:u w:val="single"/>
        </w:rPr>
        <w:t>日9时30分（</w:t>
      </w:r>
      <w:r>
        <w:rPr>
          <w:rFonts w:hint="eastAsia" w:ascii="宋体" w:hAnsi="宋体"/>
          <w:bCs/>
          <w:szCs w:val="21"/>
        </w:rPr>
        <w:t>北京时间）前按要求递交（上传）投标</w:t>
      </w:r>
      <w:r>
        <w:rPr>
          <w:rFonts w:ascii="宋体" w:hAnsi="宋体"/>
          <w:bCs/>
          <w:szCs w:val="21"/>
        </w:rPr>
        <w:t>文件</w:t>
      </w:r>
      <w:r>
        <w:rPr>
          <w:rFonts w:hint="eastAsia" w:ascii="宋体" w:hAnsi="宋体"/>
          <w:szCs w:val="21"/>
        </w:rPr>
        <w:t>。</w:t>
      </w:r>
    </w:p>
    <w:p w14:paraId="38AB1DD4">
      <w:pPr>
        <w:spacing w:line="360" w:lineRule="auto"/>
        <w:rPr>
          <w:rFonts w:hint="eastAsia" w:ascii="宋体" w:hAnsi="宋体"/>
          <w:szCs w:val="21"/>
        </w:rPr>
      </w:pPr>
    </w:p>
    <w:p w14:paraId="17A42187">
      <w:pPr>
        <w:spacing w:line="360" w:lineRule="auto"/>
        <w:rPr>
          <w:rFonts w:hint="eastAsia" w:ascii="黑体" w:hAnsi="黑体" w:eastAsia="黑体"/>
          <w:b/>
          <w:bCs/>
          <w:sz w:val="24"/>
        </w:rPr>
      </w:pPr>
      <w:bookmarkStart w:id="5" w:name="_Toc35393621"/>
      <w:bookmarkStart w:id="6" w:name="_Toc35393790"/>
      <w:bookmarkStart w:id="7" w:name="_Toc28359002"/>
      <w:bookmarkStart w:id="8" w:name="_Toc28359079"/>
      <w:bookmarkStart w:id="9" w:name="_Hlk24379207"/>
      <w:r>
        <w:rPr>
          <w:rFonts w:hint="eastAsia" w:ascii="黑体" w:hAnsi="黑体" w:eastAsia="黑体"/>
          <w:b/>
          <w:bCs/>
          <w:sz w:val="24"/>
        </w:rPr>
        <w:t>一、项目基本情况</w:t>
      </w:r>
      <w:bookmarkEnd w:id="5"/>
      <w:bookmarkEnd w:id="6"/>
      <w:bookmarkEnd w:id="7"/>
      <w:bookmarkEnd w:id="8"/>
    </w:p>
    <w:bookmarkEnd w:id="9"/>
    <w:p w14:paraId="0EA6E933">
      <w:pPr>
        <w:spacing w:line="360" w:lineRule="auto"/>
        <w:ind w:firstLine="420" w:firstLineChars="200"/>
        <w:rPr>
          <w:rFonts w:hint="eastAsia" w:ascii="宋体" w:hAnsi="宋体"/>
          <w:szCs w:val="21"/>
        </w:rPr>
      </w:pPr>
      <w:r>
        <w:rPr>
          <w:rFonts w:hint="eastAsia" w:ascii="宋体" w:hAnsi="宋体"/>
          <w:szCs w:val="21"/>
        </w:rPr>
        <w:t>1.项目编号：GXZC2026-G3-002420-GXTZ（采购计划编号：广西政采[2026]11419号-001</w:t>
      </w:r>
      <w:r>
        <w:rPr>
          <w:rFonts w:hint="eastAsia" w:ascii="宋体" w:hAnsi="宋体"/>
          <w:szCs w:val="21"/>
          <w:lang w:eastAsia="zh-CN"/>
        </w:rPr>
        <w:t>、</w:t>
      </w:r>
      <w:r>
        <w:rPr>
          <w:rFonts w:hint="eastAsia" w:ascii="宋体" w:hAnsi="宋体"/>
          <w:szCs w:val="21"/>
        </w:rPr>
        <w:t>广西政采[2026]11419号-00</w:t>
      </w:r>
      <w:r>
        <w:rPr>
          <w:rFonts w:hint="eastAsia" w:ascii="宋体" w:hAnsi="宋体"/>
          <w:szCs w:val="21"/>
          <w:lang w:val="en-US" w:eastAsia="zh-CN"/>
        </w:rPr>
        <w:t>2</w:t>
      </w:r>
      <w:r>
        <w:rPr>
          <w:rFonts w:hint="eastAsia" w:ascii="宋体" w:hAnsi="宋体"/>
          <w:szCs w:val="21"/>
        </w:rPr>
        <w:t>）</w:t>
      </w:r>
    </w:p>
    <w:p w14:paraId="344D0300">
      <w:pPr>
        <w:spacing w:line="360" w:lineRule="auto"/>
        <w:ind w:firstLine="420" w:firstLineChars="200"/>
        <w:rPr>
          <w:rFonts w:hint="eastAsia" w:ascii="宋体" w:hAnsi="宋体" w:eastAsia="宋体"/>
          <w:szCs w:val="21"/>
          <w:lang w:eastAsia="zh-CN"/>
        </w:rPr>
      </w:pPr>
      <w:r>
        <w:rPr>
          <w:rFonts w:hint="eastAsia" w:ascii="宋体" w:hAnsi="宋体"/>
          <w:szCs w:val="21"/>
        </w:rPr>
        <w:t>2.项目名称：</w:t>
      </w:r>
      <w:r>
        <w:rPr>
          <w:rFonts w:hint="eastAsia" w:ascii="宋体" w:hAnsi="宋体"/>
          <w:szCs w:val="21"/>
          <w:lang w:eastAsia="zh-CN"/>
        </w:rPr>
        <w:t>2026年云平台基础设施运维服务项目（核心区云平台设备运维、软件运维、数字证书系统运维）</w:t>
      </w:r>
    </w:p>
    <w:p w14:paraId="0978D6B1">
      <w:pPr>
        <w:spacing w:line="360" w:lineRule="auto"/>
        <w:ind w:firstLine="422"/>
        <w:jc w:val="left"/>
        <w:rPr>
          <w:rFonts w:hint="eastAsia" w:ascii="宋体" w:hAnsi="宋体"/>
          <w:szCs w:val="21"/>
          <w:highlight w:val="none"/>
        </w:rPr>
      </w:pPr>
      <w:r>
        <w:rPr>
          <w:rFonts w:hint="eastAsia" w:ascii="宋体" w:hAnsi="宋体"/>
          <w:szCs w:val="21"/>
          <w:highlight w:val="none"/>
        </w:rPr>
        <w:t>3.预算金额：3882900.00元</w:t>
      </w:r>
    </w:p>
    <w:p w14:paraId="7BD106E9">
      <w:pPr>
        <w:spacing w:line="360" w:lineRule="auto"/>
        <w:ind w:firstLine="420" w:firstLineChars="200"/>
        <w:jc w:val="left"/>
        <w:rPr>
          <w:rFonts w:hint="eastAsia" w:ascii="宋体" w:hAnsi="宋体"/>
          <w:szCs w:val="21"/>
          <w:highlight w:val="none"/>
        </w:rPr>
      </w:pPr>
      <w:r>
        <w:rPr>
          <w:rFonts w:hint="eastAsia" w:ascii="宋体" w:hAnsi="宋体"/>
          <w:szCs w:val="21"/>
          <w:highlight w:val="none"/>
        </w:rPr>
        <w:t>4.采购需求：</w:t>
      </w:r>
    </w:p>
    <w:p w14:paraId="1D0304D8">
      <w:pPr>
        <w:pStyle w:val="28"/>
        <w:spacing w:line="360" w:lineRule="auto"/>
        <w:ind w:firstLine="420" w:firstLineChars="200"/>
        <w:rPr>
          <w:rStyle w:val="43"/>
          <w:rFonts w:hint="eastAsia" w:eastAsia="宋体"/>
          <w:highlight w:val="none"/>
          <w:lang w:eastAsia="zh-CN"/>
        </w:rPr>
      </w:pPr>
      <w:r>
        <w:rPr>
          <w:rFonts w:hint="eastAsia" w:ascii="宋体" w:hAnsi="宋体"/>
          <w:sz w:val="21"/>
          <w:szCs w:val="21"/>
          <w:highlight w:val="none"/>
        </w:rPr>
        <w:t>标项名称：</w:t>
      </w:r>
      <w:r>
        <w:rPr>
          <w:rStyle w:val="43"/>
          <w:rFonts w:hint="eastAsia"/>
          <w:highlight w:val="none"/>
          <w:lang w:eastAsia="zh-CN"/>
        </w:rPr>
        <w:t>2026年云平台基础设施运维服务项目（核心区云平台设备运维、软件运维、数字证书系统运维）</w:t>
      </w:r>
    </w:p>
    <w:p w14:paraId="17DD9109">
      <w:pPr>
        <w:pStyle w:val="28"/>
        <w:spacing w:line="360" w:lineRule="auto"/>
        <w:ind w:firstLine="420" w:firstLineChars="200"/>
        <w:rPr>
          <w:rFonts w:hint="eastAsia" w:ascii="宋体" w:hAnsi="宋体"/>
          <w:sz w:val="21"/>
          <w:szCs w:val="21"/>
          <w:highlight w:val="none"/>
        </w:rPr>
      </w:pPr>
      <w:r>
        <w:rPr>
          <w:rFonts w:hint="eastAsia" w:ascii="宋体" w:hAnsi="宋体"/>
          <w:sz w:val="21"/>
          <w:szCs w:val="21"/>
          <w:highlight w:val="none"/>
        </w:rPr>
        <w:t>数量：1</w:t>
      </w:r>
    </w:p>
    <w:p w14:paraId="2A11D373">
      <w:pPr>
        <w:pStyle w:val="28"/>
        <w:spacing w:line="360" w:lineRule="auto"/>
        <w:ind w:firstLine="420" w:firstLineChars="200"/>
        <w:rPr>
          <w:rFonts w:hint="eastAsia" w:ascii="宋体" w:hAnsi="宋体"/>
          <w:sz w:val="21"/>
          <w:szCs w:val="21"/>
          <w:highlight w:val="none"/>
        </w:rPr>
      </w:pPr>
      <w:r>
        <w:rPr>
          <w:rFonts w:hint="eastAsia" w:ascii="宋体" w:hAnsi="宋体"/>
          <w:sz w:val="21"/>
          <w:szCs w:val="21"/>
          <w:highlight w:val="none"/>
        </w:rPr>
        <w:t>预算金额（元）：3882900.00</w:t>
      </w:r>
    </w:p>
    <w:p w14:paraId="08E999B4">
      <w:pPr>
        <w:pStyle w:val="28"/>
        <w:spacing w:line="360" w:lineRule="auto"/>
        <w:ind w:left="420" w:leftChars="200"/>
        <w:rPr>
          <w:rFonts w:hint="eastAsia" w:ascii="宋体" w:hAnsi="宋体"/>
          <w:sz w:val="21"/>
          <w:szCs w:val="21"/>
          <w:highlight w:val="none"/>
        </w:rPr>
      </w:pPr>
      <w:r>
        <w:rPr>
          <w:rFonts w:hint="eastAsia" w:ascii="宋体" w:hAnsi="宋体"/>
          <w:sz w:val="21"/>
          <w:szCs w:val="21"/>
          <w:highlight w:val="none"/>
        </w:rPr>
        <w:t>简要规格描述或项目基本概况介绍、用途：</w:t>
      </w:r>
      <w:r>
        <w:rPr>
          <w:rStyle w:val="43"/>
          <w:rFonts w:hint="eastAsia"/>
          <w:highlight w:val="none"/>
          <w:lang w:eastAsia="zh-CN"/>
        </w:rPr>
        <w:t>2026年云平台基础设施运维服务项目（核心区云平台设备运维、软件运维、数字证书系统运维）</w:t>
      </w:r>
      <w:r>
        <w:rPr>
          <w:rFonts w:hint="eastAsia" w:ascii="宋体" w:hAnsi="宋体"/>
          <w:sz w:val="21"/>
          <w:szCs w:val="21"/>
          <w:highlight w:val="none"/>
        </w:rPr>
        <w:t>1项。如需进一步了解详细内容，详见</w:t>
      </w:r>
      <w:r>
        <w:rPr>
          <w:rStyle w:val="43"/>
          <w:rFonts w:hint="eastAsia"/>
          <w:highlight w:val="none"/>
        </w:rPr>
        <w:t>招标文件</w:t>
      </w:r>
      <w:r>
        <w:rPr>
          <w:rFonts w:hint="eastAsia" w:ascii="宋体" w:hAnsi="宋体"/>
          <w:sz w:val="21"/>
          <w:szCs w:val="21"/>
          <w:highlight w:val="none"/>
        </w:rPr>
        <w:t>。</w:t>
      </w:r>
    </w:p>
    <w:p w14:paraId="5678FA0C">
      <w:pPr>
        <w:pStyle w:val="28"/>
        <w:spacing w:line="360" w:lineRule="auto"/>
        <w:ind w:firstLine="420" w:firstLineChars="200"/>
        <w:rPr>
          <w:rFonts w:hint="eastAsia" w:ascii="宋体" w:hAnsi="宋体"/>
          <w:sz w:val="21"/>
          <w:szCs w:val="21"/>
          <w:highlight w:val="none"/>
        </w:rPr>
      </w:pPr>
      <w:r>
        <w:rPr>
          <w:rFonts w:hint="eastAsia" w:ascii="宋体" w:hAnsi="宋体"/>
          <w:sz w:val="21"/>
          <w:szCs w:val="21"/>
          <w:highlight w:val="none"/>
        </w:rPr>
        <w:t>最高限价（如有）：3882900.00元</w:t>
      </w:r>
    </w:p>
    <w:p w14:paraId="794F89E0">
      <w:pPr>
        <w:pStyle w:val="28"/>
        <w:spacing w:line="360" w:lineRule="auto"/>
        <w:ind w:firstLine="420" w:firstLineChars="200"/>
        <w:rPr>
          <w:rFonts w:hint="eastAsia" w:ascii="宋体" w:hAnsi="宋体"/>
          <w:sz w:val="21"/>
          <w:szCs w:val="21"/>
        </w:rPr>
      </w:pPr>
      <w:r>
        <w:rPr>
          <w:rFonts w:hint="eastAsia" w:ascii="宋体" w:hAnsi="宋体"/>
          <w:sz w:val="21"/>
          <w:szCs w:val="21"/>
        </w:rPr>
        <w:t>合同履约期限：至合同签订之日起一年。</w:t>
      </w:r>
    </w:p>
    <w:p w14:paraId="7B695C32">
      <w:pPr>
        <w:pStyle w:val="28"/>
        <w:spacing w:line="360" w:lineRule="auto"/>
        <w:ind w:firstLine="420" w:firstLineChars="200"/>
        <w:rPr>
          <w:rFonts w:hint="eastAsia" w:ascii="宋体" w:hAnsi="宋体"/>
          <w:sz w:val="21"/>
          <w:szCs w:val="21"/>
        </w:rPr>
      </w:pPr>
      <w:r>
        <w:rPr>
          <w:rFonts w:hint="eastAsia" w:ascii="宋体" w:hAnsi="宋体"/>
          <w:sz w:val="21"/>
          <w:szCs w:val="21"/>
        </w:rPr>
        <w:t>本标项（否）接受联合体投标</w:t>
      </w:r>
    </w:p>
    <w:p w14:paraId="1402D3E4">
      <w:pPr>
        <w:pStyle w:val="28"/>
      </w:pPr>
    </w:p>
    <w:p w14:paraId="4B8790B1">
      <w:pPr>
        <w:spacing w:line="360" w:lineRule="auto"/>
        <w:rPr>
          <w:rFonts w:hint="eastAsia" w:ascii="黑体" w:hAnsi="黑体" w:eastAsia="黑体"/>
          <w:b/>
          <w:bCs/>
          <w:sz w:val="24"/>
        </w:rPr>
      </w:pPr>
      <w:bookmarkStart w:id="10" w:name="_Toc28359003"/>
      <w:bookmarkStart w:id="11" w:name="_Toc35393622"/>
      <w:bookmarkStart w:id="12" w:name="_Toc35393791"/>
      <w:bookmarkStart w:id="13" w:name="_Toc28359080"/>
      <w:r>
        <w:rPr>
          <w:rFonts w:hint="eastAsia" w:ascii="黑体" w:hAnsi="黑体" w:eastAsia="黑体"/>
          <w:b/>
          <w:bCs/>
          <w:sz w:val="24"/>
        </w:rPr>
        <w:t>二、申请人的资格要求：</w:t>
      </w:r>
      <w:bookmarkEnd w:id="10"/>
      <w:bookmarkEnd w:id="11"/>
      <w:bookmarkEnd w:id="12"/>
      <w:bookmarkEnd w:id="13"/>
    </w:p>
    <w:p w14:paraId="2AC6BF5A">
      <w:pPr>
        <w:spacing w:line="360" w:lineRule="auto"/>
        <w:ind w:firstLine="420" w:firstLineChars="200"/>
        <w:rPr>
          <w:rFonts w:hint="eastAsia" w:ascii="宋体" w:hAnsi="宋体"/>
          <w:szCs w:val="21"/>
        </w:rPr>
      </w:pPr>
      <w:bookmarkStart w:id="14" w:name="_Hlk51746371"/>
      <w:bookmarkStart w:id="15" w:name="_Toc35393623"/>
      <w:bookmarkStart w:id="16" w:name="_Toc28359004"/>
      <w:bookmarkStart w:id="17" w:name="_Toc35393792"/>
      <w:bookmarkStart w:id="18" w:name="_Toc28359081"/>
      <w:r>
        <w:rPr>
          <w:rFonts w:hint="eastAsia" w:ascii="宋体" w:hAnsi="宋体"/>
          <w:szCs w:val="21"/>
        </w:rPr>
        <w:t>1.满足《中华人民共和国政府采购法》第二十二条规定；</w:t>
      </w:r>
    </w:p>
    <w:p w14:paraId="25A7AC80">
      <w:pPr>
        <w:spacing w:line="360" w:lineRule="exact"/>
        <w:ind w:firstLine="420" w:firstLineChars="200"/>
        <w:rPr>
          <w:rFonts w:hint="eastAsia" w:ascii="宋体" w:hAnsi="宋体"/>
          <w:szCs w:val="21"/>
        </w:rPr>
      </w:pPr>
      <w:r>
        <w:rPr>
          <w:rFonts w:ascii="宋体" w:hAnsi="宋体"/>
          <w:szCs w:val="21"/>
        </w:rPr>
        <w:t>2</w:t>
      </w:r>
      <w:r>
        <w:rPr>
          <w:rFonts w:hint="eastAsia" w:ascii="宋体" w:hAnsi="宋体"/>
          <w:szCs w:val="21"/>
        </w:rPr>
        <w:t>.落实政府采购政策需满足的资格要求：□专门面向中小企业采购的项目（供应商应为中小微企业或监狱企业或残疾人福利性单位）；</w:t>
      </w:r>
    </w:p>
    <w:p w14:paraId="2C9164F2">
      <w:pPr>
        <w:spacing w:line="360" w:lineRule="auto"/>
        <w:ind w:firstLine="420" w:firstLineChars="200"/>
        <w:rPr>
          <w:rFonts w:hint="eastAsia" w:ascii="宋体" w:hAnsi="宋体"/>
          <w:szCs w:val="21"/>
        </w:rPr>
      </w:pPr>
      <w:r>
        <w:rPr>
          <w:rFonts w:hint="eastAsia" w:ascii="宋体" w:hAnsi="宋体"/>
          <w:szCs w:val="21"/>
        </w:rPr>
        <w:t>☑非专门面向中小企业采购的项目。；</w:t>
      </w:r>
    </w:p>
    <w:p w14:paraId="60DA6577">
      <w:pPr>
        <w:spacing w:line="360" w:lineRule="auto"/>
        <w:ind w:firstLine="420" w:firstLineChars="200"/>
        <w:rPr>
          <w:rFonts w:hint="eastAsia" w:ascii="宋体" w:hAnsi="宋体"/>
          <w:szCs w:val="21"/>
        </w:rPr>
      </w:pPr>
      <w:r>
        <w:rPr>
          <w:rFonts w:hint="eastAsia" w:ascii="宋体" w:hAnsi="宋体"/>
          <w:szCs w:val="21"/>
        </w:rPr>
        <w:t>3.本项目的特定资格要求：无</w:t>
      </w:r>
    </w:p>
    <w:bookmarkEnd w:id="14"/>
    <w:p w14:paraId="35735FFF">
      <w:pPr>
        <w:spacing w:line="360" w:lineRule="auto"/>
        <w:rPr>
          <w:rFonts w:hint="eastAsia" w:ascii="黑体" w:hAnsi="黑体" w:eastAsia="黑体"/>
          <w:b/>
          <w:bCs/>
          <w:sz w:val="24"/>
        </w:rPr>
      </w:pPr>
      <w:r>
        <w:rPr>
          <w:rFonts w:hint="eastAsia" w:ascii="黑体" w:hAnsi="黑体" w:eastAsia="黑体"/>
          <w:b/>
          <w:bCs/>
          <w:sz w:val="24"/>
        </w:rPr>
        <w:t>三、获取招标文件</w:t>
      </w:r>
      <w:bookmarkEnd w:id="15"/>
      <w:bookmarkEnd w:id="16"/>
      <w:bookmarkEnd w:id="17"/>
      <w:bookmarkEnd w:id="18"/>
    </w:p>
    <w:p w14:paraId="26368458">
      <w:pPr>
        <w:spacing w:line="360" w:lineRule="auto"/>
        <w:ind w:firstLine="420" w:firstLineChars="200"/>
        <w:rPr>
          <w:rFonts w:hint="eastAsia" w:ascii="宋体" w:hAnsi="宋体" w:cs="宋体"/>
          <w:bCs/>
          <w:kern w:val="0"/>
          <w:szCs w:val="21"/>
        </w:rPr>
      </w:pPr>
      <w:r>
        <w:rPr>
          <w:rFonts w:hint="eastAsia" w:ascii="宋体" w:hAnsi="宋体" w:cs="宋体"/>
          <w:bCs/>
          <w:kern w:val="0"/>
          <w:szCs w:val="21"/>
        </w:rPr>
        <w:t>1.时间：</w:t>
      </w:r>
      <w:r>
        <w:rPr>
          <w:rFonts w:ascii="宋体" w:hAnsi="宋体" w:cs="宋体"/>
          <w:bCs/>
          <w:kern w:val="0"/>
          <w:szCs w:val="21"/>
        </w:rPr>
        <w:t xml:space="preserve"> </w:t>
      </w:r>
      <w:r>
        <w:rPr>
          <w:rFonts w:ascii="宋体" w:hAnsi="宋体"/>
          <w:szCs w:val="21"/>
          <w:u w:val="single"/>
        </w:rPr>
        <w:t>202</w:t>
      </w:r>
      <w:r>
        <w:rPr>
          <w:rFonts w:hint="eastAsia" w:ascii="宋体" w:hAnsi="宋体"/>
          <w:szCs w:val="21"/>
          <w:u w:val="single"/>
        </w:rPr>
        <w:t>6</w:t>
      </w:r>
      <w:r>
        <w:rPr>
          <w:rFonts w:hint="eastAsia" w:ascii="宋体" w:hAnsi="宋体"/>
          <w:bCs/>
          <w:szCs w:val="21"/>
          <w:u w:val="single"/>
        </w:rPr>
        <w:t>年</w:t>
      </w:r>
      <w:r>
        <w:rPr>
          <w:rFonts w:hint="eastAsia" w:ascii="宋体" w:hAnsi="宋体"/>
          <w:bCs/>
          <w:szCs w:val="21"/>
          <w:u w:val="single"/>
          <w:lang w:val="en-US" w:eastAsia="zh-CN"/>
        </w:rPr>
        <w:t>8</w:t>
      </w:r>
      <w:r>
        <w:rPr>
          <w:rFonts w:hint="eastAsia" w:ascii="宋体" w:hAnsi="宋体"/>
          <w:bCs/>
          <w:szCs w:val="21"/>
          <w:u w:val="single"/>
        </w:rPr>
        <w:t>月</w:t>
      </w:r>
      <w:r>
        <w:rPr>
          <w:rFonts w:hint="eastAsia" w:ascii="宋体" w:hAnsi="宋体"/>
          <w:bCs/>
          <w:szCs w:val="21"/>
          <w:u w:val="single"/>
          <w:lang w:val="en-US" w:eastAsia="zh-CN"/>
        </w:rPr>
        <w:t>4</w:t>
      </w:r>
      <w:r>
        <w:rPr>
          <w:rFonts w:hint="eastAsia" w:ascii="宋体" w:hAnsi="宋体"/>
          <w:bCs/>
          <w:szCs w:val="21"/>
          <w:u w:val="single"/>
        </w:rPr>
        <w:t>日</w:t>
      </w:r>
      <w:r>
        <w:rPr>
          <w:rFonts w:hint="eastAsia" w:ascii="宋体" w:hAnsi="宋体" w:cs="宋体"/>
          <w:bCs/>
          <w:kern w:val="0"/>
          <w:szCs w:val="21"/>
        </w:rPr>
        <w:t>至</w:t>
      </w:r>
      <w:r>
        <w:rPr>
          <w:rFonts w:ascii="宋体" w:hAnsi="宋体"/>
          <w:szCs w:val="21"/>
          <w:u w:val="single"/>
        </w:rPr>
        <w:t>202</w:t>
      </w:r>
      <w:r>
        <w:rPr>
          <w:rFonts w:hint="eastAsia" w:ascii="宋体" w:hAnsi="宋体"/>
          <w:szCs w:val="21"/>
          <w:u w:val="single"/>
        </w:rPr>
        <w:t>6</w:t>
      </w:r>
      <w:r>
        <w:rPr>
          <w:rFonts w:hint="eastAsia" w:ascii="宋体" w:hAnsi="宋体"/>
          <w:bCs/>
          <w:szCs w:val="21"/>
          <w:u w:val="single"/>
        </w:rPr>
        <w:t>年</w:t>
      </w:r>
      <w:r>
        <w:rPr>
          <w:rFonts w:hint="eastAsia" w:ascii="宋体" w:hAnsi="宋体"/>
          <w:bCs/>
          <w:szCs w:val="21"/>
          <w:u w:val="single"/>
          <w:lang w:val="en-US" w:eastAsia="zh-CN"/>
        </w:rPr>
        <w:t>8</w:t>
      </w:r>
      <w:r>
        <w:rPr>
          <w:rFonts w:hint="eastAsia" w:ascii="宋体" w:hAnsi="宋体"/>
          <w:bCs/>
          <w:szCs w:val="21"/>
          <w:u w:val="single"/>
        </w:rPr>
        <w:t>月</w:t>
      </w:r>
      <w:r>
        <w:rPr>
          <w:rFonts w:hint="eastAsia" w:ascii="宋体" w:hAnsi="宋体"/>
          <w:bCs/>
          <w:szCs w:val="21"/>
          <w:u w:val="single"/>
          <w:lang w:val="en-US" w:eastAsia="zh-CN"/>
        </w:rPr>
        <w:t>11</w:t>
      </w:r>
      <w:r>
        <w:rPr>
          <w:rFonts w:hint="eastAsia" w:ascii="宋体" w:hAnsi="宋体"/>
          <w:bCs/>
          <w:szCs w:val="21"/>
          <w:u w:val="single"/>
        </w:rPr>
        <w:t>日</w:t>
      </w:r>
      <w:r>
        <w:rPr>
          <w:rFonts w:hint="eastAsia" w:ascii="宋体" w:hAnsi="宋体" w:cs="宋体"/>
          <w:bCs/>
          <w:kern w:val="0"/>
          <w:szCs w:val="21"/>
        </w:rPr>
        <w:t>，</w:t>
      </w:r>
      <w:r>
        <w:rPr>
          <w:rFonts w:hint="eastAsia" w:ascii="宋体" w:hAnsi="宋体" w:cs="宋体"/>
          <w:bCs/>
        </w:rPr>
        <w:t>每天上午</w:t>
      </w:r>
      <w:r>
        <w:rPr>
          <w:rFonts w:hint="eastAsia" w:ascii="宋体" w:hAnsi="宋体" w:cs="宋体"/>
          <w:bCs/>
          <w:u w:val="single"/>
        </w:rPr>
        <w:t>00:00至11:59</w:t>
      </w:r>
      <w:r>
        <w:rPr>
          <w:rFonts w:hint="eastAsia" w:ascii="宋体" w:hAnsi="宋体" w:cs="宋体"/>
          <w:bCs/>
        </w:rPr>
        <w:t>，</w:t>
      </w:r>
      <w:r>
        <w:rPr>
          <w:rFonts w:hint="eastAsia" w:ascii="宋体" w:hAnsi="宋体" w:cs="宋体"/>
          <w:bCs/>
          <w:u w:val="single"/>
        </w:rPr>
        <w:t>下午12:00至23:59</w:t>
      </w:r>
      <w:r>
        <w:rPr>
          <w:rFonts w:hint="eastAsia" w:ascii="宋体" w:hAnsi="宋体" w:cs="宋体"/>
          <w:bCs/>
        </w:rPr>
        <w:t>（</w:t>
      </w:r>
      <w:r>
        <w:rPr>
          <w:rFonts w:hint="eastAsia" w:ascii="宋体" w:hAnsi="宋体" w:cs="宋体"/>
          <w:bCs/>
          <w:kern w:val="0"/>
          <w:szCs w:val="21"/>
        </w:rPr>
        <w:t>北京时间，法定节假日除外</w:t>
      </w:r>
      <w:r>
        <w:rPr>
          <w:rFonts w:hint="eastAsia" w:ascii="宋体" w:hAnsi="宋体" w:cs="宋体"/>
          <w:bCs/>
        </w:rPr>
        <w:t>）</w:t>
      </w:r>
    </w:p>
    <w:p w14:paraId="147FDB1E">
      <w:pPr>
        <w:spacing w:line="360" w:lineRule="auto"/>
        <w:ind w:firstLine="420" w:firstLineChars="200"/>
        <w:rPr>
          <w:rFonts w:hint="eastAsia" w:ascii="宋体" w:hAnsi="宋体"/>
          <w:szCs w:val="21"/>
        </w:rPr>
      </w:pPr>
      <w:r>
        <w:rPr>
          <w:rFonts w:hint="eastAsia" w:ascii="宋体" w:hAnsi="宋体" w:cs="宋体"/>
          <w:bCs/>
          <w:kern w:val="0"/>
          <w:szCs w:val="21"/>
        </w:rPr>
        <w:t>2.地点：</w:t>
      </w:r>
      <w:r>
        <w:rPr>
          <w:rFonts w:hint="eastAsia" w:ascii="宋体" w:hAnsi="宋体"/>
          <w:szCs w:val="21"/>
        </w:rPr>
        <w:t>广西政府采购云平台（</w:t>
      </w:r>
      <w:r>
        <w:rPr>
          <w:rFonts w:hint="eastAsia" w:ascii="宋体" w:hAnsi="宋体"/>
          <w:bCs/>
          <w:szCs w:val="21"/>
        </w:rPr>
        <w:t>https://www.gcy.zfcg.gxzf.gov.cn/</w:t>
      </w:r>
      <w:r>
        <w:rPr>
          <w:rFonts w:hint="eastAsia" w:ascii="宋体" w:hAnsi="宋体"/>
          <w:szCs w:val="21"/>
        </w:rPr>
        <w:t>）</w:t>
      </w:r>
    </w:p>
    <w:p w14:paraId="0805DBC1">
      <w:pPr>
        <w:spacing w:line="360" w:lineRule="auto"/>
        <w:ind w:firstLine="420" w:firstLineChars="200"/>
        <w:rPr>
          <w:rFonts w:hint="eastAsia" w:ascii="宋体" w:hAnsi="宋体" w:cs="宋体"/>
          <w:bCs/>
          <w:kern w:val="0"/>
          <w:szCs w:val="21"/>
        </w:rPr>
      </w:pPr>
      <w:r>
        <w:rPr>
          <w:rFonts w:hint="eastAsia" w:ascii="宋体" w:hAnsi="宋体" w:cs="宋体"/>
          <w:bCs/>
          <w:kern w:val="0"/>
          <w:szCs w:val="21"/>
        </w:rPr>
        <w:t>3.方式：网上下载。本项目不提供纸质文件，潜在供应商需在</w:t>
      </w:r>
      <w:r>
        <w:rPr>
          <w:rFonts w:ascii="宋体" w:hAnsi="宋体"/>
          <w:szCs w:val="21"/>
        </w:rPr>
        <w:t>广西政府采购云平台</w:t>
      </w:r>
      <w:r>
        <w:rPr>
          <w:rFonts w:hint="eastAsia" w:ascii="宋体" w:hAnsi="宋体"/>
          <w:szCs w:val="21"/>
        </w:rPr>
        <w:t>（</w:t>
      </w:r>
      <w:r>
        <w:rPr>
          <w:rFonts w:ascii="宋体" w:hAnsi="宋体"/>
          <w:bCs/>
          <w:szCs w:val="21"/>
        </w:rPr>
        <w:t>https://www.gcy.zfcg.gxzf.gov.cn/</w:t>
      </w:r>
      <w:r>
        <w:rPr>
          <w:rFonts w:hint="eastAsia" w:ascii="宋体" w:hAnsi="宋体"/>
          <w:szCs w:val="21"/>
        </w:rPr>
        <w:t>）</w:t>
      </w:r>
      <w:r>
        <w:rPr>
          <w:rFonts w:hint="eastAsia" w:ascii="宋体" w:hAnsi="宋体" w:cs="宋体"/>
          <w:bCs/>
          <w:kern w:val="0"/>
          <w:szCs w:val="21"/>
        </w:rPr>
        <w:t>-进入“项目采购”应用，在获取采购文件菜单中选择项目，获取招标文件。</w:t>
      </w:r>
      <w:r>
        <w:rPr>
          <w:rFonts w:hint="eastAsia" w:ascii="宋体" w:hAnsi="宋体"/>
          <w:szCs w:val="21"/>
        </w:rPr>
        <w:t>电子投标文件制作需要基于</w:t>
      </w:r>
      <w:r>
        <w:rPr>
          <w:rFonts w:ascii="宋体" w:hAnsi="宋体"/>
          <w:szCs w:val="21"/>
        </w:rPr>
        <w:t>广西政府采购云平台</w:t>
      </w:r>
      <w:r>
        <w:rPr>
          <w:rFonts w:hint="eastAsia" w:ascii="宋体" w:hAnsi="宋体"/>
          <w:szCs w:val="21"/>
        </w:rPr>
        <w:t>获取的招标文件编制，</w:t>
      </w:r>
      <w:r>
        <w:rPr>
          <w:rFonts w:hint="eastAsia" w:ascii="宋体" w:hAnsi="宋体" w:cs="宋体"/>
          <w:bCs/>
          <w:kern w:val="0"/>
          <w:szCs w:val="21"/>
        </w:rPr>
        <w:t>通过其他方式获取招标文件的，将有可能导致供应商无法在</w:t>
      </w:r>
      <w:r>
        <w:rPr>
          <w:rFonts w:ascii="宋体" w:hAnsi="宋体"/>
          <w:szCs w:val="21"/>
        </w:rPr>
        <w:t>广西政府采购云平台</w:t>
      </w:r>
      <w:r>
        <w:rPr>
          <w:rFonts w:hint="eastAsia" w:ascii="宋体" w:hAnsi="宋体" w:cs="宋体"/>
          <w:bCs/>
          <w:kern w:val="0"/>
          <w:szCs w:val="21"/>
        </w:rPr>
        <w:t>编制及上传投标文件。</w:t>
      </w:r>
    </w:p>
    <w:p w14:paraId="63CC2406">
      <w:pPr>
        <w:spacing w:line="360" w:lineRule="auto"/>
        <w:ind w:firstLine="420" w:firstLineChars="200"/>
        <w:rPr>
          <w:rFonts w:hint="eastAsia" w:ascii="宋体" w:hAnsi="宋体" w:cs="宋体"/>
          <w:szCs w:val="21"/>
        </w:rPr>
      </w:pPr>
      <w:r>
        <w:rPr>
          <w:rFonts w:hint="eastAsia" w:ascii="宋体" w:hAnsi="宋体" w:cs="宋体"/>
          <w:szCs w:val="21"/>
        </w:rPr>
        <w:t xml:space="preserve"> 4.</w:t>
      </w:r>
      <w:r>
        <w:rPr>
          <w:rFonts w:hint="eastAsia" w:ascii="宋体" w:hAnsi="宋体" w:cs="宋体"/>
          <w:bCs/>
          <w:kern w:val="0"/>
          <w:szCs w:val="21"/>
        </w:rPr>
        <w:t>售价：</w:t>
      </w:r>
      <w:r>
        <w:rPr>
          <w:rFonts w:hint="eastAsia" w:ascii="宋体" w:hAnsi="宋体"/>
          <w:szCs w:val="21"/>
        </w:rPr>
        <w:t>0元</w:t>
      </w:r>
    </w:p>
    <w:p w14:paraId="298EDAC4">
      <w:pPr>
        <w:spacing w:line="360" w:lineRule="auto"/>
        <w:rPr>
          <w:rFonts w:hint="eastAsia" w:ascii="黑体" w:hAnsi="黑体" w:eastAsia="黑体"/>
          <w:b/>
          <w:bCs/>
          <w:sz w:val="24"/>
        </w:rPr>
      </w:pPr>
      <w:bookmarkStart w:id="19" w:name="_Toc28359082"/>
      <w:bookmarkStart w:id="20" w:name="_Toc28359005"/>
      <w:bookmarkStart w:id="21" w:name="_Toc35393793"/>
      <w:bookmarkStart w:id="22" w:name="_Toc35393624"/>
      <w:r>
        <w:rPr>
          <w:rFonts w:hint="eastAsia" w:ascii="黑体" w:hAnsi="黑体" w:eastAsia="黑体"/>
          <w:b/>
          <w:bCs/>
          <w:sz w:val="24"/>
        </w:rPr>
        <w:t>四、提交投标文件</w:t>
      </w:r>
      <w:bookmarkEnd w:id="19"/>
      <w:bookmarkEnd w:id="20"/>
      <w:r>
        <w:rPr>
          <w:rFonts w:hint="eastAsia" w:ascii="黑体" w:hAnsi="黑体" w:eastAsia="黑体"/>
          <w:b/>
          <w:bCs/>
          <w:sz w:val="24"/>
        </w:rPr>
        <w:t>截止时间、开标时间和地点</w:t>
      </w:r>
      <w:bookmarkEnd w:id="21"/>
      <w:bookmarkEnd w:id="22"/>
    </w:p>
    <w:p w14:paraId="686B49D9">
      <w:pPr>
        <w:spacing w:line="360" w:lineRule="auto"/>
        <w:ind w:firstLine="420" w:firstLineChars="200"/>
        <w:rPr>
          <w:rFonts w:hint="eastAsia" w:ascii="宋体" w:hAnsi="宋体"/>
          <w:bCs/>
          <w:szCs w:val="21"/>
        </w:rPr>
      </w:pPr>
      <w:bookmarkStart w:id="23" w:name="_Toc35393625"/>
      <w:bookmarkStart w:id="24" w:name="_Toc28359084"/>
      <w:bookmarkStart w:id="25" w:name="_Toc35393794"/>
      <w:bookmarkStart w:id="26" w:name="_Toc28359007"/>
      <w:r>
        <w:rPr>
          <w:rFonts w:hint="eastAsia" w:ascii="宋体" w:hAnsi="宋体"/>
          <w:bCs/>
          <w:szCs w:val="21"/>
        </w:rPr>
        <w:t>1.</w:t>
      </w:r>
      <w:r>
        <w:rPr>
          <w:rFonts w:ascii="宋体" w:hAnsi="宋体"/>
          <w:szCs w:val="21"/>
          <w:u w:val="single"/>
        </w:rPr>
        <w:t>202</w:t>
      </w:r>
      <w:r>
        <w:rPr>
          <w:rFonts w:hint="eastAsia" w:ascii="宋体" w:hAnsi="宋体"/>
          <w:szCs w:val="21"/>
          <w:u w:val="single"/>
        </w:rPr>
        <w:t>6</w:t>
      </w:r>
      <w:r>
        <w:rPr>
          <w:rFonts w:hint="eastAsia" w:ascii="宋体" w:hAnsi="宋体"/>
          <w:bCs/>
          <w:szCs w:val="21"/>
          <w:u w:val="single"/>
        </w:rPr>
        <w:t>年</w:t>
      </w:r>
      <w:r>
        <w:rPr>
          <w:rFonts w:hint="eastAsia" w:ascii="宋体" w:hAnsi="宋体"/>
          <w:bCs/>
          <w:szCs w:val="21"/>
          <w:u w:val="single"/>
          <w:lang w:val="en-US" w:eastAsia="zh-CN"/>
        </w:rPr>
        <w:t>8</w:t>
      </w:r>
      <w:r>
        <w:rPr>
          <w:rFonts w:hint="eastAsia" w:ascii="宋体" w:hAnsi="宋体"/>
          <w:bCs/>
          <w:szCs w:val="21"/>
          <w:u w:val="single"/>
        </w:rPr>
        <w:t>月</w:t>
      </w:r>
      <w:r>
        <w:rPr>
          <w:rFonts w:hint="eastAsia" w:ascii="宋体" w:hAnsi="宋体"/>
          <w:bCs/>
          <w:szCs w:val="21"/>
          <w:u w:val="single"/>
          <w:lang w:val="en-US" w:eastAsia="zh-CN"/>
        </w:rPr>
        <w:t>27</w:t>
      </w:r>
      <w:r>
        <w:rPr>
          <w:rFonts w:hint="eastAsia" w:ascii="宋体" w:hAnsi="宋体"/>
          <w:bCs/>
          <w:szCs w:val="21"/>
          <w:u w:val="single"/>
        </w:rPr>
        <w:t>日</w:t>
      </w:r>
      <w:r>
        <w:rPr>
          <w:rFonts w:hint="eastAsia" w:ascii="宋体" w:hAnsi="宋体"/>
          <w:bCs/>
          <w:szCs w:val="21"/>
        </w:rPr>
        <w:t>9时30分（北京时间）</w:t>
      </w:r>
    </w:p>
    <w:p w14:paraId="76FCEFF5">
      <w:pPr>
        <w:spacing w:line="360" w:lineRule="auto"/>
        <w:ind w:firstLine="420" w:firstLineChars="200"/>
        <w:rPr>
          <w:rFonts w:hint="eastAsia" w:ascii="宋体" w:hAnsi="宋体"/>
          <w:szCs w:val="21"/>
        </w:rPr>
      </w:pPr>
      <w:r>
        <w:rPr>
          <w:rFonts w:hint="eastAsia" w:ascii="宋体" w:hAnsi="宋体"/>
          <w:szCs w:val="21"/>
        </w:rPr>
        <w:t>2.地点：广西政府采购云平台 （https ://www.gcy.zfcg.gxzf.gov.cn/）</w:t>
      </w:r>
    </w:p>
    <w:p w14:paraId="608E79F2">
      <w:pPr>
        <w:spacing w:line="360" w:lineRule="auto"/>
        <w:ind w:firstLine="420" w:firstLineChars="200"/>
        <w:rPr>
          <w:rFonts w:hint="eastAsia" w:ascii="宋体" w:hAnsi="宋体"/>
          <w:szCs w:val="21"/>
        </w:rPr>
      </w:pPr>
      <w:r>
        <w:rPr>
          <w:rFonts w:hint="eastAsia" w:ascii="宋体" w:hAnsi="宋体"/>
          <w:szCs w:val="21"/>
        </w:rPr>
        <w:t>3.投标地点：</w:t>
      </w:r>
      <w:r>
        <w:rPr>
          <w:rFonts w:ascii="宋体" w:hAnsi="宋体"/>
          <w:szCs w:val="21"/>
        </w:rPr>
        <w:t>广西政府采购云平台</w:t>
      </w:r>
      <w:r>
        <w:rPr>
          <w:rFonts w:hint="eastAsia" w:ascii="宋体" w:hAnsi="宋体"/>
          <w:szCs w:val="21"/>
        </w:rPr>
        <w:t>（</w:t>
      </w:r>
      <w:r>
        <w:rPr>
          <w:rFonts w:ascii="宋体" w:hAnsi="宋体"/>
          <w:bCs/>
          <w:szCs w:val="21"/>
        </w:rPr>
        <w:t>https://www.gcy.zfcg.gxzf.gov.cn/</w:t>
      </w:r>
      <w:r>
        <w:rPr>
          <w:rFonts w:hint="eastAsia" w:ascii="宋体" w:hAnsi="宋体"/>
          <w:szCs w:val="21"/>
        </w:rPr>
        <w:t>）</w:t>
      </w:r>
    </w:p>
    <w:p w14:paraId="54E92123">
      <w:pPr>
        <w:spacing w:line="360" w:lineRule="auto"/>
        <w:ind w:firstLine="420" w:firstLineChars="200"/>
        <w:rPr>
          <w:rFonts w:hint="eastAsia" w:ascii="宋体" w:hAnsi="宋体"/>
          <w:szCs w:val="21"/>
        </w:rPr>
      </w:pPr>
      <w:r>
        <w:rPr>
          <w:rFonts w:hint="eastAsia" w:ascii="宋体" w:hAnsi="宋体"/>
          <w:szCs w:val="21"/>
        </w:rPr>
        <w:t>4.开标地点：</w:t>
      </w:r>
      <w:r>
        <w:rPr>
          <w:rFonts w:ascii="宋体" w:hAnsi="宋体"/>
          <w:szCs w:val="21"/>
        </w:rPr>
        <w:t>广西政府采购云平台</w:t>
      </w:r>
      <w:r>
        <w:rPr>
          <w:rFonts w:hint="eastAsia" w:ascii="宋体" w:hAnsi="宋体"/>
          <w:szCs w:val="21"/>
        </w:rPr>
        <w:t>电子开标大厅</w:t>
      </w:r>
    </w:p>
    <w:p w14:paraId="0EA92EF5">
      <w:pPr>
        <w:spacing w:line="360" w:lineRule="auto"/>
        <w:rPr>
          <w:rFonts w:hint="eastAsia" w:ascii="黑体" w:hAnsi="黑体" w:eastAsia="黑体"/>
          <w:b/>
          <w:bCs/>
          <w:sz w:val="24"/>
        </w:rPr>
      </w:pPr>
      <w:r>
        <w:rPr>
          <w:rFonts w:hint="eastAsia" w:ascii="黑体" w:hAnsi="黑体" w:eastAsia="黑体"/>
          <w:b/>
          <w:bCs/>
          <w:sz w:val="24"/>
        </w:rPr>
        <w:t>五、公告期限</w:t>
      </w:r>
      <w:bookmarkEnd w:id="23"/>
      <w:bookmarkEnd w:id="24"/>
      <w:bookmarkEnd w:id="25"/>
      <w:bookmarkEnd w:id="26"/>
    </w:p>
    <w:p w14:paraId="0B7B2E6B">
      <w:pPr>
        <w:spacing w:line="360" w:lineRule="auto"/>
        <w:ind w:firstLine="420" w:firstLineChars="200"/>
        <w:rPr>
          <w:rFonts w:hint="eastAsia" w:ascii="宋体" w:hAnsi="宋体" w:cs="宋体"/>
          <w:kern w:val="0"/>
          <w:szCs w:val="21"/>
        </w:rPr>
      </w:pPr>
      <w:r>
        <w:rPr>
          <w:rFonts w:hint="eastAsia" w:ascii="宋体" w:hAnsi="宋体" w:cs="宋体"/>
          <w:kern w:val="0"/>
          <w:szCs w:val="21"/>
        </w:rPr>
        <w:t>自本公告发布之日起5个工作日。</w:t>
      </w:r>
    </w:p>
    <w:p w14:paraId="0FB0884E">
      <w:pPr>
        <w:spacing w:line="360" w:lineRule="auto"/>
        <w:rPr>
          <w:rFonts w:hint="eastAsia" w:ascii="黑体" w:hAnsi="黑体" w:eastAsia="黑体"/>
          <w:b/>
          <w:bCs/>
          <w:sz w:val="24"/>
        </w:rPr>
      </w:pPr>
      <w:bookmarkStart w:id="27" w:name="_Toc35393795"/>
      <w:bookmarkStart w:id="28" w:name="_Toc35393626"/>
      <w:r>
        <w:rPr>
          <w:rFonts w:hint="eastAsia" w:ascii="黑体" w:hAnsi="黑体" w:eastAsia="黑体"/>
          <w:b/>
          <w:bCs/>
          <w:sz w:val="24"/>
        </w:rPr>
        <w:t>六、其他补充事宜</w:t>
      </w:r>
      <w:bookmarkEnd w:id="27"/>
      <w:bookmarkEnd w:id="28"/>
    </w:p>
    <w:p w14:paraId="0269CC1E">
      <w:pPr>
        <w:spacing w:line="360" w:lineRule="auto"/>
        <w:ind w:firstLine="420" w:firstLineChars="200"/>
        <w:rPr>
          <w:rFonts w:hint="eastAsia" w:ascii="宋体" w:hAnsi="宋体" w:cs="宋体"/>
          <w:kern w:val="0"/>
          <w:szCs w:val="21"/>
        </w:rPr>
      </w:pPr>
      <w:bookmarkStart w:id="29" w:name="_Hlk37429585"/>
      <w:bookmarkStart w:id="30" w:name="_Hlk37429595"/>
      <w:bookmarkStart w:id="31" w:name="_Toc28359085"/>
      <w:bookmarkStart w:id="32" w:name="_Toc35393627"/>
      <w:bookmarkStart w:id="33" w:name="_Toc28359008"/>
      <w:bookmarkStart w:id="34" w:name="_Toc35393796"/>
      <w:r>
        <w:rPr>
          <w:rFonts w:hint="eastAsia" w:ascii="宋体" w:hAnsi="宋体" w:cs="宋体"/>
          <w:kern w:val="0"/>
          <w:szCs w:val="21"/>
        </w:rPr>
        <w:t>1.投标保证金（人民币）：30000.00元。</w:t>
      </w:r>
    </w:p>
    <w:p w14:paraId="2FC83BB8">
      <w:pPr>
        <w:spacing w:line="360" w:lineRule="auto"/>
        <w:ind w:firstLine="420" w:firstLineChars="200"/>
        <w:rPr>
          <w:rFonts w:hint="eastAsia" w:ascii="宋体" w:hAnsi="宋体" w:cs="宋体"/>
          <w:kern w:val="0"/>
          <w:szCs w:val="21"/>
        </w:rPr>
      </w:pPr>
      <w:r>
        <w:rPr>
          <w:rFonts w:hint="eastAsia" w:ascii="宋体" w:hAnsi="宋体" w:cs="宋体"/>
          <w:kern w:val="0"/>
          <w:szCs w:val="21"/>
        </w:rPr>
        <w:t>2.网上查询地址</w:t>
      </w:r>
      <w:bookmarkEnd w:id="29"/>
      <w:bookmarkEnd w:id="30"/>
      <w:bookmarkStart w:id="35" w:name="_Hlk37429674"/>
      <w:r>
        <w:rPr>
          <w:rFonts w:hint="eastAsia" w:ascii="宋体" w:hAnsi="宋体" w:cs="宋体"/>
          <w:kern w:val="0"/>
          <w:szCs w:val="21"/>
        </w:rPr>
        <w:t>中国政府采购网（http://www.ccgp.gov.cn）、广西壮族自治区政府采购网（http://zfcg.gxzf.gov.cn）、广西壮族自治区公共资源交易中心（http://gxggzy.gxzf.gov.cn/）。</w:t>
      </w:r>
    </w:p>
    <w:p w14:paraId="2FA7CAC1">
      <w:pPr>
        <w:spacing w:line="360" w:lineRule="auto"/>
        <w:ind w:firstLine="424" w:firstLineChars="202"/>
        <w:rPr>
          <w:rFonts w:hint="eastAsia" w:ascii="宋体" w:hAnsi="宋体" w:cs="宋体"/>
          <w:kern w:val="0"/>
          <w:szCs w:val="21"/>
        </w:rPr>
      </w:pPr>
      <w:r>
        <w:rPr>
          <w:rFonts w:hint="eastAsia" w:ascii="宋体" w:hAnsi="宋体"/>
          <w:szCs w:val="21"/>
        </w:rPr>
        <w:t>3</w:t>
      </w:r>
      <w:r>
        <w:rPr>
          <w:rFonts w:ascii="宋体" w:hAnsi="宋体"/>
          <w:szCs w:val="21"/>
        </w:rPr>
        <w:t>.</w:t>
      </w:r>
      <w:r>
        <w:rPr>
          <w:rFonts w:hint="eastAsia" w:ascii="宋体" w:hAnsi="宋体" w:cs="宋体"/>
          <w:kern w:val="0"/>
          <w:szCs w:val="21"/>
        </w:rPr>
        <w:t>本项目需要落实的政府采购政策</w:t>
      </w:r>
    </w:p>
    <w:p w14:paraId="531A0E7A">
      <w:pPr>
        <w:spacing w:line="360" w:lineRule="auto"/>
        <w:ind w:firstLine="420" w:firstLineChars="200"/>
        <w:rPr>
          <w:rFonts w:hint="eastAsia" w:ascii="宋体" w:hAnsi="宋体" w:cs="宋体"/>
          <w:kern w:val="0"/>
          <w:szCs w:val="21"/>
        </w:rPr>
      </w:pPr>
      <w:r>
        <w:rPr>
          <w:rFonts w:hint="eastAsia" w:ascii="宋体" w:hAnsi="宋体" w:cs="宋体"/>
          <w:kern w:val="0"/>
          <w:szCs w:val="21"/>
        </w:rPr>
        <w:t>（1）政府采购促进中小企业发展。</w:t>
      </w:r>
    </w:p>
    <w:p w14:paraId="29AA3949">
      <w:pPr>
        <w:spacing w:line="360" w:lineRule="auto"/>
        <w:ind w:firstLine="420" w:firstLineChars="200"/>
        <w:rPr>
          <w:rFonts w:hint="eastAsia" w:ascii="宋体" w:hAnsi="宋体" w:cs="宋体"/>
          <w:kern w:val="0"/>
          <w:szCs w:val="21"/>
        </w:rPr>
      </w:pPr>
      <w:r>
        <w:rPr>
          <w:rFonts w:hint="eastAsia" w:ascii="宋体" w:hAnsi="宋体" w:cs="宋体"/>
          <w:kern w:val="0"/>
          <w:szCs w:val="21"/>
        </w:rPr>
        <w:t>（2）政府采购支持采用本国产品的政策。</w:t>
      </w:r>
    </w:p>
    <w:p w14:paraId="02646CA1">
      <w:pPr>
        <w:spacing w:line="360" w:lineRule="auto"/>
        <w:ind w:firstLine="420" w:firstLineChars="200"/>
        <w:rPr>
          <w:rFonts w:hint="eastAsia" w:ascii="宋体" w:hAnsi="宋体" w:cs="宋体"/>
          <w:kern w:val="0"/>
          <w:szCs w:val="21"/>
        </w:rPr>
      </w:pPr>
      <w:r>
        <w:rPr>
          <w:rFonts w:hint="eastAsia" w:ascii="宋体" w:hAnsi="宋体" w:cs="宋体"/>
          <w:kern w:val="0"/>
          <w:szCs w:val="21"/>
        </w:rPr>
        <w:t>（3）强制采购节能产品；优先采购节能产品、环境标志产品。</w:t>
      </w:r>
    </w:p>
    <w:p w14:paraId="61A81E6C">
      <w:pPr>
        <w:spacing w:line="360" w:lineRule="auto"/>
        <w:ind w:firstLine="420" w:firstLineChars="200"/>
        <w:rPr>
          <w:rFonts w:hint="eastAsia" w:ascii="宋体" w:hAnsi="宋体" w:cs="宋体"/>
          <w:kern w:val="0"/>
          <w:szCs w:val="21"/>
        </w:rPr>
      </w:pPr>
      <w:r>
        <w:rPr>
          <w:rFonts w:hint="eastAsia" w:ascii="宋体" w:hAnsi="宋体" w:cs="宋体"/>
          <w:kern w:val="0"/>
          <w:szCs w:val="21"/>
        </w:rPr>
        <w:t>（4）政府采购促进残疾人就业政策。</w:t>
      </w:r>
    </w:p>
    <w:p w14:paraId="09A40F73">
      <w:pPr>
        <w:spacing w:line="360" w:lineRule="auto"/>
        <w:ind w:firstLine="420" w:firstLineChars="200"/>
        <w:rPr>
          <w:rFonts w:hint="eastAsia" w:ascii="宋体" w:hAnsi="宋体" w:cs="宋体"/>
          <w:kern w:val="0"/>
          <w:szCs w:val="21"/>
        </w:rPr>
      </w:pPr>
      <w:r>
        <w:rPr>
          <w:rFonts w:hint="eastAsia" w:ascii="宋体" w:hAnsi="宋体" w:cs="宋体"/>
          <w:kern w:val="0"/>
          <w:szCs w:val="21"/>
        </w:rPr>
        <w:t>（5）政府采购支持监狱企业发展。</w:t>
      </w:r>
    </w:p>
    <w:bookmarkEnd w:id="35"/>
    <w:p w14:paraId="75F15CB5">
      <w:pPr>
        <w:widowControl/>
        <w:spacing w:line="360" w:lineRule="auto"/>
        <w:ind w:firstLine="420" w:firstLineChars="200"/>
        <w:jc w:val="left"/>
        <w:rPr>
          <w:rFonts w:hint="eastAsia" w:ascii="宋体" w:hAnsi="宋体"/>
          <w:szCs w:val="21"/>
        </w:rPr>
      </w:pPr>
      <w:r>
        <w:rPr>
          <w:rFonts w:hint="eastAsia" w:ascii="宋体" w:hAnsi="宋体" w:cs="宋体"/>
          <w:kern w:val="0"/>
          <w:szCs w:val="21"/>
        </w:rPr>
        <w:t>4.投标人</w:t>
      </w:r>
      <w:r>
        <w:rPr>
          <w:rFonts w:hint="eastAsia" w:ascii="宋体" w:hAnsi="宋体"/>
          <w:szCs w:val="21"/>
        </w:rPr>
        <w:t>投标注意事项</w:t>
      </w:r>
    </w:p>
    <w:p w14:paraId="477E72DB">
      <w:pPr>
        <w:widowControl/>
        <w:wordWrap w:val="0"/>
        <w:spacing w:line="360" w:lineRule="auto"/>
        <w:ind w:firstLine="420" w:firstLineChars="200"/>
        <w:jc w:val="left"/>
        <w:rPr>
          <w:rFonts w:hint="eastAsia" w:ascii="宋体" w:hAnsi="宋体"/>
          <w:szCs w:val="21"/>
        </w:rPr>
      </w:pPr>
      <w:r>
        <w:rPr>
          <w:rFonts w:hint="eastAsia" w:ascii="宋体" w:hAnsi="宋体"/>
          <w:szCs w:val="21"/>
        </w:rPr>
        <w:t>（1）本项目为全流程电子化采购项目，通过广西政府采购云平台（</w:t>
      </w:r>
      <w:r>
        <w:rPr>
          <w:rFonts w:hint="eastAsia" w:ascii="宋体" w:hAnsi="宋体"/>
          <w:bCs/>
          <w:szCs w:val="21"/>
        </w:rPr>
        <w:t>https://www.gcy.zfcg.gxzf.gov.cn/</w:t>
      </w:r>
      <w:r>
        <w:rPr>
          <w:rFonts w:hint="eastAsia" w:ascii="宋体" w:hAnsi="宋体"/>
          <w:szCs w:val="21"/>
        </w:rPr>
        <w:t>）实行在线电子投标，投标人应按照本项目招标文件和广西政府采购云平台的要求编制、加密后在投标截止时间前通过网络上传至广西政府采购云平台（加密的电子投标文件是指</w:t>
      </w:r>
      <w:r>
        <w:rPr>
          <w:rFonts w:hint="eastAsia"/>
        </w:rPr>
        <w:t>后缀名为“jm</w:t>
      </w:r>
      <w:r>
        <w:t>bs</w:t>
      </w:r>
      <w:r>
        <w:rPr>
          <w:rFonts w:hint="eastAsia"/>
        </w:rPr>
        <w:t>”的文件</w:t>
      </w:r>
      <w:r>
        <w:rPr>
          <w:rFonts w:hint="eastAsia" w:ascii="宋体" w:hAnsi="宋体"/>
          <w:szCs w:val="21"/>
        </w:rPr>
        <w:t>），</w:t>
      </w:r>
      <w:r>
        <w:rPr>
          <w:rFonts w:hint="eastAsia" w:ascii="宋体" w:hAnsi="宋体"/>
          <w:b/>
          <w:szCs w:val="21"/>
        </w:rPr>
        <w:t>投标人在</w:t>
      </w:r>
      <w:r>
        <w:rPr>
          <w:rFonts w:hint="eastAsia" w:ascii="宋体" w:hAnsi="宋体"/>
          <w:szCs w:val="21"/>
        </w:rPr>
        <w:t>广西政府采购云平台</w:t>
      </w:r>
      <w:r>
        <w:rPr>
          <w:rFonts w:hint="eastAsia" w:ascii="宋体" w:hAnsi="宋体"/>
          <w:b/>
          <w:szCs w:val="21"/>
        </w:rPr>
        <w:t>提交电子投标文件时，请填写参加远程开标活动经办人联系方式。</w:t>
      </w:r>
      <w:r>
        <w:rPr>
          <w:rFonts w:hint="eastAsia" w:ascii="宋体" w:hAnsi="宋体"/>
          <w:szCs w:val="21"/>
        </w:rPr>
        <w:t>投标人登录广西政府采购云平台，依次进入“服务中心-项目采购-操作流程-电子招投标-</w:t>
      </w:r>
      <w:r>
        <w:t>政府采购项目电子交易管理操作指南-供应商</w:t>
      </w:r>
      <w:r>
        <w:rPr>
          <w:rFonts w:hint="eastAsia" w:ascii="宋体" w:hAnsi="宋体"/>
          <w:szCs w:val="21"/>
        </w:rPr>
        <w:t>”查看电子投标具体操作流程。</w:t>
      </w:r>
    </w:p>
    <w:p w14:paraId="59091300">
      <w:pPr>
        <w:widowControl/>
        <w:spacing w:line="360" w:lineRule="auto"/>
        <w:ind w:firstLine="420" w:firstLineChars="200"/>
        <w:jc w:val="left"/>
        <w:rPr>
          <w:rFonts w:hint="eastAsia" w:ascii="宋体" w:hAnsi="宋体"/>
          <w:szCs w:val="21"/>
        </w:rPr>
      </w:pPr>
      <w:r>
        <w:rPr>
          <w:rFonts w:hint="eastAsia" w:ascii="宋体" w:hAnsi="宋体"/>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kern w:val="0"/>
          <w:szCs w:val="21"/>
        </w:rPr>
        <w:t>，</w:t>
      </w:r>
      <w:r>
        <w:rPr>
          <w:rFonts w:hint="eastAsia" w:ascii="宋体" w:hAnsi="宋体"/>
          <w:szCs w:val="21"/>
        </w:rPr>
        <w:t>依次进入“服务中心-入驻与配置”中查看CA数字证书办理操作流程。</w:t>
      </w:r>
      <w:r>
        <w:rPr>
          <w:rFonts w:hint="eastAsia" w:ascii="宋体" w:hAnsi="宋体" w:cs="宋体"/>
          <w:bCs/>
          <w:kern w:val="0"/>
          <w:szCs w:val="21"/>
        </w:rPr>
        <w:t>如在操作过程中遇到问题或者需要技术支持，请致电客服热线：95763或者0771-3381253</w:t>
      </w:r>
      <w:r>
        <w:rPr>
          <w:rFonts w:hint="eastAsia" w:ascii="宋体" w:hAnsi="宋体"/>
          <w:szCs w:val="21"/>
        </w:rPr>
        <w:t>）。</w:t>
      </w:r>
    </w:p>
    <w:p w14:paraId="4C2ABFDD">
      <w:pPr>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（3）CA证书在线解密：投标人投标时，需凭制作投标文件时用来加密的有效数字证书（CA认证）登录</w:t>
      </w:r>
      <w:r>
        <w:rPr>
          <w:rFonts w:hint="eastAsia" w:ascii="宋体" w:hAnsi="宋体"/>
          <w:szCs w:val="21"/>
        </w:rPr>
        <w:t>广西政府采购云平台</w:t>
      </w:r>
      <w:r>
        <w:rPr>
          <w:rFonts w:hint="eastAsia" w:ascii="宋体" w:hAnsi="宋体" w:cs="宋体"/>
          <w:kern w:val="0"/>
          <w:szCs w:val="21"/>
        </w:rPr>
        <w:t>电子开标大厅现场按规定时间对加密的投标文件进行解密，否则后果自负。</w:t>
      </w:r>
    </w:p>
    <w:p w14:paraId="1F0F6B76">
      <w:pPr>
        <w:spacing w:line="360" w:lineRule="auto"/>
        <w:ind w:firstLine="424" w:firstLineChars="202"/>
        <w:rPr>
          <w:rFonts w:hint="eastAsia" w:ascii="宋体" w:hAnsi="宋体" w:cs="宋体"/>
          <w:kern w:val="0"/>
          <w:szCs w:val="21"/>
        </w:rPr>
      </w:pPr>
      <w:r>
        <w:rPr>
          <w:rFonts w:hint="eastAsia" w:ascii="宋体" w:hAnsi="宋体"/>
          <w:szCs w:val="21"/>
        </w:rPr>
        <w:t>注：1）为确保网上操作合法、有效和安全，请投标人确保在电子投标过程中能够对相关数据电文进行加密和使用电子签章，妥善保管C</w:t>
      </w:r>
      <w:r>
        <w:rPr>
          <w:rFonts w:ascii="宋体" w:hAnsi="宋体"/>
          <w:szCs w:val="21"/>
        </w:rPr>
        <w:t>A</w:t>
      </w:r>
      <w:r>
        <w:rPr>
          <w:rFonts w:hint="eastAsia" w:ascii="宋体" w:hAnsi="宋体"/>
          <w:szCs w:val="21"/>
        </w:rPr>
        <w:t>数字证书并使用有效的CA数字证书参与整个招标活动。2）</w:t>
      </w:r>
      <w:r>
        <w:rPr>
          <w:rFonts w:hint="eastAsia" w:ascii="宋体" w:hAnsi="宋体"/>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szCs w:val="21"/>
        </w:rPr>
        <w:t>广西政府采购云平台</w:t>
      </w:r>
      <w:r>
        <w:rPr>
          <w:rFonts w:hint="eastAsia" w:ascii="宋体" w:hAnsi="宋体"/>
          <w:bCs/>
          <w:szCs w:val="21"/>
        </w:rPr>
        <w:t>将予以拒收。</w:t>
      </w:r>
    </w:p>
    <w:p w14:paraId="2D9A501B">
      <w:pPr>
        <w:spacing w:line="360" w:lineRule="auto"/>
        <w:rPr>
          <w:rFonts w:hint="eastAsia" w:ascii="黑体" w:hAnsi="黑体" w:eastAsia="黑体"/>
          <w:b/>
          <w:bCs/>
          <w:sz w:val="24"/>
        </w:rPr>
      </w:pPr>
      <w:r>
        <w:rPr>
          <w:rFonts w:hint="eastAsia" w:ascii="黑体" w:hAnsi="黑体" w:eastAsia="黑体"/>
          <w:b/>
          <w:bCs/>
          <w:sz w:val="24"/>
        </w:rPr>
        <w:t>七、对本次招标提出询问，请按</w:t>
      </w:r>
      <w:r>
        <w:rPr>
          <w:rFonts w:ascii="黑体" w:hAnsi="黑体" w:eastAsia="黑体"/>
          <w:b/>
          <w:bCs/>
          <w:sz w:val="24"/>
        </w:rPr>
        <w:t>以下方式</w:t>
      </w:r>
      <w:r>
        <w:rPr>
          <w:rFonts w:hint="eastAsia" w:ascii="黑体" w:hAnsi="黑体" w:eastAsia="黑体"/>
          <w:b/>
          <w:bCs/>
          <w:sz w:val="24"/>
        </w:rPr>
        <w:t>联系。</w:t>
      </w:r>
      <w:bookmarkEnd w:id="31"/>
      <w:bookmarkEnd w:id="32"/>
      <w:bookmarkEnd w:id="33"/>
      <w:bookmarkEnd w:id="34"/>
    </w:p>
    <w:p w14:paraId="13FFE52B">
      <w:pPr>
        <w:spacing w:line="400" w:lineRule="exact"/>
        <w:ind w:firstLine="420" w:firstLineChars="200"/>
        <w:jc w:val="left"/>
        <w:rPr>
          <w:rFonts w:hint="eastAsia" w:ascii="宋体" w:hAnsi="宋体" w:cs="宋体"/>
          <w:kern w:val="0"/>
          <w:szCs w:val="21"/>
        </w:rPr>
      </w:pPr>
      <w:r>
        <w:rPr>
          <w:rFonts w:hint="eastAsia" w:ascii="宋体" w:hAnsi="宋体" w:cs="宋体"/>
        </w:rPr>
        <w:t>1.采购人信息</w:t>
      </w:r>
    </w:p>
    <w:p w14:paraId="5B074F6D">
      <w:pPr>
        <w:spacing w:line="400" w:lineRule="exact"/>
        <w:ind w:firstLine="420" w:firstLineChars="200"/>
        <w:jc w:val="left"/>
        <w:rPr>
          <w:rFonts w:hint="eastAsia" w:ascii="宋体" w:hAnsi="宋体"/>
        </w:rPr>
      </w:pPr>
      <w:r>
        <w:rPr>
          <w:rFonts w:hint="eastAsia" w:ascii="宋体" w:hAnsi="宋体"/>
        </w:rPr>
        <w:t>名 称：广西壮族自治区医疗保障局　</w:t>
      </w:r>
    </w:p>
    <w:p w14:paraId="427EFA44">
      <w:pPr>
        <w:spacing w:line="400" w:lineRule="exact"/>
        <w:ind w:firstLine="420" w:firstLineChars="200"/>
        <w:jc w:val="left"/>
        <w:rPr>
          <w:rFonts w:hint="eastAsia" w:ascii="宋体" w:hAnsi="宋体"/>
          <w:u w:val="single"/>
        </w:rPr>
      </w:pPr>
      <w:r>
        <w:rPr>
          <w:rFonts w:hint="eastAsia" w:ascii="宋体" w:hAnsi="宋体"/>
        </w:rPr>
        <w:t>地址：南宁市青秀区星湖路26号</w:t>
      </w:r>
    </w:p>
    <w:p w14:paraId="1C53CB3C">
      <w:pPr>
        <w:spacing w:line="400" w:lineRule="exact"/>
        <w:ind w:firstLine="420" w:firstLineChars="200"/>
        <w:jc w:val="left"/>
        <w:rPr>
          <w:rFonts w:hint="eastAsia" w:ascii="宋体" w:hAnsi="宋体"/>
        </w:rPr>
      </w:pPr>
      <w:r>
        <w:rPr>
          <w:rFonts w:hint="eastAsia" w:ascii="宋体" w:hAnsi="宋体"/>
        </w:rPr>
        <w:t>项目联系人：</w:t>
      </w:r>
      <w:r>
        <w:rPr>
          <w:rFonts w:hint="eastAsia" w:ascii="宋体" w:hAnsi="宋体" w:cs="Arial"/>
          <w:color w:val="000000"/>
          <w:kern w:val="0"/>
          <w:szCs w:val="21"/>
          <w:lang w:eastAsia="zh-CN"/>
        </w:rPr>
        <w:t>李杰</w:t>
      </w:r>
    </w:p>
    <w:p w14:paraId="55A8900B">
      <w:pPr>
        <w:spacing w:line="400" w:lineRule="exact"/>
        <w:ind w:firstLine="420" w:firstLineChars="200"/>
        <w:jc w:val="left"/>
        <w:rPr>
          <w:rFonts w:hint="eastAsia" w:ascii="宋体" w:hAnsi="宋体"/>
          <w:u w:val="single"/>
        </w:rPr>
      </w:pPr>
      <w:r>
        <w:rPr>
          <w:rFonts w:hint="eastAsia" w:ascii="宋体" w:hAnsi="宋体" w:cs="宋体"/>
        </w:rPr>
        <w:t>联系</w:t>
      </w:r>
      <w:r>
        <w:rPr>
          <w:rFonts w:hint="eastAsia" w:ascii="宋体" w:hAnsi="宋体"/>
        </w:rPr>
        <w:t>方式：</w:t>
      </w:r>
      <w:bookmarkStart w:id="36" w:name="_Toc28359086"/>
      <w:bookmarkStart w:id="37" w:name="_Toc28359009"/>
      <w:r>
        <w:rPr>
          <w:rFonts w:hint="eastAsia" w:ascii="宋体" w:hAnsi="宋体" w:cs="宋体"/>
          <w:kern w:val="0"/>
          <w:szCs w:val="21"/>
        </w:rPr>
        <w:t>0771-5893831</w:t>
      </w:r>
      <w:r>
        <w:rPr>
          <w:rFonts w:hint="eastAsia"/>
        </w:rPr>
        <w:t xml:space="preserve">  </w:t>
      </w:r>
    </w:p>
    <w:bookmarkEnd w:id="36"/>
    <w:bookmarkEnd w:id="37"/>
    <w:p w14:paraId="3EAAC845">
      <w:pPr>
        <w:snapToGrid w:val="0"/>
        <w:spacing w:line="400" w:lineRule="exact"/>
        <w:ind w:firstLine="420" w:firstLineChars="200"/>
        <w:rPr>
          <w:rFonts w:hint="eastAsia" w:ascii="宋体" w:hAnsi="宋体" w:cs="宋体"/>
        </w:rPr>
      </w:pPr>
      <w:r>
        <w:rPr>
          <w:rFonts w:hint="eastAsia" w:ascii="宋体" w:hAnsi="宋体" w:cs="宋体"/>
        </w:rPr>
        <w:t>2.采购代理机构信息</w:t>
      </w:r>
    </w:p>
    <w:p w14:paraId="38D1C37A">
      <w:pPr>
        <w:snapToGrid w:val="0"/>
        <w:spacing w:line="400" w:lineRule="exact"/>
        <w:ind w:firstLine="420" w:firstLineChars="200"/>
        <w:rPr>
          <w:rFonts w:hint="eastAsia" w:ascii="宋体" w:hAnsi="宋体" w:cs="宋体"/>
        </w:rPr>
      </w:pPr>
      <w:r>
        <w:rPr>
          <w:rFonts w:hint="eastAsia" w:ascii="宋体" w:hAnsi="宋体" w:cs="宋体"/>
        </w:rPr>
        <w:t>名 称：广西同泽工程项目管理股份有限公司　　</w:t>
      </w:r>
    </w:p>
    <w:p w14:paraId="6244F2F0">
      <w:pPr>
        <w:snapToGrid w:val="0"/>
        <w:spacing w:line="400" w:lineRule="exact"/>
        <w:ind w:firstLine="420" w:firstLineChars="200"/>
        <w:rPr>
          <w:rFonts w:hint="eastAsia" w:ascii="宋体" w:hAnsi="宋体" w:cs="宋体"/>
        </w:rPr>
      </w:pPr>
      <w:r>
        <w:rPr>
          <w:rFonts w:hint="eastAsia" w:ascii="宋体" w:hAnsi="宋体" w:cs="宋体"/>
        </w:rPr>
        <w:t>地　址：</w:t>
      </w:r>
      <w:r>
        <w:rPr>
          <w:rFonts w:hint="eastAsia" w:ascii="宋体" w:hAnsi="宋体" w:cs="宋体"/>
          <w:szCs w:val="21"/>
        </w:rPr>
        <w:t>广西南宁市良庆区凯旋路16号广西裕达集团南宁五象总部基地广东大厦十八楼</w:t>
      </w:r>
      <w:r>
        <w:rPr>
          <w:rFonts w:hint="eastAsia" w:ascii="宋体" w:hAnsi="宋体" w:cs="宋体"/>
        </w:rPr>
        <w:t>　　</w:t>
      </w:r>
    </w:p>
    <w:p w14:paraId="0A28D64E">
      <w:pPr>
        <w:snapToGrid w:val="0"/>
        <w:spacing w:line="400" w:lineRule="exact"/>
        <w:ind w:firstLine="420" w:firstLineChars="200"/>
        <w:rPr>
          <w:rFonts w:hint="eastAsia" w:ascii="宋体" w:hAnsi="宋体" w:cs="宋体"/>
        </w:rPr>
      </w:pPr>
      <w:r>
        <w:rPr>
          <w:rFonts w:hint="eastAsia" w:ascii="宋体" w:hAnsi="宋体" w:cs="宋体"/>
        </w:rPr>
        <w:t>联系方式：</w:t>
      </w:r>
      <w:r>
        <w:rPr>
          <w:rFonts w:hint="eastAsia" w:ascii="宋体" w:hAnsi="宋体" w:cs="宋体"/>
          <w:kern w:val="0"/>
          <w:szCs w:val="21"/>
        </w:rPr>
        <w:t>0771-</w:t>
      </w:r>
      <w:r>
        <w:rPr>
          <w:rFonts w:hint="eastAsia" w:ascii="宋体" w:hAnsi="宋体" w:cs="宋体"/>
          <w:szCs w:val="21"/>
        </w:rPr>
        <w:t>5590176</w:t>
      </w:r>
    </w:p>
    <w:p w14:paraId="5BB21E24">
      <w:pPr>
        <w:snapToGrid w:val="0"/>
        <w:spacing w:line="400" w:lineRule="exact"/>
        <w:ind w:firstLine="420" w:firstLineChars="200"/>
        <w:rPr>
          <w:rFonts w:hint="eastAsia" w:ascii="宋体" w:hAnsi="宋体" w:cs="宋体"/>
        </w:rPr>
      </w:pPr>
      <w:r>
        <w:rPr>
          <w:rFonts w:hint="eastAsia" w:ascii="宋体" w:hAnsi="宋体" w:cs="宋体"/>
        </w:rPr>
        <w:t>3.项目联系方式</w:t>
      </w:r>
    </w:p>
    <w:p w14:paraId="5B3B2092">
      <w:pPr>
        <w:snapToGrid w:val="0"/>
        <w:spacing w:line="400" w:lineRule="exact"/>
        <w:ind w:firstLine="420" w:firstLineChars="200"/>
        <w:rPr>
          <w:rFonts w:hint="eastAsia" w:ascii="宋体" w:hAnsi="宋体" w:cs="宋体"/>
        </w:rPr>
      </w:pPr>
      <w:r>
        <w:rPr>
          <w:rFonts w:hint="eastAsia" w:ascii="宋体" w:hAnsi="宋体" w:cs="宋体"/>
        </w:rPr>
        <w:t>项目联系人：陆珍花、奉云、谭晓妮、农英民</w:t>
      </w:r>
    </w:p>
    <w:p w14:paraId="065D648C">
      <w:pPr>
        <w:snapToGrid w:val="0"/>
        <w:spacing w:line="400" w:lineRule="exact"/>
        <w:ind w:firstLine="420" w:firstLineChars="200"/>
        <w:rPr>
          <w:rFonts w:hint="eastAsia" w:ascii="宋体" w:hAnsi="宋体" w:cs="宋体"/>
        </w:rPr>
      </w:pPr>
      <w:r>
        <w:rPr>
          <w:rFonts w:hint="eastAsia" w:ascii="宋体" w:hAnsi="宋体" w:cs="宋体"/>
        </w:rPr>
        <w:t>联系</w:t>
      </w:r>
      <w:r>
        <w:rPr>
          <w:rFonts w:hint="eastAsia" w:ascii="宋体" w:hAnsi="宋体"/>
        </w:rPr>
        <w:t>方式：</w:t>
      </w:r>
      <w:r>
        <w:rPr>
          <w:rFonts w:hint="eastAsia" w:ascii="宋体" w:hAnsi="宋体" w:cs="宋体"/>
          <w:kern w:val="0"/>
          <w:szCs w:val="21"/>
        </w:rPr>
        <w:t>0771-</w:t>
      </w:r>
      <w:r>
        <w:rPr>
          <w:rFonts w:hint="eastAsia" w:ascii="宋体" w:hAnsi="宋体" w:cs="宋体"/>
          <w:szCs w:val="21"/>
        </w:rPr>
        <w:t>5590176</w:t>
      </w:r>
    </w:p>
    <w:p w14:paraId="47E70ABA">
      <w:pPr>
        <w:spacing w:line="360" w:lineRule="auto"/>
        <w:rPr>
          <w:rFonts w:hint="eastAsia" w:ascii="宋体" w:hAnsi="宋体"/>
          <w:szCs w:val="21"/>
        </w:rPr>
      </w:pPr>
    </w:p>
    <w:p w14:paraId="0593606F">
      <w:pPr>
        <w:pStyle w:val="4"/>
        <w:keepNext w:val="0"/>
        <w:keepLines w:val="0"/>
        <w:tabs>
          <w:tab w:val="left" w:pos="0"/>
          <w:tab w:val="left" w:pos="3165"/>
          <w:tab w:val="center" w:pos="4153"/>
        </w:tabs>
        <w:autoSpaceDE w:val="0"/>
        <w:autoSpaceDN w:val="0"/>
        <w:adjustRightInd w:val="0"/>
        <w:spacing w:before="0" w:after="0" w:line="360" w:lineRule="auto"/>
        <w:jc w:val="center"/>
      </w:pPr>
      <w:r>
        <w:rPr>
          <w:rFonts w:ascii="仿宋_GB2312" w:hAnsi="宋体" w:eastAsia="仿宋_GB2312"/>
          <w:sz w:val="24"/>
          <w:szCs w:val="20"/>
        </w:rPr>
        <w:br w:type="page"/>
      </w:r>
      <w:bookmarkStart w:id="38" w:name="_Toc187937694"/>
      <w:r>
        <w:rPr>
          <w:rFonts w:hint="eastAsia"/>
        </w:rPr>
        <w:t>第二章  采购需求</w:t>
      </w:r>
      <w:bookmarkEnd w:id="38"/>
    </w:p>
    <w:p w14:paraId="01E73428">
      <w:pPr>
        <w:spacing w:line="360" w:lineRule="auto"/>
        <w:jc w:val="left"/>
        <w:rPr>
          <w:rFonts w:hint="eastAsia" w:ascii="宋体" w:hAnsi="宋体" w:cs="宋体"/>
          <w:szCs w:val="21"/>
        </w:rPr>
      </w:pPr>
      <w:bookmarkStart w:id="39" w:name="_Toc254970490"/>
      <w:bookmarkStart w:id="40" w:name="_Toc254970631"/>
    </w:p>
    <w:p w14:paraId="1DC88DFE">
      <w:pPr>
        <w:spacing w:line="380" w:lineRule="exact"/>
        <w:jc w:val="left"/>
        <w:rPr>
          <w:rFonts w:hint="eastAsia" w:ascii="宋体" w:hAnsi="宋体" w:cs="宋体"/>
          <w:szCs w:val="21"/>
        </w:rPr>
      </w:pPr>
      <w:r>
        <w:rPr>
          <w:rFonts w:hint="eastAsia" w:ascii="宋体" w:hAnsi="宋体" w:cs="宋体"/>
          <w:szCs w:val="21"/>
        </w:rPr>
        <w:t>说明：</w:t>
      </w:r>
    </w:p>
    <w:p w14:paraId="31FC0A3D">
      <w:pPr>
        <w:spacing w:line="380" w:lineRule="exact"/>
        <w:ind w:firstLine="420" w:firstLineChars="200"/>
        <w:jc w:val="left"/>
        <w:rPr>
          <w:rFonts w:hint="eastAsia" w:ascii="宋体" w:hAnsi="宋体" w:cs="宋体"/>
          <w:szCs w:val="21"/>
        </w:rPr>
      </w:pPr>
      <w:r>
        <w:rPr>
          <w:rFonts w:hint="eastAsia"/>
        </w:rPr>
        <w:t>1</w:t>
      </w:r>
      <w:r>
        <w:rPr>
          <w:rFonts w:hint="eastAsia" w:ascii="宋体" w:hAnsi="宋体" w:cs="宋体"/>
          <w:szCs w:val="21"/>
        </w:rPr>
        <w:t>.</w:t>
      </w:r>
      <w:r>
        <w:rPr>
          <w:rFonts w:hint="eastAsia"/>
        </w:rPr>
        <w:t xml:space="preserve"> 为落实政府采购政策需满足的要求，</w:t>
      </w:r>
      <w:r>
        <w:rPr>
          <w:rFonts w:hint="eastAsia" w:ascii="宋体" w:hAnsi="宋体" w:cs="宋体"/>
          <w:szCs w:val="21"/>
        </w:rPr>
        <w:t>本招标文件所称中小企业必须符合《政府采购促进中小企业发展管理办法》（财库〔2020〕46号）的规定。</w:t>
      </w:r>
    </w:p>
    <w:p w14:paraId="2D21A326">
      <w:pPr>
        <w:spacing w:line="380" w:lineRule="exact"/>
        <w:ind w:firstLine="424" w:firstLineChars="202"/>
        <w:jc w:val="left"/>
        <w:rPr>
          <w:rFonts w:hint="eastAsia" w:ascii="宋体" w:hAnsi="宋体" w:cs="宋体"/>
          <w:szCs w:val="21"/>
        </w:rPr>
      </w:pPr>
      <w:r>
        <w:rPr>
          <w:rFonts w:hint="eastAsia" w:ascii="宋体" w:hAnsi="宋体" w:cs="宋体"/>
          <w:szCs w:val="21"/>
        </w:rPr>
        <w:t>2.“实质性要求”是指招标文件中已经指明不满足则投标无效的条款，或者不能负偏离的条款，或者采购需求中带“▲”的条款。</w:t>
      </w:r>
    </w:p>
    <w:p w14:paraId="7E7CAC3D">
      <w:pPr>
        <w:spacing w:line="380" w:lineRule="exact"/>
        <w:ind w:firstLine="424" w:firstLineChars="202"/>
        <w:jc w:val="left"/>
        <w:rPr>
          <w:rFonts w:hint="eastAsia" w:ascii="宋体" w:hAnsi="宋体" w:cs="宋体"/>
          <w:szCs w:val="21"/>
        </w:rPr>
      </w:pPr>
      <w:r>
        <w:rPr>
          <w:rFonts w:hint="eastAsia" w:ascii="宋体" w:hAnsi="宋体" w:cs="宋体"/>
          <w:szCs w:val="21"/>
        </w:rPr>
        <w:t>3.采购需求中出现的品牌、型号或者生产厂家仅起参考作用，不属于指定品牌、型号或者生产厂家的情形。投标人可参照或者选用其他相当的品牌、型号或者生产厂家替代。</w:t>
      </w:r>
    </w:p>
    <w:p w14:paraId="0FE88C49">
      <w:pPr>
        <w:spacing w:line="380" w:lineRule="exact"/>
        <w:ind w:firstLine="424" w:firstLineChars="202"/>
        <w:jc w:val="left"/>
        <w:rPr>
          <w:rStyle w:val="43"/>
        </w:rPr>
      </w:pPr>
      <w:r>
        <w:rPr>
          <w:rFonts w:hint="eastAsia" w:ascii="宋体" w:hAnsi="宋体" w:cs="宋体"/>
          <w:szCs w:val="21"/>
        </w:rPr>
        <w:t>4. 投标人应根据自身实际情况如实响应招标文件</w:t>
      </w:r>
      <w:r>
        <w:rPr>
          <w:rFonts w:hint="eastAsia" w:ascii="宋体" w:hAnsi="宋体"/>
          <w:szCs w:val="21"/>
        </w:rPr>
        <w:t>，</w:t>
      </w:r>
      <w:r>
        <w:rPr>
          <w:rFonts w:hint="eastAsia" w:ascii="宋体" w:hAnsi="宋体"/>
          <w:sz w:val="22"/>
          <w:szCs w:val="22"/>
        </w:rPr>
        <w:t>对招标文件提出的要求和条件作出明确响应，</w:t>
      </w:r>
      <w:r>
        <w:rPr>
          <w:rFonts w:hint="eastAsia" w:ascii="宋体" w:hAnsi="宋体"/>
          <w:b/>
          <w:bCs/>
          <w:szCs w:val="21"/>
        </w:rPr>
        <w:t>否则将作无效响应处理</w:t>
      </w:r>
      <w:r>
        <w:rPr>
          <w:rFonts w:hint="eastAsia" w:ascii="宋体" w:hAnsi="宋体"/>
          <w:szCs w:val="21"/>
        </w:rPr>
        <w:t>。</w:t>
      </w:r>
      <w:r>
        <w:rPr>
          <w:rFonts w:hint="eastAsia"/>
        </w:rPr>
        <w:t>对于重要技术条款或技术参数应当在投标文件中提供技术支持资料，技术支持资料以招标文件中规定的形式为准，</w:t>
      </w:r>
      <w:r>
        <w:rPr>
          <w:rFonts w:hint="eastAsia"/>
          <w:b/>
          <w:bCs/>
        </w:rPr>
        <w:t>否则将视为无效技术支持资料</w:t>
      </w:r>
      <w:r>
        <w:rPr>
          <w:rFonts w:hint="eastAsia"/>
        </w:rPr>
        <w:t>。</w:t>
      </w:r>
    </w:p>
    <w:p w14:paraId="675A8430">
      <w:pPr>
        <w:spacing w:line="380" w:lineRule="exact"/>
        <w:ind w:firstLine="308" w:firstLineChars="147"/>
        <w:jc w:val="left"/>
      </w:pPr>
      <w:r>
        <w:rPr>
          <w:rFonts w:hint="eastAsia" w:ascii="宋体" w:hAnsi="宋体" w:cs="宋体"/>
          <w:szCs w:val="21"/>
        </w:rPr>
        <w:t>5</w:t>
      </w:r>
      <w:r>
        <w:rPr>
          <w:rFonts w:ascii="宋体" w:hAnsi="宋体" w:cs="宋体"/>
          <w:szCs w:val="21"/>
        </w:rPr>
        <w:t>.</w:t>
      </w:r>
      <w:r>
        <w:rPr>
          <w:rFonts w:hint="eastAsia"/>
        </w:rPr>
        <w:t>投标人</w:t>
      </w:r>
      <w:r>
        <w:t>必须自行为其</w:t>
      </w:r>
      <w:r>
        <w:rPr>
          <w:rFonts w:hint="eastAsia"/>
        </w:rPr>
        <w:t>投标</w:t>
      </w:r>
      <w:r>
        <w:t>产品侵犯</w:t>
      </w:r>
      <w:r>
        <w:rPr>
          <w:rFonts w:hint="eastAsia"/>
        </w:rPr>
        <w:t>他人的知识产权或者专利成果的行为</w:t>
      </w:r>
      <w:r>
        <w:t>承担相应法律责任</w:t>
      </w:r>
      <w:r>
        <w:rPr>
          <w:rFonts w:hint="eastAsia"/>
        </w:rPr>
        <w:t>。</w:t>
      </w:r>
    </w:p>
    <w:p w14:paraId="168E2412">
      <w:pPr>
        <w:spacing w:line="380" w:lineRule="exact"/>
        <w:ind w:firstLine="310" w:firstLineChars="147"/>
        <w:jc w:val="left"/>
        <w:rPr>
          <w:b/>
          <w:bCs/>
        </w:rPr>
      </w:pPr>
      <w:r>
        <w:rPr>
          <w:rFonts w:hint="eastAsia"/>
          <w:b/>
          <w:bCs/>
        </w:rPr>
        <w:t>6.所属行业：软件和信息技术服务业</w:t>
      </w:r>
    </w:p>
    <w:p w14:paraId="660A78F7">
      <w:pPr>
        <w:spacing w:line="360" w:lineRule="auto"/>
        <w:ind w:firstLine="211" w:firstLineChars="100"/>
        <w:jc w:val="left"/>
        <w:rPr>
          <w:rFonts w:hint="eastAsia" w:ascii="宋体" w:hAnsi="宋体" w:cs="Arial"/>
          <w:bCs/>
          <w:szCs w:val="21"/>
          <w:u w:val="single"/>
        </w:rPr>
      </w:pPr>
      <w:r>
        <w:rPr>
          <w:rFonts w:hint="eastAsia" w:ascii="宋体" w:hAnsi="宋体"/>
          <w:b/>
          <w:szCs w:val="21"/>
        </w:rPr>
        <w:t xml:space="preserve"> </w:t>
      </w:r>
    </w:p>
    <w:tbl>
      <w:tblPr>
        <w:tblStyle w:val="36"/>
        <w:tblW w:w="9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1099"/>
        <w:gridCol w:w="556"/>
        <w:gridCol w:w="708"/>
        <w:gridCol w:w="709"/>
        <w:gridCol w:w="6206"/>
      </w:tblGrid>
      <w:tr w14:paraId="7EED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vAlign w:val="center"/>
          </w:tcPr>
          <w:p w14:paraId="3ACF7EF0">
            <w:pPr>
              <w:spacing w:line="400" w:lineRule="exact"/>
              <w:jc w:val="center"/>
              <w:rPr>
                <w:rFonts w:hint="eastAsia" w:ascii="宋体" w:hAnsi="宋体"/>
                <w:b/>
                <w:szCs w:val="21"/>
              </w:rPr>
            </w:pPr>
            <w:r>
              <w:rPr>
                <w:rFonts w:hint="eastAsia" w:ascii="宋体" w:hAnsi="宋体"/>
                <w:b/>
                <w:szCs w:val="21"/>
              </w:rPr>
              <w:t>项号</w:t>
            </w:r>
          </w:p>
        </w:tc>
        <w:tc>
          <w:tcPr>
            <w:tcW w:w="1655" w:type="dxa"/>
            <w:gridSpan w:val="2"/>
            <w:tcBorders>
              <w:top w:val="single" w:color="auto" w:sz="4" w:space="0"/>
              <w:left w:val="single" w:color="auto" w:sz="4" w:space="0"/>
              <w:bottom w:val="single" w:color="auto" w:sz="4" w:space="0"/>
              <w:right w:val="single" w:color="auto" w:sz="4" w:space="0"/>
            </w:tcBorders>
            <w:vAlign w:val="center"/>
          </w:tcPr>
          <w:p w14:paraId="4545838C">
            <w:pPr>
              <w:spacing w:line="400" w:lineRule="exact"/>
              <w:jc w:val="center"/>
              <w:rPr>
                <w:rFonts w:hint="eastAsia" w:ascii="宋体" w:hAnsi="宋体"/>
                <w:b/>
                <w:szCs w:val="21"/>
              </w:rPr>
            </w:pPr>
            <w:r>
              <w:rPr>
                <w:rFonts w:hint="eastAsia" w:ascii="宋体" w:hAnsi="宋体"/>
                <w:b/>
                <w:szCs w:val="21"/>
              </w:rPr>
              <w:t>服务名称</w:t>
            </w:r>
          </w:p>
        </w:tc>
        <w:tc>
          <w:tcPr>
            <w:tcW w:w="708" w:type="dxa"/>
            <w:tcBorders>
              <w:top w:val="single" w:color="auto" w:sz="4" w:space="0"/>
              <w:left w:val="single" w:color="auto" w:sz="4" w:space="0"/>
              <w:bottom w:val="single" w:color="auto" w:sz="4" w:space="0"/>
              <w:right w:val="single" w:color="auto" w:sz="4" w:space="0"/>
            </w:tcBorders>
            <w:vAlign w:val="center"/>
          </w:tcPr>
          <w:p w14:paraId="16D45AD8">
            <w:pPr>
              <w:spacing w:line="400" w:lineRule="exact"/>
              <w:jc w:val="center"/>
              <w:rPr>
                <w:rFonts w:hint="eastAsia" w:ascii="宋体" w:hAnsi="宋体"/>
                <w:b/>
                <w:szCs w:val="21"/>
              </w:rPr>
            </w:pPr>
            <w:r>
              <w:rPr>
                <w:rFonts w:ascii="宋体" w:hAnsi="宋体"/>
                <w:b/>
                <w:szCs w:val="21"/>
              </w:rPr>
              <w:t>数量</w:t>
            </w:r>
          </w:p>
        </w:tc>
        <w:tc>
          <w:tcPr>
            <w:tcW w:w="709" w:type="dxa"/>
            <w:tcBorders>
              <w:top w:val="single" w:color="auto" w:sz="4" w:space="0"/>
              <w:left w:val="single" w:color="auto" w:sz="4" w:space="0"/>
              <w:bottom w:val="single" w:color="auto" w:sz="4" w:space="0"/>
              <w:right w:val="single" w:color="auto" w:sz="4" w:space="0"/>
            </w:tcBorders>
            <w:vAlign w:val="center"/>
          </w:tcPr>
          <w:p w14:paraId="6BADC0CC">
            <w:pPr>
              <w:spacing w:line="400" w:lineRule="exact"/>
              <w:jc w:val="center"/>
              <w:rPr>
                <w:rFonts w:hint="eastAsia" w:ascii="宋体" w:hAnsi="宋体"/>
                <w:b/>
                <w:szCs w:val="21"/>
              </w:rPr>
            </w:pPr>
            <w:r>
              <w:rPr>
                <w:rFonts w:ascii="宋体" w:hAnsi="宋体"/>
                <w:b/>
                <w:szCs w:val="21"/>
              </w:rPr>
              <w:t>单位</w:t>
            </w:r>
          </w:p>
        </w:tc>
        <w:tc>
          <w:tcPr>
            <w:tcW w:w="6206" w:type="dxa"/>
            <w:tcBorders>
              <w:top w:val="single" w:color="auto" w:sz="4" w:space="0"/>
              <w:left w:val="single" w:color="auto" w:sz="4" w:space="0"/>
              <w:bottom w:val="single" w:color="auto" w:sz="4" w:space="0"/>
              <w:right w:val="single" w:color="auto" w:sz="4" w:space="0"/>
            </w:tcBorders>
            <w:vAlign w:val="center"/>
          </w:tcPr>
          <w:p w14:paraId="03CA3206">
            <w:pPr>
              <w:spacing w:line="400" w:lineRule="exact"/>
              <w:jc w:val="center"/>
              <w:rPr>
                <w:rFonts w:hint="eastAsia" w:ascii="宋体" w:hAnsi="宋体"/>
                <w:b/>
                <w:szCs w:val="21"/>
              </w:rPr>
            </w:pPr>
            <w:r>
              <w:rPr>
                <w:rFonts w:hint="eastAsia" w:ascii="宋体" w:hAnsi="宋体"/>
                <w:b/>
                <w:szCs w:val="21"/>
              </w:rPr>
              <w:t>内容和要求</w:t>
            </w:r>
          </w:p>
        </w:tc>
      </w:tr>
      <w:tr w14:paraId="65B0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vAlign w:val="center"/>
          </w:tcPr>
          <w:p w14:paraId="7F97F6CF">
            <w:pPr>
              <w:numPr>
                <w:ilvl w:val="0"/>
                <w:numId w:val="1"/>
              </w:numPr>
              <w:spacing w:line="400" w:lineRule="exact"/>
              <w:jc w:val="center"/>
              <w:rPr>
                <w:rFonts w:hint="eastAsia" w:ascii="宋体" w:hAnsi="宋体"/>
                <w:b/>
                <w:color w:val="auto"/>
                <w:szCs w:val="21"/>
              </w:rPr>
            </w:pPr>
          </w:p>
        </w:tc>
        <w:tc>
          <w:tcPr>
            <w:tcW w:w="1655" w:type="dxa"/>
            <w:gridSpan w:val="2"/>
            <w:tcBorders>
              <w:top w:val="single" w:color="auto" w:sz="4" w:space="0"/>
              <w:left w:val="single" w:color="auto" w:sz="4" w:space="0"/>
              <w:bottom w:val="single" w:color="auto" w:sz="4" w:space="0"/>
              <w:right w:val="single" w:color="auto" w:sz="4" w:space="0"/>
            </w:tcBorders>
            <w:vAlign w:val="center"/>
          </w:tcPr>
          <w:p w14:paraId="03E44FED">
            <w:pPr>
              <w:spacing w:line="400" w:lineRule="exact"/>
              <w:jc w:val="center"/>
              <w:rPr>
                <w:rFonts w:hint="eastAsia" w:ascii="宋体" w:hAnsi="宋体" w:eastAsia="宋体"/>
                <w:color w:val="auto"/>
                <w:szCs w:val="21"/>
                <w:lang w:eastAsia="zh-CN"/>
              </w:rPr>
            </w:pPr>
            <w:r>
              <w:rPr>
                <w:rFonts w:hint="eastAsia" w:ascii="宋体" w:hAnsi="宋体"/>
                <w:color w:val="auto"/>
                <w:szCs w:val="21"/>
                <w:lang w:eastAsia="zh-CN"/>
              </w:rPr>
              <w:t>2026年云平台基础设施运维服务项目（核心区云平台设备运维、软件运维、数字证书系统运维）</w:t>
            </w:r>
          </w:p>
        </w:tc>
        <w:tc>
          <w:tcPr>
            <w:tcW w:w="708" w:type="dxa"/>
            <w:tcBorders>
              <w:top w:val="single" w:color="auto" w:sz="4" w:space="0"/>
              <w:left w:val="single" w:color="auto" w:sz="4" w:space="0"/>
              <w:bottom w:val="single" w:color="auto" w:sz="4" w:space="0"/>
              <w:right w:val="single" w:color="auto" w:sz="4" w:space="0"/>
            </w:tcBorders>
            <w:vAlign w:val="center"/>
          </w:tcPr>
          <w:p w14:paraId="68DAD9CA">
            <w:pPr>
              <w:spacing w:line="400" w:lineRule="exact"/>
              <w:jc w:val="center"/>
              <w:rPr>
                <w:rFonts w:hint="eastAsia" w:ascii="宋体" w:hAnsi="宋体"/>
                <w:color w:val="auto"/>
                <w:szCs w:val="21"/>
              </w:rPr>
            </w:pPr>
            <w:r>
              <w:rPr>
                <w:rFonts w:hint="eastAsia" w:ascii="宋体" w:hAnsi="宋体"/>
                <w:color w:val="auto"/>
                <w:szCs w:val="21"/>
              </w:rPr>
              <w:t>1</w:t>
            </w:r>
          </w:p>
        </w:tc>
        <w:tc>
          <w:tcPr>
            <w:tcW w:w="709" w:type="dxa"/>
            <w:tcBorders>
              <w:top w:val="single" w:color="auto" w:sz="4" w:space="0"/>
              <w:left w:val="single" w:color="auto" w:sz="4" w:space="0"/>
              <w:bottom w:val="single" w:color="auto" w:sz="4" w:space="0"/>
              <w:right w:val="single" w:color="auto" w:sz="4" w:space="0"/>
            </w:tcBorders>
            <w:vAlign w:val="center"/>
          </w:tcPr>
          <w:p w14:paraId="2EE1F80B">
            <w:pPr>
              <w:spacing w:line="400" w:lineRule="exact"/>
              <w:jc w:val="center"/>
              <w:rPr>
                <w:rFonts w:hint="eastAsia" w:ascii="宋体" w:hAnsi="宋体"/>
                <w:color w:val="auto"/>
                <w:szCs w:val="21"/>
              </w:rPr>
            </w:pPr>
            <w:r>
              <w:rPr>
                <w:rFonts w:hint="eastAsia" w:ascii="宋体" w:hAnsi="宋体"/>
                <w:color w:val="auto"/>
                <w:szCs w:val="21"/>
              </w:rPr>
              <w:t>项</w:t>
            </w:r>
          </w:p>
        </w:tc>
        <w:tc>
          <w:tcPr>
            <w:tcW w:w="6206" w:type="dxa"/>
            <w:tcBorders>
              <w:top w:val="single" w:color="auto" w:sz="4" w:space="0"/>
              <w:left w:val="single" w:color="auto" w:sz="4" w:space="0"/>
              <w:right w:val="single" w:color="auto" w:sz="4" w:space="0"/>
            </w:tcBorders>
          </w:tcPr>
          <w:p w14:paraId="2DF599C9">
            <w:pPr>
              <w:pStyle w:val="129"/>
              <w:adjustRightInd w:val="0"/>
              <w:snapToGrid w:val="0"/>
              <w:ind w:firstLine="379" w:firstLineChars="180"/>
              <w:outlineLvl w:val="1"/>
              <w:rPr>
                <w:rFonts w:hint="eastAsia"/>
                <w:b/>
                <w:color w:val="auto"/>
                <w:szCs w:val="28"/>
              </w:rPr>
            </w:pPr>
            <w:r>
              <w:rPr>
                <w:rFonts w:hint="eastAsia"/>
                <w:b/>
                <w:color w:val="auto"/>
                <w:szCs w:val="28"/>
              </w:rPr>
              <w:t>（一）数字证书系统运维需求</w:t>
            </w:r>
          </w:p>
          <w:p w14:paraId="42197B0D">
            <w:pPr>
              <w:pStyle w:val="129"/>
              <w:adjustRightInd w:val="0"/>
              <w:snapToGrid w:val="0"/>
              <w:ind w:firstLine="378" w:firstLineChars="180"/>
              <w:rPr>
                <w:rFonts w:hint="eastAsia"/>
                <w:bCs/>
                <w:color w:val="auto"/>
                <w:szCs w:val="28"/>
              </w:rPr>
            </w:pPr>
            <w:r>
              <w:rPr>
                <w:rFonts w:hint="eastAsia"/>
                <w:bCs/>
                <w:color w:val="auto"/>
                <w:szCs w:val="28"/>
              </w:rPr>
              <w:t>针对数字证书系统中涉及的硬件产品提供运维与技术支持服务。</w:t>
            </w:r>
          </w:p>
          <w:p w14:paraId="6692830D">
            <w:pPr>
              <w:pStyle w:val="129"/>
              <w:adjustRightInd w:val="0"/>
              <w:snapToGrid w:val="0"/>
              <w:ind w:firstLine="378" w:firstLineChars="180"/>
              <w:outlineLvl w:val="2"/>
              <w:rPr>
                <w:rFonts w:hint="eastAsia"/>
                <w:bCs/>
                <w:color w:val="auto"/>
                <w:szCs w:val="28"/>
              </w:rPr>
            </w:pPr>
            <w:r>
              <w:rPr>
                <w:rFonts w:hint="eastAsia"/>
                <w:bCs/>
                <w:color w:val="auto"/>
                <w:szCs w:val="28"/>
              </w:rPr>
              <w:t>1.硬件保修服务</w:t>
            </w:r>
          </w:p>
          <w:p w14:paraId="1DBA880E">
            <w:pPr>
              <w:pStyle w:val="129"/>
              <w:adjustRightInd w:val="0"/>
              <w:snapToGrid w:val="0"/>
              <w:ind w:firstLine="378" w:firstLineChars="180"/>
              <w:rPr>
                <w:rFonts w:hint="eastAsia"/>
                <w:bCs/>
                <w:color w:val="auto"/>
                <w:szCs w:val="28"/>
              </w:rPr>
            </w:pPr>
            <w:r>
              <w:rPr>
                <w:rFonts w:hint="eastAsia"/>
                <w:bCs/>
                <w:color w:val="auto"/>
                <w:szCs w:val="28"/>
              </w:rPr>
              <w:t>提供1年的软硬件保修维护服务。</w:t>
            </w:r>
          </w:p>
          <w:p w14:paraId="18023E01">
            <w:pPr>
              <w:pStyle w:val="129"/>
              <w:adjustRightInd w:val="0"/>
              <w:snapToGrid w:val="0"/>
              <w:ind w:firstLine="378" w:firstLineChars="180"/>
              <w:outlineLvl w:val="2"/>
              <w:rPr>
                <w:rFonts w:hint="eastAsia"/>
                <w:bCs/>
                <w:color w:val="auto"/>
                <w:szCs w:val="28"/>
              </w:rPr>
            </w:pPr>
            <w:r>
              <w:rPr>
                <w:rFonts w:hint="eastAsia"/>
                <w:bCs/>
                <w:color w:val="auto"/>
                <w:szCs w:val="28"/>
              </w:rPr>
              <w:t>2.软件升级服务</w:t>
            </w:r>
          </w:p>
          <w:p w14:paraId="291179B1">
            <w:pPr>
              <w:pStyle w:val="129"/>
              <w:adjustRightInd w:val="0"/>
              <w:snapToGrid w:val="0"/>
              <w:ind w:firstLine="378" w:firstLineChars="180"/>
              <w:rPr>
                <w:rFonts w:hint="eastAsia"/>
                <w:bCs/>
                <w:color w:val="auto"/>
                <w:szCs w:val="28"/>
              </w:rPr>
            </w:pPr>
            <w:r>
              <w:rPr>
                <w:rFonts w:hint="eastAsia"/>
                <w:bCs/>
                <w:color w:val="auto"/>
                <w:szCs w:val="28"/>
              </w:rPr>
              <w:t>提供免费升级和补丁更新服务，保证采购人能够及时获得相关服务和技术文档的更新。技术文档包括了操作手册、产品说明、系统架构、应急处理、规章制度等。定期对密码设备的系统微码、补丁、操作系统的版本进行检查，对于即将或已经到期的软硬件版本及时通知管理部门。</w:t>
            </w:r>
          </w:p>
          <w:p w14:paraId="1E76402A">
            <w:pPr>
              <w:pStyle w:val="129"/>
              <w:adjustRightInd w:val="0"/>
              <w:snapToGrid w:val="0"/>
              <w:ind w:firstLine="378" w:firstLineChars="180"/>
              <w:outlineLvl w:val="2"/>
              <w:rPr>
                <w:rFonts w:hint="eastAsia"/>
                <w:bCs/>
                <w:color w:val="auto"/>
                <w:szCs w:val="28"/>
              </w:rPr>
            </w:pPr>
            <w:r>
              <w:rPr>
                <w:rFonts w:hint="eastAsia"/>
                <w:bCs/>
                <w:color w:val="auto"/>
                <w:szCs w:val="28"/>
              </w:rPr>
              <w:t>3.技术支持服务</w:t>
            </w:r>
          </w:p>
          <w:p w14:paraId="39883BF6">
            <w:pPr>
              <w:pStyle w:val="129"/>
              <w:adjustRightInd w:val="0"/>
              <w:snapToGrid w:val="0"/>
              <w:ind w:firstLine="378" w:firstLineChars="180"/>
              <w:rPr>
                <w:rFonts w:hint="eastAsia"/>
                <w:bCs/>
                <w:color w:val="auto"/>
                <w:szCs w:val="28"/>
              </w:rPr>
            </w:pPr>
            <w:r>
              <w:rPr>
                <w:rFonts w:hint="eastAsia"/>
                <w:bCs/>
                <w:color w:val="auto"/>
                <w:szCs w:val="28"/>
              </w:rPr>
              <w:t>提供7x24小时远程或现场技术支持服务。服务范围应包括但不限于：技术咨询、配置指导、故障诊断、性能调优、应急响应等。</w:t>
            </w:r>
          </w:p>
          <w:p w14:paraId="3A7128C1">
            <w:pPr>
              <w:pStyle w:val="129"/>
              <w:adjustRightInd w:val="0"/>
              <w:snapToGrid w:val="0"/>
              <w:ind w:firstLine="378" w:firstLineChars="180"/>
              <w:outlineLvl w:val="2"/>
              <w:rPr>
                <w:rFonts w:hint="eastAsia"/>
                <w:bCs/>
                <w:color w:val="auto"/>
                <w:szCs w:val="28"/>
              </w:rPr>
            </w:pPr>
            <w:r>
              <w:rPr>
                <w:rFonts w:hint="eastAsia"/>
                <w:bCs/>
                <w:color w:val="auto"/>
                <w:szCs w:val="28"/>
              </w:rPr>
              <w:t>4.接口开发与维护支持服务</w:t>
            </w:r>
          </w:p>
          <w:p w14:paraId="22354C88">
            <w:pPr>
              <w:pStyle w:val="129"/>
              <w:adjustRightInd w:val="0"/>
              <w:snapToGrid w:val="0"/>
              <w:ind w:firstLine="378" w:firstLineChars="180"/>
              <w:rPr>
                <w:rFonts w:hint="eastAsia"/>
                <w:bCs/>
                <w:color w:val="auto"/>
                <w:szCs w:val="28"/>
              </w:rPr>
            </w:pPr>
            <w:r>
              <w:rPr>
                <w:rFonts w:hint="eastAsia"/>
                <w:bCs/>
                <w:color w:val="auto"/>
                <w:szCs w:val="28"/>
              </w:rPr>
              <w:t>提供与密码设备API接口相关的开发支持。包括：提供最新的API开发文档与技术规范、解答接口调用过程中的技术难题、协助排查因接口使用不当或版本变更导致的集成故障，并在业务系统或密码设备升级时，提供接口兼容性评估与适配指导。</w:t>
            </w:r>
          </w:p>
          <w:p w14:paraId="71C5BDC4">
            <w:pPr>
              <w:pStyle w:val="129"/>
              <w:adjustRightInd w:val="0"/>
              <w:snapToGrid w:val="0"/>
              <w:ind w:firstLine="379" w:firstLineChars="180"/>
              <w:outlineLvl w:val="2"/>
              <w:rPr>
                <w:rFonts w:hint="eastAsia"/>
                <w:bCs/>
                <w:color w:val="auto"/>
                <w:szCs w:val="28"/>
              </w:rPr>
            </w:pPr>
            <w:r>
              <w:rPr>
                <w:rFonts w:hint="eastAsia"/>
                <w:b/>
                <w:color w:val="auto"/>
              </w:rPr>
              <w:t>▲</w:t>
            </w:r>
            <w:r>
              <w:rPr>
                <w:rFonts w:hint="eastAsia"/>
                <w:bCs/>
                <w:color w:val="auto"/>
                <w:szCs w:val="28"/>
              </w:rPr>
              <w:t>5.原厂维修服务</w:t>
            </w:r>
          </w:p>
          <w:p w14:paraId="4A0E0987">
            <w:pPr>
              <w:pStyle w:val="129"/>
              <w:adjustRightInd w:val="0"/>
              <w:snapToGrid w:val="0"/>
              <w:ind w:firstLine="378" w:firstLineChars="180"/>
              <w:rPr>
                <w:rFonts w:hint="eastAsia"/>
                <w:bCs/>
                <w:color w:val="auto"/>
                <w:szCs w:val="28"/>
              </w:rPr>
            </w:pPr>
            <w:r>
              <w:rPr>
                <w:rFonts w:hint="eastAsia"/>
                <w:bCs/>
                <w:color w:val="auto"/>
                <w:szCs w:val="28"/>
              </w:rPr>
              <w:t>当设备硬件（如密码卡、主板、电源、风扇等）发生故障时，供应商提供专业的原厂维修服务，使用经过原厂认证、测试的专用配件进行更换。</w:t>
            </w:r>
          </w:p>
          <w:p w14:paraId="17906DAA">
            <w:pPr>
              <w:pStyle w:val="129"/>
              <w:adjustRightInd w:val="0"/>
              <w:snapToGrid w:val="0"/>
              <w:ind w:firstLine="378" w:firstLineChars="180"/>
              <w:outlineLvl w:val="2"/>
              <w:rPr>
                <w:rFonts w:hint="eastAsia"/>
                <w:bCs/>
                <w:color w:val="auto"/>
                <w:szCs w:val="28"/>
              </w:rPr>
            </w:pPr>
            <w:r>
              <w:rPr>
                <w:rFonts w:hint="eastAsia"/>
                <w:bCs/>
                <w:color w:val="auto"/>
                <w:szCs w:val="28"/>
              </w:rPr>
              <w:t>6.备机替换服务</w:t>
            </w:r>
          </w:p>
          <w:p w14:paraId="1ACBE2A2">
            <w:pPr>
              <w:pStyle w:val="129"/>
              <w:adjustRightInd w:val="0"/>
              <w:snapToGrid w:val="0"/>
              <w:ind w:firstLine="378" w:firstLineChars="180"/>
              <w:rPr>
                <w:rFonts w:hint="eastAsia"/>
                <w:bCs/>
                <w:color w:val="auto"/>
                <w:szCs w:val="28"/>
              </w:rPr>
            </w:pPr>
            <w:r>
              <w:rPr>
                <w:rFonts w:hint="eastAsia"/>
                <w:bCs/>
                <w:color w:val="auto"/>
                <w:szCs w:val="28"/>
              </w:rPr>
              <w:t>当设备发生重大软硬件故障，且无法在业务允许的时间窗口内修复时，供应商能够提供相同型号或兼容型号的备机进行紧急替换，以最短时间恢复业务运行。</w:t>
            </w:r>
          </w:p>
          <w:p w14:paraId="1AC22C75">
            <w:pPr>
              <w:pStyle w:val="129"/>
              <w:adjustRightInd w:val="0"/>
              <w:snapToGrid w:val="0"/>
              <w:ind w:firstLine="378" w:firstLineChars="180"/>
              <w:outlineLvl w:val="2"/>
              <w:rPr>
                <w:rFonts w:hint="eastAsia"/>
                <w:bCs/>
                <w:color w:val="auto"/>
                <w:szCs w:val="28"/>
              </w:rPr>
            </w:pPr>
            <w:r>
              <w:rPr>
                <w:rFonts w:hint="eastAsia"/>
                <w:bCs/>
                <w:color w:val="auto"/>
                <w:szCs w:val="28"/>
              </w:rPr>
              <w:t>7.咨询服务</w:t>
            </w:r>
          </w:p>
          <w:p w14:paraId="2630428C">
            <w:pPr>
              <w:pStyle w:val="129"/>
              <w:adjustRightInd w:val="0"/>
              <w:snapToGrid w:val="0"/>
              <w:ind w:firstLine="378" w:firstLineChars="180"/>
              <w:rPr>
                <w:rFonts w:hint="eastAsia"/>
                <w:bCs/>
                <w:color w:val="auto"/>
                <w:szCs w:val="28"/>
              </w:rPr>
            </w:pPr>
            <w:r>
              <w:rPr>
                <w:rFonts w:hint="eastAsia"/>
                <w:bCs/>
                <w:color w:val="auto"/>
                <w:szCs w:val="28"/>
              </w:rPr>
              <w:t>供应商提供技术咨询服务，针对业务量的发展情况，对系统制定改进计划。遇到生产系统出现问题，在查明原因给出分析报告的同时，制定解决方案和计划。</w:t>
            </w:r>
          </w:p>
          <w:p w14:paraId="2475B79F">
            <w:pPr>
              <w:pStyle w:val="129"/>
              <w:numPr>
                <w:ilvl w:val="0"/>
                <w:numId w:val="2"/>
              </w:numPr>
              <w:adjustRightInd w:val="0"/>
              <w:snapToGrid w:val="0"/>
              <w:ind w:firstLine="378" w:firstLineChars="180"/>
              <w:outlineLvl w:val="1"/>
              <w:rPr>
                <w:rFonts w:hint="eastAsia"/>
                <w:bCs/>
                <w:color w:val="auto"/>
                <w:szCs w:val="28"/>
              </w:rPr>
            </w:pPr>
            <w:r>
              <w:rPr>
                <w:rFonts w:hint="eastAsia"/>
                <w:bCs/>
                <w:color w:val="auto"/>
                <w:szCs w:val="28"/>
              </w:rPr>
              <w:t>核心业务区云平台设备运维需求</w:t>
            </w:r>
          </w:p>
          <w:p w14:paraId="53122288">
            <w:pPr>
              <w:pStyle w:val="129"/>
              <w:adjustRightInd w:val="0"/>
              <w:snapToGrid w:val="0"/>
              <w:ind w:firstLine="378" w:firstLineChars="180"/>
              <w:outlineLvl w:val="2"/>
              <w:rPr>
                <w:rFonts w:hint="eastAsia"/>
                <w:bCs/>
                <w:color w:val="auto"/>
                <w:szCs w:val="28"/>
              </w:rPr>
            </w:pPr>
            <w:r>
              <w:rPr>
                <w:rFonts w:hint="eastAsia"/>
                <w:bCs/>
                <w:color w:val="auto"/>
                <w:szCs w:val="28"/>
              </w:rPr>
              <w:t>1.服务器运维需求</w:t>
            </w:r>
          </w:p>
          <w:p w14:paraId="79C39817">
            <w:pPr>
              <w:pStyle w:val="129"/>
              <w:adjustRightInd w:val="0"/>
              <w:snapToGrid w:val="0"/>
              <w:ind w:firstLine="378" w:firstLineChars="180"/>
              <w:rPr>
                <w:rFonts w:hint="eastAsia"/>
                <w:bCs/>
                <w:color w:val="auto"/>
                <w:szCs w:val="28"/>
              </w:rPr>
            </w:pPr>
            <w:r>
              <w:rPr>
                <w:rFonts w:hint="eastAsia"/>
                <w:bCs/>
                <w:color w:val="auto"/>
                <w:szCs w:val="28"/>
              </w:rPr>
              <w:t>针对核心业务区云平台中涉及的服务器硬件产品提供运维与技术支持服务。</w:t>
            </w:r>
          </w:p>
          <w:p w14:paraId="5FAE9EA4">
            <w:pPr>
              <w:widowControl/>
              <w:numPr>
                <w:ilvl w:val="0"/>
                <w:numId w:val="3"/>
              </w:numPr>
              <w:adjustRightInd w:val="0"/>
              <w:snapToGrid w:val="0"/>
              <w:ind w:firstLine="560"/>
              <w:outlineLvl w:val="3"/>
              <w:rPr>
                <w:rFonts w:hint="eastAsia" w:ascii="宋体" w:hAnsi="宋体" w:cs="宋体"/>
                <w:bCs/>
                <w:color w:val="auto"/>
                <w:kern w:val="0"/>
                <w:szCs w:val="28"/>
              </w:rPr>
            </w:pPr>
            <w:r>
              <w:rPr>
                <w:rFonts w:hint="eastAsia" w:ascii="宋体" w:hAnsi="宋体" w:cs="宋体"/>
                <w:bCs/>
                <w:color w:val="auto"/>
                <w:kern w:val="0"/>
                <w:szCs w:val="28"/>
              </w:rPr>
              <w:t>服务期限</w:t>
            </w:r>
          </w:p>
          <w:p w14:paraId="4908F62F">
            <w:pPr>
              <w:widowControl/>
              <w:adjustRightInd w:val="0"/>
              <w:snapToGrid w:val="0"/>
              <w:ind w:firstLine="378" w:firstLineChars="180"/>
              <w:rPr>
                <w:rFonts w:hint="eastAsia" w:ascii="宋体" w:hAnsi="宋体" w:cs="宋体"/>
                <w:bCs/>
                <w:color w:val="auto"/>
                <w:kern w:val="0"/>
                <w:szCs w:val="28"/>
              </w:rPr>
            </w:pPr>
            <w:r>
              <w:rPr>
                <w:rFonts w:hint="eastAsia" w:ascii="宋体" w:hAnsi="宋体" w:cs="宋体"/>
                <w:bCs/>
                <w:color w:val="auto"/>
                <w:szCs w:val="28"/>
              </w:rPr>
              <w:t>提供1年的软硬件保修维护服务</w:t>
            </w:r>
            <w:r>
              <w:rPr>
                <w:rFonts w:hint="eastAsia" w:ascii="宋体" w:hAnsi="宋体" w:cs="宋体"/>
                <w:bCs/>
                <w:color w:val="auto"/>
                <w:kern w:val="0"/>
                <w:szCs w:val="28"/>
              </w:rPr>
              <w:t>。</w:t>
            </w:r>
          </w:p>
          <w:p w14:paraId="77D94588">
            <w:pPr>
              <w:widowControl/>
              <w:numPr>
                <w:ilvl w:val="0"/>
                <w:numId w:val="3"/>
              </w:numPr>
              <w:adjustRightInd w:val="0"/>
              <w:snapToGrid w:val="0"/>
              <w:ind w:firstLine="560"/>
              <w:outlineLvl w:val="3"/>
              <w:rPr>
                <w:rFonts w:hint="eastAsia" w:ascii="宋体" w:hAnsi="宋体" w:cs="宋体"/>
                <w:bCs/>
                <w:color w:val="auto"/>
                <w:kern w:val="0"/>
                <w:szCs w:val="28"/>
              </w:rPr>
            </w:pPr>
            <w:r>
              <w:rPr>
                <w:rFonts w:hint="eastAsia" w:ascii="宋体" w:hAnsi="宋体" w:cs="宋体"/>
                <w:bCs/>
                <w:color w:val="auto"/>
                <w:kern w:val="0"/>
                <w:szCs w:val="28"/>
              </w:rPr>
              <w:t>提供原厂维修与配件供应</w:t>
            </w:r>
          </w:p>
          <w:p w14:paraId="654D7827">
            <w:pPr>
              <w:widowControl/>
              <w:adjustRightInd w:val="0"/>
              <w:snapToGrid w:val="0"/>
              <w:ind w:firstLine="378" w:firstLineChars="180"/>
              <w:rPr>
                <w:rFonts w:hint="eastAsia" w:ascii="宋体" w:hAnsi="宋体" w:cs="宋体"/>
                <w:bCs/>
                <w:color w:val="auto"/>
                <w:kern w:val="0"/>
                <w:szCs w:val="28"/>
                <w:highlight w:val="yellow"/>
              </w:rPr>
            </w:pPr>
            <w:r>
              <w:rPr>
                <w:rFonts w:hint="eastAsia" w:ascii="宋体" w:hAnsi="宋体" w:cs="宋体"/>
                <w:bCs/>
                <w:color w:val="auto"/>
                <w:kern w:val="0"/>
                <w:szCs w:val="28"/>
              </w:rPr>
              <w:t>服务期间，提供原厂7×24小时技术服务，提供免费硬件原厂现场服务，如更换故障配件、设备未知故障排查修复、升级设备固件版本等</w:t>
            </w:r>
          </w:p>
          <w:p w14:paraId="680752D9">
            <w:pPr>
              <w:widowControl/>
              <w:numPr>
                <w:ilvl w:val="0"/>
                <w:numId w:val="3"/>
              </w:numPr>
              <w:adjustRightInd w:val="0"/>
              <w:snapToGrid w:val="0"/>
              <w:ind w:firstLine="560"/>
              <w:outlineLvl w:val="3"/>
              <w:rPr>
                <w:rFonts w:hint="eastAsia" w:ascii="宋体" w:hAnsi="宋体" w:cs="宋体"/>
                <w:bCs/>
                <w:color w:val="auto"/>
                <w:kern w:val="0"/>
                <w:szCs w:val="28"/>
              </w:rPr>
            </w:pPr>
            <w:r>
              <w:rPr>
                <w:rFonts w:hint="eastAsia" w:ascii="宋体" w:hAnsi="宋体" w:cs="宋体"/>
                <w:bCs/>
                <w:color w:val="auto"/>
                <w:kern w:val="0"/>
                <w:szCs w:val="28"/>
              </w:rPr>
              <w:t>提供故障处置服务</w:t>
            </w:r>
          </w:p>
          <w:p w14:paraId="7C023122">
            <w:pPr>
              <w:widowControl/>
              <w:adjustRightInd w:val="0"/>
              <w:snapToGrid w:val="0"/>
              <w:ind w:firstLine="560"/>
              <w:rPr>
                <w:rFonts w:hint="eastAsia" w:ascii="宋体" w:hAnsi="宋体" w:cs="宋体"/>
                <w:bCs/>
                <w:color w:val="auto"/>
                <w:kern w:val="0"/>
                <w:szCs w:val="28"/>
              </w:rPr>
            </w:pPr>
            <w:r>
              <w:rPr>
                <w:rFonts w:hint="eastAsia" w:ascii="宋体" w:hAnsi="宋体" w:cs="宋体"/>
                <w:bCs/>
                <w:color w:val="auto"/>
                <w:kern w:val="0"/>
                <w:szCs w:val="28"/>
              </w:rPr>
              <w:t>提供7×24小时故障报修热线电话，设备发生故障时段可拨打热线电话进行故障报修。热线电话需保持畅通，保证7×24小时的故障响应。发生硬件故障或出现故障告警时，致电服务热线报修后30分钟内响应，通过电话进行故障的初步诊断后，尽快到达现场进行维修或备件更换。如需更换备件，必须免费提供设备厂商合法原厂正品备件。</w:t>
            </w:r>
          </w:p>
          <w:p w14:paraId="7B23F18A">
            <w:pPr>
              <w:widowControl/>
              <w:numPr>
                <w:ilvl w:val="0"/>
                <w:numId w:val="3"/>
              </w:numPr>
              <w:adjustRightInd w:val="0"/>
              <w:snapToGrid w:val="0"/>
              <w:ind w:firstLine="560"/>
              <w:outlineLvl w:val="3"/>
              <w:rPr>
                <w:rFonts w:hint="eastAsia" w:ascii="宋体" w:hAnsi="宋体" w:cs="宋体"/>
                <w:bCs/>
                <w:color w:val="auto"/>
                <w:kern w:val="0"/>
                <w:szCs w:val="28"/>
              </w:rPr>
            </w:pPr>
            <w:r>
              <w:rPr>
                <w:rFonts w:hint="eastAsia" w:ascii="宋体"/>
                <w:b/>
                <w:color w:val="auto"/>
                <w:szCs w:val="21"/>
              </w:rPr>
              <w:t>▲</w:t>
            </w:r>
            <w:r>
              <w:rPr>
                <w:rFonts w:hint="eastAsia" w:ascii="宋体" w:hAnsi="宋体" w:cs="宋体"/>
                <w:bCs/>
                <w:color w:val="auto"/>
                <w:kern w:val="0"/>
                <w:szCs w:val="28"/>
              </w:rPr>
              <w:t>提供主动技术支持服务</w:t>
            </w:r>
          </w:p>
          <w:p w14:paraId="2CF635A4">
            <w:pPr>
              <w:widowControl/>
              <w:adjustRightInd w:val="0"/>
              <w:snapToGrid w:val="0"/>
              <w:ind w:firstLine="560"/>
              <w:rPr>
                <w:rFonts w:hint="eastAsia" w:ascii="宋体" w:hAnsi="宋体" w:cs="宋体"/>
                <w:bCs/>
                <w:color w:val="auto"/>
                <w:kern w:val="0"/>
                <w:szCs w:val="28"/>
              </w:rPr>
            </w:pPr>
            <w:r>
              <w:rPr>
                <w:rFonts w:hint="eastAsia" w:ascii="宋体" w:hAnsi="宋体" w:cs="宋体"/>
                <w:bCs/>
                <w:color w:val="auto"/>
                <w:kern w:val="0"/>
                <w:szCs w:val="28"/>
              </w:rPr>
              <w:t>通过主动运维服务提前发现和解决问题,确保系统7×24小时运行，具体服务内容包括但不限于：系统故障定位和排错、操作系统安装与升级、操作系统补丁的更新、服务器微码升级、系统备份和系统恢复、数据备份和数据恢复、CPU与内存升级扩容、替换故障硬盘、RAID重建、更换电源与风扇等易损件、更换主板和其他故障板卡、更换服务器和磁盘阵列中的各类到期电池、系统参数的调整优化、系统日志的检查和清除、系统盘的镜像检查、双机软件的状态检测、系统目录空间状态使用的监测、系统运行状态的监测、安装新版本Linux系统、在新版本Linux系统上调试系统配置、对已安装的新版本Linux系统进行测、维保设备（软件）范围内其它软件的升级服务。</w:t>
            </w:r>
          </w:p>
          <w:p w14:paraId="7C74ADD0">
            <w:pPr>
              <w:widowControl/>
              <w:numPr>
                <w:ilvl w:val="0"/>
                <w:numId w:val="3"/>
              </w:numPr>
              <w:adjustRightInd w:val="0"/>
              <w:snapToGrid w:val="0"/>
              <w:ind w:firstLine="560"/>
              <w:outlineLvl w:val="3"/>
              <w:rPr>
                <w:rFonts w:hint="eastAsia" w:ascii="宋体" w:hAnsi="宋体" w:cs="宋体"/>
                <w:bCs/>
                <w:color w:val="auto"/>
                <w:kern w:val="0"/>
                <w:szCs w:val="28"/>
              </w:rPr>
            </w:pPr>
            <w:r>
              <w:rPr>
                <w:rFonts w:hint="eastAsia" w:ascii="宋体"/>
                <w:b/>
                <w:color w:val="auto"/>
                <w:szCs w:val="21"/>
              </w:rPr>
              <w:t>▲</w:t>
            </w:r>
            <w:r>
              <w:rPr>
                <w:rFonts w:hint="eastAsia" w:ascii="宋体" w:hAnsi="宋体" w:cs="宋体"/>
                <w:bCs/>
                <w:color w:val="auto"/>
                <w:kern w:val="0"/>
                <w:szCs w:val="28"/>
              </w:rPr>
              <w:t>提供服务器年度维护服务</w:t>
            </w:r>
          </w:p>
          <w:p w14:paraId="233D1194">
            <w:pPr>
              <w:pStyle w:val="129"/>
              <w:tabs>
                <w:tab w:val="left" w:pos="0"/>
              </w:tabs>
              <w:adjustRightInd w:val="0"/>
              <w:snapToGrid w:val="0"/>
              <w:ind w:firstLine="560"/>
              <w:rPr>
                <w:rFonts w:hint="eastAsia"/>
                <w:bCs/>
                <w:color w:val="auto"/>
                <w:szCs w:val="28"/>
              </w:rPr>
            </w:pPr>
            <w:r>
              <w:rPr>
                <w:rFonts w:hint="eastAsia"/>
                <w:bCs/>
                <w:color w:val="auto"/>
                <w:szCs w:val="28"/>
              </w:rPr>
              <w:t>提供每个季度一次定期上门设备巡检，提前发现故障隐患，减少故障造成的宕机时间。在服务期间，机器硬件的损坏由供应商提供免费更换，采购人不再支付任何其它费用。</w:t>
            </w:r>
          </w:p>
          <w:p w14:paraId="78D82EE8">
            <w:pPr>
              <w:pStyle w:val="129"/>
              <w:adjustRightInd w:val="0"/>
              <w:snapToGrid w:val="0"/>
              <w:ind w:firstLine="378" w:firstLineChars="180"/>
              <w:outlineLvl w:val="2"/>
              <w:rPr>
                <w:rFonts w:hint="eastAsia"/>
                <w:bCs/>
                <w:color w:val="auto"/>
                <w:szCs w:val="28"/>
              </w:rPr>
            </w:pPr>
            <w:r>
              <w:rPr>
                <w:rFonts w:hint="eastAsia"/>
                <w:bCs/>
                <w:color w:val="auto"/>
                <w:szCs w:val="28"/>
              </w:rPr>
              <w:t>2.存储设备运维需求</w:t>
            </w:r>
          </w:p>
          <w:p w14:paraId="188C79D0">
            <w:pPr>
              <w:widowControl/>
              <w:adjustRightInd w:val="0"/>
              <w:snapToGrid w:val="0"/>
              <w:ind w:firstLine="560"/>
              <w:rPr>
                <w:rFonts w:hint="eastAsia" w:ascii="宋体" w:hAnsi="宋体" w:cs="宋体"/>
                <w:bCs/>
                <w:color w:val="auto"/>
                <w:kern w:val="0"/>
                <w:szCs w:val="28"/>
              </w:rPr>
            </w:pPr>
            <w:r>
              <w:rPr>
                <w:rFonts w:hint="eastAsia" w:ascii="宋体" w:hAnsi="宋体" w:cs="宋体"/>
                <w:bCs/>
                <w:color w:val="auto"/>
                <w:kern w:val="0"/>
                <w:szCs w:val="28"/>
              </w:rPr>
              <w:t>针对云平台存储设备提供主动运维服务，提前发现和解决问题，确保系统7×24小时运行。具体服务内容包括但不限于：</w:t>
            </w:r>
          </w:p>
          <w:p w14:paraId="6029DA08">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rPr>
            </w:pPr>
            <w:r>
              <w:rPr>
                <w:rFonts w:hint="eastAsia" w:ascii="宋体" w:hAnsi="宋体" w:cs="宋体"/>
                <w:bCs/>
                <w:color w:val="auto"/>
                <w:kern w:val="0"/>
                <w:szCs w:val="28"/>
              </w:rPr>
              <w:t>设备故障定位和排错。</w:t>
            </w:r>
          </w:p>
          <w:p w14:paraId="409E4AF5">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rPr>
            </w:pPr>
            <w:r>
              <w:rPr>
                <w:rFonts w:hint="eastAsia" w:ascii="宋体" w:hAnsi="宋体" w:cs="宋体"/>
                <w:bCs/>
                <w:color w:val="auto"/>
                <w:kern w:val="0"/>
                <w:szCs w:val="28"/>
              </w:rPr>
              <w:t>设备软件版本升级。</w:t>
            </w:r>
          </w:p>
          <w:p w14:paraId="13AE81FB">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rPr>
            </w:pPr>
            <w:r>
              <w:rPr>
                <w:rFonts w:hint="eastAsia" w:ascii="宋体" w:hAnsi="宋体" w:cs="宋体"/>
                <w:bCs/>
                <w:color w:val="auto"/>
                <w:kern w:val="0"/>
                <w:szCs w:val="28"/>
              </w:rPr>
              <w:t>配置状态检测。</w:t>
            </w:r>
          </w:p>
          <w:p w14:paraId="28BD4005">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rPr>
            </w:pPr>
            <w:r>
              <w:rPr>
                <w:rFonts w:hint="eastAsia" w:ascii="宋体" w:hAnsi="宋体" w:cs="宋体"/>
                <w:bCs/>
                <w:color w:val="auto"/>
                <w:kern w:val="0"/>
                <w:szCs w:val="28"/>
              </w:rPr>
              <w:t>更换电源与风扇等易损构件。</w:t>
            </w:r>
          </w:p>
          <w:p w14:paraId="7F4DBE61">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rPr>
            </w:pPr>
            <w:r>
              <w:rPr>
                <w:rFonts w:hint="eastAsia" w:ascii="宋体" w:hAnsi="宋体" w:cs="宋体"/>
                <w:bCs/>
                <w:color w:val="auto"/>
                <w:kern w:val="0"/>
                <w:szCs w:val="28"/>
              </w:rPr>
              <w:t>系统使用状态检测。</w:t>
            </w:r>
          </w:p>
          <w:p w14:paraId="648D82C7">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rPr>
            </w:pPr>
            <w:r>
              <w:rPr>
                <w:rFonts w:hint="eastAsia" w:ascii="宋体" w:hAnsi="宋体" w:cs="宋体"/>
                <w:bCs/>
                <w:color w:val="auto"/>
                <w:kern w:val="0"/>
                <w:szCs w:val="28"/>
              </w:rPr>
              <w:t>系统日志分析和监控。</w:t>
            </w:r>
          </w:p>
          <w:p w14:paraId="23DEE9BB">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rPr>
            </w:pPr>
            <w:r>
              <w:rPr>
                <w:rFonts w:hint="eastAsia" w:ascii="宋体" w:hAnsi="宋体" w:cs="宋体"/>
                <w:bCs/>
                <w:color w:val="auto"/>
                <w:kern w:val="0"/>
                <w:szCs w:val="28"/>
              </w:rPr>
              <w:t>为信息中心的存储设备产品提供日常维修与维护服务。</w:t>
            </w:r>
          </w:p>
          <w:p w14:paraId="39B971D1">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rPr>
            </w:pPr>
            <w:r>
              <w:rPr>
                <w:rFonts w:hint="eastAsia" w:ascii="宋体" w:hAnsi="宋体" w:cs="宋体"/>
                <w:bCs/>
                <w:color w:val="auto"/>
                <w:kern w:val="0"/>
                <w:szCs w:val="28"/>
              </w:rPr>
              <w:t>应急保障方案，综合分析客户数据中心服务器的软硬件配置、应用情况，在第一次巡检后向招标方提供安全、可靠、切实可行的应急方案。</w:t>
            </w:r>
          </w:p>
          <w:p w14:paraId="1A503253">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rPr>
            </w:pPr>
            <w:r>
              <w:rPr>
                <w:rFonts w:hint="eastAsia" w:ascii="宋体" w:hAnsi="宋体" w:cs="宋体"/>
                <w:bCs/>
                <w:color w:val="auto"/>
                <w:kern w:val="0"/>
                <w:szCs w:val="28"/>
              </w:rPr>
              <w:t>为客户的存储管理软件配置与备份策略审核等提供技术支持服务。</w:t>
            </w:r>
          </w:p>
          <w:p w14:paraId="11A75400">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rPr>
            </w:pPr>
            <w:r>
              <w:rPr>
                <w:rFonts w:hint="eastAsia" w:ascii="宋体" w:hAnsi="宋体" w:cs="宋体"/>
                <w:bCs/>
                <w:color w:val="auto"/>
                <w:kern w:val="0"/>
                <w:szCs w:val="28"/>
              </w:rPr>
              <w:t>帮助客户对存储系统进行性能分析，包括磁盘读写性能、数据存储备份安全性、I/O性能等。</w:t>
            </w:r>
          </w:p>
          <w:p w14:paraId="5B4E402B">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rPr>
            </w:pPr>
            <w:r>
              <w:rPr>
                <w:rFonts w:hint="eastAsia" w:ascii="宋体" w:hAnsi="宋体" w:cs="宋体"/>
                <w:bCs/>
                <w:color w:val="auto"/>
                <w:kern w:val="0"/>
                <w:szCs w:val="28"/>
              </w:rPr>
              <w:t>根据客户信息系统发展需求规划新的存储备份系统与容灾系统。</w:t>
            </w:r>
          </w:p>
          <w:p w14:paraId="640085FD">
            <w:pPr>
              <w:widowControl/>
              <w:numPr>
                <w:ilvl w:val="0"/>
                <w:numId w:val="4"/>
              </w:numPr>
              <w:tabs>
                <w:tab w:val="left" w:pos="420"/>
                <w:tab w:val="clear" w:pos="0"/>
              </w:tabs>
              <w:adjustRightInd w:val="0"/>
              <w:snapToGrid w:val="0"/>
              <w:ind w:left="0" w:firstLine="425"/>
              <w:rPr>
                <w:rFonts w:hint="eastAsia" w:ascii="宋体" w:hAnsi="宋体" w:cs="宋体"/>
                <w:bCs/>
                <w:color w:val="auto"/>
                <w:kern w:val="0"/>
                <w:szCs w:val="28"/>
              </w:rPr>
            </w:pPr>
            <w:r>
              <w:rPr>
                <w:rFonts w:hint="eastAsia" w:ascii="宋体" w:hAnsi="宋体" w:cs="宋体"/>
                <w:bCs/>
                <w:color w:val="auto"/>
                <w:kern w:val="0"/>
                <w:szCs w:val="28"/>
              </w:rPr>
              <w:t>为客户提供存储信息生命周期整体规划，保障用户数据的生命力。</w:t>
            </w:r>
          </w:p>
          <w:p w14:paraId="032128FC">
            <w:pPr>
              <w:pStyle w:val="129"/>
              <w:adjustRightInd w:val="0"/>
              <w:snapToGrid w:val="0"/>
              <w:ind w:firstLine="378" w:firstLineChars="180"/>
              <w:outlineLvl w:val="2"/>
              <w:rPr>
                <w:rFonts w:hint="eastAsia"/>
                <w:bCs/>
                <w:color w:val="auto"/>
                <w:szCs w:val="28"/>
              </w:rPr>
            </w:pPr>
            <w:r>
              <w:rPr>
                <w:rFonts w:hint="eastAsia"/>
                <w:bCs/>
                <w:color w:val="auto"/>
                <w:szCs w:val="28"/>
              </w:rPr>
              <w:t>3.网络设备运维需求</w:t>
            </w:r>
          </w:p>
          <w:p w14:paraId="2A2DF881">
            <w:pPr>
              <w:widowControl/>
              <w:numPr>
                <w:ilvl w:val="0"/>
                <w:numId w:val="5"/>
              </w:numPr>
              <w:tabs>
                <w:tab w:val="left" w:pos="420"/>
                <w:tab w:val="clear" w:pos="0"/>
              </w:tabs>
              <w:adjustRightInd w:val="0"/>
              <w:snapToGrid w:val="0"/>
              <w:ind w:left="0" w:firstLine="425"/>
              <w:outlineLvl w:val="3"/>
              <w:rPr>
                <w:rFonts w:hint="eastAsia" w:ascii="宋体" w:hAnsi="宋体" w:cs="宋体"/>
                <w:bCs/>
                <w:color w:val="auto"/>
                <w:szCs w:val="28"/>
              </w:rPr>
            </w:pPr>
            <w:r>
              <w:rPr>
                <w:rFonts w:hint="eastAsia" w:ascii="宋体" w:hAnsi="宋体" w:cs="宋体"/>
                <w:bCs/>
                <w:color w:val="auto"/>
                <w:kern w:val="0"/>
                <w:szCs w:val="28"/>
              </w:rPr>
              <w:t>网络巡检服务</w:t>
            </w:r>
          </w:p>
          <w:p w14:paraId="40A3461B">
            <w:pPr>
              <w:pStyle w:val="129"/>
              <w:adjustRightInd w:val="0"/>
              <w:snapToGrid w:val="0"/>
              <w:ind w:firstLine="378" w:firstLineChars="180"/>
              <w:rPr>
                <w:rFonts w:hint="eastAsia"/>
                <w:bCs/>
                <w:color w:val="auto"/>
                <w:szCs w:val="28"/>
              </w:rPr>
            </w:pPr>
            <w:r>
              <w:rPr>
                <w:rFonts w:hint="eastAsia"/>
                <w:bCs/>
                <w:color w:val="auto"/>
                <w:szCs w:val="28"/>
              </w:rPr>
              <w:t>在维护服务期间，与主机和存储紧密配合，每个季度一次现场巡检服务。</w:t>
            </w:r>
          </w:p>
          <w:p w14:paraId="52C55119">
            <w:pPr>
              <w:widowControl/>
              <w:numPr>
                <w:ilvl w:val="0"/>
                <w:numId w:val="5"/>
              </w:numPr>
              <w:tabs>
                <w:tab w:val="left" w:pos="420"/>
                <w:tab w:val="clear" w:pos="0"/>
              </w:tabs>
              <w:adjustRightInd w:val="0"/>
              <w:snapToGrid w:val="0"/>
              <w:ind w:left="0" w:firstLine="425"/>
              <w:outlineLvl w:val="3"/>
              <w:rPr>
                <w:rFonts w:hint="eastAsia" w:ascii="宋体" w:hAnsi="宋体" w:cs="宋体"/>
                <w:bCs/>
                <w:color w:val="auto"/>
                <w:kern w:val="0"/>
                <w:szCs w:val="28"/>
              </w:rPr>
            </w:pPr>
            <w:r>
              <w:rPr>
                <w:rFonts w:hint="eastAsia" w:ascii="宋体" w:hAnsi="宋体" w:cs="宋体"/>
                <w:bCs/>
                <w:color w:val="auto"/>
                <w:kern w:val="0"/>
                <w:szCs w:val="28"/>
              </w:rPr>
              <w:t>网络环境与设备物理状况巡检</w:t>
            </w:r>
          </w:p>
          <w:p w14:paraId="76C51D5F">
            <w:pPr>
              <w:pStyle w:val="129"/>
              <w:numPr>
                <w:ilvl w:val="0"/>
                <w:numId w:val="6"/>
              </w:numPr>
              <w:adjustRightInd w:val="0"/>
              <w:snapToGrid w:val="0"/>
              <w:ind w:firstLine="420" w:firstLineChars="200"/>
              <w:rPr>
                <w:rFonts w:hint="eastAsia"/>
                <w:bCs/>
                <w:color w:val="auto"/>
                <w:szCs w:val="28"/>
              </w:rPr>
            </w:pPr>
            <w:r>
              <w:rPr>
                <w:rFonts w:hint="eastAsia"/>
                <w:bCs/>
                <w:color w:val="auto"/>
                <w:szCs w:val="28"/>
              </w:rPr>
              <w:t>环境检查巡检。包括UPS电源、地线、空调、散热、物理安全性。</w:t>
            </w:r>
          </w:p>
          <w:p w14:paraId="0304B7EE">
            <w:pPr>
              <w:pStyle w:val="129"/>
              <w:numPr>
                <w:ilvl w:val="0"/>
                <w:numId w:val="6"/>
              </w:numPr>
              <w:adjustRightInd w:val="0"/>
              <w:snapToGrid w:val="0"/>
              <w:ind w:firstLine="420" w:firstLineChars="200"/>
              <w:rPr>
                <w:rFonts w:hint="eastAsia"/>
                <w:bCs/>
                <w:color w:val="auto"/>
                <w:szCs w:val="28"/>
              </w:rPr>
            </w:pPr>
            <w:r>
              <w:rPr>
                <w:rFonts w:hint="eastAsia"/>
                <w:bCs/>
                <w:color w:val="auto"/>
                <w:szCs w:val="28"/>
              </w:rPr>
              <w:t>物理状况巡检。包括设备机体、外观、风扇、风道及过滤器、状态指示灯、电源、VIP模块、广域网端口、局域网端口等。</w:t>
            </w:r>
          </w:p>
          <w:p w14:paraId="6710E705">
            <w:pPr>
              <w:widowControl/>
              <w:numPr>
                <w:ilvl w:val="0"/>
                <w:numId w:val="5"/>
              </w:numPr>
              <w:tabs>
                <w:tab w:val="left" w:pos="420"/>
                <w:tab w:val="clear" w:pos="0"/>
              </w:tabs>
              <w:adjustRightInd w:val="0"/>
              <w:snapToGrid w:val="0"/>
              <w:ind w:left="0" w:firstLine="425"/>
              <w:outlineLvl w:val="3"/>
              <w:rPr>
                <w:rFonts w:hint="eastAsia" w:ascii="宋体" w:hAnsi="宋体" w:cs="宋体"/>
                <w:bCs/>
                <w:color w:val="auto"/>
                <w:kern w:val="0"/>
                <w:szCs w:val="28"/>
              </w:rPr>
            </w:pPr>
            <w:r>
              <w:rPr>
                <w:rFonts w:hint="eastAsia" w:ascii="宋体" w:hAnsi="宋体" w:cs="宋体"/>
                <w:bCs/>
                <w:color w:val="auto"/>
                <w:kern w:val="0"/>
                <w:szCs w:val="28"/>
              </w:rPr>
              <w:t>硬件部分巡检检查</w:t>
            </w:r>
          </w:p>
          <w:p w14:paraId="0E7BA88D">
            <w:pPr>
              <w:pStyle w:val="129"/>
              <w:numPr>
                <w:ilvl w:val="0"/>
                <w:numId w:val="7"/>
              </w:numPr>
              <w:adjustRightInd w:val="0"/>
              <w:snapToGrid w:val="0"/>
              <w:ind w:firstLine="420" w:firstLineChars="200"/>
              <w:rPr>
                <w:rFonts w:hint="eastAsia"/>
                <w:bCs/>
                <w:color w:val="auto"/>
                <w:szCs w:val="28"/>
              </w:rPr>
            </w:pPr>
            <w:r>
              <w:rPr>
                <w:rFonts w:hint="eastAsia"/>
                <w:bCs/>
                <w:color w:val="auto"/>
                <w:szCs w:val="28"/>
              </w:rPr>
              <w:t>设备连接状况检查；</w:t>
            </w:r>
          </w:p>
          <w:p w14:paraId="38FDEBC2">
            <w:pPr>
              <w:pStyle w:val="129"/>
              <w:numPr>
                <w:ilvl w:val="0"/>
                <w:numId w:val="7"/>
              </w:numPr>
              <w:adjustRightInd w:val="0"/>
              <w:snapToGrid w:val="0"/>
              <w:ind w:firstLine="420" w:firstLineChars="200"/>
              <w:rPr>
                <w:rFonts w:hint="eastAsia"/>
                <w:bCs/>
                <w:color w:val="auto"/>
                <w:szCs w:val="28"/>
              </w:rPr>
            </w:pPr>
            <w:r>
              <w:rPr>
                <w:rFonts w:hint="eastAsia"/>
                <w:bCs/>
                <w:color w:val="auto"/>
                <w:szCs w:val="28"/>
              </w:rPr>
              <w:t>设备物理安全（电源冗余、机房环境、线缆）；</w:t>
            </w:r>
          </w:p>
          <w:p w14:paraId="004A56B5">
            <w:pPr>
              <w:pStyle w:val="129"/>
              <w:numPr>
                <w:ilvl w:val="0"/>
                <w:numId w:val="7"/>
              </w:numPr>
              <w:adjustRightInd w:val="0"/>
              <w:snapToGrid w:val="0"/>
              <w:ind w:firstLine="420" w:firstLineChars="200"/>
              <w:rPr>
                <w:rFonts w:hint="eastAsia"/>
                <w:bCs/>
                <w:color w:val="auto"/>
                <w:szCs w:val="28"/>
              </w:rPr>
            </w:pPr>
            <w:r>
              <w:rPr>
                <w:rFonts w:hint="eastAsia"/>
                <w:bCs/>
                <w:color w:val="auto"/>
                <w:szCs w:val="28"/>
              </w:rPr>
              <w:t>设备本身冗余性检查，包括引擎的冗余、电源的冗余；</w:t>
            </w:r>
          </w:p>
          <w:p w14:paraId="3EED2071">
            <w:pPr>
              <w:pStyle w:val="129"/>
              <w:numPr>
                <w:ilvl w:val="0"/>
                <w:numId w:val="7"/>
              </w:numPr>
              <w:adjustRightInd w:val="0"/>
              <w:snapToGrid w:val="0"/>
              <w:ind w:firstLine="420" w:firstLineChars="200"/>
              <w:rPr>
                <w:rFonts w:hint="eastAsia"/>
                <w:bCs/>
                <w:color w:val="auto"/>
                <w:szCs w:val="28"/>
              </w:rPr>
            </w:pPr>
            <w:r>
              <w:rPr>
                <w:rFonts w:hint="eastAsia"/>
                <w:bCs/>
                <w:color w:val="auto"/>
                <w:szCs w:val="28"/>
              </w:rPr>
              <w:t>设备系统及板卡指示灯状态检查分析；</w:t>
            </w:r>
          </w:p>
          <w:p w14:paraId="2A025BDB">
            <w:pPr>
              <w:pStyle w:val="129"/>
              <w:numPr>
                <w:ilvl w:val="0"/>
                <w:numId w:val="7"/>
              </w:numPr>
              <w:adjustRightInd w:val="0"/>
              <w:snapToGrid w:val="0"/>
              <w:ind w:firstLine="420" w:firstLineChars="200"/>
              <w:rPr>
                <w:rFonts w:hint="eastAsia"/>
                <w:bCs/>
                <w:color w:val="auto"/>
                <w:szCs w:val="28"/>
              </w:rPr>
            </w:pPr>
            <w:r>
              <w:rPr>
                <w:rFonts w:hint="eastAsia"/>
                <w:bCs/>
                <w:color w:val="auto"/>
                <w:szCs w:val="28"/>
              </w:rPr>
              <w:t>端口描述，端口安全性，不使用的端口建议关闭，端口性能检查；</w:t>
            </w:r>
          </w:p>
          <w:p w14:paraId="378AA964">
            <w:pPr>
              <w:pStyle w:val="129"/>
              <w:numPr>
                <w:ilvl w:val="0"/>
                <w:numId w:val="7"/>
              </w:numPr>
              <w:adjustRightInd w:val="0"/>
              <w:snapToGrid w:val="0"/>
              <w:ind w:firstLine="420" w:firstLineChars="200"/>
              <w:rPr>
                <w:rFonts w:hint="eastAsia"/>
                <w:bCs/>
                <w:color w:val="auto"/>
                <w:szCs w:val="28"/>
              </w:rPr>
            </w:pPr>
            <w:r>
              <w:rPr>
                <w:rFonts w:hint="eastAsia"/>
                <w:bCs/>
                <w:color w:val="auto"/>
                <w:szCs w:val="28"/>
              </w:rPr>
              <w:t>电源稳定性和线路检查；</w:t>
            </w:r>
          </w:p>
          <w:p w14:paraId="5D912A15">
            <w:pPr>
              <w:pStyle w:val="129"/>
              <w:numPr>
                <w:ilvl w:val="0"/>
                <w:numId w:val="7"/>
              </w:numPr>
              <w:adjustRightInd w:val="0"/>
              <w:snapToGrid w:val="0"/>
              <w:ind w:firstLine="420" w:firstLineChars="200"/>
              <w:rPr>
                <w:rFonts w:hint="eastAsia"/>
                <w:bCs/>
                <w:color w:val="auto"/>
                <w:szCs w:val="28"/>
              </w:rPr>
            </w:pPr>
            <w:r>
              <w:rPr>
                <w:rFonts w:hint="eastAsia"/>
                <w:bCs/>
                <w:color w:val="auto"/>
                <w:szCs w:val="28"/>
              </w:rPr>
              <w:t>设备有关的软件、硬件和BUG信息收集；</w:t>
            </w:r>
          </w:p>
          <w:p w14:paraId="25084FC8">
            <w:pPr>
              <w:pStyle w:val="129"/>
              <w:numPr>
                <w:ilvl w:val="0"/>
                <w:numId w:val="7"/>
              </w:numPr>
              <w:adjustRightInd w:val="0"/>
              <w:snapToGrid w:val="0"/>
              <w:ind w:firstLine="420" w:firstLineChars="200"/>
              <w:rPr>
                <w:rFonts w:hint="eastAsia"/>
                <w:bCs/>
                <w:color w:val="auto"/>
                <w:szCs w:val="28"/>
              </w:rPr>
            </w:pPr>
            <w:r>
              <w:rPr>
                <w:rFonts w:hint="eastAsia"/>
                <w:bCs/>
                <w:color w:val="auto"/>
                <w:szCs w:val="28"/>
              </w:rPr>
              <w:t>系统运行状态、性能检查和优化，包括CPU利用率、Mem使用率、Buffer分配、Crash分析；</w:t>
            </w:r>
          </w:p>
          <w:p w14:paraId="4AE97190">
            <w:pPr>
              <w:pStyle w:val="129"/>
              <w:numPr>
                <w:ilvl w:val="0"/>
                <w:numId w:val="7"/>
              </w:numPr>
              <w:adjustRightInd w:val="0"/>
              <w:snapToGrid w:val="0"/>
              <w:ind w:firstLine="420" w:firstLineChars="200"/>
              <w:rPr>
                <w:rFonts w:hint="eastAsia"/>
                <w:bCs/>
                <w:color w:val="auto"/>
                <w:szCs w:val="28"/>
              </w:rPr>
            </w:pPr>
            <w:r>
              <w:rPr>
                <w:rFonts w:hint="eastAsia"/>
                <w:bCs/>
                <w:color w:val="auto"/>
                <w:szCs w:val="28"/>
              </w:rPr>
              <w:t>设备扩容服务检查分析与支持；</w:t>
            </w:r>
          </w:p>
          <w:p w14:paraId="78B68D35">
            <w:pPr>
              <w:pStyle w:val="129"/>
              <w:numPr>
                <w:ilvl w:val="0"/>
                <w:numId w:val="7"/>
              </w:numPr>
              <w:adjustRightInd w:val="0"/>
              <w:snapToGrid w:val="0"/>
              <w:ind w:firstLine="420" w:firstLineChars="200"/>
              <w:rPr>
                <w:rFonts w:hint="eastAsia"/>
                <w:bCs/>
                <w:color w:val="auto"/>
                <w:szCs w:val="28"/>
              </w:rPr>
            </w:pPr>
            <w:r>
              <w:rPr>
                <w:rFonts w:hint="eastAsia"/>
                <w:bCs/>
                <w:color w:val="auto"/>
                <w:szCs w:val="28"/>
              </w:rPr>
              <w:t>设备物理检查（包括机体、风扇、风道及过滤器等）与清洁；</w:t>
            </w:r>
          </w:p>
          <w:p w14:paraId="0E5419AD">
            <w:pPr>
              <w:pStyle w:val="129"/>
              <w:numPr>
                <w:ilvl w:val="0"/>
                <w:numId w:val="7"/>
              </w:numPr>
              <w:adjustRightInd w:val="0"/>
              <w:snapToGrid w:val="0"/>
              <w:ind w:firstLine="420" w:firstLineChars="200"/>
              <w:rPr>
                <w:rFonts w:hint="eastAsia"/>
                <w:bCs/>
                <w:color w:val="auto"/>
                <w:szCs w:val="28"/>
              </w:rPr>
            </w:pPr>
            <w:r>
              <w:rPr>
                <w:rFonts w:hint="eastAsia"/>
                <w:bCs/>
                <w:color w:val="auto"/>
                <w:szCs w:val="28"/>
              </w:rPr>
              <w:t>检查如发现损坏的或有隐患的部件将及时更换；</w:t>
            </w:r>
          </w:p>
          <w:p w14:paraId="4B69B938">
            <w:pPr>
              <w:pStyle w:val="129"/>
              <w:numPr>
                <w:ilvl w:val="0"/>
                <w:numId w:val="7"/>
              </w:numPr>
              <w:adjustRightInd w:val="0"/>
              <w:snapToGrid w:val="0"/>
              <w:ind w:firstLine="420" w:firstLineChars="200"/>
              <w:rPr>
                <w:rFonts w:hint="eastAsia"/>
                <w:bCs/>
                <w:color w:val="auto"/>
                <w:szCs w:val="28"/>
              </w:rPr>
            </w:pPr>
            <w:r>
              <w:rPr>
                <w:rFonts w:hint="eastAsia"/>
                <w:bCs/>
                <w:color w:val="auto"/>
                <w:szCs w:val="28"/>
              </w:rPr>
              <w:t>系统硬件运行情况综合分析。</w:t>
            </w:r>
          </w:p>
          <w:p w14:paraId="31F37C1A">
            <w:pPr>
              <w:widowControl/>
              <w:numPr>
                <w:ilvl w:val="0"/>
                <w:numId w:val="5"/>
              </w:numPr>
              <w:tabs>
                <w:tab w:val="left" w:pos="420"/>
                <w:tab w:val="clear" w:pos="0"/>
              </w:tabs>
              <w:adjustRightInd w:val="0"/>
              <w:snapToGrid w:val="0"/>
              <w:ind w:left="0" w:firstLine="425"/>
              <w:outlineLvl w:val="3"/>
              <w:rPr>
                <w:rFonts w:hint="eastAsia" w:ascii="宋体" w:hAnsi="宋体" w:cs="宋体"/>
                <w:bCs/>
                <w:color w:val="auto"/>
                <w:kern w:val="0"/>
                <w:szCs w:val="28"/>
              </w:rPr>
            </w:pPr>
            <w:r>
              <w:rPr>
                <w:rFonts w:hint="eastAsia" w:ascii="宋体" w:hAnsi="宋体" w:cs="宋体"/>
                <w:bCs/>
                <w:color w:val="auto"/>
                <w:kern w:val="0"/>
                <w:szCs w:val="28"/>
              </w:rPr>
              <w:t>软件部分巡检检查</w:t>
            </w:r>
          </w:p>
          <w:p w14:paraId="64ECB45B">
            <w:pPr>
              <w:pStyle w:val="129"/>
              <w:numPr>
                <w:ilvl w:val="0"/>
                <w:numId w:val="8"/>
              </w:numPr>
              <w:adjustRightInd w:val="0"/>
              <w:snapToGrid w:val="0"/>
              <w:ind w:firstLine="420" w:firstLineChars="200"/>
              <w:rPr>
                <w:rFonts w:hint="eastAsia"/>
                <w:bCs/>
                <w:color w:val="auto"/>
                <w:szCs w:val="28"/>
              </w:rPr>
            </w:pPr>
            <w:r>
              <w:rPr>
                <w:rFonts w:hint="eastAsia"/>
                <w:bCs/>
                <w:color w:val="auto"/>
                <w:szCs w:val="28"/>
              </w:rPr>
              <w:t>网络架构标准化、可扩展性、可用性、可靠性、高性能性、安全性及可管理性等检查；</w:t>
            </w:r>
          </w:p>
          <w:p w14:paraId="67CFE8C3">
            <w:pPr>
              <w:pStyle w:val="129"/>
              <w:numPr>
                <w:ilvl w:val="0"/>
                <w:numId w:val="8"/>
              </w:numPr>
              <w:adjustRightInd w:val="0"/>
              <w:snapToGrid w:val="0"/>
              <w:ind w:firstLine="420" w:firstLineChars="200"/>
              <w:rPr>
                <w:rFonts w:hint="eastAsia"/>
                <w:bCs/>
                <w:color w:val="auto"/>
                <w:szCs w:val="28"/>
              </w:rPr>
            </w:pPr>
            <w:r>
              <w:rPr>
                <w:rFonts w:hint="eastAsia"/>
                <w:bCs/>
                <w:color w:val="auto"/>
                <w:szCs w:val="28"/>
              </w:rPr>
              <w:t>系统的使用管理支持及相关升级服务；</w:t>
            </w:r>
          </w:p>
          <w:p w14:paraId="2E217BA6">
            <w:pPr>
              <w:pStyle w:val="129"/>
              <w:numPr>
                <w:ilvl w:val="0"/>
                <w:numId w:val="8"/>
              </w:numPr>
              <w:adjustRightInd w:val="0"/>
              <w:snapToGrid w:val="0"/>
              <w:ind w:firstLine="420" w:firstLineChars="200"/>
              <w:rPr>
                <w:rFonts w:hint="eastAsia"/>
                <w:bCs/>
                <w:color w:val="auto"/>
                <w:szCs w:val="28"/>
              </w:rPr>
            </w:pPr>
            <w:r>
              <w:rPr>
                <w:rFonts w:hint="eastAsia"/>
                <w:bCs/>
                <w:color w:val="auto"/>
                <w:szCs w:val="28"/>
              </w:rPr>
              <w:t>检查系统日志分析报告（show Log）以及其他记录文件；</w:t>
            </w:r>
          </w:p>
          <w:p w14:paraId="55915DFA">
            <w:pPr>
              <w:pStyle w:val="129"/>
              <w:numPr>
                <w:ilvl w:val="0"/>
                <w:numId w:val="8"/>
              </w:numPr>
              <w:adjustRightInd w:val="0"/>
              <w:snapToGrid w:val="0"/>
              <w:ind w:firstLine="420" w:firstLineChars="200"/>
              <w:rPr>
                <w:rFonts w:hint="eastAsia"/>
                <w:bCs/>
                <w:color w:val="auto"/>
                <w:szCs w:val="28"/>
              </w:rPr>
            </w:pPr>
            <w:r>
              <w:rPr>
                <w:rFonts w:hint="eastAsia"/>
                <w:bCs/>
                <w:color w:val="auto"/>
                <w:szCs w:val="28"/>
              </w:rPr>
              <w:t>安全性配置分析；</w:t>
            </w:r>
          </w:p>
          <w:p w14:paraId="44CF3562">
            <w:pPr>
              <w:pStyle w:val="129"/>
              <w:numPr>
                <w:ilvl w:val="0"/>
                <w:numId w:val="8"/>
              </w:numPr>
              <w:adjustRightInd w:val="0"/>
              <w:snapToGrid w:val="0"/>
              <w:ind w:firstLine="420" w:firstLineChars="200"/>
              <w:rPr>
                <w:rFonts w:hint="eastAsia"/>
                <w:bCs/>
                <w:color w:val="auto"/>
                <w:szCs w:val="28"/>
              </w:rPr>
            </w:pPr>
            <w:r>
              <w:rPr>
                <w:rFonts w:hint="eastAsia"/>
                <w:bCs/>
                <w:color w:val="auto"/>
                <w:szCs w:val="28"/>
              </w:rPr>
              <w:t>管理性配置分析：设备上SNMP、LOGGING设置，NTP配置；</w:t>
            </w:r>
          </w:p>
          <w:p w14:paraId="5C3FCA37">
            <w:pPr>
              <w:pStyle w:val="129"/>
              <w:numPr>
                <w:ilvl w:val="0"/>
                <w:numId w:val="8"/>
              </w:numPr>
              <w:adjustRightInd w:val="0"/>
              <w:snapToGrid w:val="0"/>
              <w:ind w:firstLine="420" w:firstLineChars="200"/>
              <w:rPr>
                <w:rFonts w:hint="eastAsia"/>
                <w:bCs/>
                <w:color w:val="auto"/>
                <w:szCs w:val="28"/>
              </w:rPr>
            </w:pPr>
            <w:r>
              <w:rPr>
                <w:rFonts w:hint="eastAsia"/>
                <w:bCs/>
                <w:color w:val="auto"/>
                <w:szCs w:val="28"/>
              </w:rPr>
              <w:t>网络层：路由分发配置、静态路由配置；</w:t>
            </w:r>
          </w:p>
          <w:p w14:paraId="163D831D">
            <w:pPr>
              <w:pStyle w:val="129"/>
              <w:numPr>
                <w:ilvl w:val="0"/>
                <w:numId w:val="8"/>
              </w:numPr>
              <w:adjustRightInd w:val="0"/>
              <w:snapToGrid w:val="0"/>
              <w:ind w:firstLine="420" w:firstLineChars="200"/>
              <w:rPr>
                <w:rFonts w:hint="eastAsia"/>
                <w:bCs/>
                <w:color w:val="auto"/>
                <w:szCs w:val="28"/>
              </w:rPr>
            </w:pPr>
            <w:r>
              <w:rPr>
                <w:rFonts w:hint="eastAsia"/>
                <w:bCs/>
                <w:color w:val="auto"/>
                <w:szCs w:val="28"/>
              </w:rPr>
              <w:t>网络系统通讯状态检查；</w:t>
            </w:r>
          </w:p>
          <w:p w14:paraId="50DBAEEC">
            <w:pPr>
              <w:pStyle w:val="129"/>
              <w:numPr>
                <w:ilvl w:val="0"/>
                <w:numId w:val="8"/>
              </w:numPr>
              <w:adjustRightInd w:val="0"/>
              <w:snapToGrid w:val="0"/>
              <w:ind w:firstLine="420" w:firstLineChars="200"/>
              <w:rPr>
                <w:rFonts w:hint="eastAsia"/>
                <w:bCs/>
                <w:color w:val="auto"/>
                <w:szCs w:val="28"/>
              </w:rPr>
            </w:pPr>
            <w:r>
              <w:rPr>
                <w:rFonts w:hint="eastAsia"/>
                <w:bCs/>
                <w:color w:val="auto"/>
                <w:szCs w:val="28"/>
              </w:rPr>
              <w:t>路由协议学习管理、质量服务（QOS）；</w:t>
            </w:r>
          </w:p>
          <w:p w14:paraId="16D28734">
            <w:pPr>
              <w:pStyle w:val="129"/>
              <w:numPr>
                <w:ilvl w:val="0"/>
                <w:numId w:val="8"/>
              </w:numPr>
              <w:adjustRightInd w:val="0"/>
              <w:snapToGrid w:val="0"/>
              <w:ind w:firstLine="420" w:firstLineChars="200"/>
              <w:rPr>
                <w:rFonts w:hint="eastAsia"/>
                <w:bCs/>
                <w:color w:val="auto"/>
                <w:szCs w:val="28"/>
              </w:rPr>
            </w:pPr>
            <w:r>
              <w:rPr>
                <w:rFonts w:hint="eastAsia"/>
                <w:bCs/>
                <w:color w:val="auto"/>
                <w:szCs w:val="28"/>
              </w:rPr>
              <w:t>检查网络流量、通讯流量控制、网络访问安全、通讯数据类型的转发、VLAN划分等；</w:t>
            </w:r>
          </w:p>
          <w:p w14:paraId="259985D9">
            <w:pPr>
              <w:pStyle w:val="129"/>
              <w:numPr>
                <w:ilvl w:val="0"/>
                <w:numId w:val="8"/>
              </w:numPr>
              <w:adjustRightInd w:val="0"/>
              <w:snapToGrid w:val="0"/>
              <w:ind w:firstLine="420" w:firstLineChars="200"/>
              <w:rPr>
                <w:rFonts w:hint="eastAsia"/>
                <w:bCs/>
                <w:color w:val="auto"/>
                <w:szCs w:val="28"/>
              </w:rPr>
            </w:pPr>
            <w:r>
              <w:rPr>
                <w:rFonts w:hint="eastAsia"/>
                <w:bCs/>
                <w:color w:val="auto"/>
                <w:szCs w:val="28"/>
              </w:rPr>
              <w:t>当前系统配置采集及系统更改信息归档；</w:t>
            </w:r>
          </w:p>
          <w:p w14:paraId="0DB092E7">
            <w:pPr>
              <w:pStyle w:val="129"/>
              <w:numPr>
                <w:ilvl w:val="0"/>
                <w:numId w:val="8"/>
              </w:numPr>
              <w:adjustRightInd w:val="0"/>
              <w:snapToGrid w:val="0"/>
              <w:ind w:firstLine="420" w:firstLineChars="200"/>
              <w:rPr>
                <w:rFonts w:hint="eastAsia"/>
                <w:bCs/>
                <w:color w:val="auto"/>
                <w:szCs w:val="28"/>
              </w:rPr>
            </w:pPr>
            <w:r>
              <w:rPr>
                <w:rFonts w:hint="eastAsia"/>
                <w:bCs/>
                <w:color w:val="auto"/>
                <w:szCs w:val="28"/>
              </w:rPr>
              <w:t>将发现有隐患的系统问题及时排除；</w:t>
            </w:r>
          </w:p>
          <w:p w14:paraId="4A005CD1">
            <w:pPr>
              <w:pStyle w:val="129"/>
              <w:numPr>
                <w:ilvl w:val="0"/>
                <w:numId w:val="8"/>
              </w:numPr>
              <w:adjustRightInd w:val="0"/>
              <w:snapToGrid w:val="0"/>
              <w:ind w:firstLine="420" w:firstLineChars="200"/>
              <w:rPr>
                <w:rFonts w:hint="eastAsia"/>
                <w:bCs/>
                <w:color w:val="auto"/>
                <w:szCs w:val="28"/>
              </w:rPr>
            </w:pPr>
            <w:r>
              <w:rPr>
                <w:rFonts w:hint="eastAsia"/>
                <w:bCs/>
                <w:color w:val="auto"/>
                <w:szCs w:val="28"/>
              </w:rPr>
              <w:t>重要事件现场支持服务（例如割接、设备搬迁、现网测试、组网方案等）；</w:t>
            </w:r>
          </w:p>
          <w:p w14:paraId="0AF5A0E9">
            <w:pPr>
              <w:pStyle w:val="129"/>
              <w:numPr>
                <w:ilvl w:val="0"/>
                <w:numId w:val="8"/>
              </w:numPr>
              <w:adjustRightInd w:val="0"/>
              <w:snapToGrid w:val="0"/>
              <w:ind w:firstLine="420" w:firstLineChars="200"/>
              <w:rPr>
                <w:rFonts w:hint="eastAsia"/>
                <w:bCs/>
                <w:color w:val="auto"/>
                <w:szCs w:val="28"/>
              </w:rPr>
            </w:pPr>
            <w:r>
              <w:rPr>
                <w:rFonts w:hint="eastAsia"/>
                <w:bCs/>
                <w:color w:val="auto"/>
                <w:szCs w:val="28"/>
              </w:rPr>
              <w:t>结合系统软硬件运行状况，进行网络整体拓扑结构化分析。</w:t>
            </w:r>
          </w:p>
          <w:p w14:paraId="0C2ABC1A">
            <w:pPr>
              <w:widowControl/>
              <w:numPr>
                <w:ilvl w:val="0"/>
                <w:numId w:val="5"/>
              </w:numPr>
              <w:tabs>
                <w:tab w:val="left" w:pos="420"/>
                <w:tab w:val="clear" w:pos="0"/>
              </w:tabs>
              <w:adjustRightInd w:val="0"/>
              <w:snapToGrid w:val="0"/>
              <w:ind w:left="0" w:firstLine="425"/>
              <w:outlineLvl w:val="3"/>
              <w:rPr>
                <w:rFonts w:hint="eastAsia" w:ascii="宋体" w:hAnsi="宋体" w:cs="宋体"/>
                <w:bCs/>
                <w:color w:val="auto"/>
                <w:kern w:val="0"/>
                <w:szCs w:val="28"/>
              </w:rPr>
            </w:pPr>
            <w:r>
              <w:rPr>
                <w:rFonts w:hint="eastAsia" w:ascii="宋体" w:hAnsi="宋体" w:cs="宋体"/>
                <w:bCs/>
                <w:color w:val="auto"/>
                <w:kern w:val="0"/>
                <w:szCs w:val="28"/>
              </w:rPr>
              <w:t>网络设备维护服务</w:t>
            </w:r>
          </w:p>
          <w:p w14:paraId="5E7EE06C">
            <w:pPr>
              <w:pStyle w:val="129"/>
              <w:adjustRightInd w:val="0"/>
              <w:snapToGrid w:val="0"/>
              <w:ind w:firstLine="378" w:firstLineChars="180"/>
              <w:rPr>
                <w:rFonts w:hint="eastAsia"/>
                <w:bCs/>
                <w:color w:val="auto"/>
                <w:szCs w:val="28"/>
              </w:rPr>
            </w:pPr>
            <w:r>
              <w:rPr>
                <w:rFonts w:hint="eastAsia"/>
                <w:bCs/>
                <w:color w:val="auto"/>
                <w:szCs w:val="28"/>
              </w:rPr>
              <w:t>在系统维护期间，根据中心网络设备的情况与需求，与主机紧密结合，提供7×24小时技术维护服务，服务内容如下：</w:t>
            </w:r>
          </w:p>
          <w:p w14:paraId="44748B2A">
            <w:pPr>
              <w:pStyle w:val="129"/>
              <w:numPr>
                <w:ilvl w:val="0"/>
                <w:numId w:val="9"/>
              </w:numPr>
              <w:adjustRightInd w:val="0"/>
              <w:snapToGrid w:val="0"/>
              <w:ind w:firstLine="420" w:firstLineChars="200"/>
              <w:rPr>
                <w:rFonts w:hint="eastAsia"/>
                <w:bCs/>
                <w:color w:val="auto"/>
                <w:szCs w:val="28"/>
              </w:rPr>
            </w:pPr>
            <w:r>
              <w:rPr>
                <w:rFonts w:hint="eastAsia"/>
                <w:bCs/>
                <w:color w:val="auto"/>
                <w:szCs w:val="28"/>
              </w:rPr>
              <w:t>7×24小时远程或现场故障诊断和排除服务；</w:t>
            </w:r>
          </w:p>
          <w:p w14:paraId="460BB4BB">
            <w:pPr>
              <w:pStyle w:val="129"/>
              <w:numPr>
                <w:ilvl w:val="0"/>
                <w:numId w:val="9"/>
              </w:numPr>
              <w:adjustRightInd w:val="0"/>
              <w:snapToGrid w:val="0"/>
              <w:ind w:firstLine="420" w:firstLineChars="200"/>
              <w:rPr>
                <w:rFonts w:hint="eastAsia"/>
                <w:bCs/>
                <w:color w:val="auto"/>
                <w:szCs w:val="28"/>
              </w:rPr>
            </w:pPr>
            <w:r>
              <w:rPr>
                <w:rFonts w:hint="eastAsia"/>
                <w:bCs/>
                <w:color w:val="auto"/>
                <w:szCs w:val="28"/>
              </w:rPr>
              <w:t>系统在线连接信息咨询服务；</w:t>
            </w:r>
          </w:p>
          <w:p w14:paraId="4A21480B">
            <w:pPr>
              <w:pStyle w:val="129"/>
              <w:numPr>
                <w:ilvl w:val="0"/>
                <w:numId w:val="9"/>
              </w:numPr>
              <w:adjustRightInd w:val="0"/>
              <w:snapToGrid w:val="0"/>
              <w:ind w:firstLine="420" w:firstLineChars="200"/>
              <w:rPr>
                <w:rFonts w:hint="eastAsia"/>
                <w:bCs/>
                <w:color w:val="auto"/>
                <w:szCs w:val="28"/>
              </w:rPr>
            </w:pPr>
            <w:r>
              <w:rPr>
                <w:rFonts w:hint="eastAsia"/>
                <w:bCs/>
                <w:color w:val="auto"/>
                <w:szCs w:val="28"/>
              </w:rPr>
              <w:t>系统微码的使用管理支持服务；</w:t>
            </w:r>
          </w:p>
          <w:p w14:paraId="79D5AD3A">
            <w:pPr>
              <w:pStyle w:val="129"/>
              <w:numPr>
                <w:ilvl w:val="0"/>
                <w:numId w:val="9"/>
              </w:numPr>
              <w:adjustRightInd w:val="0"/>
              <w:snapToGrid w:val="0"/>
              <w:ind w:firstLine="420" w:firstLineChars="200"/>
              <w:rPr>
                <w:rFonts w:hint="eastAsia"/>
                <w:bCs/>
                <w:color w:val="auto"/>
                <w:szCs w:val="28"/>
              </w:rPr>
            </w:pPr>
            <w:r>
              <w:rPr>
                <w:rFonts w:hint="eastAsia"/>
                <w:bCs/>
                <w:color w:val="auto"/>
                <w:szCs w:val="28"/>
              </w:rPr>
              <w:t>软件补丁升级服务（操作系统）；</w:t>
            </w:r>
          </w:p>
          <w:p w14:paraId="1563851B">
            <w:pPr>
              <w:pStyle w:val="129"/>
              <w:numPr>
                <w:ilvl w:val="0"/>
                <w:numId w:val="9"/>
              </w:numPr>
              <w:adjustRightInd w:val="0"/>
              <w:snapToGrid w:val="0"/>
              <w:ind w:firstLine="420" w:firstLineChars="200"/>
              <w:rPr>
                <w:rFonts w:hint="eastAsia"/>
                <w:bCs/>
                <w:color w:val="auto"/>
                <w:szCs w:val="28"/>
              </w:rPr>
            </w:pPr>
            <w:r>
              <w:rPr>
                <w:rFonts w:hint="eastAsia"/>
                <w:bCs/>
                <w:color w:val="auto"/>
                <w:szCs w:val="28"/>
              </w:rPr>
              <w:t>配置文档备份与恢复服务；</w:t>
            </w:r>
          </w:p>
          <w:p w14:paraId="25F61A2D">
            <w:pPr>
              <w:pStyle w:val="129"/>
              <w:numPr>
                <w:ilvl w:val="0"/>
                <w:numId w:val="9"/>
              </w:numPr>
              <w:adjustRightInd w:val="0"/>
              <w:snapToGrid w:val="0"/>
              <w:ind w:firstLine="420" w:firstLineChars="200"/>
              <w:rPr>
                <w:rFonts w:hint="eastAsia"/>
                <w:bCs/>
                <w:color w:val="auto"/>
                <w:szCs w:val="28"/>
              </w:rPr>
            </w:pPr>
            <w:r>
              <w:rPr>
                <w:rFonts w:hint="eastAsia"/>
                <w:bCs/>
                <w:color w:val="auto"/>
                <w:szCs w:val="28"/>
              </w:rPr>
              <w:t>7×24热线服务；</w:t>
            </w:r>
          </w:p>
          <w:p w14:paraId="6D57011E">
            <w:pPr>
              <w:pStyle w:val="129"/>
              <w:numPr>
                <w:ilvl w:val="0"/>
                <w:numId w:val="9"/>
              </w:numPr>
              <w:adjustRightInd w:val="0"/>
              <w:snapToGrid w:val="0"/>
              <w:ind w:firstLine="420" w:firstLineChars="200"/>
              <w:rPr>
                <w:rFonts w:hint="eastAsia"/>
                <w:bCs/>
                <w:color w:val="auto"/>
                <w:szCs w:val="28"/>
              </w:rPr>
            </w:pPr>
            <w:r>
              <w:rPr>
                <w:rFonts w:hint="eastAsia"/>
                <w:bCs/>
                <w:color w:val="auto"/>
                <w:szCs w:val="28"/>
              </w:rPr>
              <w:t>重要事件现场支持服务（例如割接、设备搬迁、现网测试、组网方案等）；</w:t>
            </w:r>
          </w:p>
          <w:p w14:paraId="3DD2D4C2">
            <w:pPr>
              <w:pStyle w:val="129"/>
              <w:numPr>
                <w:ilvl w:val="0"/>
                <w:numId w:val="9"/>
              </w:numPr>
              <w:adjustRightInd w:val="0"/>
              <w:snapToGrid w:val="0"/>
              <w:ind w:firstLine="420" w:firstLineChars="200"/>
              <w:rPr>
                <w:rFonts w:hint="eastAsia"/>
                <w:bCs/>
                <w:color w:val="auto"/>
                <w:szCs w:val="28"/>
              </w:rPr>
            </w:pPr>
            <w:r>
              <w:rPr>
                <w:rFonts w:hint="eastAsia"/>
                <w:bCs/>
                <w:color w:val="auto"/>
                <w:szCs w:val="28"/>
              </w:rPr>
              <w:t>定期的预防性维护；</w:t>
            </w:r>
          </w:p>
          <w:p w14:paraId="5C38EFDD">
            <w:pPr>
              <w:pStyle w:val="129"/>
              <w:numPr>
                <w:ilvl w:val="0"/>
                <w:numId w:val="9"/>
              </w:numPr>
              <w:adjustRightInd w:val="0"/>
              <w:snapToGrid w:val="0"/>
              <w:ind w:firstLine="420" w:firstLineChars="200"/>
              <w:rPr>
                <w:rFonts w:hint="eastAsia"/>
                <w:bCs/>
                <w:color w:val="auto"/>
                <w:szCs w:val="28"/>
              </w:rPr>
            </w:pPr>
            <w:r>
              <w:rPr>
                <w:rFonts w:hint="eastAsia"/>
                <w:bCs/>
                <w:color w:val="auto"/>
                <w:szCs w:val="28"/>
              </w:rPr>
              <w:t>现场备件更换服务；</w:t>
            </w:r>
          </w:p>
          <w:p w14:paraId="0F56E5E0">
            <w:pPr>
              <w:pStyle w:val="129"/>
              <w:numPr>
                <w:ilvl w:val="0"/>
                <w:numId w:val="9"/>
              </w:numPr>
              <w:adjustRightInd w:val="0"/>
              <w:snapToGrid w:val="0"/>
              <w:ind w:firstLine="420" w:firstLineChars="200"/>
              <w:rPr>
                <w:rFonts w:hint="eastAsia"/>
                <w:bCs/>
                <w:color w:val="auto"/>
                <w:szCs w:val="28"/>
              </w:rPr>
            </w:pPr>
            <w:r>
              <w:rPr>
                <w:rFonts w:hint="eastAsia"/>
                <w:bCs/>
                <w:color w:val="auto"/>
                <w:szCs w:val="28"/>
              </w:rPr>
              <w:t>技术培训服务；</w:t>
            </w:r>
          </w:p>
          <w:p w14:paraId="13BD8E21">
            <w:pPr>
              <w:pStyle w:val="129"/>
              <w:numPr>
                <w:ilvl w:val="0"/>
                <w:numId w:val="9"/>
              </w:numPr>
              <w:adjustRightInd w:val="0"/>
              <w:snapToGrid w:val="0"/>
              <w:ind w:firstLine="420" w:firstLineChars="200"/>
              <w:rPr>
                <w:rFonts w:hint="eastAsia"/>
                <w:bCs/>
                <w:color w:val="auto"/>
                <w:szCs w:val="28"/>
              </w:rPr>
            </w:pPr>
            <w:r>
              <w:rPr>
                <w:rFonts w:hint="eastAsia"/>
                <w:bCs/>
                <w:color w:val="auto"/>
                <w:szCs w:val="28"/>
              </w:rPr>
              <w:t>协助网络结构优化方案设计服务；</w:t>
            </w:r>
          </w:p>
          <w:p w14:paraId="6A0253F7">
            <w:pPr>
              <w:pStyle w:val="129"/>
              <w:numPr>
                <w:ilvl w:val="0"/>
                <w:numId w:val="9"/>
              </w:numPr>
              <w:adjustRightInd w:val="0"/>
              <w:snapToGrid w:val="0"/>
              <w:ind w:firstLine="420" w:firstLineChars="200"/>
              <w:rPr>
                <w:rFonts w:hint="eastAsia"/>
                <w:bCs/>
                <w:color w:val="auto"/>
                <w:szCs w:val="28"/>
              </w:rPr>
            </w:pPr>
            <w:r>
              <w:rPr>
                <w:rFonts w:hint="eastAsia"/>
                <w:bCs/>
                <w:color w:val="auto"/>
                <w:szCs w:val="28"/>
              </w:rPr>
              <w:t>协助网络安全设计及优化系统服务；</w:t>
            </w:r>
          </w:p>
          <w:p w14:paraId="765C0B9C">
            <w:pPr>
              <w:pStyle w:val="129"/>
              <w:numPr>
                <w:ilvl w:val="0"/>
                <w:numId w:val="9"/>
              </w:numPr>
              <w:adjustRightInd w:val="0"/>
              <w:snapToGrid w:val="0"/>
              <w:ind w:firstLine="420" w:firstLineChars="200"/>
              <w:rPr>
                <w:rFonts w:hint="eastAsia"/>
                <w:bCs/>
                <w:color w:val="auto"/>
                <w:szCs w:val="28"/>
              </w:rPr>
            </w:pPr>
            <w:r>
              <w:rPr>
                <w:rFonts w:hint="eastAsia"/>
                <w:bCs/>
                <w:color w:val="auto"/>
                <w:szCs w:val="28"/>
              </w:rPr>
              <w:t>配合中心网络地址空间规划与优化设计服务；</w:t>
            </w:r>
          </w:p>
          <w:p w14:paraId="44365A8E">
            <w:pPr>
              <w:pStyle w:val="129"/>
              <w:numPr>
                <w:ilvl w:val="0"/>
                <w:numId w:val="9"/>
              </w:numPr>
              <w:adjustRightInd w:val="0"/>
              <w:snapToGrid w:val="0"/>
              <w:ind w:firstLine="420" w:firstLineChars="200"/>
              <w:rPr>
                <w:rFonts w:hint="eastAsia"/>
                <w:bCs/>
                <w:color w:val="auto"/>
                <w:szCs w:val="28"/>
              </w:rPr>
            </w:pPr>
            <w:r>
              <w:rPr>
                <w:rFonts w:hint="eastAsia"/>
                <w:bCs/>
                <w:color w:val="auto"/>
                <w:szCs w:val="28"/>
              </w:rPr>
              <w:t>配合网络系统性能优化设计服务。</w:t>
            </w:r>
          </w:p>
          <w:p w14:paraId="743CCF3A">
            <w:pPr>
              <w:pStyle w:val="129"/>
              <w:adjustRightInd w:val="0"/>
              <w:snapToGrid w:val="0"/>
              <w:ind w:firstLine="378" w:firstLineChars="180"/>
              <w:outlineLvl w:val="1"/>
              <w:rPr>
                <w:rFonts w:hint="eastAsia"/>
                <w:bCs/>
                <w:color w:val="auto"/>
                <w:szCs w:val="28"/>
              </w:rPr>
            </w:pPr>
            <w:r>
              <w:rPr>
                <w:rFonts w:hint="eastAsia"/>
                <w:bCs/>
                <w:color w:val="auto"/>
                <w:szCs w:val="28"/>
              </w:rPr>
              <w:t>（三）核心业务区云平台软件运维需求</w:t>
            </w:r>
          </w:p>
          <w:p w14:paraId="5BE6D583">
            <w:pPr>
              <w:pStyle w:val="129"/>
              <w:adjustRightInd w:val="0"/>
              <w:snapToGrid w:val="0"/>
              <w:ind w:firstLine="379" w:firstLineChars="180"/>
              <w:rPr>
                <w:rFonts w:hint="eastAsia"/>
                <w:bCs/>
                <w:color w:val="auto"/>
                <w:szCs w:val="28"/>
              </w:rPr>
            </w:pPr>
            <w:r>
              <w:rPr>
                <w:rFonts w:hint="eastAsia"/>
                <w:b/>
                <w:color w:val="auto"/>
              </w:rPr>
              <w:t>▲</w:t>
            </w:r>
            <w:r>
              <w:rPr>
                <w:rFonts w:hint="eastAsia"/>
                <w:bCs/>
                <w:color w:val="auto"/>
                <w:szCs w:val="28"/>
              </w:rPr>
              <w:t>提供核心业务区云平台软件运维服务，运维人员4人。</w:t>
            </w:r>
          </w:p>
          <w:p w14:paraId="4199DCBB">
            <w:pPr>
              <w:pStyle w:val="129"/>
              <w:adjustRightInd w:val="0"/>
              <w:snapToGrid w:val="0"/>
              <w:ind w:firstLine="378" w:firstLineChars="180"/>
              <w:outlineLvl w:val="2"/>
              <w:rPr>
                <w:rFonts w:hint="eastAsia"/>
                <w:bCs/>
                <w:color w:val="auto"/>
                <w:szCs w:val="28"/>
              </w:rPr>
            </w:pPr>
            <w:r>
              <w:rPr>
                <w:rFonts w:hint="eastAsia"/>
                <w:bCs/>
                <w:color w:val="auto"/>
                <w:szCs w:val="28"/>
              </w:rPr>
              <w:t>1.核心业务区云平台运维服务需求</w:t>
            </w:r>
          </w:p>
          <w:p w14:paraId="46B5B91E">
            <w:pPr>
              <w:pStyle w:val="129"/>
              <w:adjustRightInd w:val="0"/>
              <w:snapToGrid w:val="0"/>
              <w:ind w:firstLine="378" w:firstLineChars="180"/>
              <w:rPr>
                <w:rFonts w:hint="eastAsia"/>
                <w:bCs/>
                <w:color w:val="auto"/>
                <w:szCs w:val="28"/>
              </w:rPr>
            </w:pPr>
            <w:r>
              <w:rPr>
                <w:rFonts w:hint="eastAsia"/>
                <w:bCs/>
                <w:color w:val="auto"/>
                <w:szCs w:val="28"/>
              </w:rPr>
              <w:t>提供云平台基础运维服务，包括资源运营、平台巡检、平台变更、应急响应、风险治理、权限管控、产品监控、缺陷修复、安全护网和等保测评复评等。</w:t>
            </w:r>
          </w:p>
          <w:p w14:paraId="448B7CCE">
            <w:pPr>
              <w:widowControl/>
              <w:numPr>
                <w:ilvl w:val="0"/>
                <w:numId w:val="10"/>
              </w:numPr>
              <w:tabs>
                <w:tab w:val="left" w:pos="420"/>
                <w:tab w:val="clear" w:pos="0"/>
              </w:tabs>
              <w:adjustRightInd w:val="0"/>
              <w:snapToGrid w:val="0"/>
              <w:ind w:left="0" w:firstLine="425"/>
              <w:outlineLvl w:val="3"/>
              <w:rPr>
                <w:rFonts w:hint="eastAsia" w:ascii="宋体" w:hAnsi="宋体" w:cs="宋体"/>
                <w:bCs/>
                <w:color w:val="auto"/>
                <w:kern w:val="0"/>
                <w:szCs w:val="28"/>
              </w:rPr>
            </w:pPr>
            <w:r>
              <w:rPr>
                <w:rFonts w:hint="eastAsia" w:ascii="宋体" w:hAnsi="宋体" w:cs="宋体"/>
                <w:bCs/>
                <w:color w:val="auto"/>
                <w:kern w:val="0"/>
                <w:szCs w:val="28"/>
              </w:rPr>
              <w:t>资源运营</w:t>
            </w:r>
          </w:p>
          <w:p w14:paraId="363FBA90">
            <w:pPr>
              <w:pStyle w:val="129"/>
              <w:adjustRightInd w:val="0"/>
              <w:snapToGrid w:val="0"/>
              <w:ind w:firstLine="378" w:firstLineChars="180"/>
              <w:rPr>
                <w:rFonts w:hint="eastAsia"/>
                <w:bCs/>
                <w:color w:val="auto"/>
                <w:szCs w:val="28"/>
              </w:rPr>
            </w:pPr>
            <w:r>
              <w:rPr>
                <w:rFonts w:hint="eastAsia"/>
                <w:bCs/>
                <w:color w:val="auto"/>
                <w:szCs w:val="28"/>
              </w:rPr>
              <w:t>通过现场运维人员和远程技术专家提供云平台资源运营工作，充分利用云计算弹性和自动化技术能力，以资源精细化管理提升云资源利用率，有效支撑业务部署和开展。</w:t>
            </w:r>
          </w:p>
          <w:p w14:paraId="45E4E3FA">
            <w:pPr>
              <w:widowControl/>
              <w:numPr>
                <w:ilvl w:val="0"/>
                <w:numId w:val="10"/>
              </w:numPr>
              <w:tabs>
                <w:tab w:val="left" w:pos="420"/>
                <w:tab w:val="clear" w:pos="0"/>
              </w:tabs>
              <w:adjustRightInd w:val="0"/>
              <w:snapToGrid w:val="0"/>
              <w:ind w:left="0" w:firstLine="425"/>
              <w:outlineLvl w:val="3"/>
              <w:rPr>
                <w:rFonts w:hint="eastAsia" w:ascii="宋体" w:hAnsi="宋体" w:cs="宋体"/>
                <w:bCs/>
                <w:color w:val="auto"/>
                <w:kern w:val="0"/>
                <w:szCs w:val="28"/>
              </w:rPr>
            </w:pPr>
            <w:r>
              <w:rPr>
                <w:rFonts w:hint="eastAsia" w:ascii="宋体"/>
                <w:b/>
                <w:color w:val="auto"/>
                <w:szCs w:val="21"/>
              </w:rPr>
              <w:t>▲</w:t>
            </w:r>
            <w:r>
              <w:rPr>
                <w:rFonts w:hint="eastAsia" w:ascii="宋体" w:hAnsi="宋体" w:cs="宋体"/>
                <w:bCs/>
                <w:color w:val="auto"/>
                <w:kern w:val="0"/>
                <w:szCs w:val="28"/>
              </w:rPr>
              <w:t>平台巡检</w:t>
            </w:r>
          </w:p>
          <w:p w14:paraId="790ADA77">
            <w:pPr>
              <w:pStyle w:val="129"/>
              <w:adjustRightInd w:val="0"/>
              <w:snapToGrid w:val="0"/>
              <w:ind w:firstLine="378" w:firstLineChars="180"/>
              <w:rPr>
                <w:rFonts w:hint="eastAsia"/>
                <w:bCs/>
                <w:color w:val="auto"/>
                <w:szCs w:val="28"/>
              </w:rPr>
            </w:pPr>
            <w:r>
              <w:rPr>
                <w:rFonts w:hint="eastAsia"/>
                <w:bCs/>
                <w:color w:val="auto"/>
                <w:szCs w:val="28"/>
              </w:rPr>
              <w:t>通过现场运维人员实施和远程技术专家远程协助进行平台巡检工作，具体包括以下服务内容：基于每日常态化例行化巡检工作，主动发现隐患，预防故障发生，保障平台健康度；保障系统稳定运行、各项服务正常使用，解决系统运行中出现的问题、提供技术支持服务，定期对部署的系统理性巡检，检查日志是否有异常，若出现异常及时处理，检查定时任务是否正常，业务经办是否正常，接口使用是否正常等，确保系统在运行过程中无问题。该项服务工作通过及时识别异常事件，确保云平台产品和业务平稳运行，降低潜在业务风险。</w:t>
            </w:r>
          </w:p>
          <w:p w14:paraId="306BEF9B">
            <w:pPr>
              <w:widowControl/>
              <w:numPr>
                <w:ilvl w:val="0"/>
                <w:numId w:val="10"/>
              </w:numPr>
              <w:tabs>
                <w:tab w:val="left" w:pos="420"/>
                <w:tab w:val="clear" w:pos="0"/>
              </w:tabs>
              <w:adjustRightInd w:val="0"/>
              <w:snapToGrid w:val="0"/>
              <w:ind w:left="0" w:firstLine="425"/>
              <w:outlineLvl w:val="3"/>
              <w:rPr>
                <w:rFonts w:hint="eastAsia" w:ascii="宋体" w:hAnsi="宋体" w:cs="宋体"/>
                <w:bCs/>
                <w:color w:val="auto"/>
                <w:kern w:val="0"/>
                <w:szCs w:val="28"/>
              </w:rPr>
            </w:pPr>
            <w:r>
              <w:rPr>
                <w:rFonts w:hint="eastAsia" w:ascii="宋体" w:hAnsi="宋体" w:cs="宋体"/>
                <w:bCs/>
                <w:color w:val="auto"/>
                <w:kern w:val="0"/>
                <w:szCs w:val="28"/>
              </w:rPr>
              <w:t>平台变更</w:t>
            </w:r>
          </w:p>
          <w:p w14:paraId="37D3E833">
            <w:pPr>
              <w:pStyle w:val="129"/>
              <w:adjustRightInd w:val="0"/>
              <w:snapToGrid w:val="0"/>
              <w:ind w:firstLine="378" w:firstLineChars="180"/>
              <w:rPr>
                <w:rFonts w:hint="eastAsia"/>
                <w:bCs/>
                <w:color w:val="auto"/>
                <w:szCs w:val="28"/>
              </w:rPr>
            </w:pPr>
            <w:r>
              <w:rPr>
                <w:rFonts w:hint="eastAsia"/>
                <w:bCs/>
                <w:color w:val="auto"/>
                <w:szCs w:val="28"/>
              </w:rPr>
              <w:t>平台变更服务内容主要包括由现场运维人员编写适配现场环境的变更技术方案，远程技术专家审核变更方案和风险评估，申请采购人授权和提交变更流程。每一个非只读操作都需要通过变更完成，规范变更流程，确保云平台变更安全可控，零重大变更事故。</w:t>
            </w:r>
          </w:p>
          <w:p w14:paraId="577FACAA">
            <w:pPr>
              <w:widowControl/>
              <w:numPr>
                <w:ilvl w:val="0"/>
                <w:numId w:val="10"/>
              </w:numPr>
              <w:tabs>
                <w:tab w:val="left" w:pos="420"/>
                <w:tab w:val="clear" w:pos="0"/>
              </w:tabs>
              <w:adjustRightInd w:val="0"/>
              <w:snapToGrid w:val="0"/>
              <w:ind w:left="0" w:firstLine="425"/>
              <w:outlineLvl w:val="3"/>
              <w:rPr>
                <w:rFonts w:hint="eastAsia" w:ascii="宋体" w:hAnsi="宋体" w:cs="宋体"/>
                <w:bCs/>
                <w:color w:val="auto"/>
                <w:kern w:val="0"/>
                <w:szCs w:val="28"/>
              </w:rPr>
            </w:pPr>
            <w:r>
              <w:rPr>
                <w:rFonts w:hint="eastAsia" w:ascii="宋体"/>
                <w:b/>
                <w:color w:val="auto"/>
                <w:szCs w:val="21"/>
              </w:rPr>
              <w:t>▲</w:t>
            </w:r>
            <w:r>
              <w:rPr>
                <w:rFonts w:hint="eastAsia" w:ascii="宋体" w:hAnsi="宋体" w:cs="宋体"/>
                <w:bCs/>
                <w:color w:val="auto"/>
                <w:kern w:val="0"/>
                <w:szCs w:val="28"/>
              </w:rPr>
              <w:t>应急响应</w:t>
            </w:r>
          </w:p>
          <w:p w14:paraId="580FE22E">
            <w:pPr>
              <w:pStyle w:val="129"/>
              <w:adjustRightInd w:val="0"/>
              <w:snapToGrid w:val="0"/>
              <w:ind w:firstLine="378" w:firstLineChars="180"/>
              <w:rPr>
                <w:rFonts w:hint="eastAsia"/>
                <w:bCs/>
                <w:color w:val="auto"/>
                <w:szCs w:val="28"/>
              </w:rPr>
            </w:pPr>
            <w:r>
              <w:rPr>
                <w:rFonts w:hint="eastAsia"/>
                <w:bCs/>
                <w:color w:val="auto"/>
                <w:szCs w:val="28"/>
              </w:rPr>
              <w:t>应急事件发生后，现场运维人员快速响应并组织应急值班长、项目组关键干系人（项目服务经理、远程技术专家等）、后端技术支持和研发团队，依据应急流程启动应急响应，通过快速定位、隔离、事件解决，最小化业务影响。</w:t>
            </w:r>
          </w:p>
          <w:p w14:paraId="7464D22E">
            <w:pPr>
              <w:widowControl/>
              <w:numPr>
                <w:ilvl w:val="0"/>
                <w:numId w:val="10"/>
              </w:numPr>
              <w:tabs>
                <w:tab w:val="left" w:pos="420"/>
                <w:tab w:val="clear" w:pos="0"/>
              </w:tabs>
              <w:adjustRightInd w:val="0"/>
              <w:snapToGrid w:val="0"/>
              <w:ind w:left="0" w:firstLine="425"/>
              <w:outlineLvl w:val="3"/>
              <w:rPr>
                <w:rFonts w:hint="eastAsia" w:ascii="宋体" w:hAnsi="宋体" w:cs="宋体"/>
                <w:bCs/>
                <w:color w:val="auto"/>
                <w:kern w:val="0"/>
                <w:szCs w:val="28"/>
              </w:rPr>
            </w:pPr>
            <w:r>
              <w:rPr>
                <w:rFonts w:hint="eastAsia" w:ascii="宋体" w:hAnsi="宋体" w:cs="宋体"/>
                <w:bCs/>
                <w:color w:val="auto"/>
                <w:kern w:val="0"/>
                <w:szCs w:val="28"/>
              </w:rPr>
              <w:t>风险治理</w:t>
            </w:r>
          </w:p>
          <w:p w14:paraId="5AE015E3">
            <w:pPr>
              <w:pStyle w:val="129"/>
              <w:adjustRightInd w:val="0"/>
              <w:snapToGrid w:val="0"/>
              <w:ind w:firstLine="378" w:firstLineChars="180"/>
              <w:rPr>
                <w:rFonts w:hint="eastAsia"/>
                <w:bCs/>
                <w:color w:val="auto"/>
                <w:szCs w:val="28"/>
              </w:rPr>
            </w:pPr>
            <w:r>
              <w:rPr>
                <w:rFonts w:hint="eastAsia"/>
                <w:bCs/>
                <w:color w:val="auto"/>
                <w:szCs w:val="28"/>
              </w:rPr>
              <w:t>现场运维人员通过例行主动风险点治理排查，避免已知风险影响业务，降低业务隐患，提升业务可靠性。经排查后，对属于不涉及风险项进行关闭，如涉及风险项，评估影响并排期组织修复，通过闭环管理已知风险，降低平台脆弱性。</w:t>
            </w:r>
          </w:p>
          <w:p w14:paraId="61B483F3">
            <w:pPr>
              <w:widowControl/>
              <w:numPr>
                <w:ilvl w:val="0"/>
                <w:numId w:val="10"/>
              </w:numPr>
              <w:tabs>
                <w:tab w:val="left" w:pos="420"/>
                <w:tab w:val="clear" w:pos="0"/>
              </w:tabs>
              <w:adjustRightInd w:val="0"/>
              <w:snapToGrid w:val="0"/>
              <w:ind w:left="0" w:firstLine="425"/>
              <w:outlineLvl w:val="3"/>
              <w:rPr>
                <w:rFonts w:hint="eastAsia" w:ascii="宋体" w:hAnsi="宋体" w:cs="宋体"/>
                <w:bCs/>
                <w:color w:val="auto"/>
                <w:kern w:val="0"/>
                <w:szCs w:val="28"/>
              </w:rPr>
            </w:pPr>
            <w:r>
              <w:rPr>
                <w:rFonts w:hint="eastAsia" w:ascii="宋体" w:hAnsi="宋体" w:cs="宋体"/>
                <w:bCs/>
                <w:color w:val="auto"/>
                <w:kern w:val="0"/>
                <w:szCs w:val="28"/>
              </w:rPr>
              <w:t>权限管控</w:t>
            </w:r>
          </w:p>
          <w:p w14:paraId="6536DCFD">
            <w:pPr>
              <w:pStyle w:val="129"/>
              <w:adjustRightInd w:val="0"/>
              <w:snapToGrid w:val="0"/>
              <w:ind w:firstLine="378" w:firstLineChars="180"/>
              <w:rPr>
                <w:rFonts w:hint="eastAsia"/>
                <w:bCs/>
                <w:color w:val="auto"/>
                <w:szCs w:val="28"/>
              </w:rPr>
            </w:pPr>
            <w:r>
              <w:rPr>
                <w:rFonts w:hint="eastAsia"/>
                <w:bCs/>
                <w:color w:val="auto"/>
                <w:szCs w:val="28"/>
              </w:rPr>
              <w:t>权限管控操作由现场运维人员完成，针对云平台关键计算资源、数据库资源、存储资源、大数据资源、安全资源等十余款重点产品和运营控制台各类型账户进行权限管控，并经远程技术专家和研发团队确认，通过落实最小权限原则，防止越权操作与数据泄露。</w:t>
            </w:r>
          </w:p>
          <w:p w14:paraId="04C8BC57">
            <w:pPr>
              <w:widowControl/>
              <w:numPr>
                <w:ilvl w:val="0"/>
                <w:numId w:val="10"/>
              </w:numPr>
              <w:tabs>
                <w:tab w:val="left" w:pos="420"/>
                <w:tab w:val="clear" w:pos="0"/>
              </w:tabs>
              <w:adjustRightInd w:val="0"/>
              <w:snapToGrid w:val="0"/>
              <w:ind w:left="0" w:firstLine="425"/>
              <w:outlineLvl w:val="3"/>
              <w:rPr>
                <w:rFonts w:hint="eastAsia" w:ascii="宋体" w:hAnsi="宋体" w:cs="宋体"/>
                <w:bCs/>
                <w:color w:val="auto"/>
                <w:kern w:val="0"/>
                <w:szCs w:val="28"/>
              </w:rPr>
            </w:pPr>
            <w:r>
              <w:rPr>
                <w:rFonts w:hint="eastAsia" w:ascii="宋体" w:hAnsi="宋体" w:cs="宋体"/>
                <w:bCs/>
                <w:color w:val="auto"/>
                <w:kern w:val="0"/>
                <w:szCs w:val="28"/>
              </w:rPr>
              <w:t>产品监控</w:t>
            </w:r>
          </w:p>
          <w:p w14:paraId="23EE14B2">
            <w:pPr>
              <w:pStyle w:val="129"/>
              <w:adjustRightInd w:val="0"/>
              <w:snapToGrid w:val="0"/>
              <w:ind w:firstLine="378" w:firstLineChars="180"/>
              <w:rPr>
                <w:rFonts w:hint="eastAsia"/>
                <w:bCs/>
                <w:color w:val="auto"/>
                <w:szCs w:val="28"/>
              </w:rPr>
            </w:pPr>
            <w:r>
              <w:rPr>
                <w:rFonts w:hint="eastAsia"/>
                <w:bCs/>
                <w:color w:val="auto"/>
                <w:szCs w:val="28"/>
              </w:rPr>
              <w:t>对全平台进行从底层云产品组件、各类型云产品实例、到上层应用的监控，并且通过开发部署监控工具有效提升监控准确率和运维效率。该项服务工作实现从基础设施到业务指标的全栈可观测性。</w:t>
            </w:r>
          </w:p>
          <w:p w14:paraId="7F9CC840">
            <w:pPr>
              <w:widowControl/>
              <w:numPr>
                <w:ilvl w:val="0"/>
                <w:numId w:val="10"/>
              </w:numPr>
              <w:tabs>
                <w:tab w:val="left" w:pos="420"/>
                <w:tab w:val="clear" w:pos="0"/>
              </w:tabs>
              <w:adjustRightInd w:val="0"/>
              <w:snapToGrid w:val="0"/>
              <w:ind w:left="0" w:firstLine="425"/>
              <w:outlineLvl w:val="3"/>
              <w:rPr>
                <w:rFonts w:hint="eastAsia" w:ascii="宋体" w:hAnsi="宋体" w:cs="宋体"/>
                <w:bCs/>
                <w:color w:val="auto"/>
                <w:kern w:val="0"/>
                <w:szCs w:val="28"/>
              </w:rPr>
            </w:pPr>
            <w:r>
              <w:rPr>
                <w:rFonts w:hint="eastAsia" w:ascii="宋体" w:hAnsi="宋体" w:cs="宋体"/>
                <w:bCs/>
                <w:color w:val="auto"/>
                <w:kern w:val="0"/>
                <w:szCs w:val="28"/>
              </w:rPr>
              <w:t>缺陷修复</w:t>
            </w:r>
          </w:p>
          <w:p w14:paraId="3CBB4C6A">
            <w:pPr>
              <w:pStyle w:val="129"/>
              <w:adjustRightInd w:val="0"/>
              <w:snapToGrid w:val="0"/>
              <w:ind w:firstLine="378" w:firstLineChars="180"/>
              <w:rPr>
                <w:rFonts w:hint="eastAsia"/>
                <w:bCs/>
                <w:color w:val="auto"/>
                <w:szCs w:val="28"/>
              </w:rPr>
            </w:pPr>
            <w:r>
              <w:rPr>
                <w:rFonts w:hint="eastAsia"/>
                <w:bCs/>
                <w:color w:val="auto"/>
                <w:szCs w:val="28"/>
              </w:rPr>
              <w:t>针对云平台产品功能缺陷等内容，及时安排驻场运维跟进修复，提升产品可用性和监控告警准确率，消除已知缺陷引发的业务风险，保障云平台可用性。协助ISV定位各种应用异常或缺陷引发的业务异常，并推动修复，提升业务连续性。该项服务工作对已经上线的系统做好运维支撑服务，对使用过程中出现的缺陷性问题及时修复，确保云平台功能正常运行，确保用户业务能够正常办理。</w:t>
            </w:r>
          </w:p>
          <w:p w14:paraId="786F6070">
            <w:pPr>
              <w:widowControl/>
              <w:numPr>
                <w:ilvl w:val="0"/>
                <w:numId w:val="10"/>
              </w:numPr>
              <w:tabs>
                <w:tab w:val="left" w:pos="420"/>
                <w:tab w:val="clear" w:pos="0"/>
              </w:tabs>
              <w:adjustRightInd w:val="0"/>
              <w:snapToGrid w:val="0"/>
              <w:ind w:left="0" w:firstLine="425"/>
              <w:outlineLvl w:val="3"/>
              <w:rPr>
                <w:rFonts w:hint="eastAsia" w:ascii="宋体" w:hAnsi="宋体" w:cs="宋体"/>
                <w:bCs/>
                <w:color w:val="auto"/>
                <w:kern w:val="0"/>
                <w:szCs w:val="28"/>
              </w:rPr>
            </w:pPr>
            <w:r>
              <w:rPr>
                <w:rFonts w:hint="eastAsia" w:ascii="宋体"/>
                <w:b/>
                <w:color w:val="auto"/>
                <w:szCs w:val="21"/>
              </w:rPr>
              <w:t>▲</w:t>
            </w:r>
            <w:r>
              <w:rPr>
                <w:rFonts w:hint="eastAsia" w:ascii="宋体" w:hAnsi="宋体" w:cs="宋体"/>
                <w:bCs/>
                <w:color w:val="auto"/>
                <w:kern w:val="0"/>
                <w:szCs w:val="28"/>
              </w:rPr>
              <w:t>安全护网</w:t>
            </w:r>
          </w:p>
          <w:p w14:paraId="63D39209">
            <w:pPr>
              <w:pStyle w:val="129"/>
              <w:adjustRightInd w:val="0"/>
              <w:snapToGrid w:val="0"/>
              <w:ind w:firstLine="378" w:firstLineChars="180"/>
              <w:rPr>
                <w:rFonts w:hint="eastAsia"/>
                <w:bCs/>
                <w:color w:val="auto"/>
                <w:szCs w:val="28"/>
              </w:rPr>
            </w:pPr>
            <w:r>
              <w:rPr>
                <w:rFonts w:hint="eastAsia"/>
                <w:bCs/>
                <w:color w:val="auto"/>
                <w:szCs w:val="28"/>
              </w:rPr>
              <w:t>针对国家和自治区组织的各类型安全护网，安全护网工作开始前提前制定云平台安全护网整体方案，对云平台产品安全能力进行梳理，对已知安全漏洞逐一安排加固修复，及时更新升级安全产品规则库等配置。同时对云平台租户侧应用进行安全评估，协助ISV进行安全加固工作。安全护网期间组织运维人员进行值班保障，进行云平台安全事件监控分析和应急处置。</w:t>
            </w:r>
          </w:p>
          <w:p w14:paraId="46964C18">
            <w:pPr>
              <w:widowControl/>
              <w:numPr>
                <w:ilvl w:val="0"/>
                <w:numId w:val="10"/>
              </w:numPr>
              <w:tabs>
                <w:tab w:val="left" w:pos="420"/>
                <w:tab w:val="clear" w:pos="0"/>
              </w:tabs>
              <w:adjustRightInd w:val="0"/>
              <w:snapToGrid w:val="0"/>
              <w:ind w:left="0" w:firstLine="425"/>
              <w:outlineLvl w:val="3"/>
              <w:rPr>
                <w:rFonts w:hint="eastAsia" w:ascii="宋体" w:hAnsi="宋体" w:cs="宋体"/>
                <w:bCs/>
                <w:color w:val="auto"/>
                <w:kern w:val="0"/>
                <w:szCs w:val="28"/>
              </w:rPr>
            </w:pPr>
            <w:r>
              <w:rPr>
                <w:rFonts w:hint="eastAsia" w:ascii="宋体" w:hAnsi="宋体" w:cs="宋体"/>
                <w:bCs/>
                <w:color w:val="auto"/>
                <w:kern w:val="0"/>
                <w:szCs w:val="28"/>
              </w:rPr>
              <w:t>等保测评复核</w:t>
            </w:r>
          </w:p>
          <w:p w14:paraId="0EF212FB">
            <w:pPr>
              <w:pStyle w:val="129"/>
              <w:adjustRightInd w:val="0"/>
              <w:snapToGrid w:val="0"/>
              <w:ind w:firstLine="378" w:firstLineChars="180"/>
              <w:rPr>
                <w:rFonts w:hint="eastAsia"/>
                <w:bCs/>
                <w:color w:val="auto"/>
                <w:szCs w:val="28"/>
              </w:rPr>
            </w:pPr>
            <w:r>
              <w:rPr>
                <w:rFonts w:hint="eastAsia"/>
                <w:bCs/>
                <w:color w:val="auto"/>
                <w:szCs w:val="28"/>
              </w:rPr>
              <w:t>运维团队协助等保测评方调研云平台，提供答疑和技术支持，配合编写测评报告，提供相关证明材料。针对测评复核结果进行评估，并对异常事项安排修复。该项服务工作确保平台持续满足等保三级要求。每年预计投入4人月工作量。</w:t>
            </w:r>
          </w:p>
          <w:p w14:paraId="77CEEDFD">
            <w:pPr>
              <w:pStyle w:val="129"/>
              <w:adjustRightInd w:val="0"/>
              <w:snapToGrid w:val="0"/>
              <w:ind w:firstLine="378" w:firstLineChars="180"/>
              <w:outlineLvl w:val="2"/>
              <w:rPr>
                <w:rFonts w:hint="eastAsia"/>
                <w:bCs/>
                <w:color w:val="auto"/>
                <w:szCs w:val="28"/>
              </w:rPr>
            </w:pPr>
            <w:r>
              <w:rPr>
                <w:rFonts w:hint="eastAsia"/>
                <w:bCs/>
                <w:color w:val="auto"/>
                <w:szCs w:val="28"/>
              </w:rPr>
              <w:t>2.核心业务区云平台业务保障服务需求</w:t>
            </w:r>
          </w:p>
          <w:p w14:paraId="588CF5B3">
            <w:pPr>
              <w:pStyle w:val="129"/>
              <w:adjustRightInd w:val="0"/>
              <w:snapToGrid w:val="0"/>
              <w:ind w:firstLine="378" w:firstLineChars="180"/>
              <w:rPr>
                <w:rFonts w:hint="eastAsia"/>
                <w:bCs/>
                <w:color w:val="auto"/>
                <w:szCs w:val="28"/>
              </w:rPr>
            </w:pPr>
            <w:r>
              <w:rPr>
                <w:rFonts w:hint="eastAsia"/>
                <w:bCs/>
                <w:color w:val="auto"/>
                <w:szCs w:val="28"/>
              </w:rPr>
              <w:t>云平台业务保障服务是基于云平台，面向医保信息平台核心业务连续性和高可用性需求，提供主动式、专业化保障支撑，包括专项重保、咨询答疑、性能优化、中间件专项支持、数据库专项支持、备份策略制定与恢复演练以及故障演练。通过该服务，有效提升系统稳定性、响应效率与容灾能力，确保医保信息平台在重大活动、高峰访问或突发事件期间持续稳定运行，降低运营风险、保障服务质量，支撑医保业务高效、安全、合规开展。</w:t>
            </w:r>
          </w:p>
          <w:p w14:paraId="32BAB85C">
            <w:pPr>
              <w:widowControl/>
              <w:numPr>
                <w:ilvl w:val="0"/>
                <w:numId w:val="11"/>
              </w:numPr>
              <w:tabs>
                <w:tab w:val="left" w:pos="420"/>
                <w:tab w:val="clear" w:pos="0"/>
              </w:tabs>
              <w:adjustRightInd w:val="0"/>
              <w:snapToGrid w:val="0"/>
              <w:ind w:left="0" w:firstLine="425"/>
              <w:outlineLvl w:val="3"/>
              <w:rPr>
                <w:rFonts w:hint="eastAsia" w:ascii="宋体" w:hAnsi="宋体" w:cs="宋体"/>
                <w:bCs/>
                <w:color w:val="auto"/>
                <w:kern w:val="0"/>
                <w:szCs w:val="28"/>
              </w:rPr>
            </w:pPr>
            <w:r>
              <w:rPr>
                <w:rFonts w:hint="eastAsia" w:ascii="宋体"/>
                <w:b/>
                <w:color w:val="auto"/>
                <w:szCs w:val="21"/>
              </w:rPr>
              <w:t>▲</w:t>
            </w:r>
            <w:r>
              <w:rPr>
                <w:rFonts w:hint="eastAsia" w:ascii="宋体" w:hAnsi="宋体" w:cs="宋体"/>
                <w:bCs/>
                <w:color w:val="auto"/>
                <w:kern w:val="0"/>
                <w:szCs w:val="28"/>
              </w:rPr>
              <w:t>专项重保</w:t>
            </w:r>
          </w:p>
          <w:p w14:paraId="403F5D37">
            <w:pPr>
              <w:pStyle w:val="129"/>
              <w:adjustRightInd w:val="0"/>
              <w:snapToGrid w:val="0"/>
              <w:ind w:firstLine="378" w:firstLineChars="180"/>
              <w:rPr>
                <w:rFonts w:hint="eastAsia"/>
                <w:bCs/>
                <w:color w:val="auto"/>
                <w:szCs w:val="28"/>
              </w:rPr>
            </w:pPr>
            <w:r>
              <w:rPr>
                <w:rFonts w:hint="eastAsia"/>
                <w:bCs/>
                <w:color w:val="auto"/>
                <w:szCs w:val="28"/>
              </w:rPr>
              <w:t>现场运维人员联合二线技术专家、后端工单和产品研发团队提供专项保障服务，比如业务系统发版更新上线、重要时间节点（如两会、五一、国庆、年终结算、春节）等制定组织保障阵型、沟通机制、应急措施，并提供值班保障。</w:t>
            </w:r>
          </w:p>
          <w:p w14:paraId="59E7DEDF">
            <w:pPr>
              <w:pStyle w:val="129"/>
              <w:adjustRightInd w:val="0"/>
              <w:snapToGrid w:val="0"/>
              <w:ind w:firstLine="378" w:firstLineChars="180"/>
              <w:rPr>
                <w:rFonts w:hint="eastAsia"/>
                <w:bCs/>
                <w:color w:val="auto"/>
                <w:szCs w:val="28"/>
              </w:rPr>
            </w:pPr>
            <w:r>
              <w:rPr>
                <w:rFonts w:hint="eastAsia"/>
                <w:bCs/>
                <w:color w:val="auto"/>
                <w:szCs w:val="28"/>
              </w:rPr>
              <w:t>该项服务工作支撑重大政策上线、节假日、年终结算等关键时期稳定运行。在节假日、跨年度、重大活动等时间点对系统的业务规则、重要参数配置以及数据同步的执行情况进行重点检查，确保平台正常运行。</w:t>
            </w:r>
          </w:p>
          <w:p w14:paraId="2F5DED53">
            <w:pPr>
              <w:widowControl/>
              <w:numPr>
                <w:ilvl w:val="0"/>
                <w:numId w:val="11"/>
              </w:numPr>
              <w:tabs>
                <w:tab w:val="left" w:pos="420"/>
                <w:tab w:val="clear" w:pos="0"/>
              </w:tabs>
              <w:adjustRightInd w:val="0"/>
              <w:snapToGrid w:val="0"/>
              <w:ind w:left="0" w:firstLine="425"/>
              <w:outlineLvl w:val="3"/>
              <w:rPr>
                <w:rFonts w:hint="eastAsia" w:ascii="宋体" w:hAnsi="宋体" w:cs="宋体"/>
                <w:bCs/>
                <w:color w:val="auto"/>
                <w:kern w:val="0"/>
                <w:szCs w:val="28"/>
              </w:rPr>
            </w:pPr>
            <w:r>
              <w:rPr>
                <w:rFonts w:hint="eastAsia" w:ascii="宋体" w:hAnsi="宋体" w:cs="宋体"/>
                <w:bCs/>
                <w:color w:val="auto"/>
                <w:kern w:val="0"/>
                <w:szCs w:val="28"/>
              </w:rPr>
              <w:t>咨询答疑</w:t>
            </w:r>
          </w:p>
          <w:p w14:paraId="41665A9A">
            <w:pPr>
              <w:pStyle w:val="129"/>
              <w:adjustRightInd w:val="0"/>
              <w:snapToGrid w:val="0"/>
              <w:ind w:firstLine="378" w:firstLineChars="180"/>
              <w:rPr>
                <w:rFonts w:hint="eastAsia"/>
                <w:bCs/>
                <w:color w:val="auto"/>
                <w:szCs w:val="28"/>
              </w:rPr>
            </w:pPr>
            <w:r>
              <w:rPr>
                <w:rFonts w:hint="eastAsia"/>
                <w:bCs/>
                <w:color w:val="auto"/>
                <w:szCs w:val="28"/>
              </w:rPr>
              <w:t>驻场运维团队和二线技术专家针对医保局和ISV在云平台产品功能、架构设计等方面提出的操作方法、疑难问题等日常咨询以及需求进行解答，并提供运维实践和产品使用优化。</w:t>
            </w:r>
          </w:p>
          <w:p w14:paraId="0EAE8A6F">
            <w:pPr>
              <w:widowControl/>
              <w:numPr>
                <w:ilvl w:val="0"/>
                <w:numId w:val="11"/>
              </w:numPr>
              <w:tabs>
                <w:tab w:val="left" w:pos="420"/>
                <w:tab w:val="clear" w:pos="0"/>
              </w:tabs>
              <w:adjustRightInd w:val="0"/>
              <w:snapToGrid w:val="0"/>
              <w:ind w:left="0" w:firstLine="425"/>
              <w:outlineLvl w:val="3"/>
              <w:rPr>
                <w:rFonts w:hint="eastAsia" w:ascii="宋体" w:hAnsi="宋体" w:cs="宋体"/>
                <w:bCs/>
                <w:color w:val="auto"/>
                <w:kern w:val="0"/>
                <w:szCs w:val="28"/>
              </w:rPr>
            </w:pPr>
            <w:r>
              <w:rPr>
                <w:rFonts w:hint="eastAsia" w:ascii="宋体" w:hAnsi="宋体" w:cs="宋体"/>
                <w:bCs/>
                <w:color w:val="auto"/>
                <w:kern w:val="0"/>
                <w:szCs w:val="28"/>
              </w:rPr>
              <w:t>性能优化</w:t>
            </w:r>
          </w:p>
          <w:p w14:paraId="5901788C">
            <w:pPr>
              <w:pStyle w:val="129"/>
              <w:adjustRightInd w:val="0"/>
              <w:snapToGrid w:val="0"/>
              <w:ind w:firstLine="378" w:firstLineChars="180"/>
              <w:rPr>
                <w:rFonts w:hint="eastAsia"/>
                <w:bCs/>
                <w:color w:val="auto"/>
                <w:szCs w:val="28"/>
              </w:rPr>
            </w:pPr>
            <w:r>
              <w:rPr>
                <w:rFonts w:hint="eastAsia"/>
                <w:bCs/>
                <w:color w:val="auto"/>
                <w:szCs w:val="28"/>
              </w:rPr>
              <w:t>驻场运维团队针对医保局和ISV在云平台产品选型、资源规格、容量评估、应用高可用架构设计、数据库性能优化等方面展开技术交流和业务验证。对平台及系统使用过程中存在响应时间长的模块，及时分析处理，确保平台使用及业务系统的高效流畅。该项服务工作在于持续提升系统响应速度与资源效率。</w:t>
            </w:r>
          </w:p>
          <w:p w14:paraId="287A83DA">
            <w:pPr>
              <w:widowControl/>
              <w:numPr>
                <w:ilvl w:val="0"/>
                <w:numId w:val="11"/>
              </w:numPr>
              <w:tabs>
                <w:tab w:val="left" w:pos="420"/>
                <w:tab w:val="clear" w:pos="0"/>
              </w:tabs>
              <w:adjustRightInd w:val="0"/>
              <w:snapToGrid w:val="0"/>
              <w:ind w:left="0" w:firstLine="425"/>
              <w:outlineLvl w:val="3"/>
              <w:rPr>
                <w:rFonts w:hint="eastAsia" w:ascii="宋体" w:hAnsi="宋体" w:cs="宋体"/>
                <w:bCs/>
                <w:color w:val="auto"/>
                <w:kern w:val="0"/>
                <w:szCs w:val="28"/>
              </w:rPr>
            </w:pPr>
            <w:r>
              <w:rPr>
                <w:rFonts w:hint="eastAsia" w:ascii="宋体" w:hAnsi="宋体" w:cs="宋体"/>
                <w:bCs/>
                <w:color w:val="auto"/>
                <w:kern w:val="0"/>
                <w:szCs w:val="28"/>
              </w:rPr>
              <w:t>中间件专项支持</w:t>
            </w:r>
          </w:p>
          <w:p w14:paraId="7F2118BC">
            <w:pPr>
              <w:pStyle w:val="129"/>
              <w:adjustRightInd w:val="0"/>
              <w:snapToGrid w:val="0"/>
              <w:ind w:firstLine="378" w:firstLineChars="180"/>
              <w:rPr>
                <w:rFonts w:hint="eastAsia"/>
                <w:bCs/>
                <w:color w:val="auto"/>
                <w:szCs w:val="28"/>
              </w:rPr>
            </w:pPr>
            <w:r>
              <w:rPr>
                <w:rFonts w:hint="eastAsia"/>
                <w:bCs/>
                <w:color w:val="auto"/>
                <w:szCs w:val="28"/>
              </w:rPr>
              <w:t>驻场运维团队针对医保局和ISV在医保HSAF设计场景下的云平台中间件产品使用、EDAS微服务改造实践、灰度发布、应用限流降级、ARMS全链路监控、MQ消费异常、CSB性能提升等十多个场景里提供专家技术服务，配合业务测试验证等工作。及时排查由于系统环境（虚拟机、中间件）出现的问题，快速定位问题并协助对应的厂商解决问题。该项服务工作用于保障消息队列、edas、API网关等中间件的稳定运行。</w:t>
            </w:r>
          </w:p>
          <w:p w14:paraId="33BEDCA2">
            <w:pPr>
              <w:widowControl/>
              <w:numPr>
                <w:ilvl w:val="0"/>
                <w:numId w:val="11"/>
              </w:numPr>
              <w:tabs>
                <w:tab w:val="left" w:pos="420"/>
                <w:tab w:val="clear" w:pos="0"/>
              </w:tabs>
              <w:adjustRightInd w:val="0"/>
              <w:snapToGrid w:val="0"/>
              <w:ind w:left="0" w:firstLine="425"/>
              <w:outlineLvl w:val="3"/>
              <w:rPr>
                <w:rFonts w:hint="eastAsia" w:ascii="宋体" w:hAnsi="宋体" w:cs="宋体"/>
                <w:bCs/>
                <w:color w:val="auto"/>
                <w:kern w:val="0"/>
                <w:szCs w:val="28"/>
              </w:rPr>
            </w:pPr>
            <w:r>
              <w:rPr>
                <w:rFonts w:hint="eastAsia" w:ascii="宋体" w:hAnsi="宋体" w:cs="宋体"/>
                <w:bCs/>
                <w:color w:val="auto"/>
                <w:kern w:val="0"/>
                <w:szCs w:val="28"/>
              </w:rPr>
              <w:t>数据库专项支持</w:t>
            </w:r>
          </w:p>
          <w:p w14:paraId="3C2301E7">
            <w:pPr>
              <w:pStyle w:val="129"/>
              <w:adjustRightInd w:val="0"/>
              <w:snapToGrid w:val="0"/>
              <w:ind w:firstLine="378" w:firstLineChars="180"/>
              <w:rPr>
                <w:rFonts w:hint="eastAsia"/>
                <w:bCs/>
                <w:color w:val="auto"/>
                <w:szCs w:val="28"/>
              </w:rPr>
            </w:pPr>
            <w:r>
              <w:rPr>
                <w:rFonts w:hint="eastAsia"/>
                <w:bCs/>
                <w:color w:val="auto"/>
                <w:szCs w:val="28"/>
              </w:rPr>
              <w:t>在医保系统中，数据库是基金安全的“账本”，更是千万群众的“生命线”。我们以“零丢失、零中断、零泄露”为准则，构建覆盖“高可用–备份–性能–安全–合规”全维度的数据库治理体系，保医保核心数据库的高可用、高性能、高安全。</w:t>
            </w:r>
          </w:p>
          <w:p w14:paraId="260CC699">
            <w:pPr>
              <w:pStyle w:val="129"/>
              <w:adjustRightInd w:val="0"/>
              <w:snapToGrid w:val="0"/>
              <w:ind w:firstLine="378" w:firstLineChars="180"/>
              <w:rPr>
                <w:rFonts w:hint="eastAsia"/>
                <w:bCs/>
                <w:color w:val="auto"/>
                <w:szCs w:val="28"/>
              </w:rPr>
            </w:pPr>
            <w:r>
              <w:rPr>
                <w:rFonts w:hint="eastAsia"/>
                <w:bCs/>
                <w:color w:val="auto"/>
                <w:szCs w:val="28"/>
              </w:rPr>
              <w:t>驻场运维团队针对医保业务重度使用数据库技术场景特点，提供分布式数据库架构设计，产品使用，分库分表、索引优化等方面提供支持。联合ISV共同提升数据库使用和治理能力。确保核心数据库的高可用、高性能、高安全。</w:t>
            </w:r>
          </w:p>
          <w:p w14:paraId="532BA097">
            <w:pPr>
              <w:widowControl/>
              <w:numPr>
                <w:ilvl w:val="0"/>
                <w:numId w:val="11"/>
              </w:numPr>
              <w:tabs>
                <w:tab w:val="left" w:pos="420"/>
                <w:tab w:val="clear" w:pos="0"/>
              </w:tabs>
              <w:adjustRightInd w:val="0"/>
              <w:snapToGrid w:val="0"/>
              <w:ind w:left="0" w:firstLine="425"/>
              <w:outlineLvl w:val="3"/>
              <w:rPr>
                <w:rFonts w:hint="eastAsia" w:ascii="宋体" w:hAnsi="宋体" w:cs="宋体"/>
                <w:bCs/>
                <w:color w:val="auto"/>
                <w:kern w:val="0"/>
                <w:szCs w:val="28"/>
              </w:rPr>
            </w:pPr>
            <w:r>
              <w:rPr>
                <w:rFonts w:hint="eastAsia" w:ascii="宋体" w:hAnsi="宋体" w:cs="宋体"/>
                <w:bCs/>
                <w:color w:val="auto"/>
                <w:kern w:val="0"/>
                <w:szCs w:val="28"/>
              </w:rPr>
              <w:t>备份策略制定与恢复</w:t>
            </w:r>
          </w:p>
          <w:p w14:paraId="4BBCA5DC">
            <w:pPr>
              <w:pStyle w:val="129"/>
              <w:adjustRightInd w:val="0"/>
              <w:snapToGrid w:val="0"/>
              <w:ind w:firstLine="378" w:firstLineChars="180"/>
              <w:rPr>
                <w:rFonts w:hint="eastAsia"/>
                <w:bCs/>
                <w:color w:val="auto"/>
                <w:szCs w:val="28"/>
              </w:rPr>
            </w:pPr>
            <w:r>
              <w:rPr>
                <w:rFonts w:hint="eastAsia"/>
                <w:bCs/>
                <w:color w:val="auto"/>
                <w:szCs w:val="28"/>
              </w:rPr>
              <w:t>根据云平台资源和业务使用情况，针对例如ecs快照、rds备份、oss备份策略、元数据库备份、云盾审计日志等内容定制合理的备份策略和备份任务优化，并定期进行备份恢复演练，确保数据安全，定期对备份系统和数据进行服务测试，确保主系统出现问题时，备份系统能够及时切换使用。该项服务工作确保数据可安全备份、可安全恢复，满足PRO/RTO要求。</w:t>
            </w:r>
          </w:p>
          <w:p w14:paraId="1F33BD12">
            <w:pPr>
              <w:widowControl/>
              <w:numPr>
                <w:ilvl w:val="0"/>
                <w:numId w:val="11"/>
              </w:numPr>
              <w:tabs>
                <w:tab w:val="left" w:pos="420"/>
                <w:tab w:val="clear" w:pos="0"/>
              </w:tabs>
              <w:adjustRightInd w:val="0"/>
              <w:snapToGrid w:val="0"/>
              <w:ind w:left="0" w:firstLine="425"/>
              <w:outlineLvl w:val="3"/>
              <w:rPr>
                <w:rFonts w:hint="eastAsia" w:ascii="宋体" w:hAnsi="宋体" w:cs="宋体"/>
                <w:bCs/>
                <w:color w:val="auto"/>
                <w:kern w:val="0"/>
                <w:szCs w:val="28"/>
              </w:rPr>
            </w:pPr>
            <w:r>
              <w:rPr>
                <w:rFonts w:hint="eastAsia" w:ascii="宋体" w:hAnsi="宋体" w:cs="宋体"/>
                <w:bCs/>
                <w:color w:val="auto"/>
                <w:kern w:val="0"/>
                <w:szCs w:val="28"/>
              </w:rPr>
              <w:t>故障演练</w:t>
            </w:r>
          </w:p>
          <w:p w14:paraId="1EE90E58">
            <w:pPr>
              <w:ind w:firstLine="420" w:firstLineChars="200"/>
              <w:rPr>
                <w:rFonts w:hint="eastAsia" w:ascii="宋体" w:hAnsi="宋体" w:cs="宋体"/>
                <w:bCs/>
                <w:color w:val="auto"/>
                <w:szCs w:val="28"/>
              </w:rPr>
            </w:pPr>
            <w:r>
              <w:rPr>
                <w:rFonts w:hint="eastAsia" w:ascii="宋体" w:hAnsi="宋体" w:cs="宋体"/>
                <w:bCs/>
                <w:color w:val="auto"/>
                <w:szCs w:val="28"/>
              </w:rPr>
              <w:t>故障演练服务由驻场运维团队基于全国医保云产品运维最佳实践，贴合医保业务实际场景，针对重点使用产品（例如数据库、中间件、大数据等）、重点业务系统开展常态化定期故障演练。包括产品和场景选择，方案制定、风险评估、演练实施等，并对演练结果进行总结分析，优化故障应急流程。该项服务工作实现提升运维服务能力和业务保障水平的目标，确保云平台功能的可用性，验证高可用与灾备能力，提升应急响应实战水平。</w:t>
            </w:r>
          </w:p>
          <w:p w14:paraId="6DD7FF49">
            <w:pPr>
              <w:pStyle w:val="129"/>
              <w:adjustRightInd w:val="0"/>
              <w:snapToGrid w:val="0"/>
              <w:ind w:firstLine="378" w:firstLineChars="180"/>
              <w:rPr>
                <w:rFonts w:hint="eastAsia"/>
                <w:bCs/>
                <w:color w:val="auto"/>
              </w:rPr>
            </w:pPr>
            <w:r>
              <w:rPr>
                <w:rFonts w:hint="eastAsia"/>
                <w:bCs/>
                <w:color w:val="auto"/>
              </w:rPr>
              <w:t>（三）成果要求</w:t>
            </w:r>
          </w:p>
          <w:p w14:paraId="12699200">
            <w:pPr>
              <w:pStyle w:val="129"/>
              <w:adjustRightInd w:val="0"/>
              <w:ind w:firstLine="378" w:firstLineChars="180"/>
              <w:rPr>
                <w:rFonts w:hint="eastAsia"/>
                <w:bCs/>
                <w:color w:val="auto"/>
              </w:rPr>
            </w:pPr>
            <w:r>
              <w:rPr>
                <w:rFonts w:hint="eastAsia"/>
                <w:bCs/>
                <w:color w:val="auto"/>
              </w:rPr>
              <w:t>严格执行国家医保局和广西壮族自治区医保局印发的关于医保信息平台运维相关规范和指导文件，在不同时间周期（每月、每季度、每半年、每年）出具交付成果，制定成果文件质量保障措施，确保交付物符合实际需要，文字严谨，数据真实可靠，内容详实，工作成果物包含但不限于以下文件：</w:t>
            </w:r>
          </w:p>
          <w:tbl>
            <w:tblPr>
              <w:tblStyle w:val="36"/>
              <w:tblW w:w="6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580"/>
              <w:gridCol w:w="999"/>
              <w:gridCol w:w="1237"/>
              <w:gridCol w:w="744"/>
              <w:gridCol w:w="2032"/>
            </w:tblGrid>
            <w:tr w14:paraId="3D888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blHeader/>
              </w:trPr>
              <w:tc>
                <w:tcPr>
                  <w:tcW w:w="383" w:type="pct"/>
                  <w:noWrap/>
                  <w:vAlign w:val="center"/>
                </w:tcPr>
                <w:p w14:paraId="7712D4DA">
                  <w:pPr>
                    <w:pStyle w:val="129"/>
                    <w:adjustRightInd w:val="0"/>
                    <w:snapToGrid w:val="0"/>
                    <w:jc w:val="center"/>
                    <w:rPr>
                      <w:rFonts w:hint="eastAsia"/>
                      <w:bCs/>
                      <w:color w:val="auto"/>
                    </w:rPr>
                  </w:pPr>
                  <w:r>
                    <w:rPr>
                      <w:rFonts w:hint="eastAsia"/>
                      <w:bCs/>
                      <w:color w:val="auto"/>
                      <w:lang w:bidi="ar"/>
                    </w:rPr>
                    <w:t>序号</w:t>
                  </w:r>
                </w:p>
              </w:tc>
              <w:tc>
                <w:tcPr>
                  <w:tcW w:w="479" w:type="pct"/>
                  <w:noWrap/>
                  <w:vAlign w:val="center"/>
                </w:tcPr>
                <w:p w14:paraId="287C9AA5">
                  <w:pPr>
                    <w:pStyle w:val="129"/>
                    <w:adjustRightInd w:val="0"/>
                    <w:snapToGrid w:val="0"/>
                    <w:jc w:val="center"/>
                    <w:rPr>
                      <w:rFonts w:hint="eastAsia"/>
                      <w:bCs/>
                      <w:color w:val="auto"/>
                    </w:rPr>
                  </w:pPr>
                  <w:r>
                    <w:rPr>
                      <w:rFonts w:hint="eastAsia"/>
                      <w:bCs/>
                      <w:color w:val="auto"/>
                      <w:lang w:bidi="ar"/>
                    </w:rPr>
                    <w:t>类别</w:t>
                  </w:r>
                </w:p>
              </w:tc>
              <w:tc>
                <w:tcPr>
                  <w:tcW w:w="825" w:type="pct"/>
                  <w:noWrap/>
                  <w:vAlign w:val="center"/>
                </w:tcPr>
                <w:p w14:paraId="4F4571B3">
                  <w:pPr>
                    <w:pStyle w:val="129"/>
                    <w:adjustRightInd w:val="0"/>
                    <w:snapToGrid w:val="0"/>
                    <w:jc w:val="center"/>
                    <w:rPr>
                      <w:rFonts w:hint="eastAsia"/>
                      <w:bCs/>
                      <w:color w:val="auto"/>
                    </w:rPr>
                  </w:pPr>
                  <w:r>
                    <w:rPr>
                      <w:rFonts w:hint="eastAsia"/>
                      <w:bCs/>
                      <w:color w:val="auto"/>
                      <w:lang w:bidi="ar"/>
                    </w:rPr>
                    <w:t>服务分类</w:t>
                  </w:r>
                </w:p>
              </w:tc>
              <w:tc>
                <w:tcPr>
                  <w:tcW w:w="1020" w:type="pct"/>
                  <w:noWrap/>
                  <w:vAlign w:val="center"/>
                </w:tcPr>
                <w:p w14:paraId="3627BDFD">
                  <w:pPr>
                    <w:pStyle w:val="129"/>
                    <w:adjustRightInd w:val="0"/>
                    <w:snapToGrid w:val="0"/>
                    <w:ind w:firstLine="378" w:firstLineChars="180"/>
                    <w:rPr>
                      <w:rFonts w:hint="eastAsia"/>
                      <w:bCs/>
                      <w:color w:val="auto"/>
                    </w:rPr>
                  </w:pPr>
                  <w:r>
                    <w:rPr>
                      <w:rFonts w:hint="eastAsia"/>
                      <w:bCs/>
                      <w:color w:val="auto"/>
                      <w:lang w:bidi="ar"/>
                    </w:rPr>
                    <w:t>服务内容</w:t>
                  </w:r>
                </w:p>
              </w:tc>
              <w:tc>
                <w:tcPr>
                  <w:tcW w:w="614" w:type="pct"/>
                  <w:noWrap/>
                  <w:vAlign w:val="center"/>
                </w:tcPr>
                <w:p w14:paraId="2DB06435">
                  <w:pPr>
                    <w:pStyle w:val="129"/>
                    <w:adjustRightInd w:val="0"/>
                    <w:snapToGrid w:val="0"/>
                    <w:rPr>
                      <w:rFonts w:hint="eastAsia"/>
                      <w:bCs/>
                      <w:color w:val="auto"/>
                    </w:rPr>
                  </w:pPr>
                  <w:r>
                    <w:rPr>
                      <w:rFonts w:hint="eastAsia"/>
                      <w:bCs/>
                      <w:color w:val="auto"/>
                      <w:lang w:bidi="ar"/>
                    </w:rPr>
                    <w:t>频次</w:t>
                  </w:r>
                </w:p>
              </w:tc>
              <w:tc>
                <w:tcPr>
                  <w:tcW w:w="1676" w:type="pct"/>
                  <w:noWrap/>
                  <w:vAlign w:val="center"/>
                </w:tcPr>
                <w:p w14:paraId="6301222A">
                  <w:pPr>
                    <w:pStyle w:val="129"/>
                    <w:adjustRightInd w:val="0"/>
                    <w:snapToGrid w:val="0"/>
                    <w:ind w:firstLine="378" w:firstLineChars="180"/>
                    <w:rPr>
                      <w:rFonts w:hint="eastAsia"/>
                      <w:bCs/>
                      <w:color w:val="auto"/>
                    </w:rPr>
                  </w:pPr>
                  <w:r>
                    <w:rPr>
                      <w:rFonts w:hint="eastAsia"/>
                      <w:bCs/>
                      <w:color w:val="auto"/>
                      <w:lang w:bidi="ar"/>
                    </w:rPr>
                    <w:t>工作交付物</w:t>
                  </w:r>
                </w:p>
              </w:tc>
            </w:tr>
            <w:tr w14:paraId="4234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83" w:type="pct"/>
                  <w:vAlign w:val="center"/>
                </w:tcPr>
                <w:p w14:paraId="39D9A43C">
                  <w:pPr>
                    <w:pStyle w:val="129"/>
                    <w:adjustRightInd w:val="0"/>
                    <w:snapToGrid w:val="0"/>
                    <w:jc w:val="center"/>
                    <w:rPr>
                      <w:rFonts w:hint="eastAsia"/>
                      <w:bCs/>
                      <w:color w:val="auto"/>
                    </w:rPr>
                  </w:pPr>
                  <w:r>
                    <w:rPr>
                      <w:rFonts w:hint="eastAsia"/>
                      <w:bCs/>
                      <w:color w:val="auto"/>
                      <w:lang w:bidi="ar"/>
                    </w:rPr>
                    <w:t>1</w:t>
                  </w:r>
                </w:p>
              </w:tc>
              <w:tc>
                <w:tcPr>
                  <w:tcW w:w="479" w:type="pct"/>
                  <w:vMerge w:val="restart"/>
                  <w:vAlign w:val="center"/>
                </w:tcPr>
                <w:p w14:paraId="6D7E6F61">
                  <w:pPr>
                    <w:pStyle w:val="129"/>
                    <w:adjustRightInd w:val="0"/>
                    <w:snapToGrid w:val="0"/>
                    <w:jc w:val="center"/>
                    <w:rPr>
                      <w:rFonts w:hint="eastAsia"/>
                      <w:bCs/>
                      <w:color w:val="auto"/>
                    </w:rPr>
                  </w:pPr>
                  <w:r>
                    <w:rPr>
                      <w:rFonts w:hint="eastAsia"/>
                      <w:bCs/>
                      <w:color w:val="auto"/>
                      <w:lang w:bidi="ar"/>
                    </w:rPr>
                    <w:t>服务成果</w:t>
                  </w:r>
                </w:p>
              </w:tc>
              <w:tc>
                <w:tcPr>
                  <w:tcW w:w="825" w:type="pct"/>
                  <w:vAlign w:val="center"/>
                </w:tcPr>
                <w:p w14:paraId="2683D76C">
                  <w:pPr>
                    <w:pStyle w:val="129"/>
                    <w:adjustRightInd w:val="0"/>
                    <w:snapToGrid w:val="0"/>
                    <w:jc w:val="center"/>
                    <w:rPr>
                      <w:rFonts w:hint="eastAsia"/>
                      <w:bCs/>
                      <w:color w:val="auto"/>
                      <w:lang w:bidi="ar"/>
                    </w:rPr>
                  </w:pPr>
                  <w:r>
                    <w:rPr>
                      <w:rFonts w:hint="eastAsia"/>
                      <w:bCs/>
                      <w:color w:val="auto"/>
                      <w:lang w:bidi="ar"/>
                    </w:rPr>
                    <w:t>组织管理</w:t>
                  </w:r>
                </w:p>
              </w:tc>
              <w:tc>
                <w:tcPr>
                  <w:tcW w:w="1020" w:type="pct"/>
                  <w:vAlign w:val="center"/>
                </w:tcPr>
                <w:p w14:paraId="2AEC1564">
                  <w:pPr>
                    <w:pStyle w:val="129"/>
                    <w:adjustRightInd w:val="0"/>
                    <w:snapToGrid w:val="0"/>
                    <w:rPr>
                      <w:rFonts w:hint="eastAsia"/>
                      <w:bCs/>
                      <w:color w:val="auto"/>
                      <w:lang w:bidi="ar"/>
                    </w:rPr>
                  </w:pPr>
                  <w:r>
                    <w:rPr>
                      <w:rFonts w:hint="eastAsia"/>
                      <w:bCs/>
                      <w:color w:val="auto"/>
                      <w:lang w:bidi="ar"/>
                    </w:rPr>
                    <w:t>运维实施方案</w:t>
                  </w:r>
                </w:p>
              </w:tc>
              <w:tc>
                <w:tcPr>
                  <w:tcW w:w="614" w:type="pct"/>
                  <w:vAlign w:val="center"/>
                </w:tcPr>
                <w:p w14:paraId="3DFD57EC">
                  <w:pPr>
                    <w:pStyle w:val="129"/>
                    <w:adjustRightInd w:val="0"/>
                    <w:snapToGrid w:val="0"/>
                    <w:rPr>
                      <w:rFonts w:hint="eastAsia"/>
                      <w:bCs/>
                      <w:color w:val="auto"/>
                      <w:lang w:bidi="ar"/>
                    </w:rPr>
                  </w:pPr>
                  <w:r>
                    <w:rPr>
                      <w:rFonts w:hint="eastAsia"/>
                      <w:bCs/>
                      <w:color w:val="auto"/>
                      <w:lang w:bidi="ar"/>
                    </w:rPr>
                    <w:t>一次性</w:t>
                  </w:r>
                </w:p>
              </w:tc>
              <w:tc>
                <w:tcPr>
                  <w:tcW w:w="1676" w:type="pct"/>
                  <w:vAlign w:val="center"/>
                </w:tcPr>
                <w:p w14:paraId="3B22D439">
                  <w:pPr>
                    <w:pStyle w:val="129"/>
                    <w:adjustRightInd w:val="0"/>
                    <w:snapToGrid w:val="0"/>
                    <w:rPr>
                      <w:rFonts w:hint="eastAsia"/>
                      <w:bCs/>
                      <w:color w:val="auto"/>
                      <w:lang w:bidi="ar"/>
                    </w:rPr>
                  </w:pPr>
                  <w:r>
                    <w:rPr>
                      <w:rFonts w:hint="eastAsia"/>
                      <w:bCs/>
                      <w:color w:val="auto"/>
                      <w:lang w:bidi="ar"/>
                    </w:rPr>
                    <w:t>《系统运维实施方案》</w:t>
                  </w:r>
                </w:p>
              </w:tc>
            </w:tr>
            <w:tr w14:paraId="2B41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3" w:type="pct"/>
                  <w:vAlign w:val="center"/>
                </w:tcPr>
                <w:p w14:paraId="6E5C82E2">
                  <w:pPr>
                    <w:pStyle w:val="129"/>
                    <w:adjustRightInd w:val="0"/>
                    <w:snapToGrid w:val="0"/>
                    <w:jc w:val="center"/>
                    <w:rPr>
                      <w:rFonts w:hint="eastAsia"/>
                      <w:bCs/>
                      <w:color w:val="auto"/>
                      <w:lang w:bidi="ar"/>
                    </w:rPr>
                  </w:pPr>
                  <w:r>
                    <w:rPr>
                      <w:rFonts w:hint="eastAsia"/>
                      <w:bCs/>
                      <w:color w:val="auto"/>
                      <w:lang w:bidi="ar"/>
                    </w:rPr>
                    <w:t>2</w:t>
                  </w:r>
                </w:p>
              </w:tc>
              <w:tc>
                <w:tcPr>
                  <w:tcW w:w="479" w:type="pct"/>
                  <w:vMerge w:val="continue"/>
                  <w:vAlign w:val="center"/>
                </w:tcPr>
                <w:p w14:paraId="6E1614EE">
                  <w:pPr>
                    <w:pStyle w:val="129"/>
                    <w:adjustRightInd w:val="0"/>
                    <w:snapToGrid w:val="0"/>
                    <w:ind w:firstLine="378" w:firstLineChars="180"/>
                    <w:rPr>
                      <w:rFonts w:hint="eastAsia"/>
                      <w:bCs/>
                      <w:color w:val="auto"/>
                      <w:lang w:bidi="ar"/>
                    </w:rPr>
                  </w:pPr>
                </w:p>
              </w:tc>
              <w:tc>
                <w:tcPr>
                  <w:tcW w:w="825" w:type="pct"/>
                  <w:vAlign w:val="center"/>
                </w:tcPr>
                <w:p w14:paraId="602DDFFA">
                  <w:pPr>
                    <w:pStyle w:val="129"/>
                    <w:adjustRightInd w:val="0"/>
                    <w:snapToGrid w:val="0"/>
                    <w:jc w:val="center"/>
                    <w:rPr>
                      <w:rFonts w:hint="eastAsia"/>
                      <w:bCs/>
                      <w:color w:val="auto"/>
                      <w:lang w:bidi="ar"/>
                    </w:rPr>
                  </w:pPr>
                  <w:r>
                    <w:rPr>
                      <w:rFonts w:hint="eastAsia"/>
                      <w:bCs/>
                      <w:color w:val="auto"/>
                      <w:lang w:bidi="ar"/>
                    </w:rPr>
                    <w:t>组织管理</w:t>
                  </w:r>
                </w:p>
              </w:tc>
              <w:tc>
                <w:tcPr>
                  <w:tcW w:w="1020" w:type="pct"/>
                  <w:vAlign w:val="center"/>
                </w:tcPr>
                <w:p w14:paraId="5AF65ADA">
                  <w:pPr>
                    <w:pStyle w:val="129"/>
                    <w:adjustRightInd w:val="0"/>
                    <w:snapToGrid w:val="0"/>
                    <w:rPr>
                      <w:rFonts w:hint="eastAsia"/>
                      <w:bCs/>
                      <w:color w:val="auto"/>
                      <w:lang w:bidi="ar"/>
                    </w:rPr>
                  </w:pPr>
                  <w:r>
                    <w:rPr>
                      <w:rFonts w:hint="eastAsia"/>
                      <w:bCs/>
                      <w:color w:val="auto"/>
                      <w:lang w:bidi="ar"/>
                    </w:rPr>
                    <w:t>运维人员分工</w:t>
                  </w:r>
                </w:p>
              </w:tc>
              <w:tc>
                <w:tcPr>
                  <w:tcW w:w="614" w:type="pct"/>
                  <w:vAlign w:val="center"/>
                </w:tcPr>
                <w:p w14:paraId="38083FA7">
                  <w:pPr>
                    <w:pStyle w:val="129"/>
                    <w:adjustRightInd w:val="0"/>
                    <w:snapToGrid w:val="0"/>
                    <w:rPr>
                      <w:rFonts w:hint="eastAsia"/>
                      <w:bCs/>
                      <w:color w:val="auto"/>
                      <w:lang w:bidi="ar"/>
                    </w:rPr>
                  </w:pPr>
                  <w:r>
                    <w:rPr>
                      <w:rFonts w:hint="eastAsia"/>
                      <w:bCs/>
                      <w:color w:val="auto"/>
                      <w:lang w:bidi="ar"/>
                    </w:rPr>
                    <w:t>一次性</w:t>
                  </w:r>
                </w:p>
              </w:tc>
              <w:tc>
                <w:tcPr>
                  <w:tcW w:w="1676" w:type="pct"/>
                  <w:vAlign w:val="center"/>
                </w:tcPr>
                <w:p w14:paraId="2F7EB712">
                  <w:pPr>
                    <w:pStyle w:val="129"/>
                    <w:adjustRightInd w:val="0"/>
                    <w:snapToGrid w:val="0"/>
                    <w:rPr>
                      <w:rFonts w:hint="eastAsia"/>
                      <w:bCs/>
                      <w:color w:val="auto"/>
                      <w:lang w:bidi="ar"/>
                    </w:rPr>
                  </w:pPr>
                  <w:r>
                    <w:rPr>
                      <w:rFonts w:hint="eastAsia"/>
                      <w:bCs/>
                      <w:color w:val="auto"/>
                      <w:lang w:bidi="ar"/>
                    </w:rPr>
                    <w:t>《运维团队职责分工表》</w:t>
                  </w:r>
                </w:p>
              </w:tc>
            </w:tr>
            <w:tr w14:paraId="2BAE6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83" w:type="pct"/>
                  <w:vAlign w:val="center"/>
                </w:tcPr>
                <w:p w14:paraId="1D085E19">
                  <w:pPr>
                    <w:pStyle w:val="129"/>
                    <w:adjustRightInd w:val="0"/>
                    <w:snapToGrid w:val="0"/>
                    <w:jc w:val="center"/>
                    <w:rPr>
                      <w:rFonts w:hint="eastAsia"/>
                      <w:bCs/>
                      <w:color w:val="auto"/>
                    </w:rPr>
                  </w:pPr>
                  <w:r>
                    <w:rPr>
                      <w:rFonts w:hint="eastAsia"/>
                      <w:bCs/>
                      <w:color w:val="auto"/>
                    </w:rPr>
                    <w:t>3</w:t>
                  </w:r>
                </w:p>
              </w:tc>
              <w:tc>
                <w:tcPr>
                  <w:tcW w:w="479" w:type="pct"/>
                  <w:vMerge w:val="continue"/>
                  <w:vAlign w:val="center"/>
                </w:tcPr>
                <w:p w14:paraId="650E9B7A">
                  <w:pPr>
                    <w:pStyle w:val="129"/>
                    <w:adjustRightInd w:val="0"/>
                    <w:snapToGrid w:val="0"/>
                    <w:ind w:firstLine="378" w:firstLineChars="180"/>
                    <w:rPr>
                      <w:rFonts w:hint="eastAsia"/>
                      <w:bCs/>
                      <w:color w:val="auto"/>
                    </w:rPr>
                  </w:pPr>
                </w:p>
              </w:tc>
              <w:tc>
                <w:tcPr>
                  <w:tcW w:w="825" w:type="pct"/>
                  <w:vAlign w:val="center"/>
                </w:tcPr>
                <w:p w14:paraId="7C6F9293">
                  <w:pPr>
                    <w:pStyle w:val="129"/>
                    <w:adjustRightInd w:val="0"/>
                    <w:snapToGrid w:val="0"/>
                    <w:jc w:val="center"/>
                    <w:rPr>
                      <w:rFonts w:hint="eastAsia"/>
                      <w:bCs/>
                      <w:color w:val="auto"/>
                    </w:rPr>
                  </w:pPr>
                  <w:r>
                    <w:rPr>
                      <w:rFonts w:hint="eastAsia"/>
                      <w:bCs/>
                      <w:color w:val="auto"/>
                    </w:rPr>
                    <w:t>运行测试</w:t>
                  </w:r>
                </w:p>
              </w:tc>
              <w:tc>
                <w:tcPr>
                  <w:tcW w:w="1020" w:type="pct"/>
                  <w:vAlign w:val="center"/>
                </w:tcPr>
                <w:p w14:paraId="5F5709E3">
                  <w:pPr>
                    <w:pStyle w:val="129"/>
                    <w:adjustRightInd w:val="0"/>
                    <w:snapToGrid w:val="0"/>
                    <w:rPr>
                      <w:rFonts w:hint="eastAsia"/>
                      <w:bCs/>
                      <w:color w:val="auto"/>
                    </w:rPr>
                  </w:pPr>
                  <w:r>
                    <w:rPr>
                      <w:rFonts w:hint="eastAsia"/>
                      <w:bCs/>
                      <w:color w:val="auto"/>
                    </w:rPr>
                    <w:t>系统运行分析</w:t>
                  </w:r>
                </w:p>
              </w:tc>
              <w:tc>
                <w:tcPr>
                  <w:tcW w:w="614" w:type="pct"/>
                  <w:vAlign w:val="center"/>
                </w:tcPr>
                <w:p w14:paraId="2923264D">
                  <w:pPr>
                    <w:pStyle w:val="129"/>
                    <w:adjustRightInd w:val="0"/>
                    <w:snapToGrid w:val="0"/>
                    <w:rPr>
                      <w:rFonts w:hint="eastAsia"/>
                      <w:bCs/>
                      <w:color w:val="auto"/>
                    </w:rPr>
                  </w:pPr>
                  <w:r>
                    <w:rPr>
                      <w:rFonts w:hint="eastAsia"/>
                      <w:bCs/>
                      <w:color w:val="auto"/>
                    </w:rPr>
                    <w:t>每季度</w:t>
                  </w:r>
                </w:p>
              </w:tc>
              <w:tc>
                <w:tcPr>
                  <w:tcW w:w="1676" w:type="pct"/>
                  <w:vAlign w:val="center"/>
                </w:tcPr>
                <w:p w14:paraId="448133D6">
                  <w:pPr>
                    <w:pStyle w:val="129"/>
                    <w:adjustRightInd w:val="0"/>
                    <w:snapToGrid w:val="0"/>
                    <w:rPr>
                      <w:rFonts w:hint="eastAsia"/>
                      <w:bCs/>
                      <w:color w:val="auto"/>
                      <w:lang w:bidi="ar"/>
                    </w:rPr>
                  </w:pPr>
                  <w:r>
                    <w:rPr>
                      <w:rFonts w:hint="eastAsia"/>
                      <w:bCs/>
                      <w:color w:val="auto"/>
                      <w:lang w:bidi="ar"/>
                    </w:rPr>
                    <w:t>《系统运行分析报告》</w:t>
                  </w:r>
                </w:p>
              </w:tc>
            </w:tr>
            <w:tr w14:paraId="186E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83" w:type="pct"/>
                  <w:vAlign w:val="center"/>
                </w:tcPr>
                <w:p w14:paraId="5CA8643C">
                  <w:pPr>
                    <w:pStyle w:val="129"/>
                    <w:adjustRightInd w:val="0"/>
                    <w:snapToGrid w:val="0"/>
                    <w:jc w:val="center"/>
                    <w:rPr>
                      <w:rFonts w:hint="eastAsia"/>
                      <w:bCs/>
                      <w:color w:val="auto"/>
                    </w:rPr>
                  </w:pPr>
                  <w:r>
                    <w:rPr>
                      <w:rFonts w:hint="eastAsia"/>
                      <w:bCs/>
                      <w:color w:val="auto"/>
                    </w:rPr>
                    <w:t>4</w:t>
                  </w:r>
                </w:p>
              </w:tc>
              <w:tc>
                <w:tcPr>
                  <w:tcW w:w="479" w:type="pct"/>
                  <w:vMerge w:val="continue"/>
                  <w:vAlign w:val="center"/>
                </w:tcPr>
                <w:p w14:paraId="431A2A23">
                  <w:pPr>
                    <w:pStyle w:val="129"/>
                    <w:adjustRightInd w:val="0"/>
                    <w:snapToGrid w:val="0"/>
                    <w:ind w:firstLine="378" w:firstLineChars="180"/>
                    <w:rPr>
                      <w:rFonts w:hint="eastAsia"/>
                      <w:bCs/>
                      <w:color w:val="auto"/>
                    </w:rPr>
                  </w:pPr>
                </w:p>
              </w:tc>
              <w:tc>
                <w:tcPr>
                  <w:tcW w:w="825" w:type="pct"/>
                  <w:vAlign w:val="center"/>
                </w:tcPr>
                <w:p w14:paraId="5DCF6079">
                  <w:pPr>
                    <w:pStyle w:val="129"/>
                    <w:adjustRightInd w:val="0"/>
                    <w:snapToGrid w:val="0"/>
                    <w:jc w:val="center"/>
                    <w:rPr>
                      <w:rFonts w:hint="eastAsia"/>
                      <w:bCs/>
                      <w:color w:val="auto"/>
                    </w:rPr>
                  </w:pPr>
                  <w:r>
                    <w:rPr>
                      <w:rFonts w:hint="eastAsia"/>
                      <w:bCs/>
                      <w:color w:val="auto"/>
                      <w:lang w:bidi="ar"/>
                    </w:rPr>
                    <w:t>系统运维</w:t>
                  </w:r>
                </w:p>
              </w:tc>
              <w:tc>
                <w:tcPr>
                  <w:tcW w:w="1020" w:type="pct"/>
                  <w:vAlign w:val="center"/>
                </w:tcPr>
                <w:p w14:paraId="77B4E10A">
                  <w:pPr>
                    <w:pStyle w:val="129"/>
                    <w:adjustRightInd w:val="0"/>
                    <w:snapToGrid w:val="0"/>
                    <w:rPr>
                      <w:rFonts w:hint="eastAsia"/>
                      <w:bCs/>
                      <w:color w:val="auto"/>
                    </w:rPr>
                  </w:pPr>
                  <w:r>
                    <w:rPr>
                      <w:rFonts w:hint="eastAsia"/>
                      <w:bCs/>
                      <w:color w:val="auto"/>
                      <w:lang w:bidi="ar"/>
                    </w:rPr>
                    <w:t>日常巡检与监控</w:t>
                  </w:r>
                </w:p>
              </w:tc>
              <w:tc>
                <w:tcPr>
                  <w:tcW w:w="614" w:type="pct"/>
                  <w:vAlign w:val="center"/>
                </w:tcPr>
                <w:p w14:paraId="712A29BA">
                  <w:pPr>
                    <w:pStyle w:val="129"/>
                    <w:adjustRightInd w:val="0"/>
                    <w:snapToGrid w:val="0"/>
                    <w:rPr>
                      <w:rFonts w:hint="eastAsia"/>
                      <w:bCs/>
                      <w:color w:val="auto"/>
                    </w:rPr>
                  </w:pPr>
                  <w:r>
                    <w:rPr>
                      <w:rFonts w:hint="eastAsia"/>
                      <w:bCs/>
                      <w:color w:val="auto"/>
                      <w:lang w:bidi="ar"/>
                    </w:rPr>
                    <w:t>每周/次</w:t>
                  </w:r>
                </w:p>
              </w:tc>
              <w:tc>
                <w:tcPr>
                  <w:tcW w:w="1676" w:type="pct"/>
                  <w:vAlign w:val="center"/>
                </w:tcPr>
                <w:p w14:paraId="798FB064">
                  <w:pPr>
                    <w:pStyle w:val="129"/>
                    <w:adjustRightInd w:val="0"/>
                    <w:snapToGrid w:val="0"/>
                    <w:rPr>
                      <w:rFonts w:hint="eastAsia"/>
                      <w:bCs/>
                      <w:color w:val="auto"/>
                      <w:lang w:bidi="ar"/>
                    </w:rPr>
                  </w:pPr>
                  <w:r>
                    <w:rPr>
                      <w:rFonts w:hint="eastAsia"/>
                      <w:bCs/>
                      <w:color w:val="auto"/>
                      <w:lang w:bidi="ar"/>
                    </w:rPr>
                    <w:t>《系统运维巡检报告》</w:t>
                  </w:r>
                </w:p>
              </w:tc>
            </w:tr>
            <w:tr w14:paraId="0650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83" w:type="pct"/>
                  <w:vAlign w:val="center"/>
                </w:tcPr>
                <w:p w14:paraId="6EE89804">
                  <w:pPr>
                    <w:pStyle w:val="129"/>
                    <w:adjustRightInd w:val="0"/>
                    <w:snapToGrid w:val="0"/>
                    <w:jc w:val="center"/>
                    <w:rPr>
                      <w:rFonts w:hint="eastAsia"/>
                      <w:bCs/>
                      <w:color w:val="auto"/>
                    </w:rPr>
                  </w:pPr>
                  <w:r>
                    <w:rPr>
                      <w:rFonts w:hint="eastAsia"/>
                      <w:bCs/>
                      <w:color w:val="auto"/>
                    </w:rPr>
                    <w:t>5</w:t>
                  </w:r>
                </w:p>
              </w:tc>
              <w:tc>
                <w:tcPr>
                  <w:tcW w:w="479" w:type="pct"/>
                  <w:vMerge w:val="continue"/>
                  <w:vAlign w:val="center"/>
                </w:tcPr>
                <w:p w14:paraId="6C1CD613">
                  <w:pPr>
                    <w:pStyle w:val="129"/>
                    <w:adjustRightInd w:val="0"/>
                    <w:snapToGrid w:val="0"/>
                    <w:ind w:firstLine="378" w:firstLineChars="180"/>
                    <w:rPr>
                      <w:rFonts w:hint="eastAsia"/>
                      <w:bCs/>
                      <w:color w:val="auto"/>
                    </w:rPr>
                  </w:pPr>
                </w:p>
              </w:tc>
              <w:tc>
                <w:tcPr>
                  <w:tcW w:w="825" w:type="pct"/>
                  <w:vAlign w:val="center"/>
                </w:tcPr>
                <w:p w14:paraId="294D8439">
                  <w:pPr>
                    <w:pStyle w:val="129"/>
                    <w:adjustRightInd w:val="0"/>
                    <w:snapToGrid w:val="0"/>
                    <w:jc w:val="center"/>
                    <w:rPr>
                      <w:rFonts w:hint="eastAsia"/>
                      <w:bCs/>
                      <w:color w:val="auto"/>
                    </w:rPr>
                  </w:pPr>
                  <w:r>
                    <w:rPr>
                      <w:rFonts w:hint="eastAsia"/>
                      <w:bCs/>
                      <w:color w:val="auto"/>
                      <w:lang w:bidi="ar"/>
                    </w:rPr>
                    <w:t>质量保障</w:t>
                  </w:r>
                </w:p>
              </w:tc>
              <w:tc>
                <w:tcPr>
                  <w:tcW w:w="1020" w:type="pct"/>
                  <w:vAlign w:val="center"/>
                </w:tcPr>
                <w:p w14:paraId="1DD65926">
                  <w:pPr>
                    <w:pStyle w:val="129"/>
                    <w:adjustRightInd w:val="0"/>
                    <w:snapToGrid w:val="0"/>
                    <w:rPr>
                      <w:rFonts w:hint="eastAsia"/>
                      <w:bCs/>
                      <w:color w:val="auto"/>
                    </w:rPr>
                  </w:pPr>
                  <w:r>
                    <w:rPr>
                      <w:rFonts w:hint="eastAsia"/>
                      <w:bCs/>
                      <w:color w:val="auto"/>
                      <w:lang w:bidi="ar"/>
                    </w:rPr>
                    <w:t>运维质量分析</w:t>
                  </w:r>
                </w:p>
              </w:tc>
              <w:tc>
                <w:tcPr>
                  <w:tcW w:w="614" w:type="pct"/>
                  <w:vAlign w:val="center"/>
                </w:tcPr>
                <w:p w14:paraId="4326C37F">
                  <w:pPr>
                    <w:pStyle w:val="129"/>
                    <w:adjustRightInd w:val="0"/>
                    <w:snapToGrid w:val="0"/>
                    <w:rPr>
                      <w:rFonts w:hint="eastAsia"/>
                      <w:bCs/>
                      <w:color w:val="auto"/>
                    </w:rPr>
                  </w:pPr>
                  <w:r>
                    <w:rPr>
                      <w:rFonts w:hint="eastAsia"/>
                      <w:bCs/>
                      <w:color w:val="auto"/>
                      <w:lang w:bidi="ar"/>
                    </w:rPr>
                    <w:t>季度/次</w:t>
                  </w:r>
                </w:p>
              </w:tc>
              <w:tc>
                <w:tcPr>
                  <w:tcW w:w="1676" w:type="pct"/>
                  <w:vAlign w:val="center"/>
                </w:tcPr>
                <w:p w14:paraId="4126BDEC">
                  <w:pPr>
                    <w:pStyle w:val="129"/>
                    <w:adjustRightInd w:val="0"/>
                    <w:snapToGrid w:val="0"/>
                    <w:rPr>
                      <w:rFonts w:hint="eastAsia"/>
                      <w:bCs/>
                      <w:color w:val="auto"/>
                      <w:lang w:bidi="ar"/>
                    </w:rPr>
                  </w:pPr>
                  <w:r>
                    <w:rPr>
                      <w:rFonts w:hint="eastAsia"/>
                      <w:bCs/>
                      <w:color w:val="auto"/>
                      <w:lang w:bidi="ar"/>
                    </w:rPr>
                    <w:t>《运维质量分析报告》</w:t>
                  </w:r>
                </w:p>
              </w:tc>
            </w:tr>
            <w:tr w14:paraId="70582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83" w:type="pct"/>
                  <w:vAlign w:val="center"/>
                </w:tcPr>
                <w:p w14:paraId="6679A7F2">
                  <w:pPr>
                    <w:pStyle w:val="129"/>
                    <w:adjustRightInd w:val="0"/>
                    <w:snapToGrid w:val="0"/>
                    <w:jc w:val="center"/>
                    <w:rPr>
                      <w:rFonts w:hint="eastAsia"/>
                      <w:bCs/>
                      <w:color w:val="auto"/>
                    </w:rPr>
                  </w:pPr>
                  <w:r>
                    <w:rPr>
                      <w:rFonts w:hint="eastAsia"/>
                      <w:bCs/>
                      <w:color w:val="auto"/>
                    </w:rPr>
                    <w:t>6</w:t>
                  </w:r>
                </w:p>
              </w:tc>
              <w:tc>
                <w:tcPr>
                  <w:tcW w:w="479" w:type="pct"/>
                  <w:vMerge w:val="continue"/>
                  <w:vAlign w:val="center"/>
                </w:tcPr>
                <w:p w14:paraId="642CD5DD">
                  <w:pPr>
                    <w:pStyle w:val="129"/>
                    <w:adjustRightInd w:val="0"/>
                    <w:snapToGrid w:val="0"/>
                    <w:ind w:firstLine="378" w:firstLineChars="180"/>
                    <w:rPr>
                      <w:rFonts w:hint="eastAsia"/>
                      <w:bCs/>
                      <w:color w:val="auto"/>
                    </w:rPr>
                  </w:pPr>
                </w:p>
              </w:tc>
              <w:tc>
                <w:tcPr>
                  <w:tcW w:w="825" w:type="pct"/>
                  <w:vAlign w:val="center"/>
                </w:tcPr>
                <w:p w14:paraId="27156F28">
                  <w:pPr>
                    <w:pStyle w:val="129"/>
                    <w:adjustRightInd w:val="0"/>
                    <w:snapToGrid w:val="0"/>
                    <w:jc w:val="center"/>
                    <w:rPr>
                      <w:rFonts w:hint="eastAsia"/>
                      <w:bCs/>
                      <w:color w:val="auto"/>
                      <w:lang w:bidi="ar"/>
                    </w:rPr>
                  </w:pPr>
                  <w:r>
                    <w:rPr>
                      <w:rFonts w:hint="eastAsia"/>
                      <w:bCs/>
                      <w:color w:val="auto"/>
                      <w:lang w:bidi="ar"/>
                    </w:rPr>
                    <w:t>故障处理报告</w:t>
                  </w:r>
                </w:p>
              </w:tc>
              <w:tc>
                <w:tcPr>
                  <w:tcW w:w="1020" w:type="pct"/>
                  <w:vAlign w:val="center"/>
                </w:tcPr>
                <w:p w14:paraId="7C560C46">
                  <w:pPr>
                    <w:pStyle w:val="129"/>
                    <w:adjustRightInd w:val="0"/>
                    <w:snapToGrid w:val="0"/>
                    <w:rPr>
                      <w:rFonts w:hint="eastAsia"/>
                      <w:bCs/>
                      <w:color w:val="auto"/>
                      <w:lang w:bidi="ar"/>
                    </w:rPr>
                  </w:pPr>
                  <w:r>
                    <w:rPr>
                      <w:rFonts w:hint="eastAsia"/>
                      <w:bCs/>
                      <w:color w:val="auto"/>
                      <w:lang w:bidi="ar"/>
                    </w:rPr>
                    <w:t>故障处理报告</w:t>
                  </w:r>
                </w:p>
              </w:tc>
              <w:tc>
                <w:tcPr>
                  <w:tcW w:w="614" w:type="pct"/>
                  <w:vAlign w:val="center"/>
                </w:tcPr>
                <w:p w14:paraId="0C21C2DB">
                  <w:pPr>
                    <w:pStyle w:val="129"/>
                    <w:adjustRightInd w:val="0"/>
                    <w:snapToGrid w:val="0"/>
                    <w:rPr>
                      <w:rFonts w:hint="eastAsia"/>
                      <w:bCs/>
                      <w:color w:val="auto"/>
                      <w:lang w:bidi="ar"/>
                    </w:rPr>
                  </w:pPr>
                  <w:r>
                    <w:rPr>
                      <w:rFonts w:hint="eastAsia"/>
                      <w:bCs/>
                      <w:color w:val="auto"/>
                      <w:lang w:bidi="ar"/>
                    </w:rPr>
                    <w:t>月/次</w:t>
                  </w:r>
                </w:p>
              </w:tc>
              <w:tc>
                <w:tcPr>
                  <w:tcW w:w="1676" w:type="pct"/>
                  <w:vAlign w:val="center"/>
                </w:tcPr>
                <w:p w14:paraId="063D14EB">
                  <w:pPr>
                    <w:pStyle w:val="129"/>
                    <w:adjustRightInd w:val="0"/>
                    <w:snapToGrid w:val="0"/>
                    <w:rPr>
                      <w:rFonts w:hint="eastAsia"/>
                      <w:bCs/>
                      <w:color w:val="auto"/>
                      <w:lang w:bidi="ar"/>
                    </w:rPr>
                  </w:pPr>
                  <w:r>
                    <w:rPr>
                      <w:rFonts w:hint="eastAsia"/>
                      <w:bCs/>
                      <w:color w:val="auto"/>
                      <w:lang w:bidi="ar"/>
                    </w:rPr>
                    <w:t>《系统运维故障处理报告》</w:t>
                  </w:r>
                </w:p>
              </w:tc>
            </w:tr>
            <w:tr w14:paraId="034D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383" w:type="pct"/>
                  <w:vAlign w:val="center"/>
                </w:tcPr>
                <w:p w14:paraId="010A3805">
                  <w:pPr>
                    <w:pStyle w:val="129"/>
                    <w:adjustRightInd w:val="0"/>
                    <w:snapToGrid w:val="0"/>
                    <w:jc w:val="center"/>
                    <w:rPr>
                      <w:rFonts w:hint="eastAsia"/>
                      <w:bCs/>
                      <w:color w:val="auto"/>
                      <w:lang w:bidi="ar"/>
                    </w:rPr>
                  </w:pPr>
                  <w:r>
                    <w:rPr>
                      <w:rFonts w:hint="eastAsia"/>
                      <w:bCs/>
                      <w:color w:val="auto"/>
                      <w:lang w:bidi="ar"/>
                    </w:rPr>
                    <w:t>7</w:t>
                  </w:r>
                </w:p>
              </w:tc>
              <w:tc>
                <w:tcPr>
                  <w:tcW w:w="479" w:type="pct"/>
                  <w:vMerge w:val="continue"/>
                  <w:vAlign w:val="center"/>
                </w:tcPr>
                <w:p w14:paraId="0013BA10">
                  <w:pPr>
                    <w:pStyle w:val="129"/>
                    <w:adjustRightInd w:val="0"/>
                    <w:snapToGrid w:val="0"/>
                    <w:ind w:firstLine="378" w:firstLineChars="180"/>
                    <w:rPr>
                      <w:rFonts w:hint="eastAsia"/>
                      <w:bCs/>
                      <w:color w:val="auto"/>
                    </w:rPr>
                  </w:pPr>
                </w:p>
              </w:tc>
              <w:tc>
                <w:tcPr>
                  <w:tcW w:w="825" w:type="pct"/>
                  <w:vAlign w:val="center"/>
                </w:tcPr>
                <w:p w14:paraId="0FD5ABAB">
                  <w:pPr>
                    <w:pStyle w:val="129"/>
                    <w:adjustRightInd w:val="0"/>
                    <w:snapToGrid w:val="0"/>
                    <w:jc w:val="center"/>
                    <w:rPr>
                      <w:rFonts w:hint="eastAsia"/>
                      <w:bCs/>
                      <w:color w:val="auto"/>
                      <w:lang w:bidi="ar"/>
                    </w:rPr>
                  </w:pPr>
                  <w:r>
                    <w:rPr>
                      <w:rFonts w:hint="eastAsia"/>
                      <w:bCs/>
                      <w:color w:val="auto"/>
                      <w:lang w:bidi="ar"/>
                    </w:rPr>
                    <w:t>策略管理</w:t>
                  </w:r>
                </w:p>
              </w:tc>
              <w:tc>
                <w:tcPr>
                  <w:tcW w:w="1020" w:type="pct"/>
                  <w:vAlign w:val="center"/>
                </w:tcPr>
                <w:p w14:paraId="13277269">
                  <w:pPr>
                    <w:pStyle w:val="129"/>
                    <w:adjustRightInd w:val="0"/>
                    <w:snapToGrid w:val="0"/>
                    <w:rPr>
                      <w:rFonts w:hint="eastAsia"/>
                      <w:bCs/>
                      <w:color w:val="auto"/>
                      <w:lang w:bidi="ar"/>
                    </w:rPr>
                  </w:pPr>
                  <w:r>
                    <w:rPr>
                      <w:rFonts w:hint="eastAsia"/>
                      <w:bCs/>
                      <w:color w:val="auto"/>
                      <w:lang w:bidi="ar"/>
                    </w:rPr>
                    <w:t>策略配置方案</w:t>
                  </w:r>
                </w:p>
              </w:tc>
              <w:tc>
                <w:tcPr>
                  <w:tcW w:w="614" w:type="pct"/>
                  <w:vAlign w:val="center"/>
                </w:tcPr>
                <w:p w14:paraId="6B5CE4BA">
                  <w:pPr>
                    <w:pStyle w:val="129"/>
                    <w:adjustRightInd w:val="0"/>
                    <w:snapToGrid w:val="0"/>
                    <w:rPr>
                      <w:rFonts w:hint="eastAsia"/>
                      <w:bCs/>
                      <w:color w:val="auto"/>
                      <w:lang w:bidi="ar"/>
                    </w:rPr>
                  </w:pPr>
                  <w:r>
                    <w:rPr>
                      <w:rFonts w:hint="eastAsia"/>
                      <w:bCs/>
                      <w:color w:val="auto"/>
                      <w:lang w:bidi="ar"/>
                    </w:rPr>
                    <w:t>季度/次</w:t>
                  </w:r>
                </w:p>
              </w:tc>
              <w:tc>
                <w:tcPr>
                  <w:tcW w:w="1676" w:type="pct"/>
                  <w:vAlign w:val="center"/>
                </w:tcPr>
                <w:p w14:paraId="65BF9F42">
                  <w:pPr>
                    <w:pStyle w:val="129"/>
                    <w:adjustRightInd w:val="0"/>
                    <w:snapToGrid w:val="0"/>
                    <w:rPr>
                      <w:rFonts w:hint="eastAsia"/>
                      <w:bCs/>
                      <w:color w:val="auto"/>
                      <w:lang w:bidi="ar"/>
                    </w:rPr>
                  </w:pPr>
                  <w:r>
                    <w:rPr>
                      <w:rFonts w:hint="eastAsia"/>
                      <w:bCs/>
                      <w:color w:val="auto"/>
                      <w:lang w:bidi="ar"/>
                    </w:rPr>
                    <w:t>《策略配置方案》</w:t>
                  </w:r>
                </w:p>
              </w:tc>
            </w:tr>
          </w:tbl>
          <w:p w14:paraId="54052D8A">
            <w:pPr>
              <w:ind w:firstLine="420" w:firstLineChars="200"/>
              <w:rPr>
                <w:rFonts w:hint="eastAsia" w:ascii="宋体" w:hAnsi="宋体" w:cs="宋体"/>
                <w:bCs/>
                <w:color w:val="auto"/>
                <w:szCs w:val="28"/>
              </w:rPr>
            </w:pPr>
          </w:p>
        </w:tc>
      </w:tr>
      <w:tr w14:paraId="7220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862" w:type="dxa"/>
            <w:gridSpan w:val="6"/>
            <w:tcBorders>
              <w:top w:val="single" w:color="auto" w:sz="4" w:space="0"/>
              <w:left w:val="single" w:color="auto" w:sz="4" w:space="0"/>
              <w:bottom w:val="single" w:color="auto" w:sz="4" w:space="0"/>
              <w:right w:val="single" w:color="auto" w:sz="4" w:space="0"/>
            </w:tcBorders>
            <w:vAlign w:val="center"/>
          </w:tcPr>
          <w:p w14:paraId="4E321371">
            <w:pPr>
              <w:spacing w:line="400" w:lineRule="exact"/>
              <w:rPr>
                <w:rFonts w:hint="eastAsia" w:ascii="宋体" w:hAnsi="宋体"/>
                <w:color w:val="auto"/>
                <w:szCs w:val="21"/>
              </w:rPr>
            </w:pPr>
            <w:r>
              <w:rPr>
                <w:rFonts w:hint="eastAsia" w:ascii="宋体" w:hAnsi="宋体"/>
                <w:b/>
                <w:color w:val="auto"/>
                <w:szCs w:val="21"/>
              </w:rPr>
              <w:t>商务要求表</w:t>
            </w:r>
          </w:p>
        </w:tc>
      </w:tr>
      <w:tr w14:paraId="6E09B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83" w:type="dxa"/>
            <w:gridSpan w:val="2"/>
            <w:tcBorders>
              <w:top w:val="single" w:color="auto" w:sz="4" w:space="0"/>
              <w:left w:val="single" w:color="auto" w:sz="4" w:space="0"/>
              <w:bottom w:val="single" w:color="auto" w:sz="4" w:space="0"/>
              <w:right w:val="single" w:color="auto" w:sz="4" w:space="0"/>
            </w:tcBorders>
            <w:vAlign w:val="center"/>
          </w:tcPr>
          <w:p w14:paraId="6B2DEDD1">
            <w:pPr>
              <w:spacing w:line="360" w:lineRule="auto"/>
              <w:rPr>
                <w:rFonts w:hint="eastAsia" w:ascii="宋体" w:hAnsi="宋体"/>
                <w:szCs w:val="21"/>
              </w:rPr>
            </w:pPr>
            <w:r>
              <w:rPr>
                <w:rFonts w:hint="eastAsia" w:ascii="宋体" w:hAnsi="宋体"/>
                <w:szCs w:val="21"/>
              </w:rPr>
              <w:t>（一）合同签订期限</w:t>
            </w:r>
          </w:p>
        </w:tc>
        <w:tc>
          <w:tcPr>
            <w:tcW w:w="8179" w:type="dxa"/>
            <w:gridSpan w:val="4"/>
            <w:tcBorders>
              <w:top w:val="single" w:color="auto" w:sz="4" w:space="0"/>
              <w:left w:val="single" w:color="auto" w:sz="4" w:space="0"/>
              <w:bottom w:val="single" w:color="auto" w:sz="4" w:space="0"/>
              <w:right w:val="single" w:color="auto" w:sz="4" w:space="0"/>
            </w:tcBorders>
            <w:vAlign w:val="center"/>
          </w:tcPr>
          <w:p w14:paraId="5C095B8B">
            <w:pPr>
              <w:spacing w:line="360" w:lineRule="auto"/>
              <w:rPr>
                <w:rFonts w:hint="eastAsia" w:ascii="宋体" w:hAnsi="宋体"/>
                <w:szCs w:val="21"/>
              </w:rPr>
            </w:pPr>
            <w:r>
              <w:rPr>
                <w:rFonts w:hint="eastAsia" w:ascii="宋体" w:hAnsi="宋体"/>
                <w:szCs w:val="21"/>
              </w:rPr>
              <w:t>自中标通知书发出之日起25个日历日内。</w:t>
            </w:r>
          </w:p>
        </w:tc>
      </w:tr>
      <w:tr w14:paraId="10357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83" w:type="dxa"/>
            <w:gridSpan w:val="2"/>
            <w:tcBorders>
              <w:top w:val="single" w:color="auto" w:sz="4" w:space="0"/>
              <w:left w:val="single" w:color="auto" w:sz="4" w:space="0"/>
              <w:bottom w:val="single" w:color="auto" w:sz="4" w:space="0"/>
              <w:right w:val="single" w:color="auto" w:sz="4" w:space="0"/>
            </w:tcBorders>
            <w:vAlign w:val="center"/>
          </w:tcPr>
          <w:p w14:paraId="06BCDD67">
            <w:pPr>
              <w:snapToGrid w:val="0"/>
              <w:spacing w:line="360" w:lineRule="auto"/>
              <w:rPr>
                <w:rFonts w:hint="eastAsia" w:ascii="宋体" w:hAnsi="宋体"/>
                <w:szCs w:val="21"/>
              </w:rPr>
            </w:pPr>
            <w:r>
              <w:rPr>
                <w:rFonts w:hint="eastAsia" w:ascii="宋体" w:hAnsi="宋体"/>
                <w:szCs w:val="21"/>
              </w:rPr>
              <w:t>（二）报价要求</w:t>
            </w:r>
          </w:p>
        </w:tc>
        <w:tc>
          <w:tcPr>
            <w:tcW w:w="8179" w:type="dxa"/>
            <w:gridSpan w:val="4"/>
            <w:tcBorders>
              <w:top w:val="single" w:color="auto" w:sz="4" w:space="0"/>
              <w:left w:val="single" w:color="auto" w:sz="4" w:space="0"/>
              <w:bottom w:val="single" w:color="auto" w:sz="4" w:space="0"/>
              <w:right w:val="single" w:color="auto" w:sz="4" w:space="0"/>
            </w:tcBorders>
            <w:vAlign w:val="center"/>
          </w:tcPr>
          <w:p w14:paraId="16865B1D">
            <w:pPr>
              <w:spacing w:line="360" w:lineRule="auto"/>
              <w:rPr>
                <w:rFonts w:hint="eastAsia" w:ascii="宋体" w:hAnsi="宋体"/>
                <w:szCs w:val="21"/>
              </w:rPr>
            </w:pPr>
            <w:r>
              <w:rPr>
                <w:rFonts w:hint="eastAsia" w:ascii="宋体" w:hAnsi="宋体"/>
                <w:szCs w:val="21"/>
              </w:rPr>
              <w:t>本服务项目报价为人民币含税价，总价包干，合同履行过程中，采购人不再支付任何费用。包括但不限于：</w:t>
            </w:r>
          </w:p>
          <w:p w14:paraId="3B621ED5">
            <w:pPr>
              <w:spacing w:line="360" w:lineRule="auto"/>
              <w:rPr>
                <w:rFonts w:hint="eastAsia" w:ascii="宋体" w:hAnsi="宋体"/>
                <w:szCs w:val="21"/>
              </w:rPr>
            </w:pPr>
            <w:r>
              <w:rPr>
                <w:rFonts w:hint="eastAsia" w:ascii="宋体" w:hAnsi="宋体"/>
                <w:szCs w:val="21"/>
              </w:rPr>
              <w:t>1.服务的费用，包括技术支持、培训、运维服务、驻场服务（如有）、交通费、差旅费、住宿费、伙食费、通讯费等；</w:t>
            </w:r>
          </w:p>
          <w:p w14:paraId="3E45AD2B">
            <w:pPr>
              <w:spacing w:line="360" w:lineRule="auto"/>
              <w:rPr>
                <w:rFonts w:hint="eastAsia" w:ascii="宋体" w:hAnsi="宋体"/>
                <w:szCs w:val="21"/>
              </w:rPr>
            </w:pPr>
            <w:r>
              <w:rPr>
                <w:rFonts w:hint="eastAsia" w:ascii="宋体" w:hAnsi="宋体"/>
                <w:szCs w:val="21"/>
              </w:rPr>
              <w:t>2.必要的代理服务费、保险费用和各项税金；</w:t>
            </w:r>
          </w:p>
          <w:p w14:paraId="121111A8">
            <w:pPr>
              <w:spacing w:line="360" w:lineRule="auto"/>
              <w:rPr>
                <w:rFonts w:hint="eastAsia" w:ascii="宋体" w:hAnsi="宋体"/>
                <w:szCs w:val="21"/>
              </w:rPr>
            </w:pPr>
            <w:r>
              <w:rPr>
                <w:rFonts w:hint="eastAsia" w:ascii="宋体" w:hAnsi="宋体"/>
                <w:szCs w:val="21"/>
              </w:rPr>
              <w:t>3.服务时所需的备品和备件的费用；</w:t>
            </w:r>
          </w:p>
          <w:p w14:paraId="33DF1500">
            <w:pPr>
              <w:spacing w:line="360" w:lineRule="auto"/>
              <w:rPr>
                <w:rFonts w:hint="eastAsia" w:ascii="宋体" w:hAnsi="宋体"/>
                <w:szCs w:val="21"/>
              </w:rPr>
            </w:pPr>
            <w:r>
              <w:rPr>
                <w:rFonts w:hint="eastAsia" w:ascii="宋体" w:hAnsi="宋体"/>
                <w:szCs w:val="21"/>
              </w:rPr>
              <w:t>4.根据合同规定，履行合同可能产生的其他费用。</w:t>
            </w:r>
          </w:p>
        </w:tc>
      </w:tr>
      <w:tr w14:paraId="29151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83" w:type="dxa"/>
            <w:gridSpan w:val="2"/>
            <w:tcBorders>
              <w:top w:val="single" w:color="auto" w:sz="4" w:space="0"/>
              <w:left w:val="single" w:color="auto" w:sz="4" w:space="0"/>
              <w:bottom w:val="single" w:color="auto" w:sz="4" w:space="0"/>
              <w:right w:val="single" w:color="auto" w:sz="4" w:space="0"/>
            </w:tcBorders>
            <w:vAlign w:val="center"/>
          </w:tcPr>
          <w:p w14:paraId="6E6E7F02">
            <w:pPr>
              <w:snapToGrid w:val="0"/>
              <w:spacing w:line="360" w:lineRule="auto"/>
              <w:jc w:val="center"/>
              <w:rPr>
                <w:rFonts w:hint="eastAsia" w:ascii="宋体" w:hAnsi="宋体"/>
                <w:szCs w:val="21"/>
              </w:rPr>
            </w:pPr>
            <w:r>
              <w:rPr>
                <w:rFonts w:hint="eastAsia" w:ascii="宋体" w:hAnsi="宋体"/>
                <w:szCs w:val="21"/>
              </w:rPr>
              <w:t>（三）服务期限和地点</w:t>
            </w:r>
          </w:p>
        </w:tc>
        <w:tc>
          <w:tcPr>
            <w:tcW w:w="8179" w:type="dxa"/>
            <w:gridSpan w:val="4"/>
            <w:tcBorders>
              <w:top w:val="single" w:color="auto" w:sz="4" w:space="0"/>
              <w:left w:val="single" w:color="auto" w:sz="4" w:space="0"/>
              <w:bottom w:val="single" w:color="auto" w:sz="4" w:space="0"/>
              <w:right w:val="single" w:color="auto" w:sz="4" w:space="0"/>
            </w:tcBorders>
            <w:vAlign w:val="center"/>
          </w:tcPr>
          <w:p w14:paraId="200B636B">
            <w:pPr>
              <w:spacing w:line="360" w:lineRule="auto"/>
              <w:rPr>
                <w:rFonts w:hint="eastAsia" w:ascii="宋体" w:hAnsi="宋体" w:cs="宋体"/>
                <w:bCs/>
                <w:kern w:val="0"/>
                <w:szCs w:val="21"/>
              </w:rPr>
            </w:pPr>
            <w:r>
              <w:rPr>
                <w:rFonts w:hint="eastAsia" w:ascii="宋体" w:hAnsi="宋体"/>
                <w:szCs w:val="21"/>
              </w:rPr>
              <w:t>合同履约期限：至合同签订之日起一年。</w:t>
            </w:r>
          </w:p>
          <w:p w14:paraId="6FF1C4BA">
            <w:pPr>
              <w:spacing w:line="360" w:lineRule="auto"/>
              <w:rPr>
                <w:rFonts w:hint="eastAsia" w:ascii="宋体" w:hAnsi="宋体"/>
                <w:szCs w:val="21"/>
              </w:rPr>
            </w:pPr>
            <w:r>
              <w:rPr>
                <w:rFonts w:hint="eastAsia" w:ascii="宋体" w:hAnsi="宋体"/>
                <w:szCs w:val="21"/>
              </w:rPr>
              <w:t>地点：采购人指定地点。</w:t>
            </w:r>
          </w:p>
        </w:tc>
      </w:tr>
      <w:tr w14:paraId="2D72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83" w:type="dxa"/>
            <w:gridSpan w:val="2"/>
            <w:tcBorders>
              <w:top w:val="single" w:color="auto" w:sz="4" w:space="0"/>
              <w:left w:val="single" w:color="auto" w:sz="4" w:space="0"/>
              <w:bottom w:val="single" w:color="auto" w:sz="4" w:space="0"/>
              <w:right w:val="single" w:color="auto" w:sz="4" w:space="0"/>
            </w:tcBorders>
            <w:vAlign w:val="center"/>
          </w:tcPr>
          <w:p w14:paraId="283A098A">
            <w:pPr>
              <w:snapToGrid w:val="0"/>
              <w:spacing w:line="360" w:lineRule="auto"/>
              <w:rPr>
                <w:rFonts w:hint="eastAsia" w:ascii="宋体" w:hAnsi="宋体"/>
                <w:szCs w:val="21"/>
              </w:rPr>
            </w:pPr>
            <w:r>
              <w:rPr>
                <w:rFonts w:hint="eastAsia" w:ascii="宋体" w:hAnsi="宋体"/>
                <w:szCs w:val="21"/>
              </w:rPr>
              <w:t>（四）服务要求</w:t>
            </w:r>
          </w:p>
        </w:tc>
        <w:tc>
          <w:tcPr>
            <w:tcW w:w="8179" w:type="dxa"/>
            <w:gridSpan w:val="4"/>
            <w:tcBorders>
              <w:top w:val="single" w:color="auto" w:sz="4" w:space="0"/>
              <w:left w:val="single" w:color="auto" w:sz="4" w:space="0"/>
              <w:bottom w:val="single" w:color="auto" w:sz="4" w:space="0"/>
              <w:right w:val="single" w:color="auto" w:sz="4" w:space="0"/>
            </w:tcBorders>
            <w:vAlign w:val="center"/>
          </w:tcPr>
          <w:p w14:paraId="558CB31F">
            <w:pPr>
              <w:spacing w:line="360" w:lineRule="auto"/>
              <w:rPr>
                <w:rFonts w:hint="eastAsia" w:ascii="宋体" w:hAnsi="宋体"/>
                <w:szCs w:val="21"/>
              </w:rPr>
            </w:pPr>
            <w:r>
              <w:rPr>
                <w:rFonts w:ascii="宋体" w:hAnsi="宋体"/>
                <w:szCs w:val="21"/>
              </w:rPr>
              <w:t>1</w:t>
            </w:r>
            <w:r>
              <w:rPr>
                <w:rFonts w:hint="eastAsia" w:ascii="宋体" w:hAnsi="宋体"/>
                <w:szCs w:val="21"/>
              </w:rPr>
              <w:t>.中标</w:t>
            </w:r>
            <w:r>
              <w:rPr>
                <w:rFonts w:ascii="宋体" w:hAnsi="宋体"/>
                <w:szCs w:val="21"/>
              </w:rPr>
              <w:t>供应商须确保响应文件中的拟投入本项目实施人员信息真实、有效。</w:t>
            </w:r>
            <w:r>
              <w:rPr>
                <w:rFonts w:hint="eastAsia" w:ascii="宋体" w:hAnsi="宋体"/>
                <w:szCs w:val="21"/>
              </w:rPr>
              <w:t>中标</w:t>
            </w:r>
            <w:r>
              <w:rPr>
                <w:rFonts w:ascii="宋体" w:hAnsi="宋体"/>
                <w:szCs w:val="21"/>
              </w:rPr>
              <w:t>供应商须按照本采购文件的要求，严格、高效、诚信地组织好此次服务项目，不得将项目非法分包或转包给任何单位和个人，否则采购人有权即刻终止合同，所有经济损失和责任由供应商承担。</w:t>
            </w:r>
          </w:p>
          <w:p w14:paraId="11C08AC0">
            <w:pPr>
              <w:spacing w:line="360" w:lineRule="auto"/>
              <w:rPr>
                <w:rFonts w:hint="eastAsia" w:ascii="宋体" w:hAnsi="宋体"/>
                <w:szCs w:val="21"/>
              </w:rPr>
            </w:pPr>
            <w:r>
              <w:rPr>
                <w:rFonts w:ascii="宋体" w:hAnsi="宋体"/>
                <w:szCs w:val="21"/>
              </w:rPr>
              <w:t>2</w:t>
            </w:r>
            <w:r>
              <w:rPr>
                <w:rFonts w:hint="eastAsia" w:ascii="宋体" w:hAnsi="宋体"/>
                <w:szCs w:val="21"/>
              </w:rPr>
              <w:t>.</w:t>
            </w:r>
            <w:r>
              <w:rPr>
                <w:rFonts w:ascii="宋体" w:hAnsi="宋体"/>
                <w:szCs w:val="21"/>
              </w:rPr>
              <w:t>未经采购人允许，</w:t>
            </w:r>
            <w:r>
              <w:rPr>
                <w:rFonts w:hint="eastAsia" w:ascii="宋体" w:hAnsi="宋体"/>
                <w:szCs w:val="21"/>
              </w:rPr>
              <w:t>中标</w:t>
            </w:r>
            <w:r>
              <w:rPr>
                <w:rFonts w:ascii="宋体" w:hAnsi="宋体"/>
                <w:szCs w:val="21"/>
              </w:rPr>
              <w:t>供应商不得使用或者以其他方式给任何第三方提供本项目的相关信息数据。</w:t>
            </w:r>
          </w:p>
          <w:p w14:paraId="22979D1A">
            <w:pPr>
              <w:spacing w:line="360" w:lineRule="auto"/>
              <w:rPr>
                <w:rFonts w:hint="eastAsia" w:ascii="宋体" w:hAnsi="宋体"/>
                <w:szCs w:val="21"/>
              </w:rPr>
            </w:pPr>
            <w:r>
              <w:rPr>
                <w:rFonts w:ascii="宋体" w:hAnsi="宋体"/>
                <w:szCs w:val="21"/>
              </w:rPr>
              <w:t>3</w:t>
            </w:r>
            <w:r>
              <w:rPr>
                <w:rFonts w:hint="eastAsia" w:ascii="宋体" w:hAnsi="宋体"/>
                <w:szCs w:val="21"/>
              </w:rPr>
              <w:t>.中标</w:t>
            </w:r>
            <w:r>
              <w:rPr>
                <w:rFonts w:ascii="宋体" w:hAnsi="宋体"/>
                <w:szCs w:val="21"/>
              </w:rPr>
              <w:t>供应商须根据自身条件及能力参加本次采购活动，如供应商恶意低价</w:t>
            </w:r>
            <w:r>
              <w:rPr>
                <w:rFonts w:hint="eastAsia" w:ascii="宋体" w:hAnsi="宋体"/>
                <w:szCs w:val="21"/>
              </w:rPr>
              <w:t>中标</w:t>
            </w:r>
            <w:r>
              <w:rPr>
                <w:rFonts w:ascii="宋体" w:hAnsi="宋体"/>
                <w:szCs w:val="21"/>
              </w:rPr>
              <w:t>后，无力承担本项目，或者不能按合同约定完成，导致采购人无法完成本次项目采购，造成的后果由</w:t>
            </w:r>
            <w:r>
              <w:rPr>
                <w:rFonts w:hint="eastAsia" w:ascii="宋体" w:hAnsi="宋体"/>
                <w:szCs w:val="21"/>
              </w:rPr>
              <w:t>中标</w:t>
            </w:r>
            <w:r>
              <w:rPr>
                <w:rFonts w:ascii="宋体" w:hAnsi="宋体"/>
                <w:szCs w:val="21"/>
              </w:rPr>
              <w:t>供应商承担（包括但不仅限于处以与本项目预算同等金额罚金，登报申明消除影响等）。</w:t>
            </w:r>
          </w:p>
        </w:tc>
      </w:tr>
      <w:tr w14:paraId="1CE9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83" w:type="dxa"/>
            <w:gridSpan w:val="2"/>
            <w:tcBorders>
              <w:top w:val="single" w:color="auto" w:sz="4" w:space="0"/>
              <w:left w:val="single" w:color="auto" w:sz="4" w:space="0"/>
              <w:bottom w:val="single" w:color="auto" w:sz="4" w:space="0"/>
              <w:right w:val="single" w:color="auto" w:sz="4" w:space="0"/>
            </w:tcBorders>
            <w:vAlign w:val="center"/>
          </w:tcPr>
          <w:p w14:paraId="239D96AE">
            <w:pPr>
              <w:spacing w:line="360" w:lineRule="auto"/>
              <w:rPr>
                <w:rFonts w:hint="eastAsia" w:ascii="宋体" w:hAnsi="宋体"/>
                <w:szCs w:val="21"/>
              </w:rPr>
            </w:pPr>
            <w:r>
              <w:rPr>
                <w:rFonts w:hint="eastAsia" w:ascii="宋体" w:hAnsi="宋体"/>
                <w:szCs w:val="21"/>
              </w:rPr>
              <w:t>（五）付款方式</w:t>
            </w:r>
          </w:p>
        </w:tc>
        <w:tc>
          <w:tcPr>
            <w:tcW w:w="8179" w:type="dxa"/>
            <w:gridSpan w:val="4"/>
            <w:tcBorders>
              <w:top w:val="single" w:color="auto" w:sz="4" w:space="0"/>
              <w:left w:val="single" w:color="auto" w:sz="4" w:space="0"/>
              <w:bottom w:val="single" w:color="auto" w:sz="4" w:space="0"/>
              <w:right w:val="single" w:color="auto" w:sz="4" w:space="0"/>
            </w:tcBorders>
            <w:vAlign w:val="center"/>
          </w:tcPr>
          <w:p w14:paraId="6FAA68CD">
            <w:pPr>
              <w:snapToGrid w:val="0"/>
              <w:spacing w:line="360" w:lineRule="auto"/>
              <w:rPr>
                <w:rFonts w:hint="eastAsia" w:ascii="宋体" w:hAnsi="宋体"/>
                <w:szCs w:val="21"/>
              </w:rPr>
            </w:pPr>
            <w:r>
              <w:rPr>
                <w:rFonts w:hint="eastAsia" w:ascii="宋体" w:hAnsi="宋体"/>
                <w:szCs w:val="21"/>
              </w:rPr>
              <w:t>1.</w:t>
            </w:r>
            <w:r>
              <w:rPr>
                <w:rFonts w:hint="eastAsia"/>
              </w:rPr>
              <w:t xml:space="preserve"> </w:t>
            </w:r>
            <w:r>
              <w:rPr>
                <w:rFonts w:hint="eastAsia" w:ascii="宋体" w:hAnsi="宋体"/>
                <w:szCs w:val="21"/>
              </w:rPr>
              <w:t>完成合同签订后，采购人自收到中标供应商提供的相应金额发票后15个工作日内，采购人向中标供应商支付合同总金额的30%；</w:t>
            </w:r>
          </w:p>
          <w:p w14:paraId="77836745">
            <w:pPr>
              <w:snapToGrid w:val="0"/>
              <w:spacing w:line="360" w:lineRule="auto"/>
              <w:rPr>
                <w:rFonts w:hint="eastAsia" w:ascii="宋体" w:hAnsi="宋体"/>
                <w:szCs w:val="21"/>
              </w:rPr>
            </w:pPr>
            <w:r>
              <w:rPr>
                <w:rFonts w:hint="eastAsia" w:ascii="宋体" w:hAnsi="宋体"/>
                <w:szCs w:val="21"/>
              </w:rPr>
              <w:t>2.</w:t>
            </w:r>
            <w:r>
              <w:rPr>
                <w:rFonts w:hint="eastAsia"/>
              </w:rPr>
              <w:t xml:space="preserve"> </w:t>
            </w:r>
            <w:r>
              <w:rPr>
                <w:rFonts w:hint="eastAsia" w:ascii="宋体" w:hAnsi="宋体"/>
                <w:szCs w:val="21"/>
              </w:rPr>
              <w:t>服务期满50%周期后，采购人自收到中标供应商提供的相应金额发票后15个工作日内，采购人向中标供应商支付合同总金额的50%。</w:t>
            </w:r>
          </w:p>
          <w:p w14:paraId="071DCA5D">
            <w:pPr>
              <w:snapToGrid w:val="0"/>
              <w:spacing w:line="360" w:lineRule="auto"/>
              <w:rPr>
                <w:rFonts w:hint="eastAsia" w:ascii="宋体" w:hAnsi="宋体"/>
                <w:szCs w:val="21"/>
              </w:rPr>
            </w:pPr>
            <w:r>
              <w:rPr>
                <w:rFonts w:hint="eastAsia" w:ascii="宋体" w:hAnsi="宋体"/>
                <w:szCs w:val="21"/>
              </w:rPr>
              <w:t>3.</w:t>
            </w:r>
            <w:r>
              <w:rPr>
                <w:rFonts w:hint="eastAsia"/>
              </w:rPr>
              <w:t xml:space="preserve"> </w:t>
            </w:r>
            <w:r>
              <w:rPr>
                <w:rFonts w:hint="eastAsia" w:ascii="宋体" w:hAnsi="宋体"/>
                <w:szCs w:val="21"/>
              </w:rPr>
              <w:t>完成项目验收后，采购人自收到中标供应商提供相应金额发票后15个工作日内，采购人向中标供应商支付合同总金额的20%。</w:t>
            </w:r>
          </w:p>
        </w:tc>
      </w:tr>
      <w:tr w14:paraId="3086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83" w:type="dxa"/>
            <w:gridSpan w:val="2"/>
            <w:tcBorders>
              <w:top w:val="single" w:color="auto" w:sz="4" w:space="0"/>
              <w:left w:val="single" w:color="auto" w:sz="4" w:space="0"/>
              <w:bottom w:val="single" w:color="auto" w:sz="4" w:space="0"/>
              <w:right w:val="single" w:color="auto" w:sz="4" w:space="0"/>
            </w:tcBorders>
            <w:vAlign w:val="center"/>
          </w:tcPr>
          <w:p w14:paraId="34D1921D">
            <w:pPr>
              <w:snapToGrid w:val="0"/>
              <w:spacing w:line="360" w:lineRule="auto"/>
              <w:rPr>
                <w:rFonts w:hint="eastAsia" w:ascii="宋体" w:hAnsi="宋体"/>
                <w:szCs w:val="21"/>
              </w:rPr>
            </w:pPr>
            <w:r>
              <w:rPr>
                <w:rFonts w:hint="eastAsia" w:ascii="宋体" w:hAnsi="宋体"/>
                <w:szCs w:val="21"/>
              </w:rPr>
              <w:t>（六）其他</w:t>
            </w:r>
          </w:p>
        </w:tc>
        <w:tc>
          <w:tcPr>
            <w:tcW w:w="8179" w:type="dxa"/>
            <w:gridSpan w:val="4"/>
            <w:tcBorders>
              <w:top w:val="single" w:color="auto" w:sz="4" w:space="0"/>
              <w:left w:val="single" w:color="auto" w:sz="4" w:space="0"/>
              <w:bottom w:val="single" w:color="auto" w:sz="4" w:space="0"/>
              <w:right w:val="single" w:color="auto" w:sz="4" w:space="0"/>
            </w:tcBorders>
            <w:vAlign w:val="center"/>
          </w:tcPr>
          <w:p w14:paraId="66DF2EBC">
            <w:pPr>
              <w:snapToGrid w:val="0"/>
              <w:spacing w:line="360" w:lineRule="auto"/>
              <w:rPr>
                <w:rFonts w:hint="eastAsia" w:ascii="宋体" w:hAnsi="宋体"/>
                <w:szCs w:val="21"/>
              </w:rPr>
            </w:pPr>
            <w:r>
              <w:rPr>
                <w:rFonts w:hint="eastAsia" w:ascii="宋体" w:hAnsi="宋体"/>
                <w:szCs w:val="21"/>
              </w:rPr>
              <w:t>1、验收要求</w:t>
            </w:r>
          </w:p>
          <w:p w14:paraId="1B10D816">
            <w:pPr>
              <w:snapToGrid w:val="0"/>
              <w:spacing w:line="360" w:lineRule="auto"/>
              <w:rPr>
                <w:rFonts w:hint="eastAsia" w:ascii="宋体" w:hAnsi="宋体"/>
                <w:szCs w:val="21"/>
              </w:rPr>
            </w:pPr>
            <w:r>
              <w:rPr>
                <w:rFonts w:hint="eastAsia" w:ascii="宋体" w:hAnsi="宋体"/>
                <w:szCs w:val="21"/>
              </w:rPr>
              <w:t>（1）严格按照《关于印发广西壮族自治区政府采购项目履约验收管理办法的通知》[桂财采〔2015〕22号]以及《财政部关于进一步加强政府采购需求和履约验收管理的指导意见》[财库〔2016〕205号]规定执行。</w:t>
            </w:r>
          </w:p>
          <w:p w14:paraId="703E8C25">
            <w:pPr>
              <w:snapToGrid w:val="0"/>
              <w:spacing w:line="360" w:lineRule="auto"/>
              <w:rPr>
                <w:rFonts w:hint="eastAsia" w:ascii="宋体" w:hAnsi="宋体"/>
                <w:szCs w:val="21"/>
              </w:rPr>
            </w:pPr>
            <w:r>
              <w:rPr>
                <w:rFonts w:hint="eastAsia" w:ascii="宋体" w:hAnsi="宋体"/>
                <w:szCs w:val="21"/>
              </w:rPr>
              <w:t>（2）其它按合同条款的约定。</w:t>
            </w:r>
          </w:p>
          <w:p w14:paraId="2A936493">
            <w:pPr>
              <w:snapToGrid w:val="0"/>
              <w:spacing w:line="360" w:lineRule="auto"/>
              <w:rPr>
                <w:rFonts w:hint="eastAsia" w:ascii="宋体" w:hAnsi="宋体"/>
                <w:szCs w:val="21"/>
              </w:rPr>
            </w:pPr>
            <w:r>
              <w:rPr>
                <w:rFonts w:hint="eastAsia" w:ascii="宋体" w:hAnsi="宋体"/>
                <w:szCs w:val="21"/>
              </w:rPr>
              <w:t>（3）合同履行过程中，采购人根据中标供应商所提供的技术服务，对照采购文件要求及中标供应商响应文件承诺进行检验并记录，发现中标供应商在响应文件中有弄虚作假的行为，或在响应文件中针对技术、商务条款有虚假响应情况的，采购人将终止合同或不予验收，并追究中标供应商的责任，由此带来的一切损失由中标供应商自行承担。</w:t>
            </w:r>
          </w:p>
          <w:p w14:paraId="73861C10">
            <w:pPr>
              <w:snapToGrid w:val="0"/>
              <w:spacing w:line="360" w:lineRule="auto"/>
              <w:rPr>
                <w:rFonts w:hint="eastAsia" w:ascii="宋体" w:hAnsi="宋体"/>
                <w:szCs w:val="21"/>
              </w:rPr>
            </w:pPr>
            <w:r>
              <w:rPr>
                <w:rFonts w:hint="eastAsia" w:ascii="宋体" w:hAnsi="宋体"/>
                <w:szCs w:val="21"/>
              </w:rPr>
              <w:t>2、知识产权</w:t>
            </w:r>
          </w:p>
          <w:p w14:paraId="7AEF88A5">
            <w:pPr>
              <w:snapToGrid w:val="0"/>
              <w:spacing w:line="360" w:lineRule="auto"/>
              <w:rPr>
                <w:rFonts w:hint="eastAsia" w:ascii="宋体" w:hAnsi="宋体"/>
                <w:szCs w:val="21"/>
              </w:rPr>
            </w:pPr>
            <w:r>
              <w:rPr>
                <w:rFonts w:hint="eastAsia" w:ascii="宋体" w:hAnsi="宋体"/>
                <w:szCs w:val="21"/>
              </w:rPr>
              <w:t>（1）采购人在中华人民共和国境内使用供应商提供的服务时免受第三方提出的侵犯其专利权或其它知识产权的起诉。如果第三方提出侵权指控，中标供应商应承担由此而引起的一切法律责任和费用。</w:t>
            </w:r>
          </w:p>
          <w:p w14:paraId="525A2571">
            <w:pPr>
              <w:snapToGrid w:val="0"/>
              <w:spacing w:line="360" w:lineRule="auto"/>
              <w:rPr>
                <w:rFonts w:hint="eastAsia" w:ascii="宋体" w:hAnsi="宋体"/>
                <w:szCs w:val="21"/>
              </w:rPr>
            </w:pPr>
            <w:r>
              <w:rPr>
                <w:rFonts w:hint="eastAsia" w:ascii="宋体" w:hAnsi="宋体"/>
                <w:szCs w:val="21"/>
              </w:rPr>
              <w:t>（2）保密要求：中标供应商在项目实施过程中，必须对本项目所有项目信息以及接触到的材料予以保密，未经采购人书面许可，中标供应商不得以任何形式向第三方透露本项目的任何内容。</w:t>
            </w:r>
          </w:p>
          <w:p w14:paraId="675B317F">
            <w:pPr>
              <w:snapToGrid w:val="0"/>
              <w:spacing w:line="360" w:lineRule="auto"/>
              <w:rPr>
                <w:rFonts w:hint="eastAsia" w:ascii="宋体" w:hAnsi="宋体"/>
                <w:szCs w:val="21"/>
              </w:rPr>
            </w:pPr>
            <w:r>
              <w:rPr>
                <w:rFonts w:hint="eastAsia" w:ascii="宋体" w:hAnsi="宋体"/>
                <w:szCs w:val="21"/>
              </w:rPr>
              <w:t>（3）供应商必须自行实施、维护本项目，不得转让或转包。</w:t>
            </w:r>
          </w:p>
        </w:tc>
      </w:tr>
      <w:bookmarkEnd w:id="39"/>
      <w:bookmarkEnd w:id="40"/>
    </w:tbl>
    <w:p w14:paraId="3C800123">
      <w:pPr>
        <w:widowControl/>
        <w:jc w:val="left"/>
        <w:rPr>
          <w:rFonts w:hint="eastAsia" w:ascii="黑体" w:hAnsi="黑体" w:eastAsia="黑体" w:cs="黑体"/>
          <w:sz w:val="32"/>
          <w:szCs w:val="32"/>
        </w:rPr>
      </w:pPr>
    </w:p>
    <w:p w14:paraId="15B86659">
      <w:pPr>
        <w:widowControl/>
        <w:jc w:val="left"/>
        <w:rPr>
          <w:rFonts w:hint="eastAsia" w:ascii="黑体" w:hAnsi="黑体" w:eastAsia="黑体" w:cs="黑体"/>
          <w:sz w:val="32"/>
          <w:szCs w:val="32"/>
        </w:rPr>
      </w:pPr>
    </w:p>
    <w:p w14:paraId="5E3B1482">
      <w:pPr>
        <w:widowControl/>
        <w:jc w:val="left"/>
        <w:rPr>
          <w:rFonts w:hint="eastAsia" w:ascii="黑体" w:hAnsi="黑体" w:eastAsia="黑体" w:cs="黑体"/>
          <w:sz w:val="32"/>
          <w:szCs w:val="32"/>
        </w:rPr>
      </w:pPr>
    </w:p>
    <w:p w14:paraId="1B8EB790">
      <w:pPr>
        <w:widowControl/>
        <w:jc w:val="left"/>
        <w:rPr>
          <w:rFonts w:hint="eastAsia" w:ascii="黑体" w:hAnsi="黑体" w:eastAsia="黑体" w:cs="黑体"/>
          <w:sz w:val="32"/>
          <w:szCs w:val="32"/>
        </w:rPr>
      </w:pPr>
    </w:p>
    <w:p w14:paraId="4D24DE36">
      <w:pPr>
        <w:widowControl/>
        <w:jc w:val="left"/>
        <w:rPr>
          <w:rFonts w:hint="eastAsia" w:ascii="宋体" w:hAnsi="宋体" w:cs="宋体"/>
          <w:sz w:val="28"/>
          <w:szCs w:val="28"/>
        </w:rPr>
      </w:pPr>
      <w:r>
        <w:rPr>
          <w:rFonts w:hint="eastAsia" w:ascii="黑体" w:hAnsi="黑体" w:eastAsia="黑体" w:cs="黑体"/>
          <w:sz w:val="32"/>
          <w:szCs w:val="32"/>
        </w:rPr>
        <w:t>附件1：</w:t>
      </w:r>
      <w:r>
        <w:rPr>
          <w:rFonts w:hint="eastAsia" w:ascii="宋体" w:hAnsi="宋体" w:cs="宋体"/>
          <w:sz w:val="28"/>
          <w:szCs w:val="28"/>
        </w:rPr>
        <w:t xml:space="preserve"> </w:t>
      </w:r>
    </w:p>
    <w:p w14:paraId="1A6DA1B9">
      <w:pPr>
        <w:pStyle w:val="4"/>
        <w:keepNext w:val="0"/>
        <w:keepLines w:val="0"/>
        <w:tabs>
          <w:tab w:val="left" w:pos="0"/>
          <w:tab w:val="left" w:pos="3165"/>
          <w:tab w:val="center" w:pos="4153"/>
        </w:tabs>
        <w:autoSpaceDE w:val="0"/>
        <w:autoSpaceDN w:val="0"/>
        <w:adjustRightInd w:val="0"/>
        <w:spacing w:before="0" w:after="0" w:line="360" w:lineRule="auto"/>
        <w:jc w:val="center"/>
        <w:rPr>
          <w:sz w:val="24"/>
          <w:szCs w:val="24"/>
        </w:rPr>
      </w:pPr>
      <w:r>
        <w:rPr>
          <w:rFonts w:hint="eastAsia" w:ascii="宋体" w:hAnsi="宋体" w:cs="宋体"/>
          <w:sz w:val="28"/>
          <w:szCs w:val="28"/>
        </w:rPr>
        <w:t xml:space="preserve">  </w:t>
      </w:r>
      <w:r>
        <w:rPr>
          <w:rFonts w:hint="eastAsia"/>
          <w:sz w:val="24"/>
          <w:szCs w:val="24"/>
        </w:rPr>
        <w:t>中小微企业划型标准</w:t>
      </w:r>
    </w:p>
    <w:tbl>
      <w:tblPr>
        <w:tblStyle w:val="36"/>
        <w:tblW w:w="5174" w:type="pct"/>
        <w:jc w:val="center"/>
        <w:tblLayout w:type="autofit"/>
        <w:tblCellMar>
          <w:top w:w="0" w:type="dxa"/>
          <w:left w:w="108" w:type="dxa"/>
          <w:bottom w:w="0" w:type="dxa"/>
          <w:right w:w="108" w:type="dxa"/>
        </w:tblCellMar>
      </w:tblPr>
      <w:tblGrid>
        <w:gridCol w:w="1782"/>
        <w:gridCol w:w="1556"/>
        <w:gridCol w:w="1034"/>
        <w:gridCol w:w="1688"/>
        <w:gridCol w:w="1802"/>
        <w:gridCol w:w="1161"/>
      </w:tblGrid>
      <w:tr w14:paraId="06D2CE15">
        <w:tblPrEx>
          <w:tblCellMar>
            <w:top w:w="0" w:type="dxa"/>
            <w:left w:w="108" w:type="dxa"/>
            <w:bottom w:w="0" w:type="dxa"/>
            <w:right w:w="108" w:type="dxa"/>
          </w:tblCellMar>
        </w:tblPrEx>
        <w:trPr>
          <w:trHeight w:val="277" w:hRule="atLeast"/>
          <w:jc w:val="center"/>
        </w:trPr>
        <w:tc>
          <w:tcPr>
            <w:tcW w:w="987" w:type="pct"/>
            <w:tcBorders>
              <w:top w:val="single" w:color="auto" w:sz="4" w:space="0"/>
              <w:left w:val="single" w:color="auto" w:sz="4" w:space="0"/>
              <w:bottom w:val="single" w:color="auto" w:sz="4" w:space="0"/>
              <w:right w:val="single" w:color="auto" w:sz="4" w:space="0"/>
            </w:tcBorders>
            <w:vAlign w:val="center"/>
          </w:tcPr>
          <w:p w14:paraId="7AE20374">
            <w:pPr>
              <w:widowControl/>
              <w:jc w:val="left"/>
              <w:rPr>
                <w:rFonts w:hint="eastAsia" w:ascii="宋体" w:hAnsi="宋体" w:cs="宋体"/>
                <w:szCs w:val="21"/>
              </w:rPr>
            </w:pPr>
            <w:r>
              <w:rPr>
                <w:rFonts w:hint="eastAsia" w:ascii="宋体" w:hAnsi="宋体" w:cs="宋体"/>
                <w:szCs w:val="21"/>
              </w:rPr>
              <w:t>行业名称</w:t>
            </w:r>
          </w:p>
        </w:tc>
        <w:tc>
          <w:tcPr>
            <w:tcW w:w="862" w:type="pct"/>
            <w:tcBorders>
              <w:top w:val="single" w:color="auto" w:sz="4" w:space="0"/>
              <w:left w:val="nil"/>
              <w:bottom w:val="single" w:color="auto" w:sz="4" w:space="0"/>
              <w:right w:val="single" w:color="auto" w:sz="4" w:space="0"/>
            </w:tcBorders>
            <w:vAlign w:val="center"/>
          </w:tcPr>
          <w:p w14:paraId="4BAB83C2">
            <w:pPr>
              <w:widowControl/>
              <w:jc w:val="left"/>
              <w:rPr>
                <w:rFonts w:hint="eastAsia" w:ascii="宋体" w:hAnsi="宋体" w:cs="宋体"/>
                <w:szCs w:val="21"/>
              </w:rPr>
            </w:pPr>
            <w:r>
              <w:rPr>
                <w:rFonts w:hint="eastAsia" w:ascii="宋体" w:hAnsi="宋体" w:cs="宋体"/>
                <w:szCs w:val="21"/>
              </w:rPr>
              <w:t>指标名称</w:t>
            </w:r>
          </w:p>
        </w:tc>
        <w:tc>
          <w:tcPr>
            <w:tcW w:w="573" w:type="pct"/>
            <w:tcBorders>
              <w:top w:val="single" w:color="auto" w:sz="4" w:space="0"/>
              <w:left w:val="nil"/>
              <w:bottom w:val="single" w:color="auto" w:sz="4" w:space="0"/>
              <w:right w:val="single" w:color="auto" w:sz="4" w:space="0"/>
            </w:tcBorders>
            <w:vAlign w:val="center"/>
          </w:tcPr>
          <w:p w14:paraId="0DEA84D1">
            <w:pPr>
              <w:widowControl/>
              <w:jc w:val="left"/>
              <w:rPr>
                <w:rFonts w:hint="eastAsia" w:ascii="宋体" w:hAnsi="宋体" w:cs="宋体"/>
                <w:szCs w:val="21"/>
              </w:rPr>
            </w:pPr>
            <w:r>
              <w:rPr>
                <w:rFonts w:hint="eastAsia" w:ascii="宋体" w:hAnsi="宋体" w:cs="宋体"/>
                <w:szCs w:val="21"/>
              </w:rPr>
              <w:t>计量单位</w:t>
            </w:r>
          </w:p>
        </w:tc>
        <w:tc>
          <w:tcPr>
            <w:tcW w:w="935" w:type="pct"/>
            <w:tcBorders>
              <w:top w:val="single" w:color="auto" w:sz="4" w:space="0"/>
              <w:left w:val="nil"/>
              <w:bottom w:val="single" w:color="auto" w:sz="4" w:space="0"/>
              <w:right w:val="single" w:color="auto" w:sz="4" w:space="0"/>
            </w:tcBorders>
            <w:vAlign w:val="center"/>
          </w:tcPr>
          <w:p w14:paraId="78F60982">
            <w:pPr>
              <w:widowControl/>
              <w:jc w:val="left"/>
              <w:rPr>
                <w:rFonts w:hint="eastAsia" w:ascii="宋体" w:hAnsi="宋体" w:cs="宋体"/>
                <w:szCs w:val="21"/>
              </w:rPr>
            </w:pPr>
            <w:r>
              <w:rPr>
                <w:rFonts w:hint="eastAsia" w:ascii="宋体" w:hAnsi="宋体" w:cs="宋体"/>
                <w:szCs w:val="21"/>
              </w:rPr>
              <w:t>中型</w:t>
            </w:r>
          </w:p>
        </w:tc>
        <w:tc>
          <w:tcPr>
            <w:tcW w:w="998" w:type="pct"/>
            <w:tcBorders>
              <w:top w:val="single" w:color="auto" w:sz="4" w:space="0"/>
              <w:left w:val="nil"/>
              <w:bottom w:val="single" w:color="auto" w:sz="4" w:space="0"/>
              <w:right w:val="single" w:color="auto" w:sz="4" w:space="0"/>
            </w:tcBorders>
            <w:vAlign w:val="center"/>
          </w:tcPr>
          <w:p w14:paraId="11D7BA4A">
            <w:pPr>
              <w:widowControl/>
              <w:jc w:val="left"/>
              <w:rPr>
                <w:rFonts w:hint="eastAsia" w:ascii="宋体" w:hAnsi="宋体" w:cs="宋体"/>
                <w:szCs w:val="21"/>
              </w:rPr>
            </w:pPr>
            <w:r>
              <w:rPr>
                <w:rFonts w:hint="eastAsia" w:ascii="宋体" w:hAnsi="宋体" w:cs="宋体"/>
                <w:szCs w:val="21"/>
              </w:rPr>
              <w:t>小型</w:t>
            </w:r>
          </w:p>
        </w:tc>
        <w:tc>
          <w:tcPr>
            <w:tcW w:w="643" w:type="pct"/>
            <w:tcBorders>
              <w:top w:val="single" w:color="auto" w:sz="4" w:space="0"/>
              <w:left w:val="nil"/>
              <w:bottom w:val="single" w:color="auto" w:sz="4" w:space="0"/>
              <w:right w:val="single" w:color="auto" w:sz="4" w:space="0"/>
            </w:tcBorders>
            <w:vAlign w:val="center"/>
          </w:tcPr>
          <w:p w14:paraId="1C125851">
            <w:pPr>
              <w:widowControl/>
              <w:jc w:val="left"/>
              <w:rPr>
                <w:rFonts w:hint="eastAsia" w:ascii="宋体" w:hAnsi="宋体" w:cs="宋体"/>
                <w:szCs w:val="21"/>
              </w:rPr>
            </w:pPr>
            <w:r>
              <w:rPr>
                <w:rFonts w:hint="eastAsia" w:ascii="宋体" w:hAnsi="宋体" w:cs="宋体"/>
                <w:szCs w:val="21"/>
              </w:rPr>
              <w:t>微型</w:t>
            </w:r>
          </w:p>
        </w:tc>
      </w:tr>
      <w:tr w14:paraId="33345168">
        <w:tblPrEx>
          <w:tblCellMar>
            <w:top w:w="0" w:type="dxa"/>
            <w:left w:w="108" w:type="dxa"/>
            <w:bottom w:w="0" w:type="dxa"/>
            <w:right w:w="108" w:type="dxa"/>
          </w:tblCellMar>
        </w:tblPrEx>
        <w:trPr>
          <w:trHeight w:val="270" w:hRule="atLeast"/>
          <w:jc w:val="center"/>
        </w:trPr>
        <w:tc>
          <w:tcPr>
            <w:tcW w:w="987" w:type="pct"/>
            <w:tcBorders>
              <w:top w:val="nil"/>
              <w:left w:val="single" w:color="auto" w:sz="4" w:space="0"/>
              <w:bottom w:val="single" w:color="auto" w:sz="4" w:space="0"/>
              <w:right w:val="single" w:color="auto" w:sz="4" w:space="0"/>
            </w:tcBorders>
            <w:vAlign w:val="bottom"/>
          </w:tcPr>
          <w:p w14:paraId="6038A703">
            <w:pPr>
              <w:widowControl/>
              <w:jc w:val="center"/>
              <w:rPr>
                <w:rFonts w:hint="eastAsia" w:ascii="宋体" w:hAnsi="宋体" w:cs="宋体"/>
                <w:szCs w:val="21"/>
              </w:rPr>
            </w:pPr>
            <w:r>
              <w:rPr>
                <w:rFonts w:hint="eastAsia" w:ascii="宋体" w:hAnsi="宋体" w:cs="宋体"/>
                <w:szCs w:val="21"/>
              </w:rPr>
              <w:t>农、林、牧、渔</w:t>
            </w:r>
          </w:p>
        </w:tc>
        <w:tc>
          <w:tcPr>
            <w:tcW w:w="862" w:type="pct"/>
            <w:tcBorders>
              <w:top w:val="nil"/>
              <w:left w:val="nil"/>
              <w:bottom w:val="single" w:color="auto" w:sz="4" w:space="0"/>
              <w:right w:val="single" w:color="auto" w:sz="4" w:space="0"/>
            </w:tcBorders>
            <w:vAlign w:val="center"/>
          </w:tcPr>
          <w:p w14:paraId="786BFE72">
            <w:pPr>
              <w:widowControl/>
              <w:jc w:val="left"/>
              <w:rPr>
                <w:rFonts w:hint="eastAsia" w:ascii="宋体" w:hAnsi="宋体" w:cs="宋体"/>
                <w:szCs w:val="21"/>
              </w:rPr>
            </w:pPr>
            <w:r>
              <w:rPr>
                <w:rFonts w:hint="eastAsia" w:ascii="宋体" w:hAnsi="宋体" w:cs="宋体"/>
                <w:szCs w:val="21"/>
              </w:rPr>
              <w:t>营业收入（Y）</w:t>
            </w:r>
          </w:p>
        </w:tc>
        <w:tc>
          <w:tcPr>
            <w:tcW w:w="573" w:type="pct"/>
            <w:tcBorders>
              <w:top w:val="nil"/>
              <w:left w:val="nil"/>
              <w:bottom w:val="single" w:color="auto" w:sz="4" w:space="0"/>
              <w:right w:val="single" w:color="auto" w:sz="4" w:space="0"/>
            </w:tcBorders>
            <w:vAlign w:val="center"/>
          </w:tcPr>
          <w:p w14:paraId="620D4BE1">
            <w:pPr>
              <w:widowControl/>
              <w:jc w:val="left"/>
              <w:rPr>
                <w:rFonts w:hint="eastAsia" w:ascii="宋体" w:hAnsi="宋体" w:cs="宋体"/>
                <w:szCs w:val="21"/>
              </w:rPr>
            </w:pPr>
            <w:r>
              <w:rPr>
                <w:rFonts w:hint="eastAsia" w:ascii="宋体" w:hAnsi="宋体" w:cs="宋体"/>
                <w:szCs w:val="21"/>
              </w:rPr>
              <w:t>万元</w:t>
            </w:r>
          </w:p>
        </w:tc>
        <w:tc>
          <w:tcPr>
            <w:tcW w:w="935" w:type="pct"/>
            <w:tcBorders>
              <w:top w:val="nil"/>
              <w:left w:val="nil"/>
              <w:bottom w:val="single" w:color="auto" w:sz="4" w:space="0"/>
              <w:right w:val="single" w:color="auto" w:sz="4" w:space="0"/>
            </w:tcBorders>
            <w:vAlign w:val="center"/>
          </w:tcPr>
          <w:p w14:paraId="3324E94E">
            <w:pPr>
              <w:widowControl/>
              <w:jc w:val="left"/>
              <w:rPr>
                <w:rFonts w:hint="eastAsia" w:ascii="宋体" w:hAnsi="宋体" w:cs="宋体"/>
                <w:szCs w:val="21"/>
              </w:rPr>
            </w:pPr>
            <w:r>
              <w:rPr>
                <w:rFonts w:hint="eastAsia" w:ascii="宋体" w:hAnsi="宋体" w:cs="宋体"/>
                <w:szCs w:val="21"/>
              </w:rPr>
              <w:t>500≤Y＜20000</w:t>
            </w:r>
          </w:p>
        </w:tc>
        <w:tc>
          <w:tcPr>
            <w:tcW w:w="998" w:type="pct"/>
            <w:tcBorders>
              <w:top w:val="nil"/>
              <w:left w:val="nil"/>
              <w:bottom w:val="single" w:color="auto" w:sz="4" w:space="0"/>
              <w:right w:val="single" w:color="auto" w:sz="4" w:space="0"/>
            </w:tcBorders>
            <w:vAlign w:val="center"/>
          </w:tcPr>
          <w:p w14:paraId="2A1724C3">
            <w:pPr>
              <w:widowControl/>
              <w:jc w:val="left"/>
              <w:rPr>
                <w:rFonts w:hint="eastAsia" w:ascii="宋体" w:hAnsi="宋体" w:cs="宋体"/>
                <w:szCs w:val="21"/>
              </w:rPr>
            </w:pPr>
            <w:r>
              <w:rPr>
                <w:rFonts w:hint="eastAsia" w:ascii="宋体" w:hAnsi="宋体" w:cs="宋体"/>
                <w:szCs w:val="21"/>
              </w:rPr>
              <w:t>50≤Y＜500</w:t>
            </w:r>
          </w:p>
        </w:tc>
        <w:tc>
          <w:tcPr>
            <w:tcW w:w="643" w:type="pct"/>
            <w:tcBorders>
              <w:top w:val="nil"/>
              <w:left w:val="nil"/>
              <w:bottom w:val="single" w:color="auto" w:sz="4" w:space="0"/>
              <w:right w:val="single" w:color="auto" w:sz="4" w:space="0"/>
            </w:tcBorders>
            <w:vAlign w:val="center"/>
          </w:tcPr>
          <w:p w14:paraId="54EA14FF">
            <w:pPr>
              <w:widowControl/>
              <w:jc w:val="left"/>
              <w:rPr>
                <w:rFonts w:hint="eastAsia" w:ascii="宋体" w:hAnsi="宋体" w:cs="宋体"/>
                <w:szCs w:val="21"/>
              </w:rPr>
            </w:pPr>
            <w:r>
              <w:rPr>
                <w:rFonts w:hint="eastAsia" w:ascii="宋体" w:hAnsi="宋体" w:cs="宋体"/>
                <w:szCs w:val="21"/>
              </w:rPr>
              <w:t>Y＜50</w:t>
            </w:r>
          </w:p>
        </w:tc>
      </w:tr>
      <w:tr w14:paraId="78165FD7">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7923C34B">
            <w:pPr>
              <w:widowControl/>
              <w:jc w:val="center"/>
              <w:rPr>
                <w:rFonts w:hint="eastAsia" w:ascii="宋体" w:hAnsi="宋体" w:cs="宋体"/>
                <w:szCs w:val="21"/>
              </w:rPr>
            </w:pPr>
            <w:r>
              <w:rPr>
                <w:rFonts w:hint="eastAsia" w:ascii="宋体" w:hAnsi="宋体" w:cs="宋体"/>
                <w:szCs w:val="21"/>
              </w:rPr>
              <w:t>工业</w:t>
            </w:r>
          </w:p>
        </w:tc>
        <w:tc>
          <w:tcPr>
            <w:tcW w:w="862" w:type="pct"/>
            <w:tcBorders>
              <w:top w:val="nil"/>
              <w:left w:val="nil"/>
              <w:bottom w:val="single" w:color="auto" w:sz="4" w:space="0"/>
              <w:right w:val="single" w:color="auto" w:sz="4" w:space="0"/>
            </w:tcBorders>
            <w:vAlign w:val="center"/>
          </w:tcPr>
          <w:p w14:paraId="6C07FD25">
            <w:pPr>
              <w:widowControl/>
              <w:jc w:val="left"/>
              <w:rPr>
                <w:rFonts w:hint="eastAsia" w:ascii="宋体" w:hAnsi="宋体" w:cs="宋体"/>
                <w:szCs w:val="21"/>
              </w:rPr>
            </w:pPr>
            <w:r>
              <w:rPr>
                <w:rFonts w:hint="eastAsia" w:ascii="宋体" w:hAnsi="宋体" w:cs="宋体"/>
                <w:szCs w:val="21"/>
              </w:rPr>
              <w:t>从业人员（X）</w:t>
            </w:r>
          </w:p>
        </w:tc>
        <w:tc>
          <w:tcPr>
            <w:tcW w:w="573" w:type="pct"/>
            <w:tcBorders>
              <w:top w:val="nil"/>
              <w:left w:val="nil"/>
              <w:bottom w:val="single" w:color="auto" w:sz="4" w:space="0"/>
              <w:right w:val="single" w:color="auto" w:sz="4" w:space="0"/>
            </w:tcBorders>
            <w:vAlign w:val="center"/>
          </w:tcPr>
          <w:p w14:paraId="098759AC">
            <w:pPr>
              <w:widowControl/>
              <w:jc w:val="left"/>
              <w:rPr>
                <w:rFonts w:hint="eastAsia" w:ascii="宋体" w:hAnsi="宋体" w:cs="宋体"/>
                <w:szCs w:val="21"/>
              </w:rPr>
            </w:pPr>
            <w:r>
              <w:rPr>
                <w:rFonts w:hint="eastAsia" w:ascii="宋体" w:hAnsi="宋体" w:cs="宋体"/>
                <w:szCs w:val="21"/>
              </w:rPr>
              <w:t>人</w:t>
            </w:r>
          </w:p>
        </w:tc>
        <w:tc>
          <w:tcPr>
            <w:tcW w:w="935" w:type="pct"/>
            <w:tcBorders>
              <w:top w:val="nil"/>
              <w:left w:val="nil"/>
              <w:bottom w:val="single" w:color="auto" w:sz="4" w:space="0"/>
              <w:right w:val="single" w:color="auto" w:sz="4" w:space="0"/>
            </w:tcBorders>
            <w:vAlign w:val="center"/>
          </w:tcPr>
          <w:p w14:paraId="2887DE3F">
            <w:pPr>
              <w:widowControl/>
              <w:jc w:val="left"/>
              <w:rPr>
                <w:rFonts w:hint="eastAsia" w:ascii="宋体" w:hAnsi="宋体" w:cs="宋体"/>
                <w:szCs w:val="21"/>
              </w:rPr>
            </w:pPr>
            <w:r>
              <w:rPr>
                <w:rFonts w:hint="eastAsia" w:ascii="宋体" w:hAnsi="宋体" w:cs="宋体"/>
                <w:szCs w:val="21"/>
              </w:rPr>
              <w:t>300≤X＜1000</w:t>
            </w:r>
          </w:p>
        </w:tc>
        <w:tc>
          <w:tcPr>
            <w:tcW w:w="998" w:type="pct"/>
            <w:tcBorders>
              <w:top w:val="nil"/>
              <w:left w:val="nil"/>
              <w:bottom w:val="single" w:color="auto" w:sz="4" w:space="0"/>
              <w:right w:val="single" w:color="auto" w:sz="4" w:space="0"/>
            </w:tcBorders>
            <w:vAlign w:val="center"/>
          </w:tcPr>
          <w:p w14:paraId="7F65EAA7">
            <w:pPr>
              <w:widowControl/>
              <w:jc w:val="left"/>
              <w:rPr>
                <w:rFonts w:hint="eastAsia" w:ascii="宋体" w:hAnsi="宋体" w:cs="宋体"/>
                <w:szCs w:val="21"/>
              </w:rPr>
            </w:pPr>
            <w:r>
              <w:rPr>
                <w:rFonts w:hint="eastAsia" w:ascii="宋体" w:hAnsi="宋体" w:cs="宋体"/>
                <w:szCs w:val="21"/>
              </w:rPr>
              <w:t>20≤X＜300</w:t>
            </w:r>
          </w:p>
        </w:tc>
        <w:tc>
          <w:tcPr>
            <w:tcW w:w="643" w:type="pct"/>
            <w:tcBorders>
              <w:top w:val="nil"/>
              <w:left w:val="nil"/>
              <w:bottom w:val="single" w:color="auto" w:sz="4" w:space="0"/>
              <w:right w:val="single" w:color="auto" w:sz="4" w:space="0"/>
            </w:tcBorders>
            <w:vAlign w:val="center"/>
          </w:tcPr>
          <w:p w14:paraId="03E80BB9">
            <w:pPr>
              <w:widowControl/>
              <w:jc w:val="left"/>
              <w:rPr>
                <w:rFonts w:hint="eastAsia" w:ascii="宋体" w:hAnsi="宋体" w:cs="宋体"/>
                <w:szCs w:val="21"/>
              </w:rPr>
            </w:pPr>
            <w:r>
              <w:rPr>
                <w:rFonts w:hint="eastAsia" w:ascii="宋体" w:hAnsi="宋体" w:cs="宋体"/>
                <w:szCs w:val="21"/>
              </w:rPr>
              <w:t>X＜20</w:t>
            </w:r>
          </w:p>
        </w:tc>
      </w:tr>
      <w:tr w14:paraId="29D549FD">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0D67BEAF">
            <w:pPr>
              <w:widowControl/>
              <w:jc w:val="left"/>
              <w:rPr>
                <w:rFonts w:hint="eastAsia" w:ascii="宋体" w:hAnsi="宋体" w:cs="宋体"/>
                <w:szCs w:val="21"/>
              </w:rPr>
            </w:pPr>
          </w:p>
        </w:tc>
        <w:tc>
          <w:tcPr>
            <w:tcW w:w="862" w:type="pct"/>
            <w:tcBorders>
              <w:top w:val="nil"/>
              <w:left w:val="nil"/>
              <w:bottom w:val="single" w:color="auto" w:sz="4" w:space="0"/>
              <w:right w:val="single" w:color="auto" w:sz="4" w:space="0"/>
            </w:tcBorders>
            <w:vAlign w:val="center"/>
          </w:tcPr>
          <w:p w14:paraId="600AF18D">
            <w:pPr>
              <w:widowControl/>
              <w:jc w:val="left"/>
              <w:rPr>
                <w:rFonts w:hint="eastAsia" w:ascii="宋体" w:hAnsi="宋体" w:cs="宋体"/>
                <w:szCs w:val="21"/>
              </w:rPr>
            </w:pPr>
            <w:r>
              <w:rPr>
                <w:rFonts w:hint="eastAsia" w:ascii="宋体" w:hAnsi="宋体" w:cs="宋体"/>
                <w:szCs w:val="21"/>
              </w:rPr>
              <w:t>营业收入（Y）</w:t>
            </w:r>
          </w:p>
        </w:tc>
        <w:tc>
          <w:tcPr>
            <w:tcW w:w="573" w:type="pct"/>
            <w:tcBorders>
              <w:top w:val="nil"/>
              <w:left w:val="nil"/>
              <w:bottom w:val="single" w:color="auto" w:sz="4" w:space="0"/>
              <w:right w:val="single" w:color="auto" w:sz="4" w:space="0"/>
            </w:tcBorders>
            <w:vAlign w:val="center"/>
          </w:tcPr>
          <w:p w14:paraId="1EE18DFC">
            <w:pPr>
              <w:widowControl/>
              <w:jc w:val="left"/>
              <w:rPr>
                <w:rFonts w:hint="eastAsia" w:ascii="宋体" w:hAnsi="宋体" w:cs="宋体"/>
                <w:szCs w:val="21"/>
              </w:rPr>
            </w:pPr>
            <w:r>
              <w:rPr>
                <w:rFonts w:hint="eastAsia" w:ascii="宋体" w:hAnsi="宋体" w:cs="宋体"/>
                <w:szCs w:val="21"/>
              </w:rPr>
              <w:t>万元</w:t>
            </w:r>
          </w:p>
        </w:tc>
        <w:tc>
          <w:tcPr>
            <w:tcW w:w="935" w:type="pct"/>
            <w:tcBorders>
              <w:top w:val="nil"/>
              <w:left w:val="nil"/>
              <w:bottom w:val="single" w:color="auto" w:sz="4" w:space="0"/>
              <w:right w:val="single" w:color="auto" w:sz="4" w:space="0"/>
            </w:tcBorders>
            <w:vAlign w:val="center"/>
          </w:tcPr>
          <w:p w14:paraId="4E10B544">
            <w:pPr>
              <w:widowControl/>
              <w:jc w:val="left"/>
              <w:rPr>
                <w:rFonts w:hint="eastAsia" w:ascii="宋体" w:hAnsi="宋体" w:cs="宋体"/>
                <w:szCs w:val="21"/>
              </w:rPr>
            </w:pPr>
            <w:r>
              <w:rPr>
                <w:rFonts w:hint="eastAsia" w:ascii="宋体" w:hAnsi="宋体" w:cs="宋体"/>
                <w:szCs w:val="21"/>
              </w:rPr>
              <w:t>2000≤Y＜40000</w:t>
            </w:r>
          </w:p>
        </w:tc>
        <w:tc>
          <w:tcPr>
            <w:tcW w:w="998" w:type="pct"/>
            <w:tcBorders>
              <w:top w:val="nil"/>
              <w:left w:val="nil"/>
              <w:bottom w:val="single" w:color="auto" w:sz="4" w:space="0"/>
              <w:right w:val="single" w:color="auto" w:sz="4" w:space="0"/>
            </w:tcBorders>
            <w:vAlign w:val="center"/>
          </w:tcPr>
          <w:p w14:paraId="7206DECC">
            <w:pPr>
              <w:widowControl/>
              <w:jc w:val="left"/>
              <w:rPr>
                <w:rFonts w:hint="eastAsia" w:ascii="宋体" w:hAnsi="宋体" w:cs="宋体"/>
                <w:szCs w:val="21"/>
              </w:rPr>
            </w:pPr>
            <w:r>
              <w:rPr>
                <w:rFonts w:hint="eastAsia" w:ascii="宋体" w:hAnsi="宋体" w:cs="宋体"/>
                <w:szCs w:val="21"/>
              </w:rPr>
              <w:t>300≤Y＜2000</w:t>
            </w:r>
          </w:p>
        </w:tc>
        <w:tc>
          <w:tcPr>
            <w:tcW w:w="643" w:type="pct"/>
            <w:tcBorders>
              <w:top w:val="nil"/>
              <w:left w:val="nil"/>
              <w:bottom w:val="single" w:color="auto" w:sz="4" w:space="0"/>
              <w:right w:val="single" w:color="auto" w:sz="4" w:space="0"/>
            </w:tcBorders>
            <w:vAlign w:val="center"/>
          </w:tcPr>
          <w:p w14:paraId="0C9E23EF">
            <w:pPr>
              <w:widowControl/>
              <w:jc w:val="left"/>
              <w:rPr>
                <w:rFonts w:hint="eastAsia" w:ascii="宋体" w:hAnsi="宋体" w:cs="宋体"/>
                <w:szCs w:val="21"/>
              </w:rPr>
            </w:pPr>
            <w:r>
              <w:rPr>
                <w:rFonts w:hint="eastAsia" w:ascii="宋体" w:hAnsi="宋体" w:cs="宋体"/>
                <w:szCs w:val="21"/>
              </w:rPr>
              <w:t>Y＜300</w:t>
            </w:r>
          </w:p>
        </w:tc>
      </w:tr>
      <w:tr w14:paraId="0FDEE9E5">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7684314B">
            <w:pPr>
              <w:widowControl/>
              <w:jc w:val="center"/>
              <w:rPr>
                <w:rFonts w:hint="eastAsia" w:ascii="宋体" w:hAnsi="宋体" w:cs="宋体"/>
                <w:szCs w:val="21"/>
              </w:rPr>
            </w:pPr>
            <w:r>
              <w:rPr>
                <w:rFonts w:hint="eastAsia" w:ascii="宋体" w:hAnsi="宋体" w:cs="宋体"/>
                <w:szCs w:val="21"/>
              </w:rPr>
              <w:t>建筑业</w:t>
            </w:r>
          </w:p>
        </w:tc>
        <w:tc>
          <w:tcPr>
            <w:tcW w:w="862" w:type="pct"/>
            <w:tcBorders>
              <w:top w:val="nil"/>
              <w:left w:val="nil"/>
              <w:bottom w:val="single" w:color="auto" w:sz="4" w:space="0"/>
              <w:right w:val="single" w:color="auto" w:sz="4" w:space="0"/>
            </w:tcBorders>
            <w:vAlign w:val="center"/>
          </w:tcPr>
          <w:p w14:paraId="486407E7">
            <w:pPr>
              <w:widowControl/>
              <w:jc w:val="left"/>
              <w:rPr>
                <w:rFonts w:hint="eastAsia" w:ascii="宋体" w:hAnsi="宋体" w:cs="宋体"/>
                <w:szCs w:val="21"/>
              </w:rPr>
            </w:pPr>
            <w:r>
              <w:rPr>
                <w:rFonts w:hint="eastAsia" w:ascii="宋体" w:hAnsi="宋体" w:cs="宋体"/>
                <w:szCs w:val="21"/>
              </w:rPr>
              <w:t>营业收入（Y）</w:t>
            </w:r>
          </w:p>
        </w:tc>
        <w:tc>
          <w:tcPr>
            <w:tcW w:w="573" w:type="pct"/>
            <w:tcBorders>
              <w:top w:val="nil"/>
              <w:left w:val="nil"/>
              <w:bottom w:val="single" w:color="auto" w:sz="4" w:space="0"/>
              <w:right w:val="single" w:color="auto" w:sz="4" w:space="0"/>
            </w:tcBorders>
            <w:vAlign w:val="center"/>
          </w:tcPr>
          <w:p w14:paraId="408FF3EC">
            <w:pPr>
              <w:widowControl/>
              <w:jc w:val="left"/>
              <w:rPr>
                <w:rFonts w:hint="eastAsia" w:ascii="宋体" w:hAnsi="宋体" w:cs="宋体"/>
                <w:szCs w:val="21"/>
              </w:rPr>
            </w:pPr>
            <w:r>
              <w:rPr>
                <w:rFonts w:hint="eastAsia" w:ascii="宋体" w:hAnsi="宋体" w:cs="宋体"/>
                <w:szCs w:val="21"/>
              </w:rPr>
              <w:t>万元</w:t>
            </w:r>
          </w:p>
        </w:tc>
        <w:tc>
          <w:tcPr>
            <w:tcW w:w="935" w:type="pct"/>
            <w:tcBorders>
              <w:top w:val="nil"/>
              <w:left w:val="nil"/>
              <w:bottom w:val="single" w:color="auto" w:sz="4" w:space="0"/>
              <w:right w:val="single" w:color="auto" w:sz="4" w:space="0"/>
            </w:tcBorders>
            <w:vAlign w:val="center"/>
          </w:tcPr>
          <w:p w14:paraId="6D8D77C1">
            <w:pPr>
              <w:widowControl/>
              <w:jc w:val="left"/>
              <w:rPr>
                <w:rFonts w:hint="eastAsia" w:ascii="宋体" w:hAnsi="宋体" w:cs="宋体"/>
                <w:szCs w:val="21"/>
              </w:rPr>
            </w:pPr>
            <w:r>
              <w:rPr>
                <w:rFonts w:hint="eastAsia" w:ascii="宋体" w:hAnsi="宋体" w:cs="宋体"/>
                <w:szCs w:val="21"/>
              </w:rPr>
              <w:t>6000≤Y＜80000</w:t>
            </w:r>
          </w:p>
        </w:tc>
        <w:tc>
          <w:tcPr>
            <w:tcW w:w="998" w:type="pct"/>
            <w:tcBorders>
              <w:top w:val="nil"/>
              <w:left w:val="nil"/>
              <w:bottom w:val="single" w:color="auto" w:sz="4" w:space="0"/>
              <w:right w:val="single" w:color="auto" w:sz="4" w:space="0"/>
            </w:tcBorders>
            <w:vAlign w:val="center"/>
          </w:tcPr>
          <w:p w14:paraId="67380AD7">
            <w:pPr>
              <w:widowControl/>
              <w:jc w:val="left"/>
              <w:rPr>
                <w:rFonts w:hint="eastAsia" w:ascii="宋体" w:hAnsi="宋体" w:cs="宋体"/>
                <w:szCs w:val="21"/>
              </w:rPr>
            </w:pPr>
            <w:r>
              <w:rPr>
                <w:rFonts w:hint="eastAsia" w:ascii="宋体" w:hAnsi="宋体" w:cs="宋体"/>
                <w:szCs w:val="21"/>
              </w:rPr>
              <w:t>300≤Y＜6000</w:t>
            </w:r>
          </w:p>
        </w:tc>
        <w:tc>
          <w:tcPr>
            <w:tcW w:w="643" w:type="pct"/>
            <w:tcBorders>
              <w:top w:val="nil"/>
              <w:left w:val="nil"/>
              <w:bottom w:val="single" w:color="auto" w:sz="4" w:space="0"/>
              <w:right w:val="single" w:color="auto" w:sz="4" w:space="0"/>
            </w:tcBorders>
            <w:vAlign w:val="center"/>
          </w:tcPr>
          <w:p w14:paraId="6C04D150">
            <w:pPr>
              <w:widowControl/>
              <w:jc w:val="left"/>
              <w:rPr>
                <w:rFonts w:hint="eastAsia" w:ascii="宋体" w:hAnsi="宋体" w:cs="宋体"/>
                <w:szCs w:val="21"/>
              </w:rPr>
            </w:pPr>
            <w:r>
              <w:rPr>
                <w:rFonts w:hint="eastAsia" w:ascii="宋体" w:hAnsi="宋体" w:cs="宋体"/>
                <w:szCs w:val="21"/>
              </w:rPr>
              <w:t>Y＜300</w:t>
            </w:r>
          </w:p>
        </w:tc>
      </w:tr>
      <w:tr w14:paraId="03A40F4A">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75BFA52B">
            <w:pPr>
              <w:widowControl/>
              <w:jc w:val="left"/>
              <w:rPr>
                <w:rFonts w:hint="eastAsia" w:ascii="宋体" w:hAnsi="宋体" w:cs="宋体"/>
                <w:szCs w:val="21"/>
              </w:rPr>
            </w:pPr>
          </w:p>
        </w:tc>
        <w:tc>
          <w:tcPr>
            <w:tcW w:w="862" w:type="pct"/>
            <w:tcBorders>
              <w:top w:val="nil"/>
              <w:left w:val="nil"/>
              <w:bottom w:val="single" w:color="auto" w:sz="4" w:space="0"/>
              <w:right w:val="single" w:color="auto" w:sz="4" w:space="0"/>
            </w:tcBorders>
            <w:vAlign w:val="center"/>
          </w:tcPr>
          <w:p w14:paraId="54305E8D">
            <w:pPr>
              <w:widowControl/>
              <w:jc w:val="left"/>
              <w:rPr>
                <w:rFonts w:hint="eastAsia" w:ascii="宋体" w:hAnsi="宋体" w:cs="宋体"/>
                <w:szCs w:val="21"/>
              </w:rPr>
            </w:pPr>
            <w:r>
              <w:rPr>
                <w:rFonts w:hint="eastAsia" w:ascii="宋体" w:hAnsi="宋体" w:cs="宋体"/>
                <w:szCs w:val="21"/>
              </w:rPr>
              <w:t>资产总额（Z）</w:t>
            </w:r>
          </w:p>
        </w:tc>
        <w:tc>
          <w:tcPr>
            <w:tcW w:w="573" w:type="pct"/>
            <w:tcBorders>
              <w:top w:val="nil"/>
              <w:left w:val="nil"/>
              <w:bottom w:val="single" w:color="auto" w:sz="4" w:space="0"/>
              <w:right w:val="single" w:color="auto" w:sz="4" w:space="0"/>
            </w:tcBorders>
            <w:vAlign w:val="center"/>
          </w:tcPr>
          <w:p w14:paraId="5EA831D8">
            <w:pPr>
              <w:widowControl/>
              <w:jc w:val="left"/>
              <w:rPr>
                <w:rFonts w:hint="eastAsia" w:ascii="宋体" w:hAnsi="宋体" w:cs="宋体"/>
                <w:szCs w:val="21"/>
              </w:rPr>
            </w:pPr>
            <w:r>
              <w:rPr>
                <w:rFonts w:hint="eastAsia" w:ascii="宋体" w:hAnsi="宋体" w:cs="宋体"/>
                <w:szCs w:val="21"/>
              </w:rPr>
              <w:t>万元</w:t>
            </w:r>
          </w:p>
        </w:tc>
        <w:tc>
          <w:tcPr>
            <w:tcW w:w="935" w:type="pct"/>
            <w:tcBorders>
              <w:top w:val="nil"/>
              <w:left w:val="nil"/>
              <w:bottom w:val="single" w:color="auto" w:sz="4" w:space="0"/>
              <w:right w:val="single" w:color="auto" w:sz="4" w:space="0"/>
            </w:tcBorders>
            <w:vAlign w:val="center"/>
          </w:tcPr>
          <w:p w14:paraId="758D1783">
            <w:pPr>
              <w:widowControl/>
              <w:jc w:val="left"/>
              <w:rPr>
                <w:rFonts w:hint="eastAsia" w:ascii="宋体" w:hAnsi="宋体" w:cs="宋体"/>
                <w:szCs w:val="21"/>
              </w:rPr>
            </w:pPr>
            <w:r>
              <w:rPr>
                <w:rFonts w:hint="eastAsia" w:ascii="宋体" w:hAnsi="宋体" w:cs="宋体"/>
                <w:szCs w:val="21"/>
              </w:rPr>
              <w:t>5000≤Z＜80000</w:t>
            </w:r>
          </w:p>
        </w:tc>
        <w:tc>
          <w:tcPr>
            <w:tcW w:w="998" w:type="pct"/>
            <w:tcBorders>
              <w:top w:val="nil"/>
              <w:left w:val="nil"/>
              <w:bottom w:val="single" w:color="auto" w:sz="4" w:space="0"/>
              <w:right w:val="single" w:color="auto" w:sz="4" w:space="0"/>
            </w:tcBorders>
            <w:vAlign w:val="center"/>
          </w:tcPr>
          <w:p w14:paraId="40CBF9F2">
            <w:pPr>
              <w:widowControl/>
              <w:jc w:val="left"/>
              <w:rPr>
                <w:rFonts w:hint="eastAsia" w:ascii="宋体" w:hAnsi="宋体" w:cs="宋体"/>
                <w:szCs w:val="21"/>
              </w:rPr>
            </w:pPr>
            <w:r>
              <w:rPr>
                <w:rFonts w:hint="eastAsia" w:ascii="宋体" w:hAnsi="宋体" w:cs="宋体"/>
                <w:szCs w:val="21"/>
              </w:rPr>
              <w:t>300≤Z＜5000</w:t>
            </w:r>
          </w:p>
        </w:tc>
        <w:tc>
          <w:tcPr>
            <w:tcW w:w="643" w:type="pct"/>
            <w:tcBorders>
              <w:top w:val="nil"/>
              <w:left w:val="nil"/>
              <w:bottom w:val="single" w:color="auto" w:sz="4" w:space="0"/>
              <w:right w:val="single" w:color="auto" w:sz="4" w:space="0"/>
            </w:tcBorders>
            <w:vAlign w:val="center"/>
          </w:tcPr>
          <w:p w14:paraId="6C408E68">
            <w:pPr>
              <w:widowControl/>
              <w:jc w:val="left"/>
              <w:rPr>
                <w:rFonts w:hint="eastAsia" w:ascii="宋体" w:hAnsi="宋体" w:cs="宋体"/>
                <w:szCs w:val="21"/>
              </w:rPr>
            </w:pPr>
            <w:r>
              <w:rPr>
                <w:rFonts w:hint="eastAsia" w:ascii="宋体" w:hAnsi="宋体" w:cs="宋体"/>
                <w:szCs w:val="21"/>
              </w:rPr>
              <w:t>Z＜300</w:t>
            </w:r>
          </w:p>
        </w:tc>
      </w:tr>
      <w:tr w14:paraId="5D86D787">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47EB45C0">
            <w:pPr>
              <w:widowControl/>
              <w:ind w:firstLine="315" w:firstLineChars="150"/>
              <w:rPr>
                <w:rFonts w:hint="eastAsia" w:ascii="宋体" w:hAnsi="宋体" w:cs="宋体"/>
                <w:szCs w:val="21"/>
              </w:rPr>
            </w:pPr>
            <w:r>
              <w:rPr>
                <w:rFonts w:hint="eastAsia" w:ascii="宋体" w:hAnsi="宋体" w:cs="宋体"/>
                <w:szCs w:val="21"/>
              </w:rPr>
              <w:t>批发业</w:t>
            </w:r>
          </w:p>
        </w:tc>
        <w:tc>
          <w:tcPr>
            <w:tcW w:w="862" w:type="pct"/>
            <w:tcBorders>
              <w:top w:val="nil"/>
              <w:left w:val="nil"/>
              <w:bottom w:val="single" w:color="auto" w:sz="4" w:space="0"/>
              <w:right w:val="single" w:color="auto" w:sz="4" w:space="0"/>
            </w:tcBorders>
            <w:vAlign w:val="center"/>
          </w:tcPr>
          <w:p w14:paraId="27DFB59C">
            <w:pPr>
              <w:widowControl/>
              <w:jc w:val="left"/>
              <w:rPr>
                <w:rFonts w:hint="eastAsia" w:ascii="宋体" w:hAnsi="宋体" w:cs="宋体"/>
                <w:szCs w:val="21"/>
              </w:rPr>
            </w:pPr>
            <w:r>
              <w:rPr>
                <w:rFonts w:hint="eastAsia" w:ascii="宋体" w:hAnsi="宋体" w:cs="宋体"/>
                <w:szCs w:val="21"/>
              </w:rPr>
              <w:t>从业人员（X）</w:t>
            </w:r>
          </w:p>
        </w:tc>
        <w:tc>
          <w:tcPr>
            <w:tcW w:w="573" w:type="pct"/>
            <w:tcBorders>
              <w:top w:val="nil"/>
              <w:left w:val="nil"/>
              <w:bottom w:val="single" w:color="auto" w:sz="4" w:space="0"/>
              <w:right w:val="single" w:color="auto" w:sz="4" w:space="0"/>
            </w:tcBorders>
            <w:vAlign w:val="center"/>
          </w:tcPr>
          <w:p w14:paraId="4C46F9DD">
            <w:pPr>
              <w:widowControl/>
              <w:jc w:val="left"/>
              <w:rPr>
                <w:rFonts w:hint="eastAsia" w:ascii="宋体" w:hAnsi="宋体" w:cs="宋体"/>
                <w:szCs w:val="21"/>
              </w:rPr>
            </w:pPr>
            <w:r>
              <w:rPr>
                <w:rFonts w:hint="eastAsia" w:ascii="宋体" w:hAnsi="宋体" w:cs="宋体"/>
                <w:szCs w:val="21"/>
              </w:rPr>
              <w:t>人</w:t>
            </w:r>
          </w:p>
        </w:tc>
        <w:tc>
          <w:tcPr>
            <w:tcW w:w="935" w:type="pct"/>
            <w:tcBorders>
              <w:top w:val="nil"/>
              <w:left w:val="nil"/>
              <w:bottom w:val="single" w:color="auto" w:sz="4" w:space="0"/>
              <w:right w:val="single" w:color="auto" w:sz="4" w:space="0"/>
            </w:tcBorders>
            <w:vAlign w:val="center"/>
          </w:tcPr>
          <w:p w14:paraId="59EC651B">
            <w:pPr>
              <w:widowControl/>
              <w:jc w:val="left"/>
              <w:rPr>
                <w:rFonts w:hint="eastAsia" w:ascii="宋体" w:hAnsi="宋体" w:cs="宋体"/>
                <w:szCs w:val="21"/>
              </w:rPr>
            </w:pPr>
            <w:r>
              <w:rPr>
                <w:rFonts w:hint="eastAsia" w:ascii="宋体" w:hAnsi="宋体" w:cs="宋体"/>
                <w:szCs w:val="21"/>
              </w:rPr>
              <w:t>20≤X＜200</w:t>
            </w:r>
          </w:p>
        </w:tc>
        <w:tc>
          <w:tcPr>
            <w:tcW w:w="998" w:type="pct"/>
            <w:tcBorders>
              <w:top w:val="nil"/>
              <w:left w:val="nil"/>
              <w:bottom w:val="single" w:color="auto" w:sz="4" w:space="0"/>
              <w:right w:val="single" w:color="auto" w:sz="4" w:space="0"/>
            </w:tcBorders>
            <w:vAlign w:val="center"/>
          </w:tcPr>
          <w:p w14:paraId="5CEFA422">
            <w:pPr>
              <w:widowControl/>
              <w:jc w:val="left"/>
              <w:rPr>
                <w:rFonts w:hint="eastAsia" w:ascii="宋体" w:hAnsi="宋体" w:cs="宋体"/>
                <w:szCs w:val="21"/>
              </w:rPr>
            </w:pPr>
            <w:r>
              <w:rPr>
                <w:rFonts w:hint="eastAsia" w:ascii="宋体" w:hAnsi="宋体" w:cs="宋体"/>
                <w:szCs w:val="21"/>
              </w:rPr>
              <w:t>5≤X＜20</w:t>
            </w:r>
          </w:p>
        </w:tc>
        <w:tc>
          <w:tcPr>
            <w:tcW w:w="643" w:type="pct"/>
            <w:tcBorders>
              <w:top w:val="nil"/>
              <w:left w:val="nil"/>
              <w:bottom w:val="single" w:color="auto" w:sz="4" w:space="0"/>
              <w:right w:val="single" w:color="auto" w:sz="4" w:space="0"/>
            </w:tcBorders>
            <w:vAlign w:val="center"/>
          </w:tcPr>
          <w:p w14:paraId="707898B2">
            <w:pPr>
              <w:widowControl/>
              <w:jc w:val="left"/>
              <w:rPr>
                <w:rFonts w:hint="eastAsia" w:ascii="宋体" w:hAnsi="宋体" w:cs="宋体"/>
                <w:szCs w:val="21"/>
              </w:rPr>
            </w:pPr>
            <w:r>
              <w:rPr>
                <w:rFonts w:hint="eastAsia" w:ascii="宋体" w:hAnsi="宋体" w:cs="宋体"/>
                <w:szCs w:val="21"/>
              </w:rPr>
              <w:t>X＜5</w:t>
            </w:r>
          </w:p>
        </w:tc>
      </w:tr>
      <w:tr w14:paraId="6DCFF975">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1907416B">
            <w:pPr>
              <w:widowControl/>
              <w:jc w:val="left"/>
              <w:rPr>
                <w:rFonts w:hint="eastAsia" w:ascii="宋体" w:hAnsi="宋体" w:cs="宋体"/>
                <w:szCs w:val="21"/>
              </w:rPr>
            </w:pPr>
          </w:p>
        </w:tc>
        <w:tc>
          <w:tcPr>
            <w:tcW w:w="862" w:type="pct"/>
            <w:tcBorders>
              <w:top w:val="nil"/>
              <w:left w:val="nil"/>
              <w:bottom w:val="single" w:color="auto" w:sz="4" w:space="0"/>
              <w:right w:val="single" w:color="auto" w:sz="4" w:space="0"/>
            </w:tcBorders>
            <w:vAlign w:val="center"/>
          </w:tcPr>
          <w:p w14:paraId="46656483">
            <w:pPr>
              <w:widowControl/>
              <w:jc w:val="left"/>
              <w:rPr>
                <w:rFonts w:hint="eastAsia" w:ascii="宋体" w:hAnsi="宋体" w:cs="宋体"/>
                <w:szCs w:val="21"/>
              </w:rPr>
            </w:pPr>
            <w:r>
              <w:rPr>
                <w:rFonts w:hint="eastAsia" w:ascii="宋体" w:hAnsi="宋体" w:cs="宋体"/>
                <w:szCs w:val="21"/>
              </w:rPr>
              <w:t>营业收入（Y）</w:t>
            </w:r>
          </w:p>
        </w:tc>
        <w:tc>
          <w:tcPr>
            <w:tcW w:w="573" w:type="pct"/>
            <w:tcBorders>
              <w:top w:val="nil"/>
              <w:left w:val="nil"/>
              <w:bottom w:val="single" w:color="auto" w:sz="4" w:space="0"/>
              <w:right w:val="single" w:color="auto" w:sz="4" w:space="0"/>
            </w:tcBorders>
            <w:vAlign w:val="center"/>
          </w:tcPr>
          <w:p w14:paraId="3ACDC9BC">
            <w:pPr>
              <w:widowControl/>
              <w:jc w:val="left"/>
              <w:rPr>
                <w:rFonts w:hint="eastAsia" w:ascii="宋体" w:hAnsi="宋体" w:cs="宋体"/>
                <w:szCs w:val="21"/>
              </w:rPr>
            </w:pPr>
            <w:r>
              <w:rPr>
                <w:rFonts w:hint="eastAsia" w:ascii="宋体" w:hAnsi="宋体" w:cs="宋体"/>
                <w:szCs w:val="21"/>
              </w:rPr>
              <w:t>万元</w:t>
            </w:r>
          </w:p>
        </w:tc>
        <w:tc>
          <w:tcPr>
            <w:tcW w:w="935" w:type="pct"/>
            <w:tcBorders>
              <w:top w:val="nil"/>
              <w:left w:val="nil"/>
              <w:bottom w:val="single" w:color="auto" w:sz="4" w:space="0"/>
              <w:right w:val="single" w:color="auto" w:sz="4" w:space="0"/>
            </w:tcBorders>
            <w:vAlign w:val="center"/>
          </w:tcPr>
          <w:p w14:paraId="03C10A77">
            <w:pPr>
              <w:widowControl/>
              <w:jc w:val="left"/>
              <w:rPr>
                <w:rFonts w:hint="eastAsia" w:ascii="宋体" w:hAnsi="宋体" w:cs="宋体"/>
                <w:szCs w:val="21"/>
              </w:rPr>
            </w:pPr>
            <w:r>
              <w:rPr>
                <w:rFonts w:hint="eastAsia" w:ascii="宋体" w:hAnsi="宋体" w:cs="宋体"/>
                <w:szCs w:val="21"/>
              </w:rPr>
              <w:t>5000≤Y＜40000</w:t>
            </w:r>
          </w:p>
        </w:tc>
        <w:tc>
          <w:tcPr>
            <w:tcW w:w="998" w:type="pct"/>
            <w:tcBorders>
              <w:top w:val="nil"/>
              <w:left w:val="nil"/>
              <w:bottom w:val="single" w:color="auto" w:sz="4" w:space="0"/>
              <w:right w:val="single" w:color="auto" w:sz="4" w:space="0"/>
            </w:tcBorders>
            <w:vAlign w:val="center"/>
          </w:tcPr>
          <w:p w14:paraId="1FBB308E">
            <w:pPr>
              <w:widowControl/>
              <w:jc w:val="left"/>
              <w:rPr>
                <w:rFonts w:hint="eastAsia" w:ascii="宋体" w:hAnsi="宋体" w:cs="宋体"/>
                <w:szCs w:val="21"/>
              </w:rPr>
            </w:pPr>
            <w:r>
              <w:rPr>
                <w:rFonts w:hint="eastAsia" w:ascii="宋体" w:hAnsi="宋体" w:cs="宋体"/>
                <w:szCs w:val="21"/>
              </w:rPr>
              <w:t>1000≤Y＜5000</w:t>
            </w:r>
          </w:p>
        </w:tc>
        <w:tc>
          <w:tcPr>
            <w:tcW w:w="643" w:type="pct"/>
            <w:tcBorders>
              <w:top w:val="nil"/>
              <w:left w:val="nil"/>
              <w:bottom w:val="single" w:color="auto" w:sz="4" w:space="0"/>
              <w:right w:val="single" w:color="auto" w:sz="4" w:space="0"/>
            </w:tcBorders>
            <w:vAlign w:val="center"/>
          </w:tcPr>
          <w:p w14:paraId="6B426956">
            <w:pPr>
              <w:widowControl/>
              <w:jc w:val="left"/>
              <w:rPr>
                <w:rFonts w:hint="eastAsia" w:ascii="宋体" w:hAnsi="宋体" w:cs="宋体"/>
                <w:szCs w:val="21"/>
              </w:rPr>
            </w:pPr>
            <w:r>
              <w:rPr>
                <w:rFonts w:hint="eastAsia" w:ascii="宋体" w:hAnsi="宋体" w:cs="宋体"/>
                <w:szCs w:val="21"/>
              </w:rPr>
              <w:t>Y＜1000</w:t>
            </w:r>
          </w:p>
        </w:tc>
      </w:tr>
      <w:tr w14:paraId="28D7F746">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5EA1E906">
            <w:pPr>
              <w:widowControl/>
              <w:jc w:val="center"/>
              <w:rPr>
                <w:rFonts w:hint="eastAsia" w:ascii="宋体" w:hAnsi="宋体" w:cs="宋体"/>
                <w:szCs w:val="21"/>
              </w:rPr>
            </w:pPr>
            <w:r>
              <w:rPr>
                <w:rFonts w:hint="eastAsia" w:ascii="宋体" w:hAnsi="宋体" w:cs="宋体"/>
                <w:szCs w:val="21"/>
              </w:rPr>
              <w:t>零售业</w:t>
            </w:r>
          </w:p>
        </w:tc>
        <w:tc>
          <w:tcPr>
            <w:tcW w:w="862" w:type="pct"/>
            <w:tcBorders>
              <w:top w:val="nil"/>
              <w:left w:val="nil"/>
              <w:bottom w:val="single" w:color="auto" w:sz="4" w:space="0"/>
              <w:right w:val="single" w:color="auto" w:sz="4" w:space="0"/>
            </w:tcBorders>
            <w:vAlign w:val="center"/>
          </w:tcPr>
          <w:p w14:paraId="04757E33">
            <w:pPr>
              <w:widowControl/>
              <w:jc w:val="left"/>
              <w:rPr>
                <w:rFonts w:hint="eastAsia" w:ascii="宋体" w:hAnsi="宋体" w:cs="宋体"/>
                <w:szCs w:val="21"/>
              </w:rPr>
            </w:pPr>
            <w:r>
              <w:rPr>
                <w:rFonts w:hint="eastAsia" w:ascii="宋体" w:hAnsi="宋体" w:cs="宋体"/>
                <w:szCs w:val="21"/>
              </w:rPr>
              <w:t>从业人员（X）</w:t>
            </w:r>
          </w:p>
        </w:tc>
        <w:tc>
          <w:tcPr>
            <w:tcW w:w="573" w:type="pct"/>
            <w:tcBorders>
              <w:top w:val="nil"/>
              <w:left w:val="nil"/>
              <w:bottom w:val="single" w:color="auto" w:sz="4" w:space="0"/>
              <w:right w:val="single" w:color="auto" w:sz="4" w:space="0"/>
            </w:tcBorders>
            <w:vAlign w:val="center"/>
          </w:tcPr>
          <w:p w14:paraId="2A771709">
            <w:pPr>
              <w:widowControl/>
              <w:jc w:val="left"/>
              <w:rPr>
                <w:rFonts w:hint="eastAsia" w:ascii="宋体" w:hAnsi="宋体" w:cs="宋体"/>
                <w:szCs w:val="21"/>
              </w:rPr>
            </w:pPr>
            <w:r>
              <w:rPr>
                <w:rFonts w:hint="eastAsia" w:ascii="宋体" w:hAnsi="宋体" w:cs="宋体"/>
                <w:szCs w:val="21"/>
              </w:rPr>
              <w:t>人</w:t>
            </w:r>
          </w:p>
        </w:tc>
        <w:tc>
          <w:tcPr>
            <w:tcW w:w="935" w:type="pct"/>
            <w:tcBorders>
              <w:top w:val="nil"/>
              <w:left w:val="nil"/>
              <w:bottom w:val="single" w:color="auto" w:sz="4" w:space="0"/>
              <w:right w:val="single" w:color="auto" w:sz="4" w:space="0"/>
            </w:tcBorders>
            <w:vAlign w:val="center"/>
          </w:tcPr>
          <w:p w14:paraId="35BB8A10">
            <w:pPr>
              <w:widowControl/>
              <w:jc w:val="left"/>
              <w:rPr>
                <w:rFonts w:hint="eastAsia" w:ascii="宋体" w:hAnsi="宋体" w:cs="宋体"/>
                <w:szCs w:val="21"/>
              </w:rPr>
            </w:pPr>
            <w:r>
              <w:rPr>
                <w:rFonts w:hint="eastAsia" w:ascii="宋体" w:hAnsi="宋体" w:cs="宋体"/>
                <w:szCs w:val="21"/>
              </w:rPr>
              <w:t>50≤X＜300</w:t>
            </w:r>
          </w:p>
        </w:tc>
        <w:tc>
          <w:tcPr>
            <w:tcW w:w="998" w:type="pct"/>
            <w:tcBorders>
              <w:top w:val="nil"/>
              <w:left w:val="nil"/>
              <w:bottom w:val="single" w:color="auto" w:sz="4" w:space="0"/>
              <w:right w:val="single" w:color="auto" w:sz="4" w:space="0"/>
            </w:tcBorders>
            <w:vAlign w:val="center"/>
          </w:tcPr>
          <w:p w14:paraId="76AC60D3">
            <w:pPr>
              <w:widowControl/>
              <w:jc w:val="left"/>
              <w:rPr>
                <w:rFonts w:hint="eastAsia" w:ascii="宋体" w:hAnsi="宋体" w:cs="宋体"/>
                <w:szCs w:val="21"/>
              </w:rPr>
            </w:pPr>
            <w:r>
              <w:rPr>
                <w:rFonts w:hint="eastAsia" w:ascii="宋体" w:hAnsi="宋体" w:cs="宋体"/>
                <w:szCs w:val="21"/>
              </w:rPr>
              <w:t>10≤X＜50</w:t>
            </w:r>
          </w:p>
        </w:tc>
        <w:tc>
          <w:tcPr>
            <w:tcW w:w="643" w:type="pct"/>
            <w:tcBorders>
              <w:top w:val="nil"/>
              <w:left w:val="nil"/>
              <w:bottom w:val="single" w:color="auto" w:sz="4" w:space="0"/>
              <w:right w:val="single" w:color="auto" w:sz="4" w:space="0"/>
            </w:tcBorders>
            <w:vAlign w:val="center"/>
          </w:tcPr>
          <w:p w14:paraId="4E0B76C3">
            <w:pPr>
              <w:widowControl/>
              <w:jc w:val="left"/>
              <w:rPr>
                <w:rFonts w:hint="eastAsia" w:ascii="宋体" w:hAnsi="宋体" w:cs="宋体"/>
                <w:szCs w:val="21"/>
              </w:rPr>
            </w:pPr>
            <w:r>
              <w:rPr>
                <w:rFonts w:hint="eastAsia" w:ascii="宋体" w:hAnsi="宋体" w:cs="宋体"/>
                <w:szCs w:val="21"/>
              </w:rPr>
              <w:t>X＜10</w:t>
            </w:r>
          </w:p>
        </w:tc>
      </w:tr>
      <w:tr w14:paraId="54975E61">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00360982">
            <w:pPr>
              <w:widowControl/>
              <w:jc w:val="left"/>
              <w:rPr>
                <w:rFonts w:hint="eastAsia" w:ascii="宋体" w:hAnsi="宋体" w:cs="宋体"/>
                <w:szCs w:val="21"/>
              </w:rPr>
            </w:pPr>
          </w:p>
        </w:tc>
        <w:tc>
          <w:tcPr>
            <w:tcW w:w="862" w:type="pct"/>
            <w:tcBorders>
              <w:top w:val="nil"/>
              <w:left w:val="nil"/>
              <w:bottom w:val="single" w:color="auto" w:sz="4" w:space="0"/>
              <w:right w:val="single" w:color="auto" w:sz="4" w:space="0"/>
            </w:tcBorders>
            <w:vAlign w:val="center"/>
          </w:tcPr>
          <w:p w14:paraId="341761DF">
            <w:pPr>
              <w:widowControl/>
              <w:jc w:val="left"/>
              <w:rPr>
                <w:rFonts w:hint="eastAsia" w:ascii="宋体" w:hAnsi="宋体" w:cs="宋体"/>
                <w:szCs w:val="21"/>
              </w:rPr>
            </w:pPr>
            <w:r>
              <w:rPr>
                <w:rFonts w:hint="eastAsia" w:ascii="宋体" w:hAnsi="宋体" w:cs="宋体"/>
                <w:szCs w:val="21"/>
              </w:rPr>
              <w:t>营业收入（Y）</w:t>
            </w:r>
          </w:p>
        </w:tc>
        <w:tc>
          <w:tcPr>
            <w:tcW w:w="573" w:type="pct"/>
            <w:tcBorders>
              <w:top w:val="nil"/>
              <w:left w:val="nil"/>
              <w:bottom w:val="single" w:color="auto" w:sz="4" w:space="0"/>
              <w:right w:val="single" w:color="auto" w:sz="4" w:space="0"/>
            </w:tcBorders>
            <w:vAlign w:val="center"/>
          </w:tcPr>
          <w:p w14:paraId="001270D9">
            <w:pPr>
              <w:widowControl/>
              <w:jc w:val="left"/>
              <w:rPr>
                <w:rFonts w:hint="eastAsia" w:ascii="宋体" w:hAnsi="宋体" w:cs="宋体"/>
                <w:szCs w:val="21"/>
              </w:rPr>
            </w:pPr>
            <w:r>
              <w:rPr>
                <w:rFonts w:hint="eastAsia" w:ascii="宋体" w:hAnsi="宋体" w:cs="宋体"/>
                <w:szCs w:val="21"/>
              </w:rPr>
              <w:t>万元</w:t>
            </w:r>
          </w:p>
        </w:tc>
        <w:tc>
          <w:tcPr>
            <w:tcW w:w="935" w:type="pct"/>
            <w:tcBorders>
              <w:top w:val="nil"/>
              <w:left w:val="nil"/>
              <w:bottom w:val="single" w:color="auto" w:sz="4" w:space="0"/>
              <w:right w:val="single" w:color="auto" w:sz="4" w:space="0"/>
            </w:tcBorders>
            <w:vAlign w:val="center"/>
          </w:tcPr>
          <w:p w14:paraId="5E7FE59C">
            <w:pPr>
              <w:widowControl/>
              <w:jc w:val="left"/>
              <w:rPr>
                <w:rFonts w:hint="eastAsia" w:ascii="宋体" w:hAnsi="宋体" w:cs="宋体"/>
                <w:szCs w:val="21"/>
              </w:rPr>
            </w:pPr>
            <w:r>
              <w:rPr>
                <w:rFonts w:hint="eastAsia" w:ascii="宋体" w:hAnsi="宋体" w:cs="宋体"/>
                <w:szCs w:val="21"/>
              </w:rPr>
              <w:t>500≤Y＜20000</w:t>
            </w:r>
          </w:p>
        </w:tc>
        <w:tc>
          <w:tcPr>
            <w:tcW w:w="998" w:type="pct"/>
            <w:tcBorders>
              <w:top w:val="nil"/>
              <w:left w:val="nil"/>
              <w:bottom w:val="single" w:color="auto" w:sz="4" w:space="0"/>
              <w:right w:val="single" w:color="auto" w:sz="4" w:space="0"/>
            </w:tcBorders>
            <w:vAlign w:val="center"/>
          </w:tcPr>
          <w:p w14:paraId="6B987507">
            <w:pPr>
              <w:widowControl/>
              <w:jc w:val="left"/>
              <w:rPr>
                <w:rFonts w:hint="eastAsia" w:ascii="宋体" w:hAnsi="宋体" w:cs="宋体"/>
                <w:szCs w:val="21"/>
              </w:rPr>
            </w:pPr>
            <w:r>
              <w:rPr>
                <w:rFonts w:hint="eastAsia" w:ascii="宋体" w:hAnsi="宋体" w:cs="宋体"/>
                <w:szCs w:val="21"/>
              </w:rPr>
              <w:t>100≤Y＜500</w:t>
            </w:r>
          </w:p>
        </w:tc>
        <w:tc>
          <w:tcPr>
            <w:tcW w:w="643" w:type="pct"/>
            <w:tcBorders>
              <w:top w:val="nil"/>
              <w:left w:val="nil"/>
              <w:bottom w:val="single" w:color="auto" w:sz="4" w:space="0"/>
              <w:right w:val="single" w:color="auto" w:sz="4" w:space="0"/>
            </w:tcBorders>
            <w:vAlign w:val="center"/>
          </w:tcPr>
          <w:p w14:paraId="52CE6F79">
            <w:pPr>
              <w:widowControl/>
              <w:jc w:val="left"/>
              <w:rPr>
                <w:rFonts w:hint="eastAsia" w:ascii="宋体" w:hAnsi="宋体" w:cs="宋体"/>
                <w:szCs w:val="21"/>
              </w:rPr>
            </w:pPr>
            <w:r>
              <w:rPr>
                <w:rFonts w:hint="eastAsia" w:ascii="宋体" w:hAnsi="宋体" w:cs="宋体"/>
                <w:szCs w:val="21"/>
              </w:rPr>
              <w:t>Y＜100</w:t>
            </w:r>
          </w:p>
        </w:tc>
      </w:tr>
      <w:tr w14:paraId="0A671839">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4E0C9EE2">
            <w:pPr>
              <w:widowControl/>
              <w:jc w:val="center"/>
              <w:rPr>
                <w:rFonts w:hint="eastAsia" w:ascii="宋体" w:hAnsi="宋体" w:cs="宋体"/>
                <w:szCs w:val="21"/>
              </w:rPr>
            </w:pPr>
            <w:r>
              <w:rPr>
                <w:rFonts w:hint="eastAsia" w:ascii="宋体" w:hAnsi="宋体" w:cs="宋体"/>
                <w:szCs w:val="21"/>
              </w:rPr>
              <w:t>交通运输业</w:t>
            </w:r>
          </w:p>
        </w:tc>
        <w:tc>
          <w:tcPr>
            <w:tcW w:w="862" w:type="pct"/>
            <w:tcBorders>
              <w:top w:val="nil"/>
              <w:left w:val="nil"/>
              <w:bottom w:val="single" w:color="auto" w:sz="4" w:space="0"/>
              <w:right w:val="single" w:color="auto" w:sz="4" w:space="0"/>
            </w:tcBorders>
            <w:vAlign w:val="center"/>
          </w:tcPr>
          <w:p w14:paraId="5538104D">
            <w:pPr>
              <w:widowControl/>
              <w:jc w:val="left"/>
              <w:rPr>
                <w:rFonts w:hint="eastAsia" w:ascii="宋体" w:hAnsi="宋体" w:cs="宋体"/>
                <w:szCs w:val="21"/>
              </w:rPr>
            </w:pPr>
            <w:r>
              <w:rPr>
                <w:rFonts w:hint="eastAsia" w:ascii="宋体" w:hAnsi="宋体" w:cs="宋体"/>
                <w:szCs w:val="21"/>
              </w:rPr>
              <w:t>从业人员（X）</w:t>
            </w:r>
          </w:p>
        </w:tc>
        <w:tc>
          <w:tcPr>
            <w:tcW w:w="573" w:type="pct"/>
            <w:tcBorders>
              <w:top w:val="nil"/>
              <w:left w:val="nil"/>
              <w:bottom w:val="single" w:color="auto" w:sz="4" w:space="0"/>
              <w:right w:val="single" w:color="auto" w:sz="4" w:space="0"/>
            </w:tcBorders>
            <w:vAlign w:val="center"/>
          </w:tcPr>
          <w:p w14:paraId="62D64FC2">
            <w:pPr>
              <w:widowControl/>
              <w:jc w:val="left"/>
              <w:rPr>
                <w:rFonts w:hint="eastAsia" w:ascii="宋体" w:hAnsi="宋体" w:cs="宋体"/>
                <w:szCs w:val="21"/>
              </w:rPr>
            </w:pPr>
            <w:r>
              <w:rPr>
                <w:rFonts w:hint="eastAsia" w:ascii="宋体" w:hAnsi="宋体" w:cs="宋体"/>
                <w:szCs w:val="21"/>
              </w:rPr>
              <w:t>人</w:t>
            </w:r>
          </w:p>
        </w:tc>
        <w:tc>
          <w:tcPr>
            <w:tcW w:w="935" w:type="pct"/>
            <w:tcBorders>
              <w:top w:val="nil"/>
              <w:left w:val="nil"/>
              <w:bottom w:val="single" w:color="auto" w:sz="4" w:space="0"/>
              <w:right w:val="single" w:color="auto" w:sz="4" w:space="0"/>
            </w:tcBorders>
            <w:vAlign w:val="center"/>
          </w:tcPr>
          <w:p w14:paraId="52BEB3FF">
            <w:pPr>
              <w:widowControl/>
              <w:jc w:val="left"/>
              <w:rPr>
                <w:rFonts w:hint="eastAsia" w:ascii="宋体" w:hAnsi="宋体" w:cs="宋体"/>
                <w:szCs w:val="21"/>
              </w:rPr>
            </w:pPr>
            <w:r>
              <w:rPr>
                <w:rFonts w:hint="eastAsia" w:ascii="宋体" w:hAnsi="宋体" w:cs="宋体"/>
                <w:szCs w:val="21"/>
              </w:rPr>
              <w:t>300≤X＜1000</w:t>
            </w:r>
          </w:p>
        </w:tc>
        <w:tc>
          <w:tcPr>
            <w:tcW w:w="998" w:type="pct"/>
            <w:tcBorders>
              <w:top w:val="nil"/>
              <w:left w:val="nil"/>
              <w:bottom w:val="single" w:color="auto" w:sz="4" w:space="0"/>
              <w:right w:val="single" w:color="auto" w:sz="4" w:space="0"/>
            </w:tcBorders>
            <w:vAlign w:val="center"/>
          </w:tcPr>
          <w:p w14:paraId="790C1467">
            <w:pPr>
              <w:widowControl/>
              <w:jc w:val="left"/>
              <w:rPr>
                <w:rFonts w:hint="eastAsia" w:ascii="宋体" w:hAnsi="宋体" w:cs="宋体"/>
                <w:szCs w:val="21"/>
              </w:rPr>
            </w:pPr>
            <w:r>
              <w:rPr>
                <w:rFonts w:hint="eastAsia" w:ascii="宋体" w:hAnsi="宋体" w:cs="宋体"/>
                <w:szCs w:val="21"/>
              </w:rPr>
              <w:t>20≤X＜300</w:t>
            </w:r>
          </w:p>
        </w:tc>
        <w:tc>
          <w:tcPr>
            <w:tcW w:w="643" w:type="pct"/>
            <w:tcBorders>
              <w:top w:val="nil"/>
              <w:left w:val="nil"/>
              <w:bottom w:val="single" w:color="auto" w:sz="4" w:space="0"/>
              <w:right w:val="single" w:color="auto" w:sz="4" w:space="0"/>
            </w:tcBorders>
            <w:vAlign w:val="center"/>
          </w:tcPr>
          <w:p w14:paraId="5F779A4B">
            <w:pPr>
              <w:widowControl/>
              <w:jc w:val="left"/>
              <w:rPr>
                <w:rFonts w:hint="eastAsia" w:ascii="宋体" w:hAnsi="宋体" w:cs="宋体"/>
                <w:szCs w:val="21"/>
              </w:rPr>
            </w:pPr>
            <w:r>
              <w:rPr>
                <w:rFonts w:hint="eastAsia" w:ascii="宋体" w:hAnsi="宋体" w:cs="宋体"/>
                <w:szCs w:val="21"/>
              </w:rPr>
              <w:t>X＜20</w:t>
            </w:r>
          </w:p>
        </w:tc>
      </w:tr>
      <w:tr w14:paraId="4B9028AD">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3019088B">
            <w:pPr>
              <w:widowControl/>
              <w:jc w:val="left"/>
              <w:rPr>
                <w:rFonts w:hint="eastAsia" w:ascii="宋体" w:hAnsi="宋体" w:cs="宋体"/>
                <w:szCs w:val="21"/>
              </w:rPr>
            </w:pPr>
          </w:p>
        </w:tc>
        <w:tc>
          <w:tcPr>
            <w:tcW w:w="862" w:type="pct"/>
            <w:tcBorders>
              <w:top w:val="nil"/>
              <w:left w:val="nil"/>
              <w:bottom w:val="single" w:color="auto" w:sz="4" w:space="0"/>
              <w:right w:val="single" w:color="auto" w:sz="4" w:space="0"/>
            </w:tcBorders>
            <w:vAlign w:val="center"/>
          </w:tcPr>
          <w:p w14:paraId="4B697B10">
            <w:pPr>
              <w:widowControl/>
              <w:jc w:val="left"/>
              <w:rPr>
                <w:rFonts w:hint="eastAsia" w:ascii="宋体" w:hAnsi="宋体" w:cs="宋体"/>
                <w:szCs w:val="21"/>
              </w:rPr>
            </w:pPr>
            <w:r>
              <w:rPr>
                <w:rFonts w:hint="eastAsia" w:ascii="宋体" w:hAnsi="宋体" w:cs="宋体"/>
                <w:szCs w:val="21"/>
              </w:rPr>
              <w:t>营业收入（Y）</w:t>
            </w:r>
          </w:p>
        </w:tc>
        <w:tc>
          <w:tcPr>
            <w:tcW w:w="573" w:type="pct"/>
            <w:tcBorders>
              <w:top w:val="nil"/>
              <w:left w:val="nil"/>
              <w:bottom w:val="single" w:color="auto" w:sz="4" w:space="0"/>
              <w:right w:val="single" w:color="auto" w:sz="4" w:space="0"/>
            </w:tcBorders>
            <w:vAlign w:val="center"/>
          </w:tcPr>
          <w:p w14:paraId="28A2E1FE">
            <w:pPr>
              <w:widowControl/>
              <w:jc w:val="left"/>
              <w:rPr>
                <w:rFonts w:hint="eastAsia" w:ascii="宋体" w:hAnsi="宋体" w:cs="宋体"/>
                <w:szCs w:val="21"/>
              </w:rPr>
            </w:pPr>
            <w:r>
              <w:rPr>
                <w:rFonts w:hint="eastAsia" w:ascii="宋体" w:hAnsi="宋体" w:cs="宋体"/>
                <w:szCs w:val="21"/>
              </w:rPr>
              <w:t>万元</w:t>
            </w:r>
          </w:p>
        </w:tc>
        <w:tc>
          <w:tcPr>
            <w:tcW w:w="935" w:type="pct"/>
            <w:tcBorders>
              <w:top w:val="nil"/>
              <w:left w:val="nil"/>
              <w:bottom w:val="single" w:color="auto" w:sz="4" w:space="0"/>
              <w:right w:val="single" w:color="auto" w:sz="4" w:space="0"/>
            </w:tcBorders>
            <w:vAlign w:val="center"/>
          </w:tcPr>
          <w:p w14:paraId="0BC48433">
            <w:pPr>
              <w:widowControl/>
              <w:jc w:val="left"/>
              <w:rPr>
                <w:rFonts w:hint="eastAsia" w:ascii="宋体" w:hAnsi="宋体" w:cs="宋体"/>
                <w:szCs w:val="21"/>
              </w:rPr>
            </w:pPr>
            <w:r>
              <w:rPr>
                <w:rFonts w:hint="eastAsia" w:ascii="宋体" w:hAnsi="宋体" w:cs="宋体"/>
                <w:szCs w:val="21"/>
              </w:rPr>
              <w:t>3000≤Y＜30000</w:t>
            </w:r>
          </w:p>
        </w:tc>
        <w:tc>
          <w:tcPr>
            <w:tcW w:w="998" w:type="pct"/>
            <w:tcBorders>
              <w:top w:val="nil"/>
              <w:left w:val="nil"/>
              <w:bottom w:val="single" w:color="auto" w:sz="4" w:space="0"/>
              <w:right w:val="single" w:color="auto" w:sz="4" w:space="0"/>
            </w:tcBorders>
            <w:vAlign w:val="center"/>
          </w:tcPr>
          <w:p w14:paraId="0D10517A">
            <w:pPr>
              <w:widowControl/>
              <w:jc w:val="left"/>
              <w:rPr>
                <w:rFonts w:hint="eastAsia" w:ascii="宋体" w:hAnsi="宋体" w:cs="宋体"/>
                <w:szCs w:val="21"/>
              </w:rPr>
            </w:pPr>
            <w:r>
              <w:rPr>
                <w:rFonts w:hint="eastAsia" w:ascii="宋体" w:hAnsi="宋体" w:cs="宋体"/>
                <w:szCs w:val="21"/>
              </w:rPr>
              <w:t>200≤Y＜3000</w:t>
            </w:r>
          </w:p>
        </w:tc>
        <w:tc>
          <w:tcPr>
            <w:tcW w:w="643" w:type="pct"/>
            <w:tcBorders>
              <w:top w:val="nil"/>
              <w:left w:val="nil"/>
              <w:bottom w:val="single" w:color="auto" w:sz="4" w:space="0"/>
              <w:right w:val="single" w:color="auto" w:sz="4" w:space="0"/>
            </w:tcBorders>
            <w:vAlign w:val="center"/>
          </w:tcPr>
          <w:p w14:paraId="46126A98">
            <w:pPr>
              <w:widowControl/>
              <w:jc w:val="left"/>
              <w:rPr>
                <w:rFonts w:hint="eastAsia" w:ascii="宋体" w:hAnsi="宋体" w:cs="宋体"/>
                <w:szCs w:val="21"/>
              </w:rPr>
            </w:pPr>
            <w:r>
              <w:rPr>
                <w:rFonts w:hint="eastAsia" w:ascii="宋体" w:hAnsi="宋体" w:cs="宋体"/>
                <w:szCs w:val="21"/>
              </w:rPr>
              <w:t>Y＜200</w:t>
            </w:r>
          </w:p>
        </w:tc>
      </w:tr>
      <w:tr w14:paraId="50392BA6">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74755E6B">
            <w:pPr>
              <w:widowControl/>
              <w:jc w:val="center"/>
              <w:rPr>
                <w:rFonts w:hint="eastAsia" w:ascii="宋体" w:hAnsi="宋体" w:cs="宋体"/>
                <w:szCs w:val="21"/>
              </w:rPr>
            </w:pPr>
            <w:r>
              <w:rPr>
                <w:rFonts w:hint="eastAsia" w:ascii="宋体" w:hAnsi="宋体" w:cs="宋体"/>
                <w:szCs w:val="21"/>
              </w:rPr>
              <w:t>仓储业</w:t>
            </w:r>
          </w:p>
        </w:tc>
        <w:tc>
          <w:tcPr>
            <w:tcW w:w="862" w:type="pct"/>
            <w:tcBorders>
              <w:top w:val="nil"/>
              <w:left w:val="nil"/>
              <w:bottom w:val="single" w:color="auto" w:sz="4" w:space="0"/>
              <w:right w:val="single" w:color="auto" w:sz="4" w:space="0"/>
            </w:tcBorders>
            <w:vAlign w:val="center"/>
          </w:tcPr>
          <w:p w14:paraId="55B42C73">
            <w:pPr>
              <w:widowControl/>
              <w:jc w:val="left"/>
              <w:rPr>
                <w:rFonts w:hint="eastAsia" w:ascii="宋体" w:hAnsi="宋体" w:cs="宋体"/>
                <w:szCs w:val="21"/>
              </w:rPr>
            </w:pPr>
            <w:r>
              <w:rPr>
                <w:rFonts w:hint="eastAsia" w:ascii="宋体" w:hAnsi="宋体" w:cs="宋体"/>
                <w:szCs w:val="21"/>
              </w:rPr>
              <w:t>从业人员（X）</w:t>
            </w:r>
          </w:p>
        </w:tc>
        <w:tc>
          <w:tcPr>
            <w:tcW w:w="573" w:type="pct"/>
            <w:tcBorders>
              <w:top w:val="nil"/>
              <w:left w:val="nil"/>
              <w:bottom w:val="single" w:color="auto" w:sz="4" w:space="0"/>
              <w:right w:val="single" w:color="auto" w:sz="4" w:space="0"/>
            </w:tcBorders>
            <w:vAlign w:val="center"/>
          </w:tcPr>
          <w:p w14:paraId="7C1A2219">
            <w:pPr>
              <w:widowControl/>
              <w:jc w:val="left"/>
              <w:rPr>
                <w:rFonts w:hint="eastAsia" w:ascii="宋体" w:hAnsi="宋体" w:cs="宋体"/>
                <w:szCs w:val="21"/>
              </w:rPr>
            </w:pPr>
            <w:r>
              <w:rPr>
                <w:rFonts w:hint="eastAsia" w:ascii="宋体" w:hAnsi="宋体" w:cs="宋体"/>
                <w:szCs w:val="21"/>
              </w:rPr>
              <w:t>人</w:t>
            </w:r>
          </w:p>
        </w:tc>
        <w:tc>
          <w:tcPr>
            <w:tcW w:w="935" w:type="pct"/>
            <w:tcBorders>
              <w:top w:val="nil"/>
              <w:left w:val="nil"/>
              <w:bottom w:val="single" w:color="auto" w:sz="4" w:space="0"/>
              <w:right w:val="single" w:color="auto" w:sz="4" w:space="0"/>
            </w:tcBorders>
            <w:vAlign w:val="center"/>
          </w:tcPr>
          <w:p w14:paraId="119B0F9F">
            <w:pPr>
              <w:widowControl/>
              <w:jc w:val="left"/>
              <w:rPr>
                <w:rFonts w:hint="eastAsia" w:ascii="宋体" w:hAnsi="宋体" w:cs="宋体"/>
                <w:szCs w:val="21"/>
              </w:rPr>
            </w:pPr>
            <w:r>
              <w:rPr>
                <w:rFonts w:hint="eastAsia" w:ascii="宋体" w:hAnsi="宋体" w:cs="宋体"/>
                <w:szCs w:val="21"/>
              </w:rPr>
              <w:t>100≤X＜200</w:t>
            </w:r>
          </w:p>
        </w:tc>
        <w:tc>
          <w:tcPr>
            <w:tcW w:w="998" w:type="pct"/>
            <w:tcBorders>
              <w:top w:val="nil"/>
              <w:left w:val="nil"/>
              <w:bottom w:val="single" w:color="auto" w:sz="4" w:space="0"/>
              <w:right w:val="single" w:color="auto" w:sz="4" w:space="0"/>
            </w:tcBorders>
            <w:vAlign w:val="center"/>
          </w:tcPr>
          <w:p w14:paraId="04B30807">
            <w:pPr>
              <w:widowControl/>
              <w:jc w:val="left"/>
              <w:rPr>
                <w:rFonts w:hint="eastAsia" w:ascii="宋体" w:hAnsi="宋体" w:cs="宋体"/>
                <w:szCs w:val="21"/>
              </w:rPr>
            </w:pPr>
            <w:r>
              <w:rPr>
                <w:rFonts w:hint="eastAsia" w:ascii="宋体" w:hAnsi="宋体" w:cs="宋体"/>
                <w:szCs w:val="21"/>
              </w:rPr>
              <w:t>20≤X＜100</w:t>
            </w:r>
          </w:p>
        </w:tc>
        <w:tc>
          <w:tcPr>
            <w:tcW w:w="643" w:type="pct"/>
            <w:tcBorders>
              <w:top w:val="nil"/>
              <w:left w:val="nil"/>
              <w:bottom w:val="single" w:color="auto" w:sz="4" w:space="0"/>
              <w:right w:val="single" w:color="auto" w:sz="4" w:space="0"/>
            </w:tcBorders>
            <w:vAlign w:val="center"/>
          </w:tcPr>
          <w:p w14:paraId="6347B009">
            <w:pPr>
              <w:widowControl/>
              <w:jc w:val="left"/>
              <w:rPr>
                <w:rFonts w:hint="eastAsia" w:ascii="宋体" w:hAnsi="宋体" w:cs="宋体"/>
                <w:szCs w:val="21"/>
              </w:rPr>
            </w:pPr>
            <w:r>
              <w:rPr>
                <w:rFonts w:hint="eastAsia" w:ascii="宋体" w:hAnsi="宋体" w:cs="宋体"/>
                <w:szCs w:val="21"/>
              </w:rPr>
              <w:t>X＜20</w:t>
            </w:r>
          </w:p>
        </w:tc>
      </w:tr>
      <w:tr w14:paraId="0770B3F1">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3C4C6C1A">
            <w:pPr>
              <w:widowControl/>
              <w:jc w:val="left"/>
              <w:rPr>
                <w:rFonts w:hint="eastAsia" w:ascii="宋体" w:hAnsi="宋体" w:cs="宋体"/>
                <w:szCs w:val="21"/>
              </w:rPr>
            </w:pPr>
          </w:p>
        </w:tc>
        <w:tc>
          <w:tcPr>
            <w:tcW w:w="862" w:type="pct"/>
            <w:tcBorders>
              <w:top w:val="nil"/>
              <w:left w:val="nil"/>
              <w:bottom w:val="single" w:color="auto" w:sz="4" w:space="0"/>
              <w:right w:val="single" w:color="auto" w:sz="4" w:space="0"/>
            </w:tcBorders>
            <w:vAlign w:val="center"/>
          </w:tcPr>
          <w:p w14:paraId="5ADBF164">
            <w:pPr>
              <w:widowControl/>
              <w:jc w:val="left"/>
              <w:rPr>
                <w:rFonts w:hint="eastAsia" w:ascii="宋体" w:hAnsi="宋体" w:cs="宋体"/>
                <w:szCs w:val="21"/>
              </w:rPr>
            </w:pPr>
            <w:r>
              <w:rPr>
                <w:rFonts w:hint="eastAsia" w:ascii="宋体" w:hAnsi="宋体" w:cs="宋体"/>
                <w:szCs w:val="21"/>
              </w:rPr>
              <w:t>营业收入（Y）</w:t>
            </w:r>
          </w:p>
        </w:tc>
        <w:tc>
          <w:tcPr>
            <w:tcW w:w="573" w:type="pct"/>
            <w:tcBorders>
              <w:top w:val="nil"/>
              <w:left w:val="nil"/>
              <w:bottom w:val="single" w:color="auto" w:sz="4" w:space="0"/>
              <w:right w:val="single" w:color="auto" w:sz="4" w:space="0"/>
            </w:tcBorders>
            <w:vAlign w:val="center"/>
          </w:tcPr>
          <w:p w14:paraId="42C88243">
            <w:pPr>
              <w:widowControl/>
              <w:jc w:val="left"/>
              <w:rPr>
                <w:rFonts w:hint="eastAsia" w:ascii="宋体" w:hAnsi="宋体" w:cs="宋体"/>
                <w:szCs w:val="21"/>
              </w:rPr>
            </w:pPr>
            <w:r>
              <w:rPr>
                <w:rFonts w:hint="eastAsia" w:ascii="宋体" w:hAnsi="宋体" w:cs="宋体"/>
                <w:szCs w:val="21"/>
              </w:rPr>
              <w:t>万元</w:t>
            </w:r>
          </w:p>
        </w:tc>
        <w:tc>
          <w:tcPr>
            <w:tcW w:w="935" w:type="pct"/>
            <w:tcBorders>
              <w:top w:val="nil"/>
              <w:left w:val="nil"/>
              <w:bottom w:val="single" w:color="auto" w:sz="4" w:space="0"/>
              <w:right w:val="single" w:color="auto" w:sz="4" w:space="0"/>
            </w:tcBorders>
            <w:vAlign w:val="center"/>
          </w:tcPr>
          <w:p w14:paraId="213A24A0">
            <w:pPr>
              <w:widowControl/>
              <w:jc w:val="left"/>
              <w:rPr>
                <w:rFonts w:hint="eastAsia" w:ascii="宋体" w:hAnsi="宋体" w:cs="宋体"/>
                <w:szCs w:val="21"/>
              </w:rPr>
            </w:pPr>
            <w:r>
              <w:rPr>
                <w:rFonts w:hint="eastAsia" w:ascii="宋体" w:hAnsi="宋体" w:cs="宋体"/>
                <w:szCs w:val="21"/>
              </w:rPr>
              <w:t>1000≤Y＜30000</w:t>
            </w:r>
          </w:p>
        </w:tc>
        <w:tc>
          <w:tcPr>
            <w:tcW w:w="998" w:type="pct"/>
            <w:tcBorders>
              <w:top w:val="nil"/>
              <w:left w:val="nil"/>
              <w:bottom w:val="single" w:color="auto" w:sz="4" w:space="0"/>
              <w:right w:val="single" w:color="auto" w:sz="4" w:space="0"/>
            </w:tcBorders>
            <w:vAlign w:val="center"/>
          </w:tcPr>
          <w:p w14:paraId="4E9BD143">
            <w:pPr>
              <w:widowControl/>
              <w:jc w:val="left"/>
              <w:rPr>
                <w:rFonts w:hint="eastAsia" w:ascii="宋体" w:hAnsi="宋体" w:cs="宋体"/>
                <w:szCs w:val="21"/>
              </w:rPr>
            </w:pPr>
            <w:r>
              <w:rPr>
                <w:rFonts w:hint="eastAsia" w:ascii="宋体" w:hAnsi="宋体" w:cs="宋体"/>
                <w:szCs w:val="21"/>
              </w:rPr>
              <w:t>100≤Y＜1000</w:t>
            </w:r>
          </w:p>
        </w:tc>
        <w:tc>
          <w:tcPr>
            <w:tcW w:w="643" w:type="pct"/>
            <w:tcBorders>
              <w:top w:val="nil"/>
              <w:left w:val="nil"/>
              <w:bottom w:val="single" w:color="auto" w:sz="4" w:space="0"/>
              <w:right w:val="single" w:color="auto" w:sz="4" w:space="0"/>
            </w:tcBorders>
            <w:vAlign w:val="center"/>
          </w:tcPr>
          <w:p w14:paraId="4AB7C796">
            <w:pPr>
              <w:widowControl/>
              <w:jc w:val="left"/>
              <w:rPr>
                <w:rFonts w:hint="eastAsia" w:ascii="宋体" w:hAnsi="宋体" w:cs="宋体"/>
                <w:szCs w:val="21"/>
              </w:rPr>
            </w:pPr>
            <w:r>
              <w:rPr>
                <w:rFonts w:hint="eastAsia" w:ascii="宋体" w:hAnsi="宋体" w:cs="宋体"/>
                <w:szCs w:val="21"/>
              </w:rPr>
              <w:t>Y＜100</w:t>
            </w:r>
          </w:p>
        </w:tc>
      </w:tr>
      <w:tr w14:paraId="20AF3C3C">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09B3CDFD">
            <w:pPr>
              <w:widowControl/>
              <w:jc w:val="center"/>
              <w:rPr>
                <w:rFonts w:hint="eastAsia" w:ascii="宋体" w:hAnsi="宋体" w:cs="宋体"/>
                <w:szCs w:val="21"/>
              </w:rPr>
            </w:pPr>
            <w:r>
              <w:rPr>
                <w:rFonts w:hint="eastAsia" w:ascii="宋体" w:hAnsi="宋体" w:cs="宋体"/>
                <w:szCs w:val="21"/>
              </w:rPr>
              <w:t>邮政业</w:t>
            </w:r>
          </w:p>
        </w:tc>
        <w:tc>
          <w:tcPr>
            <w:tcW w:w="862" w:type="pct"/>
            <w:tcBorders>
              <w:top w:val="nil"/>
              <w:left w:val="nil"/>
              <w:bottom w:val="single" w:color="auto" w:sz="4" w:space="0"/>
              <w:right w:val="single" w:color="auto" w:sz="4" w:space="0"/>
            </w:tcBorders>
            <w:vAlign w:val="center"/>
          </w:tcPr>
          <w:p w14:paraId="51F2278B">
            <w:pPr>
              <w:widowControl/>
              <w:jc w:val="left"/>
              <w:rPr>
                <w:rFonts w:hint="eastAsia" w:ascii="宋体" w:hAnsi="宋体" w:cs="宋体"/>
                <w:szCs w:val="21"/>
              </w:rPr>
            </w:pPr>
            <w:r>
              <w:rPr>
                <w:rFonts w:hint="eastAsia" w:ascii="宋体" w:hAnsi="宋体" w:cs="宋体"/>
                <w:szCs w:val="21"/>
              </w:rPr>
              <w:t>从业人员（X）</w:t>
            </w:r>
          </w:p>
        </w:tc>
        <w:tc>
          <w:tcPr>
            <w:tcW w:w="573" w:type="pct"/>
            <w:tcBorders>
              <w:top w:val="nil"/>
              <w:left w:val="nil"/>
              <w:bottom w:val="single" w:color="auto" w:sz="4" w:space="0"/>
              <w:right w:val="single" w:color="auto" w:sz="4" w:space="0"/>
            </w:tcBorders>
            <w:vAlign w:val="center"/>
          </w:tcPr>
          <w:p w14:paraId="51E3E805">
            <w:pPr>
              <w:widowControl/>
              <w:jc w:val="left"/>
              <w:rPr>
                <w:rFonts w:hint="eastAsia" w:ascii="宋体" w:hAnsi="宋体" w:cs="宋体"/>
                <w:szCs w:val="21"/>
              </w:rPr>
            </w:pPr>
            <w:r>
              <w:rPr>
                <w:rFonts w:hint="eastAsia" w:ascii="宋体" w:hAnsi="宋体" w:cs="宋体"/>
                <w:szCs w:val="21"/>
              </w:rPr>
              <w:t>人</w:t>
            </w:r>
          </w:p>
        </w:tc>
        <w:tc>
          <w:tcPr>
            <w:tcW w:w="935" w:type="pct"/>
            <w:tcBorders>
              <w:top w:val="nil"/>
              <w:left w:val="nil"/>
              <w:bottom w:val="single" w:color="auto" w:sz="4" w:space="0"/>
              <w:right w:val="single" w:color="auto" w:sz="4" w:space="0"/>
            </w:tcBorders>
            <w:vAlign w:val="center"/>
          </w:tcPr>
          <w:p w14:paraId="2F48F091">
            <w:pPr>
              <w:widowControl/>
              <w:jc w:val="left"/>
              <w:rPr>
                <w:rFonts w:hint="eastAsia" w:ascii="宋体" w:hAnsi="宋体" w:cs="宋体"/>
                <w:szCs w:val="21"/>
              </w:rPr>
            </w:pPr>
            <w:r>
              <w:rPr>
                <w:rFonts w:hint="eastAsia" w:ascii="宋体" w:hAnsi="宋体" w:cs="宋体"/>
                <w:szCs w:val="21"/>
              </w:rPr>
              <w:t>300≤X＜1000</w:t>
            </w:r>
          </w:p>
        </w:tc>
        <w:tc>
          <w:tcPr>
            <w:tcW w:w="998" w:type="pct"/>
            <w:tcBorders>
              <w:top w:val="nil"/>
              <w:left w:val="nil"/>
              <w:bottom w:val="single" w:color="auto" w:sz="4" w:space="0"/>
              <w:right w:val="single" w:color="auto" w:sz="4" w:space="0"/>
            </w:tcBorders>
            <w:vAlign w:val="center"/>
          </w:tcPr>
          <w:p w14:paraId="1C41C1F8">
            <w:pPr>
              <w:widowControl/>
              <w:jc w:val="left"/>
              <w:rPr>
                <w:rFonts w:hint="eastAsia" w:ascii="宋体" w:hAnsi="宋体" w:cs="宋体"/>
                <w:szCs w:val="21"/>
              </w:rPr>
            </w:pPr>
            <w:r>
              <w:rPr>
                <w:rFonts w:hint="eastAsia" w:ascii="宋体" w:hAnsi="宋体" w:cs="宋体"/>
                <w:szCs w:val="21"/>
              </w:rPr>
              <w:t>20≤X＜300</w:t>
            </w:r>
          </w:p>
        </w:tc>
        <w:tc>
          <w:tcPr>
            <w:tcW w:w="643" w:type="pct"/>
            <w:tcBorders>
              <w:top w:val="nil"/>
              <w:left w:val="nil"/>
              <w:bottom w:val="single" w:color="auto" w:sz="4" w:space="0"/>
              <w:right w:val="single" w:color="auto" w:sz="4" w:space="0"/>
            </w:tcBorders>
            <w:vAlign w:val="center"/>
          </w:tcPr>
          <w:p w14:paraId="21BB1206">
            <w:pPr>
              <w:widowControl/>
              <w:jc w:val="left"/>
              <w:rPr>
                <w:rFonts w:hint="eastAsia" w:ascii="宋体" w:hAnsi="宋体" w:cs="宋体"/>
                <w:szCs w:val="21"/>
              </w:rPr>
            </w:pPr>
            <w:r>
              <w:rPr>
                <w:rFonts w:hint="eastAsia" w:ascii="宋体" w:hAnsi="宋体" w:cs="宋体"/>
                <w:szCs w:val="21"/>
              </w:rPr>
              <w:t>X＜20</w:t>
            </w:r>
          </w:p>
        </w:tc>
      </w:tr>
      <w:tr w14:paraId="0651A88A">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7DA68B48">
            <w:pPr>
              <w:widowControl/>
              <w:jc w:val="left"/>
              <w:rPr>
                <w:rFonts w:hint="eastAsia" w:ascii="宋体" w:hAnsi="宋体" w:cs="宋体"/>
                <w:szCs w:val="21"/>
              </w:rPr>
            </w:pPr>
          </w:p>
        </w:tc>
        <w:tc>
          <w:tcPr>
            <w:tcW w:w="862" w:type="pct"/>
            <w:tcBorders>
              <w:top w:val="nil"/>
              <w:left w:val="nil"/>
              <w:bottom w:val="single" w:color="auto" w:sz="4" w:space="0"/>
              <w:right w:val="single" w:color="auto" w:sz="4" w:space="0"/>
            </w:tcBorders>
            <w:vAlign w:val="center"/>
          </w:tcPr>
          <w:p w14:paraId="793A3FEA">
            <w:pPr>
              <w:widowControl/>
              <w:jc w:val="left"/>
              <w:rPr>
                <w:rFonts w:hint="eastAsia" w:ascii="宋体" w:hAnsi="宋体" w:cs="宋体"/>
                <w:szCs w:val="21"/>
              </w:rPr>
            </w:pPr>
            <w:r>
              <w:rPr>
                <w:rFonts w:hint="eastAsia" w:ascii="宋体" w:hAnsi="宋体" w:cs="宋体"/>
                <w:szCs w:val="21"/>
              </w:rPr>
              <w:t>营业收入（Y）</w:t>
            </w:r>
          </w:p>
        </w:tc>
        <w:tc>
          <w:tcPr>
            <w:tcW w:w="573" w:type="pct"/>
            <w:tcBorders>
              <w:top w:val="nil"/>
              <w:left w:val="nil"/>
              <w:bottom w:val="single" w:color="auto" w:sz="4" w:space="0"/>
              <w:right w:val="single" w:color="auto" w:sz="4" w:space="0"/>
            </w:tcBorders>
            <w:vAlign w:val="center"/>
          </w:tcPr>
          <w:p w14:paraId="4AB2F077">
            <w:pPr>
              <w:widowControl/>
              <w:jc w:val="left"/>
              <w:rPr>
                <w:rFonts w:hint="eastAsia" w:ascii="宋体" w:hAnsi="宋体" w:cs="宋体"/>
                <w:szCs w:val="21"/>
              </w:rPr>
            </w:pPr>
            <w:r>
              <w:rPr>
                <w:rFonts w:hint="eastAsia" w:ascii="宋体" w:hAnsi="宋体" w:cs="宋体"/>
                <w:szCs w:val="21"/>
              </w:rPr>
              <w:t>万元</w:t>
            </w:r>
          </w:p>
        </w:tc>
        <w:tc>
          <w:tcPr>
            <w:tcW w:w="935" w:type="pct"/>
            <w:tcBorders>
              <w:top w:val="nil"/>
              <w:left w:val="nil"/>
              <w:bottom w:val="single" w:color="auto" w:sz="4" w:space="0"/>
              <w:right w:val="single" w:color="auto" w:sz="4" w:space="0"/>
            </w:tcBorders>
            <w:vAlign w:val="center"/>
          </w:tcPr>
          <w:p w14:paraId="4DBFD3D4">
            <w:pPr>
              <w:widowControl/>
              <w:jc w:val="left"/>
              <w:rPr>
                <w:rFonts w:hint="eastAsia" w:ascii="宋体" w:hAnsi="宋体" w:cs="宋体"/>
                <w:szCs w:val="21"/>
              </w:rPr>
            </w:pPr>
            <w:r>
              <w:rPr>
                <w:rFonts w:hint="eastAsia" w:ascii="宋体" w:hAnsi="宋体" w:cs="宋体"/>
                <w:szCs w:val="21"/>
              </w:rPr>
              <w:t>2000≤Y＜30000</w:t>
            </w:r>
          </w:p>
        </w:tc>
        <w:tc>
          <w:tcPr>
            <w:tcW w:w="998" w:type="pct"/>
            <w:tcBorders>
              <w:top w:val="nil"/>
              <w:left w:val="nil"/>
              <w:bottom w:val="single" w:color="auto" w:sz="4" w:space="0"/>
              <w:right w:val="single" w:color="auto" w:sz="4" w:space="0"/>
            </w:tcBorders>
            <w:vAlign w:val="center"/>
          </w:tcPr>
          <w:p w14:paraId="532E5A9C">
            <w:pPr>
              <w:widowControl/>
              <w:jc w:val="left"/>
              <w:rPr>
                <w:rFonts w:hint="eastAsia" w:ascii="宋体" w:hAnsi="宋体" w:cs="宋体"/>
                <w:szCs w:val="21"/>
              </w:rPr>
            </w:pPr>
            <w:r>
              <w:rPr>
                <w:rFonts w:hint="eastAsia" w:ascii="宋体" w:hAnsi="宋体" w:cs="宋体"/>
                <w:szCs w:val="21"/>
              </w:rPr>
              <w:t>100≤Y＜2000</w:t>
            </w:r>
          </w:p>
        </w:tc>
        <w:tc>
          <w:tcPr>
            <w:tcW w:w="643" w:type="pct"/>
            <w:tcBorders>
              <w:top w:val="nil"/>
              <w:left w:val="nil"/>
              <w:bottom w:val="single" w:color="auto" w:sz="4" w:space="0"/>
              <w:right w:val="single" w:color="auto" w:sz="4" w:space="0"/>
            </w:tcBorders>
            <w:vAlign w:val="center"/>
          </w:tcPr>
          <w:p w14:paraId="3456F069">
            <w:pPr>
              <w:widowControl/>
              <w:jc w:val="left"/>
              <w:rPr>
                <w:rFonts w:hint="eastAsia" w:ascii="宋体" w:hAnsi="宋体" w:cs="宋体"/>
                <w:szCs w:val="21"/>
              </w:rPr>
            </w:pPr>
            <w:r>
              <w:rPr>
                <w:rFonts w:hint="eastAsia" w:ascii="宋体" w:hAnsi="宋体" w:cs="宋体"/>
                <w:szCs w:val="21"/>
              </w:rPr>
              <w:t>Y＜100</w:t>
            </w:r>
          </w:p>
        </w:tc>
      </w:tr>
      <w:tr w14:paraId="39ADB84C">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05BB790C">
            <w:pPr>
              <w:widowControl/>
              <w:jc w:val="center"/>
              <w:rPr>
                <w:rFonts w:hint="eastAsia" w:ascii="宋体" w:hAnsi="宋体" w:cs="宋体"/>
                <w:szCs w:val="21"/>
              </w:rPr>
            </w:pPr>
            <w:r>
              <w:rPr>
                <w:rFonts w:hint="eastAsia" w:ascii="宋体" w:hAnsi="宋体" w:cs="宋体"/>
                <w:szCs w:val="21"/>
              </w:rPr>
              <w:t>住宿业</w:t>
            </w:r>
          </w:p>
        </w:tc>
        <w:tc>
          <w:tcPr>
            <w:tcW w:w="862" w:type="pct"/>
            <w:tcBorders>
              <w:top w:val="nil"/>
              <w:left w:val="nil"/>
              <w:bottom w:val="single" w:color="auto" w:sz="4" w:space="0"/>
              <w:right w:val="single" w:color="auto" w:sz="4" w:space="0"/>
            </w:tcBorders>
            <w:vAlign w:val="center"/>
          </w:tcPr>
          <w:p w14:paraId="041F7CB5">
            <w:pPr>
              <w:widowControl/>
              <w:jc w:val="left"/>
              <w:rPr>
                <w:rFonts w:hint="eastAsia" w:ascii="宋体" w:hAnsi="宋体" w:cs="宋体"/>
                <w:szCs w:val="21"/>
              </w:rPr>
            </w:pPr>
            <w:r>
              <w:rPr>
                <w:rFonts w:hint="eastAsia" w:ascii="宋体" w:hAnsi="宋体" w:cs="宋体"/>
                <w:szCs w:val="21"/>
              </w:rPr>
              <w:t>从业人员（X）</w:t>
            </w:r>
          </w:p>
        </w:tc>
        <w:tc>
          <w:tcPr>
            <w:tcW w:w="573" w:type="pct"/>
            <w:tcBorders>
              <w:top w:val="nil"/>
              <w:left w:val="nil"/>
              <w:bottom w:val="single" w:color="auto" w:sz="4" w:space="0"/>
              <w:right w:val="single" w:color="auto" w:sz="4" w:space="0"/>
            </w:tcBorders>
            <w:vAlign w:val="center"/>
          </w:tcPr>
          <w:p w14:paraId="46FFD9D6">
            <w:pPr>
              <w:widowControl/>
              <w:jc w:val="left"/>
              <w:rPr>
                <w:rFonts w:hint="eastAsia" w:ascii="宋体" w:hAnsi="宋体" w:cs="宋体"/>
                <w:szCs w:val="21"/>
              </w:rPr>
            </w:pPr>
            <w:r>
              <w:rPr>
                <w:rFonts w:hint="eastAsia" w:ascii="宋体" w:hAnsi="宋体" w:cs="宋体"/>
                <w:szCs w:val="21"/>
              </w:rPr>
              <w:t>人</w:t>
            </w:r>
          </w:p>
        </w:tc>
        <w:tc>
          <w:tcPr>
            <w:tcW w:w="935" w:type="pct"/>
            <w:tcBorders>
              <w:top w:val="nil"/>
              <w:left w:val="nil"/>
              <w:bottom w:val="single" w:color="auto" w:sz="4" w:space="0"/>
              <w:right w:val="single" w:color="auto" w:sz="4" w:space="0"/>
            </w:tcBorders>
            <w:vAlign w:val="center"/>
          </w:tcPr>
          <w:p w14:paraId="6054B56A">
            <w:pPr>
              <w:widowControl/>
              <w:jc w:val="left"/>
              <w:rPr>
                <w:rFonts w:hint="eastAsia" w:ascii="宋体" w:hAnsi="宋体" w:cs="宋体"/>
                <w:szCs w:val="21"/>
              </w:rPr>
            </w:pPr>
            <w:r>
              <w:rPr>
                <w:rFonts w:hint="eastAsia" w:ascii="宋体" w:hAnsi="宋体" w:cs="宋体"/>
                <w:szCs w:val="21"/>
              </w:rPr>
              <w:t>100≤X＜300</w:t>
            </w:r>
          </w:p>
        </w:tc>
        <w:tc>
          <w:tcPr>
            <w:tcW w:w="998" w:type="pct"/>
            <w:tcBorders>
              <w:top w:val="nil"/>
              <w:left w:val="nil"/>
              <w:bottom w:val="single" w:color="auto" w:sz="4" w:space="0"/>
              <w:right w:val="single" w:color="auto" w:sz="4" w:space="0"/>
            </w:tcBorders>
            <w:vAlign w:val="center"/>
          </w:tcPr>
          <w:p w14:paraId="2CC09912">
            <w:pPr>
              <w:widowControl/>
              <w:jc w:val="left"/>
              <w:rPr>
                <w:rFonts w:hint="eastAsia" w:ascii="宋体" w:hAnsi="宋体" w:cs="宋体"/>
                <w:szCs w:val="21"/>
              </w:rPr>
            </w:pPr>
            <w:r>
              <w:rPr>
                <w:rFonts w:hint="eastAsia" w:ascii="宋体" w:hAnsi="宋体" w:cs="宋体"/>
                <w:szCs w:val="21"/>
              </w:rPr>
              <w:t>10≤X＜100</w:t>
            </w:r>
          </w:p>
        </w:tc>
        <w:tc>
          <w:tcPr>
            <w:tcW w:w="643" w:type="pct"/>
            <w:tcBorders>
              <w:top w:val="nil"/>
              <w:left w:val="nil"/>
              <w:bottom w:val="single" w:color="auto" w:sz="4" w:space="0"/>
              <w:right w:val="single" w:color="auto" w:sz="4" w:space="0"/>
            </w:tcBorders>
            <w:vAlign w:val="center"/>
          </w:tcPr>
          <w:p w14:paraId="73BD2127">
            <w:pPr>
              <w:widowControl/>
              <w:jc w:val="left"/>
              <w:rPr>
                <w:rFonts w:hint="eastAsia" w:ascii="宋体" w:hAnsi="宋体" w:cs="宋体"/>
                <w:szCs w:val="21"/>
              </w:rPr>
            </w:pPr>
            <w:r>
              <w:rPr>
                <w:rFonts w:hint="eastAsia" w:ascii="宋体" w:hAnsi="宋体" w:cs="宋体"/>
                <w:szCs w:val="21"/>
              </w:rPr>
              <w:t>X＜10</w:t>
            </w:r>
          </w:p>
        </w:tc>
      </w:tr>
      <w:tr w14:paraId="57DDA930">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58842170">
            <w:pPr>
              <w:widowControl/>
              <w:jc w:val="left"/>
              <w:rPr>
                <w:rFonts w:hint="eastAsia" w:ascii="宋体" w:hAnsi="宋体" w:cs="宋体"/>
                <w:szCs w:val="21"/>
              </w:rPr>
            </w:pPr>
          </w:p>
        </w:tc>
        <w:tc>
          <w:tcPr>
            <w:tcW w:w="862" w:type="pct"/>
            <w:tcBorders>
              <w:top w:val="nil"/>
              <w:left w:val="nil"/>
              <w:bottom w:val="single" w:color="auto" w:sz="4" w:space="0"/>
              <w:right w:val="single" w:color="auto" w:sz="4" w:space="0"/>
            </w:tcBorders>
            <w:vAlign w:val="center"/>
          </w:tcPr>
          <w:p w14:paraId="600399C1">
            <w:pPr>
              <w:widowControl/>
              <w:jc w:val="left"/>
              <w:rPr>
                <w:rFonts w:hint="eastAsia" w:ascii="宋体" w:hAnsi="宋体" w:cs="宋体"/>
                <w:szCs w:val="21"/>
              </w:rPr>
            </w:pPr>
            <w:r>
              <w:rPr>
                <w:rFonts w:hint="eastAsia" w:ascii="宋体" w:hAnsi="宋体" w:cs="宋体"/>
                <w:szCs w:val="21"/>
              </w:rPr>
              <w:t>营业收入（Y）</w:t>
            </w:r>
          </w:p>
        </w:tc>
        <w:tc>
          <w:tcPr>
            <w:tcW w:w="573" w:type="pct"/>
            <w:tcBorders>
              <w:top w:val="nil"/>
              <w:left w:val="nil"/>
              <w:bottom w:val="single" w:color="auto" w:sz="4" w:space="0"/>
              <w:right w:val="single" w:color="auto" w:sz="4" w:space="0"/>
            </w:tcBorders>
            <w:vAlign w:val="center"/>
          </w:tcPr>
          <w:p w14:paraId="052E79AD">
            <w:pPr>
              <w:widowControl/>
              <w:jc w:val="left"/>
              <w:rPr>
                <w:rFonts w:hint="eastAsia" w:ascii="宋体" w:hAnsi="宋体" w:cs="宋体"/>
                <w:szCs w:val="21"/>
              </w:rPr>
            </w:pPr>
            <w:r>
              <w:rPr>
                <w:rFonts w:hint="eastAsia" w:ascii="宋体" w:hAnsi="宋体" w:cs="宋体"/>
                <w:szCs w:val="21"/>
              </w:rPr>
              <w:t>万元</w:t>
            </w:r>
          </w:p>
        </w:tc>
        <w:tc>
          <w:tcPr>
            <w:tcW w:w="935" w:type="pct"/>
            <w:tcBorders>
              <w:top w:val="nil"/>
              <w:left w:val="nil"/>
              <w:bottom w:val="single" w:color="auto" w:sz="4" w:space="0"/>
              <w:right w:val="single" w:color="auto" w:sz="4" w:space="0"/>
            </w:tcBorders>
            <w:vAlign w:val="center"/>
          </w:tcPr>
          <w:p w14:paraId="62FE9F49">
            <w:pPr>
              <w:widowControl/>
              <w:jc w:val="left"/>
              <w:rPr>
                <w:rFonts w:hint="eastAsia" w:ascii="宋体" w:hAnsi="宋体" w:cs="宋体"/>
                <w:szCs w:val="21"/>
              </w:rPr>
            </w:pPr>
            <w:r>
              <w:rPr>
                <w:rFonts w:hint="eastAsia" w:ascii="宋体" w:hAnsi="宋体" w:cs="宋体"/>
                <w:szCs w:val="21"/>
              </w:rPr>
              <w:t>2000≤Y＜10000</w:t>
            </w:r>
          </w:p>
        </w:tc>
        <w:tc>
          <w:tcPr>
            <w:tcW w:w="998" w:type="pct"/>
            <w:tcBorders>
              <w:top w:val="nil"/>
              <w:left w:val="nil"/>
              <w:bottom w:val="single" w:color="auto" w:sz="4" w:space="0"/>
              <w:right w:val="single" w:color="auto" w:sz="4" w:space="0"/>
            </w:tcBorders>
            <w:vAlign w:val="center"/>
          </w:tcPr>
          <w:p w14:paraId="5D31B19F">
            <w:pPr>
              <w:widowControl/>
              <w:jc w:val="left"/>
              <w:rPr>
                <w:rFonts w:hint="eastAsia" w:ascii="宋体" w:hAnsi="宋体" w:cs="宋体"/>
                <w:szCs w:val="21"/>
              </w:rPr>
            </w:pPr>
            <w:r>
              <w:rPr>
                <w:rFonts w:hint="eastAsia" w:ascii="宋体" w:hAnsi="宋体" w:cs="宋体"/>
                <w:szCs w:val="21"/>
              </w:rPr>
              <w:t>100≤Y＜2000</w:t>
            </w:r>
          </w:p>
        </w:tc>
        <w:tc>
          <w:tcPr>
            <w:tcW w:w="643" w:type="pct"/>
            <w:tcBorders>
              <w:top w:val="nil"/>
              <w:left w:val="nil"/>
              <w:bottom w:val="single" w:color="auto" w:sz="4" w:space="0"/>
              <w:right w:val="single" w:color="auto" w:sz="4" w:space="0"/>
            </w:tcBorders>
            <w:vAlign w:val="center"/>
          </w:tcPr>
          <w:p w14:paraId="56781580">
            <w:pPr>
              <w:widowControl/>
              <w:jc w:val="left"/>
              <w:rPr>
                <w:rFonts w:hint="eastAsia" w:ascii="宋体" w:hAnsi="宋体" w:cs="宋体"/>
                <w:szCs w:val="21"/>
              </w:rPr>
            </w:pPr>
            <w:r>
              <w:rPr>
                <w:rFonts w:hint="eastAsia" w:ascii="宋体" w:hAnsi="宋体" w:cs="宋体"/>
                <w:szCs w:val="21"/>
              </w:rPr>
              <w:t>Y＜100</w:t>
            </w:r>
          </w:p>
        </w:tc>
      </w:tr>
      <w:tr w14:paraId="016547F1">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6DB08089">
            <w:pPr>
              <w:widowControl/>
              <w:jc w:val="center"/>
              <w:rPr>
                <w:rFonts w:hint="eastAsia" w:ascii="宋体" w:hAnsi="宋体" w:cs="宋体"/>
                <w:szCs w:val="21"/>
              </w:rPr>
            </w:pPr>
            <w:r>
              <w:rPr>
                <w:rFonts w:hint="eastAsia" w:ascii="宋体" w:hAnsi="宋体" w:cs="宋体"/>
                <w:szCs w:val="21"/>
              </w:rPr>
              <w:t>餐饮业</w:t>
            </w:r>
          </w:p>
        </w:tc>
        <w:tc>
          <w:tcPr>
            <w:tcW w:w="862" w:type="pct"/>
            <w:tcBorders>
              <w:top w:val="nil"/>
              <w:left w:val="nil"/>
              <w:bottom w:val="single" w:color="auto" w:sz="4" w:space="0"/>
              <w:right w:val="single" w:color="auto" w:sz="4" w:space="0"/>
            </w:tcBorders>
            <w:vAlign w:val="center"/>
          </w:tcPr>
          <w:p w14:paraId="273FE967">
            <w:pPr>
              <w:widowControl/>
              <w:jc w:val="left"/>
              <w:rPr>
                <w:rFonts w:hint="eastAsia" w:ascii="宋体" w:hAnsi="宋体" w:cs="宋体"/>
                <w:szCs w:val="21"/>
              </w:rPr>
            </w:pPr>
            <w:r>
              <w:rPr>
                <w:rFonts w:hint="eastAsia" w:ascii="宋体" w:hAnsi="宋体" w:cs="宋体"/>
                <w:szCs w:val="21"/>
              </w:rPr>
              <w:t>从业人员（X）</w:t>
            </w:r>
          </w:p>
        </w:tc>
        <w:tc>
          <w:tcPr>
            <w:tcW w:w="573" w:type="pct"/>
            <w:tcBorders>
              <w:top w:val="nil"/>
              <w:left w:val="nil"/>
              <w:bottom w:val="single" w:color="auto" w:sz="4" w:space="0"/>
              <w:right w:val="single" w:color="auto" w:sz="4" w:space="0"/>
            </w:tcBorders>
            <w:vAlign w:val="center"/>
          </w:tcPr>
          <w:p w14:paraId="59E9E1F8">
            <w:pPr>
              <w:widowControl/>
              <w:jc w:val="left"/>
              <w:rPr>
                <w:rFonts w:hint="eastAsia" w:ascii="宋体" w:hAnsi="宋体" w:cs="宋体"/>
                <w:szCs w:val="21"/>
              </w:rPr>
            </w:pPr>
            <w:r>
              <w:rPr>
                <w:rFonts w:hint="eastAsia" w:ascii="宋体" w:hAnsi="宋体" w:cs="宋体"/>
                <w:szCs w:val="21"/>
              </w:rPr>
              <w:t>人</w:t>
            </w:r>
          </w:p>
        </w:tc>
        <w:tc>
          <w:tcPr>
            <w:tcW w:w="935" w:type="pct"/>
            <w:tcBorders>
              <w:top w:val="nil"/>
              <w:left w:val="nil"/>
              <w:bottom w:val="single" w:color="auto" w:sz="4" w:space="0"/>
              <w:right w:val="single" w:color="auto" w:sz="4" w:space="0"/>
            </w:tcBorders>
            <w:vAlign w:val="center"/>
          </w:tcPr>
          <w:p w14:paraId="7C8EC0DB">
            <w:pPr>
              <w:widowControl/>
              <w:jc w:val="left"/>
              <w:rPr>
                <w:rFonts w:hint="eastAsia" w:ascii="宋体" w:hAnsi="宋体" w:cs="宋体"/>
                <w:szCs w:val="21"/>
              </w:rPr>
            </w:pPr>
            <w:r>
              <w:rPr>
                <w:rFonts w:hint="eastAsia" w:ascii="宋体" w:hAnsi="宋体" w:cs="宋体"/>
                <w:szCs w:val="21"/>
              </w:rPr>
              <w:t>100≤X＜300</w:t>
            </w:r>
          </w:p>
        </w:tc>
        <w:tc>
          <w:tcPr>
            <w:tcW w:w="998" w:type="pct"/>
            <w:tcBorders>
              <w:top w:val="nil"/>
              <w:left w:val="nil"/>
              <w:bottom w:val="single" w:color="auto" w:sz="4" w:space="0"/>
              <w:right w:val="single" w:color="auto" w:sz="4" w:space="0"/>
            </w:tcBorders>
            <w:vAlign w:val="center"/>
          </w:tcPr>
          <w:p w14:paraId="0B8982A1">
            <w:pPr>
              <w:widowControl/>
              <w:jc w:val="left"/>
              <w:rPr>
                <w:rFonts w:hint="eastAsia" w:ascii="宋体" w:hAnsi="宋体" w:cs="宋体"/>
                <w:szCs w:val="21"/>
              </w:rPr>
            </w:pPr>
            <w:r>
              <w:rPr>
                <w:rFonts w:hint="eastAsia" w:ascii="宋体" w:hAnsi="宋体" w:cs="宋体"/>
                <w:szCs w:val="21"/>
              </w:rPr>
              <w:t>10≤X＜100</w:t>
            </w:r>
          </w:p>
        </w:tc>
        <w:tc>
          <w:tcPr>
            <w:tcW w:w="643" w:type="pct"/>
            <w:tcBorders>
              <w:top w:val="nil"/>
              <w:left w:val="nil"/>
              <w:bottom w:val="single" w:color="auto" w:sz="4" w:space="0"/>
              <w:right w:val="single" w:color="auto" w:sz="4" w:space="0"/>
            </w:tcBorders>
            <w:vAlign w:val="center"/>
          </w:tcPr>
          <w:p w14:paraId="356511B6">
            <w:pPr>
              <w:widowControl/>
              <w:jc w:val="left"/>
              <w:rPr>
                <w:rFonts w:hint="eastAsia" w:ascii="宋体" w:hAnsi="宋体" w:cs="宋体"/>
                <w:szCs w:val="21"/>
              </w:rPr>
            </w:pPr>
            <w:r>
              <w:rPr>
                <w:rFonts w:hint="eastAsia" w:ascii="宋体" w:hAnsi="宋体" w:cs="宋体"/>
                <w:szCs w:val="21"/>
              </w:rPr>
              <w:t>X＜10</w:t>
            </w:r>
          </w:p>
        </w:tc>
      </w:tr>
      <w:tr w14:paraId="45D769BB">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25858D58">
            <w:pPr>
              <w:widowControl/>
              <w:jc w:val="left"/>
              <w:rPr>
                <w:rFonts w:hint="eastAsia" w:ascii="宋体" w:hAnsi="宋体" w:cs="宋体"/>
                <w:szCs w:val="21"/>
              </w:rPr>
            </w:pPr>
          </w:p>
        </w:tc>
        <w:tc>
          <w:tcPr>
            <w:tcW w:w="862" w:type="pct"/>
            <w:tcBorders>
              <w:top w:val="nil"/>
              <w:left w:val="nil"/>
              <w:bottom w:val="single" w:color="auto" w:sz="4" w:space="0"/>
              <w:right w:val="single" w:color="auto" w:sz="4" w:space="0"/>
            </w:tcBorders>
            <w:vAlign w:val="center"/>
          </w:tcPr>
          <w:p w14:paraId="0F8C2391">
            <w:pPr>
              <w:widowControl/>
              <w:jc w:val="left"/>
              <w:rPr>
                <w:rFonts w:hint="eastAsia" w:ascii="宋体" w:hAnsi="宋体" w:cs="宋体"/>
                <w:szCs w:val="21"/>
              </w:rPr>
            </w:pPr>
            <w:r>
              <w:rPr>
                <w:rFonts w:hint="eastAsia" w:ascii="宋体" w:hAnsi="宋体" w:cs="宋体"/>
                <w:szCs w:val="21"/>
              </w:rPr>
              <w:t>营业收入（Y）</w:t>
            </w:r>
          </w:p>
        </w:tc>
        <w:tc>
          <w:tcPr>
            <w:tcW w:w="573" w:type="pct"/>
            <w:tcBorders>
              <w:top w:val="nil"/>
              <w:left w:val="nil"/>
              <w:bottom w:val="single" w:color="auto" w:sz="4" w:space="0"/>
              <w:right w:val="single" w:color="auto" w:sz="4" w:space="0"/>
            </w:tcBorders>
            <w:vAlign w:val="center"/>
          </w:tcPr>
          <w:p w14:paraId="0E3D324E">
            <w:pPr>
              <w:widowControl/>
              <w:jc w:val="left"/>
              <w:rPr>
                <w:rFonts w:hint="eastAsia" w:ascii="宋体" w:hAnsi="宋体" w:cs="宋体"/>
                <w:szCs w:val="21"/>
              </w:rPr>
            </w:pPr>
            <w:r>
              <w:rPr>
                <w:rFonts w:hint="eastAsia" w:ascii="宋体" w:hAnsi="宋体" w:cs="宋体"/>
                <w:szCs w:val="21"/>
              </w:rPr>
              <w:t>万元</w:t>
            </w:r>
          </w:p>
        </w:tc>
        <w:tc>
          <w:tcPr>
            <w:tcW w:w="935" w:type="pct"/>
            <w:tcBorders>
              <w:top w:val="nil"/>
              <w:left w:val="nil"/>
              <w:bottom w:val="single" w:color="auto" w:sz="4" w:space="0"/>
              <w:right w:val="single" w:color="auto" w:sz="4" w:space="0"/>
            </w:tcBorders>
            <w:vAlign w:val="center"/>
          </w:tcPr>
          <w:p w14:paraId="5CBF9424">
            <w:pPr>
              <w:widowControl/>
              <w:jc w:val="left"/>
              <w:rPr>
                <w:rFonts w:hint="eastAsia" w:ascii="宋体" w:hAnsi="宋体" w:cs="宋体"/>
                <w:szCs w:val="21"/>
              </w:rPr>
            </w:pPr>
            <w:r>
              <w:rPr>
                <w:rFonts w:hint="eastAsia" w:ascii="宋体" w:hAnsi="宋体" w:cs="宋体"/>
                <w:szCs w:val="21"/>
              </w:rPr>
              <w:t>2000≤Y＜10000</w:t>
            </w:r>
          </w:p>
        </w:tc>
        <w:tc>
          <w:tcPr>
            <w:tcW w:w="998" w:type="pct"/>
            <w:tcBorders>
              <w:top w:val="nil"/>
              <w:left w:val="nil"/>
              <w:bottom w:val="single" w:color="auto" w:sz="4" w:space="0"/>
              <w:right w:val="single" w:color="auto" w:sz="4" w:space="0"/>
            </w:tcBorders>
            <w:vAlign w:val="center"/>
          </w:tcPr>
          <w:p w14:paraId="3CA31B4F">
            <w:pPr>
              <w:widowControl/>
              <w:jc w:val="left"/>
              <w:rPr>
                <w:rFonts w:hint="eastAsia" w:ascii="宋体" w:hAnsi="宋体" w:cs="宋体"/>
                <w:szCs w:val="21"/>
              </w:rPr>
            </w:pPr>
            <w:r>
              <w:rPr>
                <w:rFonts w:hint="eastAsia" w:ascii="宋体" w:hAnsi="宋体" w:cs="宋体"/>
                <w:szCs w:val="21"/>
              </w:rPr>
              <w:t>100≤Y＜2000</w:t>
            </w:r>
          </w:p>
        </w:tc>
        <w:tc>
          <w:tcPr>
            <w:tcW w:w="643" w:type="pct"/>
            <w:tcBorders>
              <w:top w:val="nil"/>
              <w:left w:val="nil"/>
              <w:bottom w:val="single" w:color="auto" w:sz="4" w:space="0"/>
              <w:right w:val="single" w:color="auto" w:sz="4" w:space="0"/>
            </w:tcBorders>
            <w:vAlign w:val="center"/>
          </w:tcPr>
          <w:p w14:paraId="585B68FC">
            <w:pPr>
              <w:widowControl/>
              <w:jc w:val="left"/>
              <w:rPr>
                <w:rFonts w:hint="eastAsia" w:ascii="宋体" w:hAnsi="宋体" w:cs="宋体"/>
                <w:szCs w:val="21"/>
              </w:rPr>
            </w:pPr>
            <w:r>
              <w:rPr>
                <w:rFonts w:hint="eastAsia" w:ascii="宋体" w:hAnsi="宋体" w:cs="宋体"/>
                <w:szCs w:val="21"/>
              </w:rPr>
              <w:t>Y＜100</w:t>
            </w:r>
          </w:p>
        </w:tc>
      </w:tr>
      <w:tr w14:paraId="7E22C416">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74001122">
            <w:pPr>
              <w:widowControl/>
              <w:jc w:val="center"/>
              <w:rPr>
                <w:rFonts w:hint="eastAsia" w:ascii="宋体" w:hAnsi="宋体" w:cs="宋体"/>
                <w:szCs w:val="21"/>
              </w:rPr>
            </w:pPr>
            <w:r>
              <w:rPr>
                <w:rFonts w:hint="eastAsia" w:ascii="宋体" w:hAnsi="宋体" w:cs="宋体"/>
                <w:szCs w:val="21"/>
              </w:rPr>
              <w:t>信息传输业</w:t>
            </w:r>
          </w:p>
        </w:tc>
        <w:tc>
          <w:tcPr>
            <w:tcW w:w="862" w:type="pct"/>
            <w:tcBorders>
              <w:top w:val="nil"/>
              <w:left w:val="nil"/>
              <w:bottom w:val="single" w:color="auto" w:sz="4" w:space="0"/>
              <w:right w:val="single" w:color="auto" w:sz="4" w:space="0"/>
            </w:tcBorders>
            <w:vAlign w:val="center"/>
          </w:tcPr>
          <w:p w14:paraId="419E3C43">
            <w:pPr>
              <w:widowControl/>
              <w:jc w:val="left"/>
              <w:rPr>
                <w:rFonts w:hint="eastAsia" w:ascii="宋体" w:hAnsi="宋体" w:cs="宋体"/>
                <w:szCs w:val="21"/>
              </w:rPr>
            </w:pPr>
            <w:r>
              <w:rPr>
                <w:rFonts w:hint="eastAsia" w:ascii="宋体" w:hAnsi="宋体" w:cs="宋体"/>
                <w:szCs w:val="21"/>
              </w:rPr>
              <w:t>从业人员（X）</w:t>
            </w:r>
          </w:p>
        </w:tc>
        <w:tc>
          <w:tcPr>
            <w:tcW w:w="573" w:type="pct"/>
            <w:tcBorders>
              <w:top w:val="nil"/>
              <w:left w:val="nil"/>
              <w:bottom w:val="single" w:color="auto" w:sz="4" w:space="0"/>
              <w:right w:val="single" w:color="auto" w:sz="4" w:space="0"/>
            </w:tcBorders>
            <w:vAlign w:val="center"/>
          </w:tcPr>
          <w:p w14:paraId="6E7ABA5E">
            <w:pPr>
              <w:widowControl/>
              <w:jc w:val="left"/>
              <w:rPr>
                <w:rFonts w:hint="eastAsia" w:ascii="宋体" w:hAnsi="宋体" w:cs="宋体"/>
                <w:szCs w:val="21"/>
              </w:rPr>
            </w:pPr>
            <w:r>
              <w:rPr>
                <w:rFonts w:hint="eastAsia" w:ascii="宋体" w:hAnsi="宋体" w:cs="宋体"/>
                <w:szCs w:val="21"/>
              </w:rPr>
              <w:t>人</w:t>
            </w:r>
          </w:p>
        </w:tc>
        <w:tc>
          <w:tcPr>
            <w:tcW w:w="935" w:type="pct"/>
            <w:tcBorders>
              <w:top w:val="nil"/>
              <w:left w:val="nil"/>
              <w:bottom w:val="single" w:color="auto" w:sz="4" w:space="0"/>
              <w:right w:val="single" w:color="auto" w:sz="4" w:space="0"/>
            </w:tcBorders>
            <w:vAlign w:val="center"/>
          </w:tcPr>
          <w:p w14:paraId="754C94CB">
            <w:pPr>
              <w:widowControl/>
              <w:jc w:val="left"/>
              <w:rPr>
                <w:rFonts w:hint="eastAsia" w:ascii="宋体" w:hAnsi="宋体" w:cs="宋体"/>
                <w:szCs w:val="21"/>
              </w:rPr>
            </w:pPr>
            <w:r>
              <w:rPr>
                <w:rFonts w:hint="eastAsia" w:ascii="宋体" w:hAnsi="宋体" w:cs="宋体"/>
                <w:szCs w:val="21"/>
              </w:rPr>
              <w:t>100≤X＜2000</w:t>
            </w:r>
          </w:p>
        </w:tc>
        <w:tc>
          <w:tcPr>
            <w:tcW w:w="998" w:type="pct"/>
            <w:tcBorders>
              <w:top w:val="nil"/>
              <w:left w:val="nil"/>
              <w:bottom w:val="single" w:color="auto" w:sz="4" w:space="0"/>
              <w:right w:val="single" w:color="auto" w:sz="4" w:space="0"/>
            </w:tcBorders>
            <w:vAlign w:val="center"/>
          </w:tcPr>
          <w:p w14:paraId="15F51846">
            <w:pPr>
              <w:widowControl/>
              <w:jc w:val="left"/>
              <w:rPr>
                <w:rFonts w:hint="eastAsia" w:ascii="宋体" w:hAnsi="宋体" w:cs="宋体"/>
                <w:szCs w:val="21"/>
              </w:rPr>
            </w:pPr>
            <w:r>
              <w:rPr>
                <w:rFonts w:hint="eastAsia" w:ascii="宋体" w:hAnsi="宋体" w:cs="宋体"/>
                <w:szCs w:val="21"/>
              </w:rPr>
              <w:t>10≤X＜100</w:t>
            </w:r>
          </w:p>
        </w:tc>
        <w:tc>
          <w:tcPr>
            <w:tcW w:w="643" w:type="pct"/>
            <w:tcBorders>
              <w:top w:val="nil"/>
              <w:left w:val="nil"/>
              <w:bottom w:val="single" w:color="auto" w:sz="4" w:space="0"/>
              <w:right w:val="single" w:color="auto" w:sz="4" w:space="0"/>
            </w:tcBorders>
            <w:vAlign w:val="center"/>
          </w:tcPr>
          <w:p w14:paraId="76B0F7E3">
            <w:pPr>
              <w:widowControl/>
              <w:jc w:val="left"/>
              <w:rPr>
                <w:rFonts w:hint="eastAsia" w:ascii="宋体" w:hAnsi="宋体" w:cs="宋体"/>
                <w:szCs w:val="21"/>
              </w:rPr>
            </w:pPr>
            <w:r>
              <w:rPr>
                <w:rFonts w:hint="eastAsia" w:ascii="宋体" w:hAnsi="宋体" w:cs="宋体"/>
                <w:szCs w:val="21"/>
              </w:rPr>
              <w:t>X＜10</w:t>
            </w:r>
          </w:p>
        </w:tc>
      </w:tr>
      <w:tr w14:paraId="2F9C491D">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16C96D51">
            <w:pPr>
              <w:widowControl/>
              <w:jc w:val="left"/>
              <w:rPr>
                <w:rFonts w:hint="eastAsia" w:ascii="宋体" w:hAnsi="宋体" w:cs="宋体"/>
                <w:szCs w:val="21"/>
              </w:rPr>
            </w:pPr>
          </w:p>
        </w:tc>
        <w:tc>
          <w:tcPr>
            <w:tcW w:w="862" w:type="pct"/>
            <w:tcBorders>
              <w:top w:val="nil"/>
              <w:left w:val="nil"/>
              <w:bottom w:val="single" w:color="auto" w:sz="4" w:space="0"/>
              <w:right w:val="single" w:color="auto" w:sz="4" w:space="0"/>
            </w:tcBorders>
            <w:vAlign w:val="center"/>
          </w:tcPr>
          <w:p w14:paraId="48737080">
            <w:pPr>
              <w:widowControl/>
              <w:jc w:val="left"/>
              <w:rPr>
                <w:rFonts w:hint="eastAsia" w:ascii="宋体" w:hAnsi="宋体" w:cs="宋体"/>
                <w:szCs w:val="21"/>
              </w:rPr>
            </w:pPr>
            <w:r>
              <w:rPr>
                <w:rFonts w:hint="eastAsia" w:ascii="宋体" w:hAnsi="宋体" w:cs="宋体"/>
                <w:szCs w:val="21"/>
              </w:rPr>
              <w:t>营业收入（Y）</w:t>
            </w:r>
          </w:p>
        </w:tc>
        <w:tc>
          <w:tcPr>
            <w:tcW w:w="573" w:type="pct"/>
            <w:tcBorders>
              <w:top w:val="nil"/>
              <w:left w:val="nil"/>
              <w:bottom w:val="single" w:color="auto" w:sz="4" w:space="0"/>
              <w:right w:val="single" w:color="auto" w:sz="4" w:space="0"/>
            </w:tcBorders>
            <w:vAlign w:val="center"/>
          </w:tcPr>
          <w:p w14:paraId="0FAFC18F">
            <w:pPr>
              <w:widowControl/>
              <w:jc w:val="left"/>
              <w:rPr>
                <w:rFonts w:hint="eastAsia" w:ascii="宋体" w:hAnsi="宋体" w:cs="宋体"/>
                <w:szCs w:val="21"/>
              </w:rPr>
            </w:pPr>
            <w:r>
              <w:rPr>
                <w:rFonts w:hint="eastAsia" w:ascii="宋体" w:hAnsi="宋体" w:cs="宋体"/>
                <w:szCs w:val="21"/>
              </w:rPr>
              <w:t>万元</w:t>
            </w:r>
          </w:p>
        </w:tc>
        <w:tc>
          <w:tcPr>
            <w:tcW w:w="935" w:type="pct"/>
            <w:tcBorders>
              <w:top w:val="nil"/>
              <w:left w:val="nil"/>
              <w:bottom w:val="single" w:color="auto" w:sz="4" w:space="0"/>
              <w:right w:val="single" w:color="auto" w:sz="4" w:space="0"/>
            </w:tcBorders>
            <w:vAlign w:val="center"/>
          </w:tcPr>
          <w:p w14:paraId="64A1435E">
            <w:pPr>
              <w:widowControl/>
              <w:jc w:val="left"/>
              <w:rPr>
                <w:rFonts w:hint="eastAsia" w:ascii="宋体" w:hAnsi="宋体" w:cs="宋体"/>
                <w:szCs w:val="21"/>
              </w:rPr>
            </w:pPr>
            <w:r>
              <w:rPr>
                <w:rFonts w:hint="eastAsia" w:ascii="宋体" w:hAnsi="宋体" w:cs="宋体"/>
                <w:szCs w:val="21"/>
              </w:rPr>
              <w:t>1000≤Y＜100000</w:t>
            </w:r>
          </w:p>
        </w:tc>
        <w:tc>
          <w:tcPr>
            <w:tcW w:w="998" w:type="pct"/>
            <w:tcBorders>
              <w:top w:val="nil"/>
              <w:left w:val="nil"/>
              <w:bottom w:val="single" w:color="auto" w:sz="4" w:space="0"/>
              <w:right w:val="single" w:color="auto" w:sz="4" w:space="0"/>
            </w:tcBorders>
            <w:vAlign w:val="center"/>
          </w:tcPr>
          <w:p w14:paraId="19A264BD">
            <w:pPr>
              <w:widowControl/>
              <w:jc w:val="left"/>
              <w:rPr>
                <w:rFonts w:hint="eastAsia" w:ascii="宋体" w:hAnsi="宋体" w:cs="宋体"/>
                <w:szCs w:val="21"/>
              </w:rPr>
            </w:pPr>
            <w:r>
              <w:rPr>
                <w:rFonts w:hint="eastAsia" w:ascii="宋体" w:hAnsi="宋体" w:cs="宋体"/>
                <w:szCs w:val="21"/>
              </w:rPr>
              <w:t>100≤Y＜1000</w:t>
            </w:r>
          </w:p>
        </w:tc>
        <w:tc>
          <w:tcPr>
            <w:tcW w:w="643" w:type="pct"/>
            <w:tcBorders>
              <w:top w:val="nil"/>
              <w:left w:val="nil"/>
              <w:bottom w:val="single" w:color="auto" w:sz="4" w:space="0"/>
              <w:right w:val="single" w:color="auto" w:sz="4" w:space="0"/>
            </w:tcBorders>
            <w:vAlign w:val="center"/>
          </w:tcPr>
          <w:p w14:paraId="05FF563E">
            <w:pPr>
              <w:widowControl/>
              <w:jc w:val="left"/>
              <w:rPr>
                <w:rFonts w:hint="eastAsia" w:ascii="宋体" w:hAnsi="宋体" w:cs="宋体"/>
                <w:szCs w:val="21"/>
              </w:rPr>
            </w:pPr>
            <w:r>
              <w:rPr>
                <w:rFonts w:hint="eastAsia" w:ascii="宋体" w:hAnsi="宋体" w:cs="宋体"/>
                <w:szCs w:val="21"/>
              </w:rPr>
              <w:t>Y＜100</w:t>
            </w:r>
          </w:p>
        </w:tc>
      </w:tr>
      <w:tr w14:paraId="47FC4EF3">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19ADA70B">
            <w:pPr>
              <w:widowControl/>
              <w:jc w:val="center"/>
              <w:rPr>
                <w:rFonts w:hint="eastAsia" w:ascii="宋体" w:hAnsi="宋体" w:cs="宋体"/>
                <w:szCs w:val="21"/>
              </w:rPr>
            </w:pPr>
            <w:r>
              <w:rPr>
                <w:rFonts w:hint="eastAsia" w:ascii="宋体" w:hAnsi="宋体" w:cs="宋体"/>
                <w:szCs w:val="21"/>
              </w:rPr>
              <w:t>软件和信息技术服务业</w:t>
            </w:r>
          </w:p>
        </w:tc>
        <w:tc>
          <w:tcPr>
            <w:tcW w:w="862" w:type="pct"/>
            <w:tcBorders>
              <w:top w:val="nil"/>
              <w:left w:val="nil"/>
              <w:bottom w:val="single" w:color="auto" w:sz="4" w:space="0"/>
              <w:right w:val="single" w:color="auto" w:sz="4" w:space="0"/>
            </w:tcBorders>
            <w:vAlign w:val="center"/>
          </w:tcPr>
          <w:p w14:paraId="35EE0BBE">
            <w:pPr>
              <w:widowControl/>
              <w:jc w:val="left"/>
              <w:rPr>
                <w:rFonts w:hint="eastAsia" w:ascii="宋体" w:hAnsi="宋体" w:cs="宋体"/>
                <w:szCs w:val="21"/>
              </w:rPr>
            </w:pPr>
            <w:r>
              <w:rPr>
                <w:rFonts w:hint="eastAsia" w:ascii="宋体" w:hAnsi="宋体" w:cs="宋体"/>
                <w:szCs w:val="21"/>
              </w:rPr>
              <w:t>从业人员（X）</w:t>
            </w:r>
          </w:p>
        </w:tc>
        <w:tc>
          <w:tcPr>
            <w:tcW w:w="573" w:type="pct"/>
            <w:tcBorders>
              <w:top w:val="nil"/>
              <w:left w:val="nil"/>
              <w:bottom w:val="single" w:color="auto" w:sz="4" w:space="0"/>
              <w:right w:val="single" w:color="auto" w:sz="4" w:space="0"/>
            </w:tcBorders>
            <w:vAlign w:val="center"/>
          </w:tcPr>
          <w:p w14:paraId="08453B17">
            <w:pPr>
              <w:widowControl/>
              <w:jc w:val="left"/>
              <w:rPr>
                <w:rFonts w:hint="eastAsia" w:ascii="宋体" w:hAnsi="宋体" w:cs="宋体"/>
                <w:szCs w:val="21"/>
              </w:rPr>
            </w:pPr>
            <w:r>
              <w:rPr>
                <w:rFonts w:hint="eastAsia" w:ascii="宋体" w:hAnsi="宋体" w:cs="宋体"/>
                <w:szCs w:val="21"/>
              </w:rPr>
              <w:t>人</w:t>
            </w:r>
          </w:p>
        </w:tc>
        <w:tc>
          <w:tcPr>
            <w:tcW w:w="935" w:type="pct"/>
            <w:tcBorders>
              <w:top w:val="nil"/>
              <w:left w:val="nil"/>
              <w:bottom w:val="single" w:color="auto" w:sz="4" w:space="0"/>
              <w:right w:val="single" w:color="auto" w:sz="4" w:space="0"/>
            </w:tcBorders>
            <w:vAlign w:val="center"/>
          </w:tcPr>
          <w:p w14:paraId="62F88445">
            <w:pPr>
              <w:widowControl/>
              <w:jc w:val="left"/>
              <w:rPr>
                <w:rFonts w:hint="eastAsia" w:ascii="宋体" w:hAnsi="宋体" w:cs="宋体"/>
                <w:szCs w:val="21"/>
              </w:rPr>
            </w:pPr>
            <w:r>
              <w:rPr>
                <w:rFonts w:hint="eastAsia" w:ascii="宋体" w:hAnsi="宋体" w:cs="宋体"/>
                <w:szCs w:val="21"/>
              </w:rPr>
              <w:t>100≤X＜300</w:t>
            </w:r>
          </w:p>
        </w:tc>
        <w:tc>
          <w:tcPr>
            <w:tcW w:w="998" w:type="pct"/>
            <w:tcBorders>
              <w:top w:val="nil"/>
              <w:left w:val="nil"/>
              <w:bottom w:val="single" w:color="auto" w:sz="4" w:space="0"/>
              <w:right w:val="single" w:color="auto" w:sz="4" w:space="0"/>
            </w:tcBorders>
            <w:vAlign w:val="center"/>
          </w:tcPr>
          <w:p w14:paraId="72F73DA1">
            <w:pPr>
              <w:widowControl/>
              <w:jc w:val="left"/>
              <w:rPr>
                <w:rFonts w:hint="eastAsia" w:ascii="宋体" w:hAnsi="宋体" w:cs="宋体"/>
                <w:szCs w:val="21"/>
              </w:rPr>
            </w:pPr>
            <w:r>
              <w:rPr>
                <w:rFonts w:hint="eastAsia" w:ascii="宋体" w:hAnsi="宋体" w:cs="宋体"/>
                <w:szCs w:val="21"/>
              </w:rPr>
              <w:t>10≤X＜100</w:t>
            </w:r>
          </w:p>
        </w:tc>
        <w:tc>
          <w:tcPr>
            <w:tcW w:w="643" w:type="pct"/>
            <w:tcBorders>
              <w:top w:val="nil"/>
              <w:left w:val="nil"/>
              <w:bottom w:val="single" w:color="auto" w:sz="4" w:space="0"/>
              <w:right w:val="single" w:color="auto" w:sz="4" w:space="0"/>
            </w:tcBorders>
            <w:vAlign w:val="center"/>
          </w:tcPr>
          <w:p w14:paraId="12043F47">
            <w:pPr>
              <w:widowControl/>
              <w:jc w:val="left"/>
              <w:rPr>
                <w:rFonts w:hint="eastAsia" w:ascii="宋体" w:hAnsi="宋体" w:cs="宋体"/>
                <w:szCs w:val="21"/>
              </w:rPr>
            </w:pPr>
            <w:r>
              <w:rPr>
                <w:rFonts w:hint="eastAsia" w:ascii="宋体" w:hAnsi="宋体" w:cs="宋体"/>
                <w:szCs w:val="21"/>
              </w:rPr>
              <w:t>X＜10</w:t>
            </w:r>
          </w:p>
        </w:tc>
      </w:tr>
      <w:tr w14:paraId="3402AEEB">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356D970C">
            <w:pPr>
              <w:widowControl/>
              <w:jc w:val="left"/>
              <w:rPr>
                <w:rFonts w:hint="eastAsia" w:ascii="宋体" w:hAnsi="宋体" w:cs="宋体"/>
                <w:szCs w:val="21"/>
              </w:rPr>
            </w:pPr>
          </w:p>
        </w:tc>
        <w:tc>
          <w:tcPr>
            <w:tcW w:w="862" w:type="pct"/>
            <w:tcBorders>
              <w:top w:val="nil"/>
              <w:left w:val="nil"/>
              <w:bottom w:val="single" w:color="auto" w:sz="4" w:space="0"/>
              <w:right w:val="single" w:color="auto" w:sz="4" w:space="0"/>
            </w:tcBorders>
            <w:vAlign w:val="center"/>
          </w:tcPr>
          <w:p w14:paraId="484867DF">
            <w:pPr>
              <w:widowControl/>
              <w:jc w:val="left"/>
              <w:rPr>
                <w:rFonts w:hint="eastAsia" w:ascii="宋体" w:hAnsi="宋体" w:cs="宋体"/>
                <w:szCs w:val="21"/>
              </w:rPr>
            </w:pPr>
            <w:r>
              <w:rPr>
                <w:rFonts w:hint="eastAsia" w:ascii="宋体" w:hAnsi="宋体" w:cs="宋体"/>
                <w:szCs w:val="21"/>
              </w:rPr>
              <w:t>营业收入（Y）</w:t>
            </w:r>
          </w:p>
        </w:tc>
        <w:tc>
          <w:tcPr>
            <w:tcW w:w="573" w:type="pct"/>
            <w:tcBorders>
              <w:top w:val="nil"/>
              <w:left w:val="nil"/>
              <w:bottom w:val="single" w:color="auto" w:sz="4" w:space="0"/>
              <w:right w:val="single" w:color="auto" w:sz="4" w:space="0"/>
            </w:tcBorders>
            <w:vAlign w:val="center"/>
          </w:tcPr>
          <w:p w14:paraId="1CC5BEEA">
            <w:pPr>
              <w:widowControl/>
              <w:jc w:val="left"/>
              <w:rPr>
                <w:rFonts w:hint="eastAsia" w:ascii="宋体" w:hAnsi="宋体" w:cs="宋体"/>
                <w:szCs w:val="21"/>
              </w:rPr>
            </w:pPr>
            <w:r>
              <w:rPr>
                <w:rFonts w:hint="eastAsia" w:ascii="宋体" w:hAnsi="宋体" w:cs="宋体"/>
                <w:szCs w:val="21"/>
              </w:rPr>
              <w:t>万元</w:t>
            </w:r>
          </w:p>
        </w:tc>
        <w:tc>
          <w:tcPr>
            <w:tcW w:w="935" w:type="pct"/>
            <w:tcBorders>
              <w:top w:val="nil"/>
              <w:left w:val="nil"/>
              <w:bottom w:val="single" w:color="auto" w:sz="4" w:space="0"/>
              <w:right w:val="single" w:color="auto" w:sz="4" w:space="0"/>
            </w:tcBorders>
            <w:vAlign w:val="center"/>
          </w:tcPr>
          <w:p w14:paraId="6939D5DF">
            <w:pPr>
              <w:widowControl/>
              <w:jc w:val="left"/>
              <w:rPr>
                <w:rFonts w:hint="eastAsia" w:ascii="宋体" w:hAnsi="宋体" w:cs="宋体"/>
                <w:szCs w:val="21"/>
              </w:rPr>
            </w:pPr>
            <w:r>
              <w:rPr>
                <w:rFonts w:hint="eastAsia" w:ascii="宋体" w:hAnsi="宋体" w:cs="宋体"/>
                <w:szCs w:val="21"/>
              </w:rPr>
              <w:t>1000≤Y＜10000</w:t>
            </w:r>
          </w:p>
        </w:tc>
        <w:tc>
          <w:tcPr>
            <w:tcW w:w="998" w:type="pct"/>
            <w:tcBorders>
              <w:top w:val="nil"/>
              <w:left w:val="nil"/>
              <w:bottom w:val="single" w:color="auto" w:sz="4" w:space="0"/>
              <w:right w:val="single" w:color="auto" w:sz="4" w:space="0"/>
            </w:tcBorders>
            <w:vAlign w:val="center"/>
          </w:tcPr>
          <w:p w14:paraId="6ACEB50F">
            <w:pPr>
              <w:widowControl/>
              <w:jc w:val="left"/>
              <w:rPr>
                <w:rFonts w:hint="eastAsia" w:ascii="宋体" w:hAnsi="宋体" w:cs="宋体"/>
                <w:szCs w:val="21"/>
              </w:rPr>
            </w:pPr>
            <w:r>
              <w:rPr>
                <w:rFonts w:hint="eastAsia" w:ascii="宋体" w:hAnsi="宋体" w:cs="宋体"/>
                <w:szCs w:val="21"/>
              </w:rPr>
              <w:t>50≤Y＜1000</w:t>
            </w:r>
          </w:p>
        </w:tc>
        <w:tc>
          <w:tcPr>
            <w:tcW w:w="643" w:type="pct"/>
            <w:tcBorders>
              <w:top w:val="nil"/>
              <w:left w:val="nil"/>
              <w:bottom w:val="single" w:color="auto" w:sz="4" w:space="0"/>
              <w:right w:val="single" w:color="auto" w:sz="4" w:space="0"/>
            </w:tcBorders>
            <w:vAlign w:val="center"/>
          </w:tcPr>
          <w:p w14:paraId="1704F39E">
            <w:pPr>
              <w:widowControl/>
              <w:jc w:val="left"/>
              <w:rPr>
                <w:rFonts w:hint="eastAsia" w:ascii="宋体" w:hAnsi="宋体" w:cs="宋体"/>
                <w:szCs w:val="21"/>
              </w:rPr>
            </w:pPr>
            <w:r>
              <w:rPr>
                <w:rFonts w:hint="eastAsia" w:ascii="宋体" w:hAnsi="宋体" w:cs="宋体"/>
                <w:szCs w:val="21"/>
              </w:rPr>
              <w:t>Y＜50</w:t>
            </w:r>
          </w:p>
        </w:tc>
      </w:tr>
      <w:tr w14:paraId="5170B6B5">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65FD41E3">
            <w:pPr>
              <w:widowControl/>
              <w:jc w:val="center"/>
              <w:rPr>
                <w:rFonts w:hint="eastAsia" w:ascii="宋体" w:hAnsi="宋体" w:cs="宋体"/>
                <w:szCs w:val="21"/>
              </w:rPr>
            </w:pPr>
            <w:r>
              <w:rPr>
                <w:rFonts w:hint="eastAsia" w:ascii="宋体" w:hAnsi="宋体" w:cs="宋体"/>
                <w:szCs w:val="21"/>
              </w:rPr>
              <w:t>房地产开发经营</w:t>
            </w:r>
          </w:p>
        </w:tc>
        <w:tc>
          <w:tcPr>
            <w:tcW w:w="862" w:type="pct"/>
            <w:tcBorders>
              <w:top w:val="nil"/>
              <w:left w:val="nil"/>
              <w:bottom w:val="single" w:color="auto" w:sz="4" w:space="0"/>
              <w:right w:val="single" w:color="auto" w:sz="4" w:space="0"/>
            </w:tcBorders>
            <w:vAlign w:val="center"/>
          </w:tcPr>
          <w:p w14:paraId="3FD59D79">
            <w:pPr>
              <w:widowControl/>
              <w:jc w:val="left"/>
              <w:rPr>
                <w:rFonts w:hint="eastAsia" w:ascii="宋体" w:hAnsi="宋体" w:cs="宋体"/>
                <w:szCs w:val="21"/>
              </w:rPr>
            </w:pPr>
            <w:r>
              <w:rPr>
                <w:rFonts w:hint="eastAsia" w:ascii="宋体" w:hAnsi="宋体" w:cs="宋体"/>
                <w:szCs w:val="21"/>
              </w:rPr>
              <w:t>营业收入（Y）</w:t>
            </w:r>
          </w:p>
        </w:tc>
        <w:tc>
          <w:tcPr>
            <w:tcW w:w="573" w:type="pct"/>
            <w:tcBorders>
              <w:top w:val="nil"/>
              <w:left w:val="nil"/>
              <w:bottom w:val="single" w:color="auto" w:sz="4" w:space="0"/>
              <w:right w:val="single" w:color="auto" w:sz="4" w:space="0"/>
            </w:tcBorders>
            <w:vAlign w:val="center"/>
          </w:tcPr>
          <w:p w14:paraId="0106F60A">
            <w:pPr>
              <w:widowControl/>
              <w:jc w:val="left"/>
              <w:rPr>
                <w:rFonts w:hint="eastAsia" w:ascii="宋体" w:hAnsi="宋体" w:cs="宋体"/>
                <w:szCs w:val="21"/>
              </w:rPr>
            </w:pPr>
            <w:r>
              <w:rPr>
                <w:rFonts w:hint="eastAsia" w:ascii="宋体" w:hAnsi="宋体" w:cs="宋体"/>
                <w:szCs w:val="21"/>
              </w:rPr>
              <w:t>万元</w:t>
            </w:r>
          </w:p>
        </w:tc>
        <w:tc>
          <w:tcPr>
            <w:tcW w:w="935" w:type="pct"/>
            <w:tcBorders>
              <w:top w:val="nil"/>
              <w:left w:val="nil"/>
              <w:bottom w:val="single" w:color="auto" w:sz="4" w:space="0"/>
              <w:right w:val="single" w:color="auto" w:sz="4" w:space="0"/>
            </w:tcBorders>
            <w:vAlign w:val="center"/>
          </w:tcPr>
          <w:p w14:paraId="03199143">
            <w:pPr>
              <w:widowControl/>
              <w:jc w:val="left"/>
              <w:rPr>
                <w:rFonts w:hint="eastAsia" w:ascii="宋体" w:hAnsi="宋体" w:cs="宋体"/>
                <w:szCs w:val="21"/>
              </w:rPr>
            </w:pPr>
            <w:r>
              <w:rPr>
                <w:rFonts w:hint="eastAsia" w:ascii="宋体" w:hAnsi="宋体" w:cs="宋体"/>
                <w:szCs w:val="21"/>
              </w:rPr>
              <w:t>1000≤Y＜200000</w:t>
            </w:r>
          </w:p>
        </w:tc>
        <w:tc>
          <w:tcPr>
            <w:tcW w:w="998" w:type="pct"/>
            <w:tcBorders>
              <w:top w:val="nil"/>
              <w:left w:val="nil"/>
              <w:bottom w:val="single" w:color="auto" w:sz="4" w:space="0"/>
              <w:right w:val="single" w:color="auto" w:sz="4" w:space="0"/>
            </w:tcBorders>
            <w:vAlign w:val="center"/>
          </w:tcPr>
          <w:p w14:paraId="06E67097">
            <w:pPr>
              <w:widowControl/>
              <w:jc w:val="left"/>
              <w:rPr>
                <w:rFonts w:hint="eastAsia" w:ascii="宋体" w:hAnsi="宋体" w:cs="宋体"/>
                <w:szCs w:val="21"/>
              </w:rPr>
            </w:pPr>
            <w:r>
              <w:rPr>
                <w:rFonts w:hint="eastAsia" w:ascii="宋体" w:hAnsi="宋体" w:cs="宋体"/>
                <w:szCs w:val="21"/>
              </w:rPr>
              <w:t>100≤X＜1000</w:t>
            </w:r>
          </w:p>
        </w:tc>
        <w:tc>
          <w:tcPr>
            <w:tcW w:w="643" w:type="pct"/>
            <w:tcBorders>
              <w:top w:val="nil"/>
              <w:left w:val="nil"/>
              <w:bottom w:val="single" w:color="auto" w:sz="4" w:space="0"/>
              <w:right w:val="single" w:color="auto" w:sz="4" w:space="0"/>
            </w:tcBorders>
            <w:vAlign w:val="center"/>
          </w:tcPr>
          <w:p w14:paraId="517A0723">
            <w:pPr>
              <w:widowControl/>
              <w:jc w:val="left"/>
              <w:rPr>
                <w:rFonts w:hint="eastAsia" w:ascii="宋体" w:hAnsi="宋体" w:cs="宋体"/>
                <w:szCs w:val="21"/>
              </w:rPr>
            </w:pPr>
            <w:r>
              <w:rPr>
                <w:rFonts w:hint="eastAsia" w:ascii="宋体" w:hAnsi="宋体" w:cs="宋体"/>
                <w:szCs w:val="21"/>
              </w:rPr>
              <w:t>X＜100</w:t>
            </w:r>
          </w:p>
        </w:tc>
      </w:tr>
      <w:tr w14:paraId="310C8C3E">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6C1E1B30">
            <w:pPr>
              <w:widowControl/>
              <w:jc w:val="left"/>
              <w:rPr>
                <w:rFonts w:hint="eastAsia" w:ascii="宋体" w:hAnsi="宋体" w:cs="宋体"/>
                <w:szCs w:val="21"/>
              </w:rPr>
            </w:pPr>
          </w:p>
        </w:tc>
        <w:tc>
          <w:tcPr>
            <w:tcW w:w="862" w:type="pct"/>
            <w:tcBorders>
              <w:top w:val="nil"/>
              <w:left w:val="nil"/>
              <w:bottom w:val="single" w:color="auto" w:sz="4" w:space="0"/>
              <w:right w:val="single" w:color="auto" w:sz="4" w:space="0"/>
            </w:tcBorders>
            <w:vAlign w:val="center"/>
          </w:tcPr>
          <w:p w14:paraId="5A05EDAF">
            <w:pPr>
              <w:widowControl/>
              <w:jc w:val="left"/>
              <w:rPr>
                <w:rFonts w:hint="eastAsia" w:ascii="宋体" w:hAnsi="宋体" w:cs="宋体"/>
                <w:szCs w:val="21"/>
              </w:rPr>
            </w:pPr>
            <w:r>
              <w:rPr>
                <w:rFonts w:hint="eastAsia" w:ascii="宋体" w:hAnsi="宋体" w:cs="宋体"/>
                <w:szCs w:val="21"/>
              </w:rPr>
              <w:t>资产总额（Z）</w:t>
            </w:r>
          </w:p>
        </w:tc>
        <w:tc>
          <w:tcPr>
            <w:tcW w:w="573" w:type="pct"/>
            <w:tcBorders>
              <w:top w:val="nil"/>
              <w:left w:val="nil"/>
              <w:bottom w:val="single" w:color="auto" w:sz="4" w:space="0"/>
              <w:right w:val="single" w:color="auto" w:sz="4" w:space="0"/>
            </w:tcBorders>
            <w:vAlign w:val="center"/>
          </w:tcPr>
          <w:p w14:paraId="307C261F">
            <w:pPr>
              <w:widowControl/>
              <w:jc w:val="left"/>
              <w:rPr>
                <w:rFonts w:hint="eastAsia" w:ascii="宋体" w:hAnsi="宋体" w:cs="宋体"/>
                <w:szCs w:val="21"/>
              </w:rPr>
            </w:pPr>
            <w:r>
              <w:rPr>
                <w:rFonts w:hint="eastAsia" w:ascii="宋体" w:hAnsi="宋体" w:cs="宋体"/>
                <w:szCs w:val="21"/>
              </w:rPr>
              <w:t>万元</w:t>
            </w:r>
          </w:p>
        </w:tc>
        <w:tc>
          <w:tcPr>
            <w:tcW w:w="935" w:type="pct"/>
            <w:tcBorders>
              <w:top w:val="nil"/>
              <w:left w:val="nil"/>
              <w:bottom w:val="single" w:color="auto" w:sz="4" w:space="0"/>
              <w:right w:val="single" w:color="auto" w:sz="4" w:space="0"/>
            </w:tcBorders>
            <w:vAlign w:val="center"/>
          </w:tcPr>
          <w:p w14:paraId="25CF3B0C">
            <w:pPr>
              <w:widowControl/>
              <w:jc w:val="left"/>
              <w:rPr>
                <w:rFonts w:hint="eastAsia" w:ascii="宋体" w:hAnsi="宋体" w:cs="宋体"/>
                <w:szCs w:val="21"/>
              </w:rPr>
            </w:pPr>
            <w:r>
              <w:rPr>
                <w:rFonts w:hint="eastAsia" w:ascii="宋体" w:hAnsi="宋体" w:cs="宋体"/>
                <w:szCs w:val="21"/>
              </w:rPr>
              <w:t>5000≤Z＜10000</w:t>
            </w:r>
          </w:p>
        </w:tc>
        <w:tc>
          <w:tcPr>
            <w:tcW w:w="998" w:type="pct"/>
            <w:tcBorders>
              <w:top w:val="nil"/>
              <w:left w:val="nil"/>
              <w:bottom w:val="single" w:color="auto" w:sz="4" w:space="0"/>
              <w:right w:val="single" w:color="auto" w:sz="4" w:space="0"/>
            </w:tcBorders>
            <w:vAlign w:val="center"/>
          </w:tcPr>
          <w:p w14:paraId="1A18EF4A">
            <w:pPr>
              <w:widowControl/>
              <w:jc w:val="left"/>
              <w:rPr>
                <w:rFonts w:hint="eastAsia" w:ascii="宋体" w:hAnsi="宋体" w:cs="宋体"/>
                <w:szCs w:val="21"/>
              </w:rPr>
            </w:pPr>
            <w:r>
              <w:rPr>
                <w:rFonts w:hint="eastAsia" w:ascii="宋体" w:hAnsi="宋体" w:cs="宋体"/>
                <w:szCs w:val="21"/>
              </w:rPr>
              <w:t>2000≤Y＜5000</w:t>
            </w:r>
          </w:p>
        </w:tc>
        <w:tc>
          <w:tcPr>
            <w:tcW w:w="643" w:type="pct"/>
            <w:tcBorders>
              <w:top w:val="nil"/>
              <w:left w:val="nil"/>
              <w:bottom w:val="single" w:color="auto" w:sz="4" w:space="0"/>
              <w:right w:val="single" w:color="auto" w:sz="4" w:space="0"/>
            </w:tcBorders>
            <w:vAlign w:val="center"/>
          </w:tcPr>
          <w:p w14:paraId="49A098A3">
            <w:pPr>
              <w:widowControl/>
              <w:jc w:val="left"/>
              <w:rPr>
                <w:rFonts w:hint="eastAsia" w:ascii="宋体" w:hAnsi="宋体" w:cs="宋体"/>
                <w:szCs w:val="21"/>
              </w:rPr>
            </w:pPr>
            <w:r>
              <w:rPr>
                <w:rFonts w:hint="eastAsia" w:ascii="宋体" w:hAnsi="宋体" w:cs="宋体"/>
                <w:szCs w:val="21"/>
              </w:rPr>
              <w:t>Y＜2000</w:t>
            </w:r>
          </w:p>
        </w:tc>
      </w:tr>
      <w:tr w14:paraId="1AF88DC4">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496CF6FF">
            <w:pPr>
              <w:widowControl/>
              <w:jc w:val="center"/>
              <w:rPr>
                <w:rFonts w:hint="eastAsia" w:ascii="宋体" w:hAnsi="宋体" w:cs="宋体"/>
                <w:szCs w:val="21"/>
              </w:rPr>
            </w:pPr>
            <w:r>
              <w:rPr>
                <w:rFonts w:hint="eastAsia" w:ascii="宋体" w:hAnsi="宋体" w:cs="宋体"/>
                <w:szCs w:val="21"/>
              </w:rPr>
              <w:t>物业管理</w:t>
            </w:r>
          </w:p>
        </w:tc>
        <w:tc>
          <w:tcPr>
            <w:tcW w:w="862" w:type="pct"/>
            <w:tcBorders>
              <w:top w:val="nil"/>
              <w:left w:val="nil"/>
              <w:bottom w:val="single" w:color="auto" w:sz="4" w:space="0"/>
              <w:right w:val="single" w:color="auto" w:sz="4" w:space="0"/>
            </w:tcBorders>
            <w:vAlign w:val="center"/>
          </w:tcPr>
          <w:p w14:paraId="744C719F">
            <w:pPr>
              <w:widowControl/>
              <w:jc w:val="left"/>
              <w:rPr>
                <w:rFonts w:hint="eastAsia" w:ascii="宋体" w:hAnsi="宋体" w:cs="宋体"/>
                <w:szCs w:val="21"/>
              </w:rPr>
            </w:pPr>
            <w:r>
              <w:rPr>
                <w:rFonts w:hint="eastAsia" w:ascii="宋体" w:hAnsi="宋体" w:cs="宋体"/>
                <w:szCs w:val="21"/>
              </w:rPr>
              <w:t>从业人员（X）</w:t>
            </w:r>
          </w:p>
        </w:tc>
        <w:tc>
          <w:tcPr>
            <w:tcW w:w="573" w:type="pct"/>
            <w:tcBorders>
              <w:top w:val="nil"/>
              <w:left w:val="nil"/>
              <w:bottom w:val="single" w:color="auto" w:sz="4" w:space="0"/>
              <w:right w:val="single" w:color="auto" w:sz="4" w:space="0"/>
            </w:tcBorders>
            <w:vAlign w:val="center"/>
          </w:tcPr>
          <w:p w14:paraId="33AFCA90">
            <w:pPr>
              <w:widowControl/>
              <w:jc w:val="left"/>
              <w:rPr>
                <w:rFonts w:hint="eastAsia" w:ascii="宋体" w:hAnsi="宋体" w:cs="宋体"/>
                <w:szCs w:val="21"/>
              </w:rPr>
            </w:pPr>
            <w:r>
              <w:rPr>
                <w:rFonts w:hint="eastAsia" w:ascii="宋体" w:hAnsi="宋体" w:cs="宋体"/>
                <w:szCs w:val="21"/>
              </w:rPr>
              <w:t>人</w:t>
            </w:r>
          </w:p>
        </w:tc>
        <w:tc>
          <w:tcPr>
            <w:tcW w:w="935" w:type="pct"/>
            <w:tcBorders>
              <w:top w:val="nil"/>
              <w:left w:val="nil"/>
              <w:bottom w:val="single" w:color="auto" w:sz="4" w:space="0"/>
              <w:right w:val="single" w:color="auto" w:sz="4" w:space="0"/>
            </w:tcBorders>
            <w:vAlign w:val="center"/>
          </w:tcPr>
          <w:p w14:paraId="79FABC11">
            <w:pPr>
              <w:widowControl/>
              <w:jc w:val="left"/>
              <w:rPr>
                <w:rFonts w:hint="eastAsia" w:ascii="宋体" w:hAnsi="宋体" w:cs="宋体"/>
                <w:szCs w:val="21"/>
              </w:rPr>
            </w:pPr>
            <w:r>
              <w:rPr>
                <w:rFonts w:hint="eastAsia" w:ascii="宋体" w:hAnsi="宋体" w:cs="宋体"/>
                <w:szCs w:val="21"/>
              </w:rPr>
              <w:t>300≤X＜1000</w:t>
            </w:r>
          </w:p>
        </w:tc>
        <w:tc>
          <w:tcPr>
            <w:tcW w:w="998" w:type="pct"/>
            <w:tcBorders>
              <w:top w:val="nil"/>
              <w:left w:val="nil"/>
              <w:bottom w:val="single" w:color="auto" w:sz="4" w:space="0"/>
              <w:right w:val="single" w:color="auto" w:sz="4" w:space="0"/>
            </w:tcBorders>
            <w:vAlign w:val="center"/>
          </w:tcPr>
          <w:p w14:paraId="230DDC80">
            <w:pPr>
              <w:widowControl/>
              <w:jc w:val="left"/>
              <w:rPr>
                <w:rFonts w:hint="eastAsia" w:ascii="宋体" w:hAnsi="宋体" w:cs="宋体"/>
                <w:szCs w:val="21"/>
              </w:rPr>
            </w:pPr>
            <w:r>
              <w:rPr>
                <w:rFonts w:hint="eastAsia" w:ascii="宋体" w:hAnsi="宋体" w:cs="宋体"/>
                <w:szCs w:val="21"/>
              </w:rPr>
              <w:t>100≤X＜300</w:t>
            </w:r>
          </w:p>
        </w:tc>
        <w:tc>
          <w:tcPr>
            <w:tcW w:w="643" w:type="pct"/>
            <w:tcBorders>
              <w:top w:val="nil"/>
              <w:left w:val="nil"/>
              <w:bottom w:val="single" w:color="auto" w:sz="4" w:space="0"/>
              <w:right w:val="single" w:color="auto" w:sz="4" w:space="0"/>
            </w:tcBorders>
            <w:vAlign w:val="center"/>
          </w:tcPr>
          <w:p w14:paraId="65D0EBF2">
            <w:pPr>
              <w:widowControl/>
              <w:jc w:val="left"/>
              <w:rPr>
                <w:rFonts w:hint="eastAsia" w:ascii="宋体" w:hAnsi="宋体" w:cs="宋体"/>
                <w:szCs w:val="21"/>
              </w:rPr>
            </w:pPr>
            <w:r>
              <w:rPr>
                <w:rFonts w:hint="eastAsia" w:ascii="宋体" w:hAnsi="宋体" w:cs="宋体"/>
                <w:szCs w:val="21"/>
              </w:rPr>
              <w:t>X＜100</w:t>
            </w:r>
          </w:p>
        </w:tc>
      </w:tr>
      <w:tr w14:paraId="17384DC9">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4C634C6D">
            <w:pPr>
              <w:widowControl/>
              <w:jc w:val="left"/>
              <w:rPr>
                <w:rFonts w:hint="eastAsia" w:ascii="宋体" w:hAnsi="宋体" w:cs="宋体"/>
                <w:szCs w:val="21"/>
              </w:rPr>
            </w:pPr>
          </w:p>
        </w:tc>
        <w:tc>
          <w:tcPr>
            <w:tcW w:w="862" w:type="pct"/>
            <w:tcBorders>
              <w:top w:val="nil"/>
              <w:left w:val="nil"/>
              <w:bottom w:val="single" w:color="auto" w:sz="4" w:space="0"/>
              <w:right w:val="single" w:color="auto" w:sz="4" w:space="0"/>
            </w:tcBorders>
            <w:vAlign w:val="center"/>
          </w:tcPr>
          <w:p w14:paraId="1877E298">
            <w:pPr>
              <w:widowControl/>
              <w:jc w:val="left"/>
              <w:rPr>
                <w:rFonts w:hint="eastAsia" w:ascii="宋体" w:hAnsi="宋体" w:cs="宋体"/>
                <w:szCs w:val="21"/>
              </w:rPr>
            </w:pPr>
            <w:r>
              <w:rPr>
                <w:rFonts w:hint="eastAsia" w:ascii="宋体" w:hAnsi="宋体" w:cs="宋体"/>
                <w:szCs w:val="21"/>
              </w:rPr>
              <w:t>营业收入（Y）</w:t>
            </w:r>
          </w:p>
        </w:tc>
        <w:tc>
          <w:tcPr>
            <w:tcW w:w="573" w:type="pct"/>
            <w:tcBorders>
              <w:top w:val="nil"/>
              <w:left w:val="nil"/>
              <w:bottom w:val="single" w:color="auto" w:sz="4" w:space="0"/>
              <w:right w:val="single" w:color="auto" w:sz="4" w:space="0"/>
            </w:tcBorders>
            <w:vAlign w:val="center"/>
          </w:tcPr>
          <w:p w14:paraId="4A3C9166">
            <w:pPr>
              <w:widowControl/>
              <w:jc w:val="left"/>
              <w:rPr>
                <w:rFonts w:hint="eastAsia" w:ascii="宋体" w:hAnsi="宋体" w:cs="宋体"/>
                <w:szCs w:val="21"/>
              </w:rPr>
            </w:pPr>
            <w:r>
              <w:rPr>
                <w:rFonts w:hint="eastAsia" w:ascii="宋体" w:hAnsi="宋体" w:cs="宋体"/>
                <w:szCs w:val="21"/>
              </w:rPr>
              <w:t>万元</w:t>
            </w:r>
          </w:p>
        </w:tc>
        <w:tc>
          <w:tcPr>
            <w:tcW w:w="935" w:type="pct"/>
            <w:tcBorders>
              <w:top w:val="nil"/>
              <w:left w:val="nil"/>
              <w:bottom w:val="single" w:color="auto" w:sz="4" w:space="0"/>
              <w:right w:val="single" w:color="auto" w:sz="4" w:space="0"/>
            </w:tcBorders>
            <w:vAlign w:val="center"/>
          </w:tcPr>
          <w:p w14:paraId="10A2C808">
            <w:pPr>
              <w:widowControl/>
              <w:jc w:val="left"/>
              <w:rPr>
                <w:rFonts w:hint="eastAsia" w:ascii="宋体" w:hAnsi="宋体" w:cs="宋体"/>
                <w:szCs w:val="21"/>
              </w:rPr>
            </w:pPr>
            <w:r>
              <w:rPr>
                <w:rFonts w:hint="eastAsia" w:ascii="宋体" w:hAnsi="宋体" w:cs="宋体"/>
                <w:szCs w:val="21"/>
              </w:rPr>
              <w:t>1000≤Y＜5000</w:t>
            </w:r>
          </w:p>
        </w:tc>
        <w:tc>
          <w:tcPr>
            <w:tcW w:w="998" w:type="pct"/>
            <w:tcBorders>
              <w:top w:val="nil"/>
              <w:left w:val="nil"/>
              <w:bottom w:val="single" w:color="auto" w:sz="4" w:space="0"/>
              <w:right w:val="single" w:color="auto" w:sz="4" w:space="0"/>
            </w:tcBorders>
            <w:vAlign w:val="center"/>
          </w:tcPr>
          <w:p w14:paraId="4FE08371">
            <w:pPr>
              <w:widowControl/>
              <w:jc w:val="left"/>
              <w:rPr>
                <w:rFonts w:hint="eastAsia" w:ascii="宋体" w:hAnsi="宋体" w:cs="宋体"/>
                <w:szCs w:val="21"/>
              </w:rPr>
            </w:pPr>
            <w:r>
              <w:rPr>
                <w:rFonts w:hint="eastAsia" w:ascii="宋体" w:hAnsi="宋体" w:cs="宋体"/>
                <w:szCs w:val="21"/>
              </w:rPr>
              <w:t>500≤Y＜1000</w:t>
            </w:r>
          </w:p>
        </w:tc>
        <w:tc>
          <w:tcPr>
            <w:tcW w:w="643" w:type="pct"/>
            <w:tcBorders>
              <w:top w:val="nil"/>
              <w:left w:val="nil"/>
              <w:bottom w:val="single" w:color="auto" w:sz="4" w:space="0"/>
              <w:right w:val="single" w:color="auto" w:sz="4" w:space="0"/>
            </w:tcBorders>
            <w:vAlign w:val="center"/>
          </w:tcPr>
          <w:p w14:paraId="731F6A27">
            <w:pPr>
              <w:widowControl/>
              <w:jc w:val="left"/>
              <w:rPr>
                <w:rFonts w:hint="eastAsia" w:ascii="宋体" w:hAnsi="宋体" w:cs="宋体"/>
                <w:szCs w:val="21"/>
              </w:rPr>
            </w:pPr>
            <w:r>
              <w:rPr>
                <w:rFonts w:hint="eastAsia" w:ascii="宋体" w:hAnsi="宋体" w:cs="宋体"/>
                <w:szCs w:val="21"/>
              </w:rPr>
              <w:t>Y＜500</w:t>
            </w:r>
          </w:p>
        </w:tc>
      </w:tr>
      <w:tr w14:paraId="44BE2D46">
        <w:tblPrEx>
          <w:tblCellMar>
            <w:top w:w="0" w:type="dxa"/>
            <w:left w:w="108" w:type="dxa"/>
            <w:bottom w:w="0" w:type="dxa"/>
            <w:right w:w="108" w:type="dxa"/>
          </w:tblCellMar>
        </w:tblPrEx>
        <w:trPr>
          <w:trHeight w:val="270" w:hRule="atLeast"/>
          <w:jc w:val="center"/>
        </w:trPr>
        <w:tc>
          <w:tcPr>
            <w:tcW w:w="987" w:type="pct"/>
            <w:vMerge w:val="restart"/>
            <w:tcBorders>
              <w:top w:val="nil"/>
              <w:left w:val="single" w:color="auto" w:sz="4" w:space="0"/>
              <w:bottom w:val="single" w:color="auto" w:sz="4" w:space="0"/>
              <w:right w:val="single" w:color="auto" w:sz="4" w:space="0"/>
            </w:tcBorders>
            <w:vAlign w:val="bottom"/>
          </w:tcPr>
          <w:p w14:paraId="660CD5FC">
            <w:pPr>
              <w:widowControl/>
              <w:jc w:val="center"/>
              <w:rPr>
                <w:rFonts w:hint="eastAsia" w:ascii="宋体" w:hAnsi="宋体" w:cs="宋体"/>
                <w:szCs w:val="21"/>
              </w:rPr>
            </w:pPr>
            <w:r>
              <w:rPr>
                <w:rFonts w:hint="eastAsia" w:ascii="宋体" w:hAnsi="宋体" w:cs="宋体"/>
                <w:szCs w:val="21"/>
              </w:rPr>
              <w:t>租赁和商务服务业</w:t>
            </w:r>
          </w:p>
        </w:tc>
        <w:tc>
          <w:tcPr>
            <w:tcW w:w="862" w:type="pct"/>
            <w:tcBorders>
              <w:top w:val="nil"/>
              <w:left w:val="nil"/>
              <w:bottom w:val="single" w:color="auto" w:sz="4" w:space="0"/>
              <w:right w:val="single" w:color="auto" w:sz="4" w:space="0"/>
            </w:tcBorders>
            <w:vAlign w:val="center"/>
          </w:tcPr>
          <w:p w14:paraId="157A06B5">
            <w:pPr>
              <w:widowControl/>
              <w:jc w:val="left"/>
              <w:rPr>
                <w:rFonts w:hint="eastAsia" w:ascii="宋体" w:hAnsi="宋体" w:cs="宋体"/>
                <w:szCs w:val="21"/>
              </w:rPr>
            </w:pPr>
            <w:r>
              <w:rPr>
                <w:rFonts w:hint="eastAsia" w:ascii="宋体" w:hAnsi="宋体" w:cs="宋体"/>
                <w:szCs w:val="21"/>
              </w:rPr>
              <w:t>从业人员（X）</w:t>
            </w:r>
          </w:p>
        </w:tc>
        <w:tc>
          <w:tcPr>
            <w:tcW w:w="573" w:type="pct"/>
            <w:tcBorders>
              <w:top w:val="nil"/>
              <w:left w:val="nil"/>
              <w:bottom w:val="single" w:color="auto" w:sz="4" w:space="0"/>
              <w:right w:val="single" w:color="auto" w:sz="4" w:space="0"/>
            </w:tcBorders>
            <w:vAlign w:val="center"/>
          </w:tcPr>
          <w:p w14:paraId="055FFF49">
            <w:pPr>
              <w:widowControl/>
              <w:jc w:val="left"/>
              <w:rPr>
                <w:rFonts w:hint="eastAsia" w:ascii="宋体" w:hAnsi="宋体" w:cs="宋体"/>
                <w:szCs w:val="21"/>
              </w:rPr>
            </w:pPr>
            <w:r>
              <w:rPr>
                <w:rFonts w:hint="eastAsia" w:ascii="宋体" w:hAnsi="宋体" w:cs="宋体"/>
                <w:szCs w:val="21"/>
              </w:rPr>
              <w:t>人</w:t>
            </w:r>
          </w:p>
        </w:tc>
        <w:tc>
          <w:tcPr>
            <w:tcW w:w="935" w:type="pct"/>
            <w:tcBorders>
              <w:top w:val="nil"/>
              <w:left w:val="nil"/>
              <w:bottom w:val="single" w:color="auto" w:sz="4" w:space="0"/>
              <w:right w:val="single" w:color="auto" w:sz="4" w:space="0"/>
            </w:tcBorders>
            <w:vAlign w:val="center"/>
          </w:tcPr>
          <w:p w14:paraId="4ED14978">
            <w:pPr>
              <w:widowControl/>
              <w:jc w:val="left"/>
              <w:rPr>
                <w:rFonts w:hint="eastAsia" w:ascii="宋体" w:hAnsi="宋体" w:cs="宋体"/>
                <w:szCs w:val="21"/>
              </w:rPr>
            </w:pPr>
            <w:r>
              <w:rPr>
                <w:rFonts w:hint="eastAsia" w:ascii="宋体" w:hAnsi="宋体" w:cs="宋体"/>
                <w:szCs w:val="21"/>
              </w:rPr>
              <w:t>100≤X＜300</w:t>
            </w:r>
          </w:p>
        </w:tc>
        <w:tc>
          <w:tcPr>
            <w:tcW w:w="998" w:type="pct"/>
            <w:tcBorders>
              <w:top w:val="nil"/>
              <w:left w:val="nil"/>
              <w:bottom w:val="single" w:color="auto" w:sz="4" w:space="0"/>
              <w:right w:val="single" w:color="auto" w:sz="4" w:space="0"/>
            </w:tcBorders>
            <w:vAlign w:val="center"/>
          </w:tcPr>
          <w:p w14:paraId="4DFC520A">
            <w:pPr>
              <w:widowControl/>
              <w:jc w:val="left"/>
              <w:rPr>
                <w:rFonts w:hint="eastAsia" w:ascii="宋体" w:hAnsi="宋体" w:cs="宋体"/>
                <w:szCs w:val="21"/>
              </w:rPr>
            </w:pPr>
            <w:r>
              <w:rPr>
                <w:rFonts w:hint="eastAsia" w:ascii="宋体" w:hAnsi="宋体" w:cs="宋体"/>
                <w:szCs w:val="21"/>
              </w:rPr>
              <w:t>10≤X＜100</w:t>
            </w:r>
          </w:p>
        </w:tc>
        <w:tc>
          <w:tcPr>
            <w:tcW w:w="643" w:type="pct"/>
            <w:tcBorders>
              <w:top w:val="nil"/>
              <w:left w:val="nil"/>
              <w:bottom w:val="single" w:color="auto" w:sz="4" w:space="0"/>
              <w:right w:val="single" w:color="auto" w:sz="4" w:space="0"/>
            </w:tcBorders>
            <w:vAlign w:val="center"/>
          </w:tcPr>
          <w:p w14:paraId="63E4347B">
            <w:pPr>
              <w:widowControl/>
              <w:jc w:val="left"/>
              <w:rPr>
                <w:rFonts w:hint="eastAsia" w:ascii="宋体" w:hAnsi="宋体" w:cs="宋体"/>
                <w:szCs w:val="21"/>
              </w:rPr>
            </w:pPr>
            <w:r>
              <w:rPr>
                <w:rFonts w:hint="eastAsia" w:ascii="宋体" w:hAnsi="宋体" w:cs="宋体"/>
                <w:szCs w:val="21"/>
              </w:rPr>
              <w:t>X＜10</w:t>
            </w:r>
          </w:p>
        </w:tc>
      </w:tr>
      <w:tr w14:paraId="54E3EFA1">
        <w:tblPrEx>
          <w:tblCellMar>
            <w:top w:w="0" w:type="dxa"/>
            <w:left w:w="108" w:type="dxa"/>
            <w:bottom w:w="0" w:type="dxa"/>
            <w:right w:w="108" w:type="dxa"/>
          </w:tblCellMar>
        </w:tblPrEx>
        <w:trPr>
          <w:trHeight w:val="270" w:hRule="atLeast"/>
          <w:jc w:val="center"/>
        </w:trPr>
        <w:tc>
          <w:tcPr>
            <w:tcW w:w="987" w:type="pct"/>
            <w:vMerge w:val="continue"/>
            <w:tcBorders>
              <w:top w:val="nil"/>
              <w:left w:val="single" w:color="auto" w:sz="4" w:space="0"/>
              <w:bottom w:val="single" w:color="auto" w:sz="4" w:space="0"/>
              <w:right w:val="single" w:color="auto" w:sz="4" w:space="0"/>
            </w:tcBorders>
            <w:vAlign w:val="center"/>
          </w:tcPr>
          <w:p w14:paraId="4EDBA10F">
            <w:pPr>
              <w:widowControl/>
              <w:jc w:val="left"/>
              <w:rPr>
                <w:rFonts w:hint="eastAsia" w:ascii="宋体" w:hAnsi="宋体" w:cs="宋体"/>
                <w:szCs w:val="21"/>
              </w:rPr>
            </w:pPr>
          </w:p>
        </w:tc>
        <w:tc>
          <w:tcPr>
            <w:tcW w:w="862" w:type="pct"/>
            <w:tcBorders>
              <w:top w:val="nil"/>
              <w:left w:val="nil"/>
              <w:bottom w:val="single" w:color="auto" w:sz="4" w:space="0"/>
              <w:right w:val="single" w:color="auto" w:sz="4" w:space="0"/>
            </w:tcBorders>
            <w:vAlign w:val="center"/>
          </w:tcPr>
          <w:p w14:paraId="5ABE92FD">
            <w:pPr>
              <w:widowControl/>
              <w:jc w:val="left"/>
              <w:rPr>
                <w:rFonts w:hint="eastAsia" w:ascii="宋体" w:hAnsi="宋体" w:cs="宋体"/>
                <w:szCs w:val="21"/>
              </w:rPr>
            </w:pPr>
            <w:r>
              <w:rPr>
                <w:rFonts w:hint="eastAsia" w:ascii="宋体" w:hAnsi="宋体" w:cs="宋体"/>
                <w:szCs w:val="21"/>
              </w:rPr>
              <w:t>资产总额（Z）</w:t>
            </w:r>
          </w:p>
        </w:tc>
        <w:tc>
          <w:tcPr>
            <w:tcW w:w="573" w:type="pct"/>
            <w:tcBorders>
              <w:top w:val="nil"/>
              <w:left w:val="nil"/>
              <w:bottom w:val="single" w:color="auto" w:sz="4" w:space="0"/>
              <w:right w:val="single" w:color="auto" w:sz="4" w:space="0"/>
            </w:tcBorders>
            <w:vAlign w:val="center"/>
          </w:tcPr>
          <w:p w14:paraId="5C19EC3E">
            <w:pPr>
              <w:widowControl/>
              <w:jc w:val="left"/>
              <w:rPr>
                <w:rFonts w:hint="eastAsia" w:ascii="宋体" w:hAnsi="宋体" w:cs="宋体"/>
                <w:szCs w:val="21"/>
              </w:rPr>
            </w:pPr>
            <w:r>
              <w:rPr>
                <w:rFonts w:hint="eastAsia" w:ascii="宋体" w:hAnsi="宋体" w:cs="宋体"/>
                <w:szCs w:val="21"/>
              </w:rPr>
              <w:t>万元</w:t>
            </w:r>
          </w:p>
        </w:tc>
        <w:tc>
          <w:tcPr>
            <w:tcW w:w="935" w:type="pct"/>
            <w:tcBorders>
              <w:top w:val="nil"/>
              <w:left w:val="nil"/>
              <w:bottom w:val="single" w:color="auto" w:sz="4" w:space="0"/>
              <w:right w:val="single" w:color="auto" w:sz="4" w:space="0"/>
            </w:tcBorders>
            <w:vAlign w:val="center"/>
          </w:tcPr>
          <w:p w14:paraId="6988FBC9">
            <w:pPr>
              <w:widowControl/>
              <w:jc w:val="left"/>
              <w:rPr>
                <w:rFonts w:hint="eastAsia" w:ascii="宋体" w:hAnsi="宋体" w:cs="宋体"/>
                <w:szCs w:val="21"/>
              </w:rPr>
            </w:pPr>
            <w:r>
              <w:rPr>
                <w:rFonts w:hint="eastAsia" w:ascii="宋体" w:hAnsi="宋体" w:cs="宋体"/>
                <w:szCs w:val="21"/>
              </w:rPr>
              <w:t>8000≤Z＜120000</w:t>
            </w:r>
          </w:p>
        </w:tc>
        <w:tc>
          <w:tcPr>
            <w:tcW w:w="998" w:type="pct"/>
            <w:tcBorders>
              <w:top w:val="nil"/>
              <w:left w:val="nil"/>
              <w:bottom w:val="single" w:color="auto" w:sz="4" w:space="0"/>
              <w:right w:val="single" w:color="auto" w:sz="4" w:space="0"/>
            </w:tcBorders>
            <w:vAlign w:val="center"/>
          </w:tcPr>
          <w:p w14:paraId="47303220">
            <w:pPr>
              <w:widowControl/>
              <w:jc w:val="left"/>
              <w:rPr>
                <w:rFonts w:hint="eastAsia" w:ascii="宋体" w:hAnsi="宋体" w:cs="宋体"/>
                <w:szCs w:val="21"/>
              </w:rPr>
            </w:pPr>
            <w:r>
              <w:rPr>
                <w:rFonts w:hint="eastAsia" w:ascii="宋体" w:hAnsi="宋体" w:cs="宋体"/>
                <w:szCs w:val="21"/>
              </w:rPr>
              <w:t>100≤Z＜8000</w:t>
            </w:r>
          </w:p>
        </w:tc>
        <w:tc>
          <w:tcPr>
            <w:tcW w:w="643" w:type="pct"/>
            <w:tcBorders>
              <w:top w:val="nil"/>
              <w:left w:val="nil"/>
              <w:bottom w:val="single" w:color="auto" w:sz="4" w:space="0"/>
              <w:right w:val="single" w:color="auto" w:sz="4" w:space="0"/>
            </w:tcBorders>
            <w:vAlign w:val="center"/>
          </w:tcPr>
          <w:p w14:paraId="1EFFC2E1">
            <w:pPr>
              <w:widowControl/>
              <w:jc w:val="left"/>
              <w:rPr>
                <w:rFonts w:hint="eastAsia" w:ascii="宋体" w:hAnsi="宋体" w:cs="宋体"/>
                <w:szCs w:val="21"/>
              </w:rPr>
            </w:pPr>
            <w:r>
              <w:rPr>
                <w:rFonts w:hint="eastAsia" w:ascii="宋体" w:hAnsi="宋体" w:cs="宋体"/>
                <w:szCs w:val="21"/>
              </w:rPr>
              <w:t>Y＜100</w:t>
            </w:r>
          </w:p>
        </w:tc>
      </w:tr>
      <w:tr w14:paraId="5060D83A">
        <w:tblPrEx>
          <w:tblCellMar>
            <w:top w:w="0" w:type="dxa"/>
            <w:left w:w="108" w:type="dxa"/>
            <w:bottom w:w="0" w:type="dxa"/>
            <w:right w:w="108" w:type="dxa"/>
          </w:tblCellMar>
        </w:tblPrEx>
        <w:trPr>
          <w:trHeight w:val="540" w:hRule="atLeast"/>
          <w:jc w:val="center"/>
        </w:trPr>
        <w:tc>
          <w:tcPr>
            <w:tcW w:w="987" w:type="pct"/>
            <w:tcBorders>
              <w:top w:val="nil"/>
              <w:left w:val="single" w:color="auto" w:sz="4" w:space="0"/>
              <w:bottom w:val="single" w:color="auto" w:sz="4" w:space="0"/>
              <w:right w:val="single" w:color="auto" w:sz="4" w:space="0"/>
            </w:tcBorders>
            <w:vAlign w:val="bottom"/>
          </w:tcPr>
          <w:p w14:paraId="476CCEAD">
            <w:pPr>
              <w:widowControl/>
              <w:jc w:val="center"/>
              <w:rPr>
                <w:rFonts w:hint="eastAsia" w:ascii="宋体" w:hAnsi="宋体" w:cs="宋体"/>
                <w:szCs w:val="21"/>
              </w:rPr>
            </w:pPr>
            <w:r>
              <w:rPr>
                <w:rFonts w:hint="eastAsia" w:ascii="宋体" w:hAnsi="宋体" w:cs="宋体"/>
                <w:szCs w:val="21"/>
              </w:rPr>
              <w:t>其他未列明行业</w:t>
            </w:r>
          </w:p>
        </w:tc>
        <w:tc>
          <w:tcPr>
            <w:tcW w:w="862" w:type="pct"/>
            <w:tcBorders>
              <w:top w:val="nil"/>
              <w:left w:val="nil"/>
              <w:bottom w:val="single" w:color="auto" w:sz="4" w:space="0"/>
              <w:right w:val="single" w:color="auto" w:sz="4" w:space="0"/>
            </w:tcBorders>
            <w:vAlign w:val="center"/>
          </w:tcPr>
          <w:p w14:paraId="34419EDC">
            <w:pPr>
              <w:widowControl/>
              <w:jc w:val="left"/>
              <w:rPr>
                <w:rFonts w:hint="eastAsia" w:ascii="宋体" w:hAnsi="宋体" w:cs="宋体"/>
                <w:szCs w:val="21"/>
              </w:rPr>
            </w:pPr>
            <w:r>
              <w:rPr>
                <w:rFonts w:hint="eastAsia" w:ascii="宋体" w:hAnsi="宋体" w:cs="宋体"/>
                <w:szCs w:val="21"/>
              </w:rPr>
              <w:t>从业人员（X）</w:t>
            </w:r>
          </w:p>
        </w:tc>
        <w:tc>
          <w:tcPr>
            <w:tcW w:w="573" w:type="pct"/>
            <w:tcBorders>
              <w:top w:val="nil"/>
              <w:left w:val="nil"/>
              <w:bottom w:val="single" w:color="auto" w:sz="4" w:space="0"/>
              <w:right w:val="single" w:color="auto" w:sz="4" w:space="0"/>
            </w:tcBorders>
            <w:vAlign w:val="center"/>
          </w:tcPr>
          <w:p w14:paraId="547839DC">
            <w:pPr>
              <w:widowControl/>
              <w:jc w:val="left"/>
              <w:rPr>
                <w:rFonts w:hint="eastAsia" w:ascii="宋体" w:hAnsi="宋体" w:cs="宋体"/>
                <w:szCs w:val="21"/>
              </w:rPr>
            </w:pPr>
            <w:r>
              <w:rPr>
                <w:rFonts w:hint="eastAsia" w:ascii="宋体" w:hAnsi="宋体" w:cs="宋体"/>
                <w:szCs w:val="21"/>
              </w:rPr>
              <w:t>人</w:t>
            </w:r>
          </w:p>
        </w:tc>
        <w:tc>
          <w:tcPr>
            <w:tcW w:w="935" w:type="pct"/>
            <w:tcBorders>
              <w:top w:val="nil"/>
              <w:left w:val="nil"/>
              <w:bottom w:val="single" w:color="auto" w:sz="4" w:space="0"/>
              <w:right w:val="single" w:color="auto" w:sz="4" w:space="0"/>
            </w:tcBorders>
            <w:vAlign w:val="center"/>
          </w:tcPr>
          <w:p w14:paraId="235081E5">
            <w:pPr>
              <w:widowControl/>
              <w:jc w:val="left"/>
              <w:rPr>
                <w:rFonts w:hint="eastAsia" w:ascii="宋体" w:hAnsi="宋体" w:cs="宋体"/>
                <w:szCs w:val="21"/>
              </w:rPr>
            </w:pPr>
            <w:r>
              <w:rPr>
                <w:rFonts w:hint="eastAsia" w:ascii="宋体" w:hAnsi="宋体" w:cs="宋体"/>
                <w:szCs w:val="21"/>
              </w:rPr>
              <w:t>100≤X＜300</w:t>
            </w:r>
          </w:p>
        </w:tc>
        <w:tc>
          <w:tcPr>
            <w:tcW w:w="998" w:type="pct"/>
            <w:tcBorders>
              <w:top w:val="nil"/>
              <w:left w:val="nil"/>
              <w:bottom w:val="single" w:color="auto" w:sz="4" w:space="0"/>
              <w:right w:val="single" w:color="auto" w:sz="4" w:space="0"/>
            </w:tcBorders>
            <w:vAlign w:val="center"/>
          </w:tcPr>
          <w:p w14:paraId="6293E0EB">
            <w:pPr>
              <w:widowControl/>
              <w:jc w:val="left"/>
              <w:rPr>
                <w:rFonts w:hint="eastAsia" w:ascii="宋体" w:hAnsi="宋体" w:cs="宋体"/>
                <w:szCs w:val="21"/>
              </w:rPr>
            </w:pPr>
            <w:r>
              <w:rPr>
                <w:rFonts w:hint="eastAsia" w:ascii="宋体" w:hAnsi="宋体" w:cs="宋体"/>
                <w:szCs w:val="21"/>
              </w:rPr>
              <w:t>10≤X＜100</w:t>
            </w:r>
          </w:p>
        </w:tc>
        <w:tc>
          <w:tcPr>
            <w:tcW w:w="643" w:type="pct"/>
            <w:tcBorders>
              <w:top w:val="nil"/>
              <w:left w:val="nil"/>
              <w:bottom w:val="single" w:color="auto" w:sz="4" w:space="0"/>
              <w:right w:val="single" w:color="auto" w:sz="4" w:space="0"/>
            </w:tcBorders>
            <w:vAlign w:val="center"/>
          </w:tcPr>
          <w:p w14:paraId="5E287016">
            <w:pPr>
              <w:widowControl/>
              <w:jc w:val="left"/>
              <w:rPr>
                <w:rFonts w:hint="eastAsia" w:ascii="宋体" w:hAnsi="宋体" w:cs="宋体"/>
                <w:szCs w:val="21"/>
              </w:rPr>
            </w:pPr>
            <w:r>
              <w:rPr>
                <w:rFonts w:hint="eastAsia" w:ascii="宋体" w:hAnsi="宋体" w:cs="宋体"/>
                <w:szCs w:val="21"/>
              </w:rPr>
              <w:t>X＜10</w:t>
            </w:r>
          </w:p>
        </w:tc>
      </w:tr>
    </w:tbl>
    <w:p w14:paraId="2E5419EA">
      <w:pPr>
        <w:pStyle w:val="4"/>
        <w:keepNext w:val="0"/>
        <w:keepLines w:val="0"/>
        <w:tabs>
          <w:tab w:val="left" w:pos="0"/>
          <w:tab w:val="left" w:pos="3165"/>
          <w:tab w:val="center" w:pos="4153"/>
        </w:tabs>
        <w:autoSpaceDE w:val="0"/>
        <w:autoSpaceDN w:val="0"/>
        <w:adjustRightInd w:val="0"/>
        <w:spacing w:before="0" w:after="0" w:line="360" w:lineRule="auto"/>
        <w:jc w:val="center"/>
        <w:rPr>
          <w:sz w:val="24"/>
          <w:szCs w:val="24"/>
        </w:rPr>
      </w:pPr>
    </w:p>
    <w:p w14:paraId="6B72EE9C">
      <w:pPr>
        <w:pStyle w:val="4"/>
        <w:keepNext w:val="0"/>
        <w:keepLines w:val="0"/>
        <w:tabs>
          <w:tab w:val="left" w:pos="0"/>
          <w:tab w:val="left" w:pos="3165"/>
          <w:tab w:val="center" w:pos="4153"/>
        </w:tabs>
        <w:autoSpaceDE w:val="0"/>
        <w:autoSpaceDN w:val="0"/>
        <w:adjustRightInd w:val="0"/>
        <w:spacing w:before="0" w:after="0" w:line="360" w:lineRule="auto"/>
        <w:jc w:val="left"/>
        <w:rPr>
          <w:rFonts w:hint="eastAsia" w:ascii="宋体" w:hAnsi="宋体" w:cs="宋体"/>
          <w:b w:val="0"/>
          <w:bCs w:val="0"/>
          <w:kern w:val="2"/>
          <w:sz w:val="21"/>
          <w:szCs w:val="21"/>
        </w:rPr>
      </w:pPr>
      <w:r>
        <w:rPr>
          <w:rFonts w:hint="eastAsia" w:ascii="宋体" w:hAnsi="宋体" w:cs="宋体"/>
          <w:b w:val="0"/>
          <w:bCs w:val="0"/>
          <w:kern w:val="2"/>
          <w:sz w:val="21"/>
          <w:szCs w:val="21"/>
        </w:rPr>
        <w:t xml:space="preserve">说明：上述标准参照《关于印发中小企业划型标准规定的通知》（工信部联企业[2011]300号），大型、中型和小型企业须同时满足所列指标的下限，否则下划一档；微型企业只须满足所列指标中的一项即可。 </w:t>
      </w:r>
    </w:p>
    <w:p w14:paraId="3338D740">
      <w:pPr>
        <w:pStyle w:val="4"/>
        <w:keepNext w:val="0"/>
        <w:keepLines w:val="0"/>
        <w:tabs>
          <w:tab w:val="left" w:pos="0"/>
          <w:tab w:val="left" w:pos="3165"/>
          <w:tab w:val="center" w:pos="4153"/>
        </w:tabs>
        <w:autoSpaceDE w:val="0"/>
        <w:autoSpaceDN w:val="0"/>
        <w:adjustRightInd w:val="0"/>
        <w:spacing w:before="0" w:after="0" w:line="360" w:lineRule="auto"/>
        <w:jc w:val="center"/>
      </w:pPr>
      <w:bookmarkStart w:id="41" w:name="_Toc187937695"/>
      <w:r>
        <w:rPr>
          <w:rFonts w:hint="eastAsia"/>
        </w:rPr>
        <w:t>第三章  投标人须知</w:t>
      </w:r>
      <w:bookmarkEnd w:id="41"/>
    </w:p>
    <w:p w14:paraId="26A68067">
      <w:pPr>
        <w:jc w:val="center"/>
        <w:rPr>
          <w:sz w:val="36"/>
          <w:szCs w:val="36"/>
        </w:rPr>
      </w:pPr>
      <w:bookmarkStart w:id="42" w:name="_Toc254970526"/>
      <w:bookmarkStart w:id="43" w:name="_Toc254970667"/>
      <w:r>
        <w:rPr>
          <w:rFonts w:hint="eastAsia"/>
          <w:sz w:val="36"/>
          <w:szCs w:val="36"/>
        </w:rPr>
        <w:t>投标人须知前附表</w:t>
      </w:r>
      <w:bookmarkEnd w:id="42"/>
      <w:bookmarkEnd w:id="43"/>
    </w:p>
    <w:tbl>
      <w:tblPr>
        <w:tblStyle w:val="36"/>
        <w:tblW w:w="4999"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29"/>
        <w:gridCol w:w="7789"/>
      </w:tblGrid>
      <w:tr w14:paraId="3D5410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5C98B433">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条款号</w:t>
            </w:r>
          </w:p>
        </w:tc>
        <w:tc>
          <w:tcPr>
            <w:tcW w:w="4466" w:type="pct"/>
            <w:tcBorders>
              <w:top w:val="single" w:color="auto" w:sz="4" w:space="0"/>
              <w:left w:val="single" w:color="auto" w:sz="4" w:space="0"/>
              <w:bottom w:val="single" w:color="auto" w:sz="4" w:space="0"/>
              <w:right w:val="single" w:color="auto" w:sz="4" w:space="0"/>
            </w:tcBorders>
            <w:vAlign w:val="center"/>
          </w:tcPr>
          <w:p w14:paraId="6945FEFD">
            <w:pPr>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编列内容</w:t>
            </w:r>
          </w:p>
        </w:tc>
      </w:tr>
      <w:tr w14:paraId="4BEAC9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5D06B0E9">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p>
        </w:tc>
        <w:tc>
          <w:tcPr>
            <w:tcW w:w="4466" w:type="pct"/>
            <w:tcBorders>
              <w:top w:val="single" w:color="auto" w:sz="4" w:space="0"/>
              <w:left w:val="single" w:color="auto" w:sz="4" w:space="0"/>
              <w:bottom w:val="single" w:color="auto" w:sz="4" w:space="0"/>
              <w:right w:val="single" w:color="auto" w:sz="4" w:space="0"/>
            </w:tcBorders>
            <w:vAlign w:val="center"/>
          </w:tcPr>
          <w:p w14:paraId="64BDC4E4">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投标人的资格要求详见招标公告。</w:t>
            </w:r>
          </w:p>
          <w:p w14:paraId="5F374E65">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投标人出现下列情形之一的，不得参加政府采购活动。</w:t>
            </w:r>
          </w:p>
          <w:p w14:paraId="67C76449">
            <w:pPr>
              <w:snapToGrid w:val="0"/>
              <w:spacing w:line="360" w:lineRule="auto"/>
              <w:jc w:val="left"/>
              <w:rPr>
                <w:rFonts w:hint="eastAsia" w:ascii="宋体" w:hAnsi="宋体"/>
                <w:color w:val="auto"/>
                <w:szCs w:val="21"/>
                <w:highlight w:val="none"/>
              </w:rPr>
            </w:pPr>
            <w:r>
              <w:rPr>
                <w:rFonts w:ascii="宋体" w:hAnsi="宋体"/>
                <w:color w:val="auto"/>
                <w:szCs w:val="21"/>
                <w:highlight w:val="none"/>
              </w:rPr>
              <w:t>2.1</w:t>
            </w:r>
            <w:r>
              <w:rPr>
                <w:rFonts w:hint="eastAsia" w:ascii="宋体" w:hAnsi="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75F3E6D">
            <w:pPr>
              <w:snapToGrid w:val="0"/>
              <w:spacing w:line="360" w:lineRule="auto"/>
              <w:jc w:val="left"/>
              <w:rPr>
                <w:rFonts w:hint="eastAsia" w:ascii="宋体" w:hAnsi="宋体"/>
                <w:color w:val="auto"/>
                <w:szCs w:val="21"/>
                <w:highlight w:val="none"/>
              </w:rPr>
            </w:pPr>
            <w:r>
              <w:rPr>
                <w:rFonts w:ascii="宋体" w:hAnsi="宋体"/>
                <w:color w:val="auto"/>
                <w:szCs w:val="21"/>
                <w:highlight w:val="none"/>
              </w:rPr>
              <w:t>2.2</w:t>
            </w:r>
            <w:r>
              <w:rPr>
                <w:rFonts w:hint="eastAsia" w:ascii="宋体" w:hAnsi="宋体"/>
                <w:color w:val="auto"/>
                <w:szCs w:val="21"/>
                <w:highlight w:val="none"/>
              </w:rPr>
              <w:t>对在“信用中国”网站（www.creditchina.gov.cn） 、中国政府采购网（www.ccgp.gov.cn）重大税收违法失信主体、政府采购严重违法失信行为记录名单、中国执行信息公开网（https://zxgk.court.gov.cn/）被列入失信被执行人及其他不符合《中华人民共和国政府采购法》第二十二条规定条件的供应商，不得参与政府采购活动。</w:t>
            </w:r>
          </w:p>
        </w:tc>
      </w:tr>
      <w:tr w14:paraId="789B2D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094A5851">
            <w:pPr>
              <w:spacing w:line="360" w:lineRule="auto"/>
              <w:jc w:val="center"/>
              <w:rPr>
                <w:rFonts w:hint="eastAsia" w:ascii="宋体" w:hAnsi="宋体"/>
                <w:color w:val="auto"/>
                <w:szCs w:val="21"/>
                <w:highlight w:val="none"/>
              </w:rPr>
            </w:pPr>
            <w:bookmarkStart w:id="44" w:name="_9.2"/>
            <w:bookmarkEnd w:id="44"/>
            <w:bookmarkStart w:id="45" w:name="_5"/>
            <w:bookmarkEnd w:id="45"/>
            <w:bookmarkStart w:id="46" w:name="_8.1"/>
            <w:bookmarkEnd w:id="46"/>
            <w:r>
              <w:rPr>
                <w:rFonts w:hint="eastAsia" w:ascii="宋体" w:hAnsi="宋体"/>
                <w:color w:val="auto"/>
                <w:szCs w:val="21"/>
                <w:highlight w:val="none"/>
              </w:rPr>
              <w:t>6.1</w:t>
            </w:r>
          </w:p>
        </w:tc>
        <w:tc>
          <w:tcPr>
            <w:tcW w:w="4466" w:type="pct"/>
            <w:tcBorders>
              <w:top w:val="single" w:color="auto" w:sz="4" w:space="0"/>
              <w:left w:val="single" w:color="auto" w:sz="4" w:space="0"/>
              <w:bottom w:val="single" w:color="auto" w:sz="4" w:space="0"/>
              <w:right w:val="single" w:color="auto" w:sz="4" w:space="0"/>
            </w:tcBorders>
            <w:vAlign w:val="center"/>
          </w:tcPr>
          <w:p w14:paraId="042ACA2F">
            <w:pPr>
              <w:pStyle w:val="13"/>
              <w:spacing w:line="360" w:lineRule="auto"/>
              <w:rPr>
                <w:rFonts w:hint="eastAsia" w:ascii="宋体" w:hAnsi="宋体"/>
                <w:color w:val="auto"/>
                <w:szCs w:val="21"/>
                <w:highlight w:val="none"/>
              </w:rPr>
            </w:pPr>
            <w:r>
              <w:rPr>
                <w:rFonts w:hint="eastAsia" w:ascii="宋体" w:hAnsi="宋体"/>
                <w:color w:val="auto"/>
                <w:szCs w:val="21"/>
                <w:highlight w:val="none"/>
              </w:rPr>
              <w:t>本项目是否接受联合体投标：详见招标公告。</w:t>
            </w:r>
          </w:p>
        </w:tc>
      </w:tr>
      <w:tr w14:paraId="102697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74367C21">
            <w:pPr>
              <w:spacing w:line="360" w:lineRule="auto"/>
              <w:jc w:val="center"/>
              <w:rPr>
                <w:rFonts w:hint="eastAsia" w:ascii="宋体" w:hAnsi="宋体"/>
                <w:color w:val="auto"/>
                <w:szCs w:val="21"/>
                <w:highlight w:val="none"/>
              </w:rPr>
            </w:pPr>
            <w:r>
              <w:rPr>
                <w:rFonts w:ascii="宋体" w:hAnsi="宋体"/>
                <w:color w:val="auto"/>
                <w:szCs w:val="21"/>
                <w:highlight w:val="none"/>
              </w:rPr>
              <w:t>6.2</w:t>
            </w:r>
          </w:p>
        </w:tc>
        <w:tc>
          <w:tcPr>
            <w:tcW w:w="4466" w:type="pct"/>
            <w:tcBorders>
              <w:top w:val="single" w:color="auto" w:sz="4" w:space="0"/>
              <w:left w:val="single" w:color="auto" w:sz="4" w:space="0"/>
              <w:bottom w:val="single" w:color="auto" w:sz="4" w:space="0"/>
              <w:right w:val="single" w:color="auto" w:sz="4" w:space="0"/>
            </w:tcBorders>
            <w:vAlign w:val="center"/>
          </w:tcPr>
          <w:p w14:paraId="6945017C">
            <w:pPr>
              <w:pStyle w:val="13"/>
              <w:spacing w:line="360" w:lineRule="auto"/>
              <w:rPr>
                <w:rFonts w:hint="eastAsia" w:ascii="宋体" w:hAnsi="宋体"/>
                <w:color w:val="auto"/>
                <w:szCs w:val="21"/>
                <w:highlight w:val="none"/>
              </w:rPr>
            </w:pPr>
            <w:bookmarkStart w:id="47" w:name="_Hlk54105293"/>
            <w:r>
              <w:rPr>
                <w:rFonts w:hint="eastAsia" w:ascii="宋体" w:hAnsi="宋体"/>
                <w:color w:val="auto"/>
                <w:szCs w:val="21"/>
                <w:highlight w:val="none"/>
              </w:rPr>
              <w:t>如接受联合体投标，</w:t>
            </w:r>
            <w:bookmarkEnd w:id="47"/>
            <w:r>
              <w:rPr>
                <w:rFonts w:hint="eastAsia" w:ascii="宋体" w:hAnsi="宋体"/>
                <w:color w:val="auto"/>
                <w:szCs w:val="21"/>
                <w:highlight w:val="none"/>
              </w:rPr>
              <w:t>联合体投标要求如下：</w:t>
            </w:r>
          </w:p>
          <w:p w14:paraId="1756E9DC">
            <w:pPr>
              <w:pStyle w:val="13"/>
              <w:spacing w:line="360" w:lineRule="auto"/>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两个以上投标人可以组成一个投标联合体，以一个投标人的身份共同参加投标。联合体投标的，须提供《联合体投标协议书》（格式后附）。</w:t>
            </w:r>
          </w:p>
          <w:p w14:paraId="7C566167">
            <w:pPr>
              <w:pStyle w:val="13"/>
              <w:spacing w:line="360" w:lineRule="auto"/>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18E3AD5F">
            <w:pPr>
              <w:pStyle w:val="13"/>
              <w:spacing w:line="360" w:lineRule="auto"/>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联合体各方之间必须签订联合投标协议，协议书必须明确主体方（或者牵头方）并明确约定联合体各方承担的工作和相应的责任（</w:t>
            </w:r>
            <w:r>
              <w:rPr>
                <w:rFonts w:hint="eastAsia" w:ascii="宋体" w:hAnsi="宋体"/>
                <w:b/>
                <w:color w:val="auto"/>
                <w:szCs w:val="21"/>
                <w:highlight w:val="none"/>
              </w:rPr>
              <w:t>各方承担责任与义务的分工必须符合采购需求，否则，联合体投标无效</w:t>
            </w:r>
            <w:r>
              <w:rPr>
                <w:rFonts w:hint="eastAsia" w:ascii="宋体" w:hAnsi="宋体"/>
                <w:color w:val="auto"/>
                <w:szCs w:val="21"/>
                <w:highlight w:val="none"/>
              </w:rPr>
              <w:t>），并将联合投标协议放入投标文件。联合体各方必须共同与采购人签订采购合同，就采购合同约定的事项对采购人承担连带责任。</w:t>
            </w:r>
          </w:p>
          <w:p w14:paraId="717EE036">
            <w:pPr>
              <w:pStyle w:val="13"/>
              <w:spacing w:line="360" w:lineRule="auto"/>
              <w:rPr>
                <w:rFonts w:hint="eastAsia"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以联合体形式参加政府采购活动的，联合体各方不得再单独参加或者与其他投标人另外组成联合体参加同一合同项下的政府采购活动。</w:t>
            </w:r>
          </w:p>
          <w:p w14:paraId="2B6C7B7E">
            <w:pPr>
              <w:pStyle w:val="13"/>
              <w:spacing w:line="360" w:lineRule="auto"/>
              <w:rPr>
                <w:rFonts w:hint="eastAsia"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联合体中有同类资质的投标人按照联合体分工承担相同工作的，应当按照资质等级较低的投标人确定资质等级。</w:t>
            </w:r>
          </w:p>
          <w:p w14:paraId="7BCA5E9F">
            <w:pPr>
              <w:pStyle w:val="13"/>
              <w:spacing w:line="360" w:lineRule="auto"/>
              <w:rPr>
                <w:rFonts w:hint="eastAsia"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联合体投标业绩、履约能力按照联合体各方其中较高的一方认定并计算（招标文件另有规定的除外）。</w:t>
            </w:r>
          </w:p>
          <w:p w14:paraId="1D9CEF67">
            <w:pPr>
              <w:pStyle w:val="13"/>
              <w:spacing w:line="360" w:lineRule="auto"/>
              <w:rPr>
                <w:rFonts w:hint="eastAsia"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w:t>
            </w:r>
            <w:r>
              <w:rPr>
                <w:rFonts w:hint="eastAsia" w:ascii="宋体" w:hAnsi="宋体"/>
                <w:color w:val="auto"/>
                <w:szCs w:val="21"/>
                <w:highlight w:val="none"/>
              </w:rPr>
              <w:t>投标人为联合体的，可以由联合体中的一方或者多方共同交纳投标保证金，其交纳的保证金对联合体各方均具有约束力。</w:t>
            </w:r>
          </w:p>
          <w:p w14:paraId="2898FCCA">
            <w:pPr>
              <w:pStyle w:val="13"/>
              <w:spacing w:line="360" w:lineRule="auto"/>
              <w:rPr>
                <w:rFonts w:hint="eastAsia" w:ascii="宋体" w:hAnsi="宋体"/>
                <w:color w:val="auto"/>
                <w:szCs w:val="21"/>
                <w:highlight w:val="none"/>
              </w:rPr>
            </w:pPr>
            <w:r>
              <w:rPr>
                <w:rFonts w:hint="eastAsia" w:ascii="宋体" w:hAnsi="宋体"/>
                <w:color w:val="auto"/>
                <w:szCs w:val="21"/>
                <w:highlight w:val="none"/>
              </w:rPr>
              <w:t>8</w:t>
            </w:r>
            <w:r>
              <w:rPr>
                <w:rFonts w:ascii="宋体" w:hAnsi="宋体"/>
                <w:color w:val="auto"/>
                <w:szCs w:val="21"/>
                <w:highlight w:val="none"/>
              </w:rPr>
              <w:t>.</w:t>
            </w:r>
            <w:r>
              <w:rPr>
                <w:rFonts w:hint="eastAsia" w:ascii="宋体" w:hAnsi="宋体"/>
                <w:color w:val="auto"/>
                <w:szCs w:val="21"/>
                <w:highlight w:val="none"/>
              </w:rPr>
              <w:t>联合体各方均应按照招标文件的规定提交资格证明文件。</w:t>
            </w:r>
          </w:p>
        </w:tc>
      </w:tr>
      <w:tr w14:paraId="7B8029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33A0BC9E">
            <w:pPr>
              <w:spacing w:line="360" w:lineRule="auto"/>
              <w:jc w:val="center"/>
              <w:rPr>
                <w:rFonts w:hint="eastAsia" w:ascii="宋体" w:hAnsi="宋体"/>
                <w:color w:val="auto"/>
                <w:szCs w:val="21"/>
                <w:highlight w:val="none"/>
              </w:rPr>
            </w:pPr>
            <w:r>
              <w:rPr>
                <w:rFonts w:hint="eastAsia" w:ascii="宋体" w:hAnsi="宋体"/>
                <w:color w:val="auto"/>
                <w:szCs w:val="21"/>
                <w:highlight w:val="none"/>
              </w:rPr>
              <w:t>7.2</w:t>
            </w:r>
          </w:p>
        </w:tc>
        <w:tc>
          <w:tcPr>
            <w:tcW w:w="4466" w:type="pct"/>
            <w:tcBorders>
              <w:top w:val="single" w:color="auto" w:sz="4" w:space="0"/>
              <w:left w:val="single" w:color="auto" w:sz="4" w:space="0"/>
              <w:bottom w:val="single" w:color="auto" w:sz="4" w:space="0"/>
              <w:right w:val="single" w:color="auto" w:sz="4" w:space="0"/>
            </w:tcBorders>
            <w:vAlign w:val="center"/>
          </w:tcPr>
          <w:p w14:paraId="3870C3BA">
            <w:pPr>
              <w:pStyle w:val="13"/>
              <w:spacing w:line="360" w:lineRule="auto"/>
              <w:rPr>
                <w:rFonts w:hint="eastAsia" w:ascii="宋体" w:hAnsi="宋体"/>
                <w:color w:val="auto"/>
                <w:szCs w:val="21"/>
                <w:highlight w:val="none"/>
              </w:rPr>
            </w:pPr>
            <w:r>
              <w:rPr>
                <w:rFonts w:hint="eastAsia" w:ascii="宋体" w:hAnsi="宋体"/>
                <w:color w:val="auto"/>
                <w:szCs w:val="21"/>
                <w:highlight w:val="none"/>
              </w:rPr>
              <w:t>√不允许分包</w:t>
            </w:r>
          </w:p>
          <w:p w14:paraId="5911979A">
            <w:pPr>
              <w:pStyle w:val="13"/>
              <w:spacing w:line="360" w:lineRule="auto"/>
              <w:rPr>
                <w:rFonts w:hint="eastAsia" w:ascii="宋体" w:hAnsi="宋体"/>
                <w:color w:val="auto"/>
                <w:szCs w:val="21"/>
                <w:highlight w:val="none"/>
              </w:rPr>
            </w:pPr>
            <w:r>
              <w:rPr>
                <w:rFonts w:hint="eastAsia" w:ascii="宋体" w:hAnsi="宋体"/>
                <w:color w:val="auto"/>
                <w:szCs w:val="21"/>
                <w:highlight w:val="none"/>
              </w:rPr>
              <w:t>□允许分包</w:t>
            </w:r>
          </w:p>
          <w:p w14:paraId="12F1D167">
            <w:pPr>
              <w:pStyle w:val="13"/>
              <w:spacing w:line="360" w:lineRule="auto"/>
              <w:rPr>
                <w:rFonts w:hint="eastAsia" w:ascii="宋体" w:hAnsi="宋体"/>
                <w:color w:val="auto"/>
                <w:szCs w:val="21"/>
                <w:highlight w:val="none"/>
                <w:u w:val="single"/>
              </w:rPr>
            </w:pPr>
            <w:r>
              <w:rPr>
                <w:rFonts w:hint="eastAsia" w:ascii="宋体" w:hAnsi="宋体"/>
                <w:color w:val="auto"/>
                <w:szCs w:val="21"/>
                <w:highlight w:val="none"/>
              </w:rPr>
              <w:t>分包内容：</w:t>
            </w:r>
            <w:r>
              <w:rPr>
                <w:rFonts w:hint="eastAsia" w:ascii="宋体" w:hAnsi="宋体"/>
                <w:color w:val="auto"/>
                <w:szCs w:val="21"/>
                <w:highlight w:val="none"/>
                <w:u w:val="single"/>
              </w:rPr>
              <w:t xml:space="preserve">                                     。</w:t>
            </w:r>
          </w:p>
          <w:p w14:paraId="61FB29D1">
            <w:pPr>
              <w:pStyle w:val="13"/>
              <w:spacing w:line="360" w:lineRule="auto"/>
              <w:jc w:val="both"/>
              <w:rPr>
                <w:rFonts w:hint="eastAsia" w:ascii="宋体" w:hAnsi="宋体"/>
                <w:color w:val="auto"/>
                <w:szCs w:val="21"/>
                <w:highlight w:val="none"/>
                <w:u w:val="single"/>
              </w:rPr>
            </w:pPr>
            <w:r>
              <w:rPr>
                <w:rFonts w:hint="eastAsia" w:ascii="宋体" w:hAnsi="宋体"/>
                <w:color w:val="auto"/>
                <w:szCs w:val="21"/>
                <w:highlight w:val="none"/>
              </w:rPr>
              <w:t>分包金额或者比例：</w:t>
            </w:r>
            <w:r>
              <w:rPr>
                <w:rFonts w:hint="eastAsia" w:ascii="宋体" w:hAnsi="宋体"/>
                <w:color w:val="auto"/>
                <w:szCs w:val="21"/>
                <w:highlight w:val="none"/>
                <w:u w:val="single"/>
              </w:rPr>
              <w:t xml:space="preserve">                                     。</w:t>
            </w:r>
          </w:p>
        </w:tc>
      </w:tr>
      <w:tr w14:paraId="7A12C4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6" w:hRule="atLeast"/>
        </w:trPr>
        <w:tc>
          <w:tcPr>
            <w:tcW w:w="533" w:type="pct"/>
            <w:vMerge w:val="restart"/>
            <w:tcBorders>
              <w:top w:val="single" w:color="auto" w:sz="4" w:space="0"/>
              <w:left w:val="single" w:color="auto" w:sz="4" w:space="0"/>
              <w:right w:val="single" w:color="auto" w:sz="4" w:space="0"/>
            </w:tcBorders>
            <w:vAlign w:val="center"/>
          </w:tcPr>
          <w:p w14:paraId="7EB636D7">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1.2</w:t>
            </w:r>
          </w:p>
        </w:tc>
        <w:tc>
          <w:tcPr>
            <w:tcW w:w="4466" w:type="pct"/>
            <w:tcBorders>
              <w:top w:val="single" w:color="auto" w:sz="4" w:space="0"/>
              <w:left w:val="single" w:color="auto" w:sz="4" w:space="0"/>
              <w:bottom w:val="single" w:color="auto" w:sz="4" w:space="0"/>
              <w:right w:val="single" w:color="auto" w:sz="4" w:space="0"/>
            </w:tcBorders>
            <w:vAlign w:val="center"/>
          </w:tcPr>
          <w:p w14:paraId="2F62D94E">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√不组织现场考察</w:t>
            </w:r>
          </w:p>
          <w:p w14:paraId="7E376145">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□组织现场考察：</w:t>
            </w:r>
          </w:p>
          <w:p w14:paraId="2D9B8F66">
            <w:pPr>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rPr>
              <w:t>集中时间：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，逾期后果自负。集中地点：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43D9154B">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联系人：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；联系电话：</w:t>
            </w:r>
            <w:r>
              <w:rPr>
                <w:rFonts w:ascii="宋体" w:hAnsi="宋体"/>
                <w:color w:val="auto"/>
                <w:szCs w:val="21"/>
                <w:highlight w:val="none"/>
                <w:u w:val="single"/>
              </w:rPr>
              <w:t xml:space="preserve">                </w:t>
            </w:r>
          </w:p>
        </w:tc>
      </w:tr>
      <w:tr w14:paraId="346F8A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03" w:hRule="atLeast"/>
        </w:trPr>
        <w:tc>
          <w:tcPr>
            <w:tcW w:w="533" w:type="pct"/>
            <w:vMerge w:val="continue"/>
            <w:tcBorders>
              <w:left w:val="single" w:color="auto" w:sz="4" w:space="0"/>
              <w:bottom w:val="single" w:color="auto" w:sz="4" w:space="0"/>
              <w:right w:val="single" w:color="auto" w:sz="4" w:space="0"/>
            </w:tcBorders>
            <w:vAlign w:val="center"/>
          </w:tcPr>
          <w:p w14:paraId="3D187F8D">
            <w:pPr>
              <w:spacing w:line="360" w:lineRule="auto"/>
              <w:jc w:val="center"/>
              <w:rPr>
                <w:rFonts w:hint="eastAsia" w:ascii="宋体" w:hAnsi="宋体"/>
                <w:color w:val="auto"/>
                <w:szCs w:val="21"/>
                <w:highlight w:val="none"/>
              </w:rPr>
            </w:pPr>
          </w:p>
        </w:tc>
        <w:tc>
          <w:tcPr>
            <w:tcW w:w="4466" w:type="pct"/>
            <w:tcBorders>
              <w:top w:val="single" w:color="auto" w:sz="4" w:space="0"/>
              <w:left w:val="single" w:color="auto" w:sz="4" w:space="0"/>
              <w:bottom w:val="single" w:color="auto" w:sz="4" w:space="0"/>
              <w:right w:val="single" w:color="auto" w:sz="4" w:space="0"/>
            </w:tcBorders>
            <w:vAlign w:val="center"/>
          </w:tcPr>
          <w:p w14:paraId="6FE20F86">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√不组织召开开标前答疑会</w:t>
            </w:r>
          </w:p>
          <w:p w14:paraId="4E7A7693">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□组织召开开标前答疑会</w:t>
            </w:r>
          </w:p>
          <w:p w14:paraId="4B23B8A6">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会议开始时间：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，逾期后果自负。会议地点：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tc>
      </w:tr>
      <w:tr w14:paraId="464919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vMerge w:val="restart"/>
            <w:tcBorders>
              <w:top w:val="single" w:color="auto" w:sz="4" w:space="0"/>
              <w:left w:val="single" w:color="auto" w:sz="4" w:space="0"/>
              <w:right w:val="single" w:color="auto" w:sz="4" w:space="0"/>
            </w:tcBorders>
            <w:vAlign w:val="center"/>
          </w:tcPr>
          <w:p w14:paraId="3624142D">
            <w:pPr>
              <w:spacing w:line="360" w:lineRule="auto"/>
              <w:rPr>
                <w:rFonts w:hint="eastAsia" w:ascii="宋体" w:hAnsi="宋体"/>
                <w:color w:val="auto"/>
                <w:szCs w:val="21"/>
                <w:highlight w:val="none"/>
              </w:rPr>
            </w:pPr>
            <w:bookmarkStart w:id="48" w:name="_13.1"/>
            <w:bookmarkEnd w:id="48"/>
            <w:r>
              <w:rPr>
                <w:rFonts w:hint="eastAsia" w:ascii="宋体" w:hAnsi="宋体"/>
                <w:color w:val="auto"/>
                <w:szCs w:val="21"/>
                <w:highlight w:val="none"/>
              </w:rPr>
              <w:t>13</w:t>
            </w:r>
          </w:p>
        </w:tc>
        <w:tc>
          <w:tcPr>
            <w:tcW w:w="4466" w:type="pct"/>
            <w:tcBorders>
              <w:top w:val="single" w:color="auto" w:sz="4" w:space="0"/>
              <w:left w:val="single" w:color="auto" w:sz="4" w:space="0"/>
              <w:bottom w:val="single" w:color="auto" w:sz="4" w:space="0"/>
              <w:right w:val="single" w:color="auto" w:sz="4" w:space="0"/>
            </w:tcBorders>
            <w:vAlign w:val="center"/>
          </w:tcPr>
          <w:p w14:paraId="2126D5F8">
            <w:pPr>
              <w:snapToGrid w:val="0"/>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报价文件：</w:t>
            </w:r>
          </w:p>
          <w:p w14:paraId="69EB59D7">
            <w:pPr>
              <w:tabs>
                <w:tab w:val="left" w:pos="459"/>
              </w:tabs>
              <w:snapToGrid w:val="0"/>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1.投标函（格式后附）；</w:t>
            </w:r>
            <w:r>
              <w:rPr>
                <w:rFonts w:hint="eastAsia" w:ascii="宋体" w:hAnsi="宋体"/>
                <w:b/>
                <w:color w:val="auto"/>
                <w:szCs w:val="21"/>
                <w:highlight w:val="none"/>
              </w:rPr>
              <w:t>（必须提供，否则按无效投标处理）</w:t>
            </w:r>
          </w:p>
          <w:p w14:paraId="04E289A4">
            <w:pPr>
              <w:tabs>
                <w:tab w:val="left" w:pos="459"/>
              </w:tabs>
              <w:snapToGrid w:val="0"/>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2.开标一览表（格式后附）； （</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1C707B6">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3.供应商享受中小企业扶持政策的材料（供应商根据自身响应情况，提供以下任意一项材料以证明自身可享受中小企业扶持政策）（如有）； </w:t>
            </w:r>
          </w:p>
          <w:p w14:paraId="4B7F8E42">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（1）《中小企业声明函》（格式后附）； </w:t>
            </w:r>
          </w:p>
          <w:p w14:paraId="77815C35">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（2）《残疾人福利性单位声明函》（格式后附） </w:t>
            </w:r>
          </w:p>
          <w:p w14:paraId="38BB531E">
            <w:pPr>
              <w:tabs>
                <w:tab w:val="left" w:pos="459"/>
              </w:tabs>
              <w:snapToGrid w:val="0"/>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（3）省级以上监狱管理局、戒毒管理局(含新疆生产建设兵团)出具的属于监狱企业的证明文件。</w:t>
            </w:r>
          </w:p>
          <w:p w14:paraId="0570751A">
            <w:pPr>
              <w:tabs>
                <w:tab w:val="left" w:pos="15"/>
              </w:tabs>
              <w:snapToGrid w:val="0"/>
              <w:spacing w:line="360" w:lineRule="auto"/>
              <w:ind w:left="15" w:firstLine="403" w:firstLineChars="191"/>
              <w:jc w:val="left"/>
              <w:rPr>
                <w:rFonts w:hint="eastAsia" w:ascii="宋体" w:hAnsi="宋体"/>
                <w:color w:val="auto"/>
                <w:szCs w:val="21"/>
                <w:highlight w:val="none"/>
              </w:rPr>
            </w:pPr>
            <w:r>
              <w:rPr>
                <w:rFonts w:hint="eastAsia" w:ascii="宋体" w:hAnsi="宋体" w:cs="宋体"/>
                <w:b/>
                <w:color w:val="auto"/>
                <w:szCs w:val="21"/>
                <w:highlight w:val="none"/>
              </w:rPr>
              <w:t>注：</w:t>
            </w:r>
            <w:r>
              <w:rPr>
                <w:rFonts w:hint="eastAsia" w:ascii="宋体" w:hAnsi="宋体"/>
                <w:b/>
                <w:bCs/>
                <w:color w:val="auto"/>
                <w:szCs w:val="21"/>
                <w:highlight w:val="none"/>
              </w:rPr>
              <w:t>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b/>
                <w:bCs/>
                <w:color w:val="auto"/>
                <w:szCs w:val="21"/>
                <w:highlight w:val="none"/>
              </w:rPr>
              <w:t>，否则按无效投标</w:t>
            </w:r>
            <w:r>
              <w:rPr>
                <w:rFonts w:hint="eastAsia" w:ascii="宋体" w:hAnsi="宋体" w:cs="Courier New"/>
                <w:b/>
                <w:color w:val="auto"/>
                <w:szCs w:val="21"/>
                <w:highlight w:val="none"/>
              </w:rPr>
              <w:t>处理。</w:t>
            </w:r>
          </w:p>
        </w:tc>
      </w:tr>
      <w:tr w14:paraId="5327FB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vMerge w:val="continue"/>
            <w:tcBorders>
              <w:left w:val="single" w:color="auto" w:sz="4" w:space="0"/>
              <w:right w:val="single" w:color="auto" w:sz="4" w:space="0"/>
            </w:tcBorders>
            <w:vAlign w:val="center"/>
          </w:tcPr>
          <w:p w14:paraId="7D6BA4CA">
            <w:pPr>
              <w:spacing w:line="360" w:lineRule="auto"/>
              <w:rPr>
                <w:rFonts w:hint="eastAsia" w:ascii="宋体" w:hAnsi="宋体"/>
                <w:color w:val="auto"/>
                <w:szCs w:val="21"/>
                <w:highlight w:val="none"/>
              </w:rPr>
            </w:pPr>
            <w:bookmarkStart w:id="49" w:name="_13.2"/>
            <w:bookmarkEnd w:id="49"/>
          </w:p>
        </w:tc>
        <w:tc>
          <w:tcPr>
            <w:tcW w:w="4466" w:type="pct"/>
            <w:tcBorders>
              <w:top w:val="single" w:color="auto" w:sz="4" w:space="0"/>
              <w:left w:val="single" w:color="auto" w:sz="4" w:space="0"/>
              <w:bottom w:val="single" w:color="auto" w:sz="4" w:space="0"/>
              <w:right w:val="single" w:color="auto" w:sz="4" w:space="0"/>
            </w:tcBorders>
            <w:vAlign w:val="center"/>
          </w:tcPr>
          <w:p w14:paraId="259DE580">
            <w:pPr>
              <w:snapToGrid w:val="0"/>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资格证明文件</w:t>
            </w:r>
          </w:p>
          <w:p w14:paraId="357A2CC1">
            <w:pPr>
              <w:snapToGrid w:val="0"/>
              <w:spacing w:line="360" w:lineRule="auto"/>
              <w:ind w:firstLine="420" w:firstLineChars="200"/>
              <w:jc w:val="left"/>
              <w:rPr>
                <w:rFonts w:hint="eastAsia" w:ascii="宋体" w:hAnsi="宋体" w:cs="Courier New"/>
                <w:b/>
                <w:color w:val="auto"/>
                <w:szCs w:val="21"/>
                <w:highlight w:val="none"/>
              </w:rPr>
            </w:pPr>
            <w:r>
              <w:rPr>
                <w:rFonts w:hint="eastAsia" w:ascii="宋体" w:hAnsi="宋体"/>
                <w:color w:val="auto"/>
                <w:szCs w:val="21"/>
                <w:highlight w:val="none"/>
              </w:rPr>
              <w:t>1.投标人为法人或者其他组织的，提供营业执照等证明文件</w:t>
            </w:r>
            <w:r>
              <w:rPr>
                <w:rFonts w:hint="eastAsia" w:ascii="宋体" w:hAnsi="宋体" w:cs="宋体"/>
                <w:color w:val="auto"/>
                <w:szCs w:val="21"/>
                <w:highlight w:val="none"/>
              </w:rPr>
              <w:t>（如营业执照或者事业单位法人证书或者</w:t>
            </w:r>
            <w:r>
              <w:rPr>
                <w:rStyle w:val="75"/>
                <w:color w:val="auto"/>
                <w:sz w:val="21"/>
                <w:szCs w:val="21"/>
                <w:highlight w:val="none"/>
              </w:rPr>
              <w:t>执业许可证</w:t>
            </w:r>
            <w:r>
              <w:rPr>
                <w:rFonts w:hint="eastAsia" w:ascii="宋体" w:hAnsi="宋体" w:cs="宋体"/>
                <w:color w:val="auto"/>
                <w:szCs w:val="21"/>
                <w:highlight w:val="none"/>
              </w:rPr>
              <w:t>或者登记证书等）</w:t>
            </w:r>
            <w:r>
              <w:rPr>
                <w:rFonts w:hint="eastAsia" w:ascii="宋体" w:hAnsi="宋体"/>
                <w:color w:val="auto"/>
                <w:szCs w:val="21"/>
                <w:highlight w:val="none"/>
              </w:rPr>
              <w:t>，投标人为自然人的，提供身份证</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B13A601">
            <w:pPr>
              <w:snapToGrid w:val="0"/>
              <w:spacing w:line="360" w:lineRule="auto"/>
              <w:ind w:firstLine="420" w:firstLineChars="200"/>
              <w:jc w:val="left"/>
              <w:rPr>
                <w:rFonts w:hint="eastAsia" w:ascii="宋体" w:hAnsi="宋体" w:cs="Courier New"/>
                <w:b/>
                <w:color w:val="auto"/>
                <w:szCs w:val="21"/>
                <w:highlight w:val="none"/>
              </w:rPr>
            </w:pPr>
            <w:r>
              <w:rPr>
                <w:rFonts w:hint="eastAsia" w:ascii="宋体" w:hAnsi="宋体" w:cs="宋体"/>
                <w:color w:val="auto"/>
                <w:szCs w:val="21"/>
                <w:highlight w:val="none"/>
              </w:rPr>
              <w:t>2. 投标人依法缴纳税收的相关材料（提交投标文件截止时间前半年内连续1个月）的依法缴纳税收的</w:t>
            </w:r>
            <w:r>
              <w:rPr>
                <w:rFonts w:hint="eastAsia"/>
                <w:color w:val="auto"/>
                <w:highlight w:val="none"/>
              </w:rPr>
              <w:t>证明材料</w:t>
            </w:r>
            <w:r>
              <w:rPr>
                <w:rFonts w:hint="eastAsia" w:ascii="宋体" w:hAnsi="宋体" w:cs="宋体"/>
                <w:color w:val="auto"/>
                <w:szCs w:val="21"/>
                <w:highlight w:val="none"/>
              </w:rPr>
              <w:t>复印件；</w:t>
            </w:r>
            <w:r>
              <w:rPr>
                <w:rFonts w:hint="eastAsia" w:ascii="宋体" w:hAnsi="宋体"/>
                <w:color w:val="auto"/>
                <w:szCs w:val="21"/>
                <w:highlight w:val="none"/>
              </w:rPr>
              <w:t>依法免税的供应商，</w:t>
            </w:r>
            <w:r>
              <w:rPr>
                <w:rFonts w:hint="eastAsia"/>
                <w:color w:val="auto"/>
                <w:highlight w:val="none"/>
              </w:rPr>
              <w:t>必须提供符合免税条件的证明材料</w:t>
            </w:r>
            <w:r>
              <w:rPr>
                <w:rFonts w:hint="eastAsia" w:ascii="宋体" w:hAnsi="宋体"/>
                <w:color w:val="auto"/>
                <w:szCs w:val="21"/>
                <w:highlight w:val="none"/>
              </w:rPr>
              <w:t>。</w:t>
            </w:r>
            <w:r>
              <w:rPr>
                <w:rFonts w:hint="eastAsia" w:ascii="宋体" w:hAnsi="宋体" w:cs="宋体"/>
                <w:color w:val="auto"/>
                <w:szCs w:val="21"/>
                <w:highlight w:val="none"/>
              </w:rPr>
              <w:t>从</w:t>
            </w:r>
            <w:r>
              <w:rPr>
                <w:rFonts w:hint="eastAsia"/>
                <w:color w:val="auto"/>
                <w:szCs w:val="21"/>
                <w:highlight w:val="none"/>
              </w:rPr>
              <w:t>成立之日</w:t>
            </w:r>
            <w:r>
              <w:rPr>
                <w:rFonts w:hint="eastAsia" w:ascii="宋体" w:hAnsi="宋体" w:cs="宋体"/>
                <w:color w:val="auto"/>
                <w:szCs w:val="21"/>
                <w:highlight w:val="none"/>
              </w:rPr>
              <w:t>起到投标文件提交截止时间止不足要求月数的，只需提供从</w:t>
            </w:r>
            <w:r>
              <w:rPr>
                <w:rFonts w:hint="eastAsia"/>
                <w:color w:val="auto"/>
                <w:szCs w:val="21"/>
                <w:highlight w:val="none"/>
              </w:rPr>
              <w:t>成立之日起</w:t>
            </w:r>
            <w:r>
              <w:rPr>
                <w:rFonts w:hint="eastAsia" w:ascii="宋体" w:hAnsi="宋体" w:cs="宋体"/>
                <w:color w:val="auto"/>
                <w:szCs w:val="21"/>
                <w:highlight w:val="none"/>
              </w:rPr>
              <w:t>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BD44F8D">
            <w:pPr>
              <w:snapToGrid w:val="0"/>
              <w:spacing w:line="360" w:lineRule="auto"/>
              <w:ind w:firstLine="420" w:firstLineChars="200"/>
              <w:jc w:val="left"/>
              <w:rPr>
                <w:rFonts w:hint="eastAsia" w:ascii="宋体" w:hAnsi="宋体" w:cs="Courier New"/>
                <w:b/>
                <w:color w:val="auto"/>
                <w:szCs w:val="21"/>
                <w:highlight w:val="none"/>
              </w:rPr>
            </w:pPr>
            <w:r>
              <w:rPr>
                <w:rFonts w:hint="eastAsia" w:ascii="宋体" w:hAnsi="宋体" w:cs="宋体"/>
                <w:color w:val="auto"/>
                <w:szCs w:val="21"/>
                <w:highlight w:val="none"/>
              </w:rPr>
              <w:t>3. 投标人依法缴纳社会保障资金的相关材料（提交投标文件截止时间前半年内连续1个月）的依法缴纳社会保障资金的缴费</w:t>
            </w:r>
            <w:r>
              <w:rPr>
                <w:rFonts w:hint="eastAsia"/>
                <w:color w:val="auto"/>
                <w:highlight w:val="none"/>
              </w:rPr>
              <w:t>证明材料</w:t>
            </w:r>
            <w:r>
              <w:rPr>
                <w:rFonts w:hint="eastAsia" w:ascii="宋体" w:hAnsi="宋体" w:cs="宋体"/>
                <w:color w:val="auto"/>
                <w:szCs w:val="21"/>
                <w:highlight w:val="none"/>
              </w:rPr>
              <w:t>（</w:t>
            </w:r>
            <w:r>
              <w:rPr>
                <w:rFonts w:hint="eastAsia"/>
                <w:color w:val="auto"/>
                <w:highlight w:val="none"/>
              </w:rPr>
              <w:t>如：</w:t>
            </w:r>
            <w:r>
              <w:rPr>
                <w:rFonts w:hint="eastAsia" w:ascii="宋体" w:hAnsi="宋体" w:cs="宋体"/>
                <w:color w:val="auto"/>
                <w:szCs w:val="21"/>
                <w:highlight w:val="none"/>
              </w:rPr>
              <w:t>专用收据、社会保险缴纳清单或者社保部门的证明）复印件；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w:t>
            </w:r>
            <w:r>
              <w:rPr>
                <w:rFonts w:hint="eastAsia"/>
                <w:color w:val="auto"/>
                <w:szCs w:val="21"/>
                <w:highlight w:val="none"/>
              </w:rPr>
              <w:t>成立之日起</w:t>
            </w:r>
            <w:r>
              <w:rPr>
                <w:rFonts w:hint="eastAsia" w:ascii="宋体" w:hAnsi="宋体" w:cs="宋体"/>
                <w:color w:val="auto"/>
                <w:szCs w:val="21"/>
                <w:highlight w:val="none"/>
              </w:rPr>
              <w:t>到投标文件提交截止时间止不足要求月数的只需提供从</w:t>
            </w:r>
            <w:r>
              <w:rPr>
                <w:rFonts w:hint="eastAsia"/>
                <w:color w:val="auto"/>
                <w:szCs w:val="21"/>
                <w:highlight w:val="none"/>
              </w:rPr>
              <w:t>成立之日起</w:t>
            </w:r>
            <w:r>
              <w:rPr>
                <w:rFonts w:hint="eastAsia" w:ascii="宋体" w:hAnsi="宋体" w:cs="宋体"/>
                <w:color w:val="auto"/>
                <w:szCs w:val="21"/>
                <w:highlight w:val="none"/>
              </w:rPr>
              <w:t>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AFCB03D">
            <w:pPr>
              <w:snapToGrid w:val="0"/>
              <w:spacing w:line="360" w:lineRule="auto"/>
              <w:ind w:firstLine="420" w:firstLineChars="200"/>
              <w:jc w:val="left"/>
              <w:rPr>
                <w:rFonts w:hint="eastAsia" w:ascii="宋体" w:hAnsi="宋体" w:cs="Courier New"/>
                <w:b/>
                <w:color w:val="auto"/>
                <w:szCs w:val="21"/>
                <w:highlight w:val="none"/>
              </w:rPr>
            </w:pPr>
            <w:r>
              <w:rPr>
                <w:rFonts w:hint="eastAsia" w:ascii="宋体" w:hAnsi="宋体" w:cs="宋体"/>
                <w:color w:val="auto"/>
                <w:szCs w:val="21"/>
                <w:highlight w:val="none"/>
              </w:rPr>
              <w:t>4.投标人</w:t>
            </w:r>
            <w:r>
              <w:rPr>
                <w:rFonts w:hint="eastAsia"/>
                <w:color w:val="auto"/>
                <w:szCs w:val="21"/>
                <w:highlight w:val="none"/>
              </w:rPr>
              <w:t>财务状况报告</w:t>
            </w:r>
            <w:r>
              <w:rPr>
                <w:rStyle w:val="43"/>
                <w:rFonts w:hint="eastAsia"/>
                <w:color w:val="auto"/>
                <w:highlight w:val="none"/>
              </w:rPr>
              <w:t>2025年度</w:t>
            </w:r>
            <w:r>
              <w:rPr>
                <w:rFonts w:hint="eastAsia"/>
                <w:color w:val="auto"/>
                <w:szCs w:val="21"/>
                <w:highlight w:val="none"/>
              </w:rPr>
              <w:t>财务报表复印件，或者银行出具的资信证明，或者中国人民银行征信中心出具的信用报告（企业投标的提供企业信用报告，自然人投标的提供个人信用报告</w:t>
            </w:r>
            <w:r>
              <w:rPr>
                <w:rFonts w:hint="eastAsia"/>
                <w:color w:val="auto"/>
                <w:highlight w:val="none"/>
              </w:rPr>
              <w:t>，</w:t>
            </w:r>
            <w:r>
              <w:rPr>
                <w:rFonts w:hint="eastAsia" w:ascii="宋体" w:hAnsi="宋体"/>
                <w:color w:val="auto"/>
                <w:highlight w:val="none"/>
              </w:rPr>
              <w:t>投标人属于成立时间在规定年度之后的法人或其他组织，</w:t>
            </w:r>
            <w:r>
              <w:rPr>
                <w:rFonts w:hint="eastAsia"/>
                <w:color w:val="auto"/>
                <w:highlight w:val="none"/>
              </w:rPr>
              <w:t>需提供成立之日起至投标截止时间前的月报表</w:t>
            </w:r>
            <w:r>
              <w:rPr>
                <w:rFonts w:hint="eastAsia"/>
                <w:color w:val="auto"/>
                <w:szCs w:val="21"/>
                <w:highlight w:val="none"/>
              </w:rPr>
              <w:t>或银行出具的资信证明或者中国人民银行征信中心出具的企业信用报告；资信证明应在有效期内，未注明有效期的，银行出具时间至投标截止时间不超过一年）；</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1B01C9BD">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5.投标人直接控股信息表、投标人直接管理关系信息表（格式后附）；（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EA50644">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6.投标声明（格式后附）；（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BEE37CC">
            <w:pPr>
              <w:snapToGrid w:val="0"/>
              <w:spacing w:line="360" w:lineRule="auto"/>
              <w:ind w:firstLine="420" w:firstLineChars="200"/>
              <w:jc w:val="left"/>
              <w:rPr>
                <w:rFonts w:hint="eastAsia" w:ascii="宋体" w:hAnsi="宋体" w:cs="Courier New"/>
                <w:b/>
                <w:color w:val="auto"/>
                <w:szCs w:val="21"/>
                <w:highlight w:val="none"/>
              </w:rPr>
            </w:pPr>
            <w:r>
              <w:rPr>
                <w:rFonts w:hint="eastAsia" w:ascii="宋体" w:hAnsi="宋体"/>
                <w:color w:val="auto"/>
                <w:szCs w:val="21"/>
                <w:highlight w:val="none"/>
              </w:rPr>
              <w:t>7.除招标文件规定必须提供以外，投标人认为需要提供的其他证明材料。</w:t>
            </w:r>
          </w:p>
          <w:p w14:paraId="4CDF3F76">
            <w:pPr>
              <w:snapToGrid w:val="0"/>
              <w:spacing w:line="360" w:lineRule="auto"/>
              <w:ind w:left="413"/>
              <w:jc w:val="left"/>
              <w:rPr>
                <w:rFonts w:hint="eastAsia" w:ascii="宋体" w:hAnsi="宋体"/>
                <w:color w:val="auto"/>
                <w:szCs w:val="21"/>
                <w:highlight w:val="none"/>
              </w:rPr>
            </w:pPr>
          </w:p>
          <w:p w14:paraId="2B926E1B">
            <w:pPr>
              <w:snapToGrid w:val="0"/>
              <w:spacing w:line="360" w:lineRule="auto"/>
              <w:jc w:val="left"/>
              <w:rPr>
                <w:rFonts w:hint="eastAsia" w:ascii="宋体" w:hAnsi="宋体" w:cs="Courier New"/>
                <w:b/>
                <w:color w:val="auto"/>
                <w:szCs w:val="21"/>
                <w:highlight w:val="none"/>
              </w:rPr>
            </w:pPr>
            <w:r>
              <w:rPr>
                <w:rFonts w:hint="eastAsia" w:ascii="宋体" w:hAnsi="宋体"/>
                <w:b/>
                <w:bCs/>
                <w:color w:val="auto"/>
                <w:szCs w:val="21"/>
                <w:highlight w:val="none"/>
              </w:rPr>
              <w:t>注：1.</w:t>
            </w:r>
            <w:r>
              <w:rPr>
                <w:rFonts w:hint="eastAsia" w:ascii="宋体" w:hAnsi="宋体"/>
                <w:color w:val="auto"/>
                <w:szCs w:val="21"/>
                <w:highlight w:val="none"/>
              </w:rPr>
              <w:t xml:space="preserve"> </w:t>
            </w:r>
            <w:r>
              <w:rPr>
                <w:rFonts w:hint="eastAsia" w:ascii="宋体" w:hAnsi="宋体"/>
                <w:b/>
                <w:bCs/>
                <w:color w:val="auto"/>
                <w:szCs w:val="21"/>
                <w:highlight w:val="none"/>
              </w:rPr>
              <w:t>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b/>
                <w:bCs/>
                <w:color w:val="auto"/>
                <w:szCs w:val="21"/>
                <w:highlight w:val="none"/>
              </w:rPr>
              <w:t>，否则按无效投标</w:t>
            </w:r>
            <w:r>
              <w:rPr>
                <w:rFonts w:hint="eastAsia" w:ascii="宋体" w:hAnsi="宋体" w:cs="Courier New"/>
                <w:b/>
                <w:color w:val="auto"/>
                <w:szCs w:val="21"/>
                <w:highlight w:val="none"/>
              </w:rPr>
              <w:t>处理。</w:t>
            </w:r>
          </w:p>
          <w:p w14:paraId="2B96CC4A">
            <w:pPr>
              <w:snapToGrid w:val="0"/>
              <w:spacing w:line="360" w:lineRule="auto"/>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2.联合体投标时，第1-6项资格证明文件联合体各方均必须分别提供，</w:t>
            </w:r>
            <w:r>
              <w:rPr>
                <w:rFonts w:hint="eastAsia"/>
                <w:b/>
                <w:color w:val="auto"/>
                <w:highlight w:val="none"/>
              </w:rPr>
              <w:t>并由</w:t>
            </w:r>
            <w:r>
              <w:rPr>
                <w:rFonts w:hint="eastAsia" w:ascii="宋体" w:hAnsi="宋体" w:cs="宋体"/>
                <w:b/>
                <w:color w:val="auto"/>
                <w:szCs w:val="21"/>
                <w:highlight w:val="none"/>
              </w:rPr>
              <w:t>联合体</w:t>
            </w:r>
            <w:r>
              <w:rPr>
                <w:rFonts w:hint="eastAsia"/>
                <w:b/>
                <w:color w:val="auto"/>
                <w:highlight w:val="none"/>
              </w:rPr>
              <w:t>牵头人加盖电子签章</w:t>
            </w:r>
            <w:r>
              <w:rPr>
                <w:rFonts w:hint="eastAsia" w:ascii="宋体" w:hAnsi="宋体" w:cs="宋体"/>
                <w:b/>
                <w:color w:val="auto"/>
                <w:szCs w:val="21"/>
                <w:highlight w:val="none"/>
              </w:rPr>
              <w:t>，</w:t>
            </w:r>
            <w:r>
              <w:rPr>
                <w:rFonts w:hint="eastAsia"/>
                <w:b/>
                <w:color w:val="auto"/>
                <w:highlight w:val="none"/>
              </w:rPr>
              <w:t>规定签字</w:t>
            </w:r>
            <w:r>
              <w:rPr>
                <w:rFonts w:hint="eastAsia" w:ascii="宋体" w:hAnsi="宋体" w:cs="宋体"/>
                <w:b/>
                <w:color w:val="auto"/>
                <w:szCs w:val="21"/>
                <w:highlight w:val="none"/>
              </w:rPr>
              <w:t>处签字</w:t>
            </w:r>
            <w:r>
              <w:rPr>
                <w:rFonts w:hint="eastAsia" w:ascii="宋体" w:hAnsi="宋体"/>
                <w:b/>
                <w:bCs/>
                <w:color w:val="auto"/>
                <w:szCs w:val="21"/>
                <w:highlight w:val="none"/>
              </w:rPr>
              <w:t>（或者电子签名），否则按无效投标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tc>
      </w:tr>
      <w:tr w14:paraId="3F8019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vMerge w:val="continue"/>
            <w:tcBorders>
              <w:left w:val="single" w:color="auto" w:sz="4" w:space="0"/>
              <w:right w:val="single" w:color="auto" w:sz="4" w:space="0"/>
            </w:tcBorders>
            <w:vAlign w:val="center"/>
          </w:tcPr>
          <w:p w14:paraId="3FE7C4A0">
            <w:pPr>
              <w:spacing w:line="360" w:lineRule="auto"/>
              <w:rPr>
                <w:rFonts w:hint="eastAsia" w:ascii="宋体" w:hAnsi="宋体"/>
                <w:color w:val="auto"/>
                <w:szCs w:val="21"/>
                <w:highlight w:val="none"/>
              </w:rPr>
            </w:pPr>
            <w:bookmarkStart w:id="50" w:name="_13.3"/>
            <w:bookmarkEnd w:id="50"/>
          </w:p>
        </w:tc>
        <w:tc>
          <w:tcPr>
            <w:tcW w:w="4466" w:type="pct"/>
            <w:tcBorders>
              <w:top w:val="single" w:color="auto" w:sz="4" w:space="0"/>
              <w:left w:val="single" w:color="auto" w:sz="4" w:space="0"/>
              <w:bottom w:val="single" w:color="auto" w:sz="4" w:space="0"/>
              <w:right w:val="single" w:color="auto" w:sz="4" w:space="0"/>
            </w:tcBorders>
            <w:vAlign w:val="center"/>
          </w:tcPr>
          <w:p w14:paraId="396EFC47">
            <w:pPr>
              <w:snapToGrid w:val="0"/>
              <w:spacing w:line="360" w:lineRule="auto"/>
              <w:jc w:val="left"/>
              <w:rPr>
                <w:rFonts w:hint="eastAsia" w:ascii="宋体" w:hAnsi="宋体" w:cs="Courier New"/>
                <w:b/>
                <w:color w:val="auto"/>
                <w:szCs w:val="21"/>
                <w:highlight w:val="none"/>
              </w:rPr>
            </w:pPr>
            <w:r>
              <w:rPr>
                <w:rFonts w:hint="eastAsia"/>
                <w:b/>
                <w:color w:val="auto"/>
                <w:kern w:val="0"/>
                <w:highlight w:val="none"/>
              </w:rPr>
              <w:t>商务及技术文件</w:t>
            </w:r>
            <w:r>
              <w:rPr>
                <w:rFonts w:hint="eastAsia" w:ascii="宋体" w:hAnsi="宋体" w:cs="Courier New"/>
                <w:b/>
                <w:color w:val="auto"/>
                <w:szCs w:val="21"/>
                <w:highlight w:val="none"/>
              </w:rPr>
              <w:t>：</w:t>
            </w:r>
          </w:p>
          <w:p w14:paraId="71D0F493">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1.无串通投标行为的承诺函（格式后附）；（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843A1DC">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2.投标保证金提交凭证；（</w:t>
            </w:r>
            <w:r>
              <w:rPr>
                <w:rFonts w:hint="eastAsia"/>
                <w:b/>
                <w:bCs/>
                <w:color w:val="auto"/>
                <w:highlight w:val="none"/>
              </w:rPr>
              <w:t>必须提供</w:t>
            </w:r>
            <w:r>
              <w:rPr>
                <w:rFonts w:hint="eastAsia" w:ascii="宋体" w:hAnsi="宋体"/>
                <w:b/>
                <w:color w:val="auto"/>
                <w:szCs w:val="21"/>
                <w:highlight w:val="none"/>
              </w:rPr>
              <w:t>，否则按无效投标处理</w:t>
            </w:r>
            <w:r>
              <w:rPr>
                <w:rFonts w:hint="eastAsia" w:ascii="宋体" w:hAnsi="宋体"/>
                <w:color w:val="auto"/>
                <w:szCs w:val="21"/>
                <w:highlight w:val="none"/>
              </w:rPr>
              <w:t>）</w:t>
            </w:r>
          </w:p>
          <w:p w14:paraId="55A57BDE">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3.法定代表人身份证明及法定代表人有效身份证正反面复印件（格式后附）；（</w:t>
            </w:r>
            <w:r>
              <w:rPr>
                <w:rFonts w:hint="eastAsia" w:ascii="宋体" w:hAnsi="宋体" w:cs="宋体"/>
                <w:b/>
                <w:bCs/>
                <w:color w:val="auto"/>
                <w:szCs w:val="21"/>
                <w:highlight w:val="none"/>
              </w:rPr>
              <w:t>除自然人投标外</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488DD2BB">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4.授权委托书及委托代理人有效身份证正反面复印件（格式后附）；（</w:t>
            </w:r>
            <w:r>
              <w:rPr>
                <w:rFonts w:hint="eastAsia" w:ascii="宋体" w:hAnsi="宋体"/>
                <w:b/>
                <w:color w:val="auto"/>
                <w:szCs w:val="21"/>
                <w:highlight w:val="none"/>
              </w:rPr>
              <w:t>委托时必须提供，否则按无效投标处理</w:t>
            </w:r>
            <w:r>
              <w:rPr>
                <w:rFonts w:hint="eastAsia" w:ascii="宋体" w:hAnsi="宋体"/>
                <w:color w:val="auto"/>
                <w:szCs w:val="21"/>
                <w:highlight w:val="none"/>
              </w:rPr>
              <w:t>）</w:t>
            </w:r>
          </w:p>
          <w:p w14:paraId="03DA3D08">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商务要求偏离表（格式后附）；（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6664215D">
            <w:pPr>
              <w:snapToGrid w:val="0"/>
              <w:spacing w:line="360" w:lineRule="auto"/>
              <w:ind w:left="413"/>
              <w:jc w:val="left"/>
              <w:rPr>
                <w:rFonts w:hint="eastAsia"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.售后服务承诺（格式自拟）；（</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A60D53D">
            <w:pPr>
              <w:snapToGrid w:val="0"/>
              <w:spacing w:line="360" w:lineRule="auto"/>
              <w:ind w:left="413"/>
              <w:jc w:val="left"/>
              <w:rPr>
                <w:rFonts w:hint="eastAsia"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.投标人情况介绍（格式自拟）；</w:t>
            </w:r>
          </w:p>
          <w:p w14:paraId="5FE14094">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8.代理服务费承诺书（格式后附）；（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5F77492D">
            <w:pPr>
              <w:snapToGrid w:val="0"/>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9.技术要求偏离表（格式后附）；（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E3F3443">
            <w:pPr>
              <w:snapToGrid w:val="0"/>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 xml:space="preserve">10.服务方案（格式自拟）； </w:t>
            </w:r>
          </w:p>
          <w:p w14:paraId="59C4E447">
            <w:pPr>
              <w:snapToGrid w:val="0"/>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 xml:space="preserve">11.项目实施人员一览表（格式后附）； </w:t>
            </w:r>
          </w:p>
          <w:p w14:paraId="71764E08">
            <w:pPr>
              <w:snapToGrid w:val="0"/>
              <w:spacing w:line="360" w:lineRule="auto"/>
              <w:ind w:left="420"/>
              <w:jc w:val="left"/>
              <w:rPr>
                <w:rFonts w:hint="eastAsia" w:ascii="宋体" w:hAnsi="宋体"/>
                <w:color w:val="auto"/>
                <w:szCs w:val="21"/>
                <w:highlight w:val="none"/>
              </w:rPr>
            </w:pPr>
            <w:r>
              <w:rPr>
                <w:rFonts w:hint="eastAsia" w:ascii="宋体" w:hAnsi="宋体"/>
                <w:color w:val="auto"/>
                <w:szCs w:val="21"/>
                <w:highlight w:val="none"/>
              </w:rPr>
              <w:t>12.投标人对本项目的合理化建议和改进措施（格式自拟）；</w:t>
            </w:r>
          </w:p>
          <w:p w14:paraId="629C8BBB">
            <w:pPr>
              <w:snapToGrid w:val="0"/>
              <w:spacing w:line="360" w:lineRule="auto"/>
              <w:ind w:left="413"/>
              <w:jc w:val="left"/>
              <w:rPr>
                <w:rFonts w:hint="eastAsia" w:ascii="宋体" w:hAnsi="宋体"/>
                <w:color w:val="auto"/>
                <w:szCs w:val="21"/>
                <w:highlight w:val="none"/>
              </w:rPr>
            </w:pPr>
            <w:r>
              <w:rPr>
                <w:rFonts w:hint="eastAsia" w:ascii="宋体" w:hAnsi="宋体"/>
                <w:color w:val="auto"/>
                <w:szCs w:val="21"/>
                <w:highlight w:val="none"/>
              </w:rPr>
              <w:t>13.除招标文件规定必须提供以外，投标人认为需要提供的其他证明材料（格式自拟）。（投标人根据“第二章 采购需求”及“第四章 评标方法及评标标准”提供有关证明材料）。</w:t>
            </w:r>
          </w:p>
          <w:p w14:paraId="2AA96478">
            <w:pPr>
              <w:snapToGrid w:val="0"/>
              <w:spacing w:line="360" w:lineRule="auto"/>
              <w:jc w:val="left"/>
              <w:rPr>
                <w:rFonts w:hint="eastAsia" w:ascii="宋体" w:hAnsi="宋体" w:cs="Courier New"/>
                <w:b/>
                <w:color w:val="auto"/>
                <w:szCs w:val="21"/>
                <w:highlight w:val="none"/>
              </w:rPr>
            </w:pPr>
            <w:r>
              <w:rPr>
                <w:rFonts w:hint="eastAsia" w:ascii="宋体" w:hAnsi="宋体"/>
                <w:b/>
                <w:bCs/>
                <w:color w:val="auto"/>
                <w:szCs w:val="21"/>
                <w:highlight w:val="none"/>
              </w:rPr>
              <w:t>注：以上标明“必须提供”的材料，格式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b/>
                <w:bCs/>
                <w:color w:val="auto"/>
                <w:szCs w:val="21"/>
                <w:highlight w:val="none"/>
              </w:rPr>
              <w:t>，否则按无效投标</w:t>
            </w:r>
            <w:r>
              <w:rPr>
                <w:rFonts w:hint="eastAsia" w:ascii="宋体" w:hAnsi="宋体" w:cs="Courier New"/>
                <w:b/>
                <w:color w:val="auto"/>
                <w:szCs w:val="21"/>
                <w:highlight w:val="none"/>
              </w:rPr>
              <w:t>处理。</w:t>
            </w:r>
          </w:p>
        </w:tc>
      </w:tr>
      <w:tr w14:paraId="52F387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30699407">
            <w:pPr>
              <w:spacing w:line="360" w:lineRule="auto"/>
              <w:rPr>
                <w:rFonts w:hint="eastAsia" w:ascii="宋体" w:hAnsi="宋体"/>
                <w:color w:val="auto"/>
                <w:szCs w:val="21"/>
                <w:highlight w:val="none"/>
              </w:rPr>
            </w:pPr>
            <w:bookmarkStart w:id="51" w:name="_13.4"/>
            <w:bookmarkEnd w:id="51"/>
            <w:bookmarkStart w:id="52" w:name="_13.5"/>
            <w:bookmarkEnd w:id="52"/>
            <w:bookmarkStart w:id="53" w:name="_16.2"/>
            <w:bookmarkEnd w:id="53"/>
            <w:r>
              <w:rPr>
                <w:rFonts w:hint="eastAsia" w:ascii="宋体" w:hAnsi="宋体"/>
                <w:color w:val="auto"/>
                <w:szCs w:val="21"/>
                <w:highlight w:val="none"/>
              </w:rPr>
              <w:t>16</w:t>
            </w:r>
            <w:bookmarkStart w:id="54" w:name="_Hlt19194067"/>
            <w:bookmarkStart w:id="55" w:name="_Hlt19693759"/>
            <w:bookmarkStart w:id="56" w:name="_Hlt19194066"/>
            <w:bookmarkStart w:id="57" w:name="_Hlt19693758"/>
            <w:r>
              <w:rPr>
                <w:rFonts w:hint="eastAsia" w:ascii="宋体" w:hAnsi="宋体"/>
                <w:color w:val="auto"/>
                <w:szCs w:val="21"/>
                <w:highlight w:val="none"/>
              </w:rPr>
              <w:t>.</w:t>
            </w:r>
            <w:bookmarkEnd w:id="54"/>
            <w:bookmarkEnd w:id="55"/>
            <w:bookmarkEnd w:id="56"/>
            <w:bookmarkEnd w:id="57"/>
            <w:r>
              <w:rPr>
                <w:rFonts w:hint="eastAsia" w:ascii="宋体" w:hAnsi="宋体"/>
                <w:color w:val="auto"/>
                <w:szCs w:val="21"/>
                <w:highlight w:val="none"/>
              </w:rPr>
              <w:t>2</w:t>
            </w:r>
          </w:p>
        </w:tc>
        <w:tc>
          <w:tcPr>
            <w:tcW w:w="4466" w:type="pct"/>
            <w:tcBorders>
              <w:top w:val="single" w:color="auto" w:sz="4" w:space="0"/>
              <w:left w:val="single" w:color="auto" w:sz="4" w:space="0"/>
              <w:bottom w:val="single" w:color="auto" w:sz="4" w:space="0"/>
              <w:right w:val="single" w:color="auto" w:sz="4" w:space="0"/>
            </w:tcBorders>
            <w:vAlign w:val="center"/>
          </w:tcPr>
          <w:p w14:paraId="5D6094E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投标报价包含：</w:t>
            </w:r>
          </w:p>
          <w:p w14:paraId="5D3C486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①服务的价格； </w:t>
            </w:r>
          </w:p>
          <w:p w14:paraId="6CB1F73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②必要的费用及各项服务税金； </w:t>
            </w:r>
          </w:p>
          <w:p w14:paraId="0265355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③该项目全程服务过程中所发生的一切费用由服务方自行负责，如所涉及的一切费用由服务方自行承担，服务方需满足采购人对本项目服务提出的有关需求所需的一切费用。</w:t>
            </w:r>
          </w:p>
          <w:p w14:paraId="7FBB63E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（采购需求另有约定的，从其约定。）</w:t>
            </w:r>
          </w:p>
        </w:tc>
      </w:tr>
      <w:tr w14:paraId="34DD39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63A06074">
            <w:pPr>
              <w:spacing w:line="360" w:lineRule="auto"/>
              <w:rPr>
                <w:rFonts w:hint="eastAsia" w:ascii="宋体" w:hAnsi="宋体"/>
                <w:color w:val="auto"/>
                <w:szCs w:val="21"/>
                <w:highlight w:val="none"/>
              </w:rPr>
            </w:pPr>
            <w:bookmarkStart w:id="58" w:name="_17.1"/>
            <w:bookmarkEnd w:id="58"/>
            <w:r>
              <w:rPr>
                <w:rFonts w:hint="eastAsia" w:ascii="宋体" w:hAnsi="宋体"/>
                <w:color w:val="auto"/>
                <w:szCs w:val="21"/>
                <w:highlight w:val="none"/>
              </w:rPr>
              <w:t>17.</w:t>
            </w:r>
            <w:r>
              <w:rPr>
                <w:rFonts w:ascii="宋体" w:hAnsi="宋体"/>
                <w:color w:val="auto"/>
                <w:szCs w:val="21"/>
                <w:highlight w:val="none"/>
              </w:rPr>
              <w:t>2</w:t>
            </w:r>
          </w:p>
        </w:tc>
        <w:tc>
          <w:tcPr>
            <w:tcW w:w="4466" w:type="pct"/>
            <w:tcBorders>
              <w:top w:val="single" w:color="auto" w:sz="4" w:space="0"/>
              <w:left w:val="single" w:color="auto" w:sz="4" w:space="0"/>
              <w:bottom w:val="single" w:color="auto" w:sz="4" w:space="0"/>
              <w:right w:val="single" w:color="auto" w:sz="4" w:space="0"/>
            </w:tcBorders>
            <w:vAlign w:val="center"/>
          </w:tcPr>
          <w:p w14:paraId="1AA130E3">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投标有效期：自投标截止之日起</w:t>
            </w:r>
            <w:r>
              <w:rPr>
                <w:rFonts w:ascii="宋体" w:hAnsi="宋体"/>
                <w:color w:val="auto"/>
                <w:szCs w:val="21"/>
                <w:highlight w:val="none"/>
                <w:u w:val="single"/>
              </w:rPr>
              <w:t xml:space="preserve">  90 </w:t>
            </w:r>
            <w:r>
              <w:rPr>
                <w:rFonts w:hint="eastAsia" w:ascii="宋体" w:hAnsi="宋体"/>
                <w:color w:val="auto"/>
                <w:szCs w:val="21"/>
                <w:highlight w:val="none"/>
              </w:rPr>
              <w:t>日。</w:t>
            </w:r>
          </w:p>
        </w:tc>
      </w:tr>
      <w:tr w14:paraId="72C042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25FE3B72">
            <w:pPr>
              <w:spacing w:line="360" w:lineRule="auto"/>
              <w:rPr>
                <w:rFonts w:hint="eastAsia" w:ascii="宋体" w:hAnsi="宋体"/>
                <w:color w:val="auto"/>
                <w:szCs w:val="21"/>
                <w:highlight w:val="none"/>
              </w:rPr>
            </w:pPr>
            <w:bookmarkStart w:id="59" w:name="_18"/>
            <w:bookmarkEnd w:id="59"/>
            <w:r>
              <w:rPr>
                <w:rFonts w:hint="eastAsia" w:ascii="宋体" w:hAnsi="宋体"/>
                <w:color w:val="auto"/>
                <w:szCs w:val="21"/>
                <w:highlight w:val="none"/>
              </w:rPr>
              <w:t>18</w:t>
            </w:r>
            <w:r>
              <w:rPr>
                <w:rFonts w:ascii="宋体" w:hAnsi="宋体"/>
                <w:color w:val="auto"/>
                <w:szCs w:val="21"/>
                <w:highlight w:val="none"/>
              </w:rPr>
              <w:t>.1</w:t>
            </w:r>
          </w:p>
        </w:tc>
        <w:tc>
          <w:tcPr>
            <w:tcW w:w="4466" w:type="pct"/>
            <w:tcBorders>
              <w:top w:val="single" w:color="auto" w:sz="4" w:space="0"/>
              <w:left w:val="single" w:color="auto" w:sz="4" w:space="0"/>
              <w:bottom w:val="single" w:color="auto" w:sz="4" w:space="0"/>
              <w:right w:val="single" w:color="auto" w:sz="4" w:space="0"/>
            </w:tcBorders>
            <w:vAlign w:val="center"/>
          </w:tcPr>
          <w:p w14:paraId="253B4814">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□本项目不收取投标保证金。</w:t>
            </w:r>
          </w:p>
          <w:p w14:paraId="6E48DB90">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√本项目收取投标保证金，具体规定如下：</w:t>
            </w:r>
          </w:p>
          <w:p w14:paraId="7C1C1B45">
            <w:pPr>
              <w:snapToGrid w:val="0"/>
              <w:spacing w:line="360" w:lineRule="auto"/>
              <w:rPr>
                <w:rFonts w:hint="eastAsia" w:ascii="宋体" w:hAnsi="宋体"/>
                <w:color w:val="auto"/>
                <w:szCs w:val="21"/>
                <w:highlight w:val="none"/>
              </w:rPr>
            </w:pPr>
            <w:r>
              <w:rPr>
                <w:rFonts w:hint="eastAsia" w:ascii="宋体" w:hAnsi="宋体" w:cs="宋体"/>
                <w:color w:val="auto"/>
                <w:kern w:val="0"/>
                <w:szCs w:val="21"/>
                <w:highlight w:val="none"/>
              </w:rPr>
              <w:t>投标保证金</w:t>
            </w:r>
            <w:r>
              <w:rPr>
                <w:rFonts w:hint="eastAsia" w:ascii="宋体" w:hAnsi="宋体"/>
                <w:color w:val="auto"/>
                <w:szCs w:val="21"/>
                <w:highlight w:val="none"/>
              </w:rPr>
              <w:t>人民币：</w:t>
            </w:r>
            <w:r>
              <w:rPr>
                <w:rFonts w:hint="eastAsia" w:ascii="宋体" w:hAnsi="宋体" w:cs="宋体"/>
                <w:b/>
                <w:bCs/>
                <w:color w:val="auto"/>
                <w:kern w:val="0"/>
                <w:szCs w:val="21"/>
                <w:highlight w:val="none"/>
              </w:rPr>
              <w:t>30000.00元。</w:t>
            </w:r>
          </w:p>
          <w:p w14:paraId="5D4F1EED">
            <w:pPr>
              <w:spacing w:line="34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投标保证金的交纳方式：银行转账、支票、汇票、本票或者银行、保险机构出具的保函</w:t>
            </w:r>
            <w:r>
              <w:rPr>
                <w:color w:val="auto"/>
                <w:highlight w:val="none"/>
              </w:rPr>
              <w:t>（包含电子保函）</w:t>
            </w:r>
            <w:r>
              <w:rPr>
                <w:rFonts w:hint="eastAsia" w:ascii="宋体" w:hAnsi="宋体" w:cs="宋体"/>
                <w:color w:val="auto"/>
                <w:kern w:val="0"/>
                <w:szCs w:val="21"/>
                <w:highlight w:val="none"/>
              </w:rPr>
              <w:t>，禁止采用现钞方式。采用银行转账方式的，在投标截止时间前</w:t>
            </w:r>
            <w:r>
              <w:rPr>
                <w:rFonts w:hint="eastAsia"/>
                <w:color w:val="auto"/>
                <w:highlight w:val="none"/>
              </w:rPr>
              <w:t>从投标人账户</w:t>
            </w:r>
            <w:r>
              <w:rPr>
                <w:rFonts w:hint="eastAsia" w:ascii="宋体" w:hAnsi="宋体" w:cs="宋体"/>
                <w:color w:val="auto"/>
                <w:kern w:val="0"/>
                <w:szCs w:val="21"/>
                <w:highlight w:val="none"/>
              </w:rPr>
              <w:t>交至指定账户并且到账。</w:t>
            </w:r>
          </w:p>
          <w:p w14:paraId="3F62437D">
            <w:pPr>
              <w:spacing w:line="34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开户名称：广西同泽工程项目管理股份有限公司</w:t>
            </w:r>
          </w:p>
          <w:p w14:paraId="37C3E0A3">
            <w:pPr>
              <w:spacing w:line="34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开户银行：建行广西区分行营业部本级营业厅</w:t>
            </w:r>
          </w:p>
          <w:p w14:paraId="708D98F7">
            <w:pPr>
              <w:spacing w:line="34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银行账号：45001594151050716039</w:t>
            </w:r>
          </w:p>
          <w:p w14:paraId="03322E13">
            <w:pPr>
              <w:snapToGrid w:val="0"/>
              <w:spacing w:line="360" w:lineRule="auto"/>
              <w:rPr>
                <w:rFonts w:hint="eastAsia" w:ascii="宋体" w:hAnsi="宋体"/>
                <w:color w:val="auto"/>
                <w:szCs w:val="21"/>
                <w:highlight w:val="none"/>
              </w:rPr>
            </w:pPr>
            <w:r>
              <w:rPr>
                <w:rFonts w:hint="eastAsia" w:ascii="宋体" w:hAnsi="宋体" w:cs="宋体"/>
                <w:color w:val="auto"/>
                <w:kern w:val="0"/>
                <w:szCs w:val="21"/>
                <w:highlight w:val="none"/>
              </w:rPr>
              <w:t>采用支票、汇票、本票或者保函等方式的，在投标截止时间前，投标人必须递交单独密封的支票、汇票、本票或者保函原件。</w:t>
            </w:r>
            <w:r>
              <w:rPr>
                <w:rFonts w:hint="eastAsia" w:ascii="宋体" w:hAnsi="宋体" w:cs="宋体"/>
                <w:b/>
                <w:color w:val="auto"/>
                <w:kern w:val="0"/>
                <w:szCs w:val="21"/>
                <w:highlight w:val="none"/>
              </w:rPr>
              <w:t>否则视为无效投标保证金。</w:t>
            </w:r>
          </w:p>
          <w:p w14:paraId="371E4992">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相关要求：</w:t>
            </w:r>
          </w:p>
          <w:p w14:paraId="1FF94880">
            <w:pPr>
              <w:pStyle w:val="13"/>
              <w:spacing w:line="360" w:lineRule="auto"/>
              <w:rPr>
                <w:rFonts w:hint="eastAsia" w:ascii="宋体" w:hAnsi="宋体"/>
                <w:color w:val="auto"/>
                <w:szCs w:val="21"/>
                <w:highlight w:val="none"/>
              </w:rPr>
            </w:pPr>
            <w:r>
              <w:rPr>
                <w:rFonts w:hint="eastAsia" w:ascii="宋体" w:hAnsi="宋体"/>
                <w:color w:val="auto"/>
                <w:szCs w:val="21"/>
                <w:highlight w:val="none"/>
              </w:rPr>
              <w:t>1.投标保证金采用银行转账交纳方式，在投标截止时间前交至指定账户并且到账，投标人应将银行转账底单的复印件作为投标保证金提交凭证，</w:t>
            </w:r>
            <w:r>
              <w:rPr>
                <w:rFonts w:ascii="宋体" w:hAnsi="宋体"/>
                <w:color w:val="auto"/>
                <w:szCs w:val="21"/>
                <w:highlight w:val="none"/>
              </w:rPr>
              <w:t>放置于</w:t>
            </w:r>
            <w:r>
              <w:rPr>
                <w:rFonts w:hint="eastAsia" w:ascii="宋体" w:hAnsi="宋体"/>
                <w:color w:val="auto"/>
                <w:szCs w:val="21"/>
                <w:highlight w:val="none"/>
              </w:rPr>
              <w:t>商务及技术文件</w:t>
            </w:r>
            <w:r>
              <w:rPr>
                <w:rFonts w:ascii="宋体" w:hAnsi="宋体"/>
                <w:color w:val="auto"/>
                <w:szCs w:val="21"/>
                <w:highlight w:val="none"/>
              </w:rPr>
              <w:t>中</w:t>
            </w:r>
            <w:r>
              <w:rPr>
                <w:rFonts w:hint="eastAsia" w:ascii="宋体" w:hAnsi="宋体"/>
                <w:color w:val="auto"/>
                <w:szCs w:val="21"/>
                <w:highlight w:val="none"/>
              </w:rPr>
              <w:t>，</w:t>
            </w:r>
            <w:r>
              <w:rPr>
                <w:rFonts w:hint="eastAsia" w:ascii="宋体" w:hAnsi="宋体"/>
                <w:b/>
                <w:color w:val="auto"/>
                <w:szCs w:val="21"/>
                <w:highlight w:val="none"/>
              </w:rPr>
              <w:t>否则投标无效</w:t>
            </w:r>
            <w:r>
              <w:rPr>
                <w:rFonts w:hint="eastAsia" w:ascii="宋体" w:hAnsi="宋体"/>
                <w:color w:val="auto"/>
                <w:szCs w:val="21"/>
                <w:highlight w:val="none"/>
              </w:rPr>
              <w:t>。</w:t>
            </w:r>
          </w:p>
          <w:p w14:paraId="395F148B">
            <w:pPr>
              <w:snapToGrid w:val="0"/>
              <w:spacing w:line="360" w:lineRule="auto"/>
              <w:rPr>
                <w:color w:val="auto"/>
                <w:highlight w:val="none"/>
              </w:rPr>
            </w:pPr>
            <w:r>
              <w:rPr>
                <w:rFonts w:hint="eastAsia" w:ascii="宋体" w:hAnsi="宋体"/>
                <w:color w:val="auto"/>
                <w:szCs w:val="21"/>
                <w:highlight w:val="none"/>
              </w:rPr>
              <w:t>2.投标保证金采用支票、汇票、本票或者银行、保险机构出具的保函</w:t>
            </w:r>
            <w:r>
              <w:rPr>
                <w:color w:val="auto"/>
                <w:highlight w:val="none"/>
              </w:rPr>
              <w:t>（包含电子保函）</w:t>
            </w:r>
            <w:r>
              <w:rPr>
                <w:rFonts w:hint="eastAsia" w:ascii="宋体" w:hAnsi="宋体"/>
                <w:color w:val="auto"/>
                <w:szCs w:val="21"/>
                <w:highlight w:val="none"/>
              </w:rPr>
              <w:t>交纳方式的，投标人应将支票、汇票、本票或者银行、保险机构出具的保函</w:t>
            </w:r>
            <w:r>
              <w:rPr>
                <w:color w:val="auto"/>
                <w:highlight w:val="none"/>
              </w:rPr>
              <w:t>（包含电子保函）</w:t>
            </w:r>
            <w:r>
              <w:rPr>
                <w:rFonts w:hint="eastAsia" w:ascii="宋体" w:hAnsi="宋体"/>
                <w:color w:val="auto"/>
                <w:szCs w:val="21"/>
                <w:highlight w:val="none"/>
              </w:rPr>
              <w:t>的复印件作为投标保证金提交凭证，放置于商务及技术文件中，</w:t>
            </w:r>
            <w:r>
              <w:rPr>
                <w:rFonts w:hint="eastAsia" w:ascii="宋体" w:hAnsi="宋体"/>
                <w:b/>
                <w:color w:val="auto"/>
                <w:szCs w:val="21"/>
                <w:highlight w:val="none"/>
              </w:rPr>
              <w:t>否则投标无效</w:t>
            </w:r>
            <w:r>
              <w:rPr>
                <w:rFonts w:hint="eastAsia" w:ascii="宋体" w:hAnsi="宋体"/>
                <w:color w:val="auto"/>
                <w:szCs w:val="21"/>
                <w:highlight w:val="none"/>
              </w:rPr>
              <w:t>。</w:t>
            </w:r>
          </w:p>
          <w:p w14:paraId="0FA3DB43">
            <w:pPr>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3</w:t>
            </w:r>
            <w:r>
              <w:rPr>
                <w:rFonts w:hint="eastAsia" w:ascii="宋体" w:hAnsi="宋体" w:cs="宋体"/>
                <w:color w:val="auto"/>
                <w:szCs w:val="21"/>
                <w:highlight w:val="none"/>
              </w:rPr>
              <w:t>.投标人为联合体的，可以由联合体中的一方或者多方共同交纳投标保证金，其交纳的保证金对联合体各方均具有约束力。</w:t>
            </w:r>
          </w:p>
          <w:p w14:paraId="1C1F46C0">
            <w:pPr>
              <w:snapToGrid w:val="0"/>
              <w:spacing w:line="360" w:lineRule="auto"/>
              <w:rPr>
                <w:rFonts w:hint="eastAsia" w:ascii="宋体" w:hAnsi="宋体"/>
                <w:color w:val="auto"/>
                <w:szCs w:val="21"/>
                <w:highlight w:val="none"/>
              </w:rPr>
            </w:pPr>
          </w:p>
          <w:p w14:paraId="76E9EA12">
            <w:pPr>
              <w:snapToGrid w:val="0"/>
              <w:spacing w:line="360" w:lineRule="auto"/>
              <w:rPr>
                <w:rFonts w:hint="eastAsia" w:ascii="宋体" w:hAnsi="宋体"/>
                <w:b/>
                <w:color w:val="auto"/>
                <w:szCs w:val="21"/>
                <w:highlight w:val="none"/>
              </w:rPr>
            </w:pPr>
            <w:r>
              <w:rPr>
                <w:rFonts w:hint="eastAsia" w:ascii="宋体" w:hAnsi="宋体"/>
                <w:b/>
                <w:color w:val="auto"/>
                <w:szCs w:val="21"/>
                <w:highlight w:val="none"/>
              </w:rPr>
              <w:t xml:space="preserve">备注： </w:t>
            </w:r>
          </w:p>
          <w:p w14:paraId="06C5A8D5">
            <w:pPr>
              <w:snapToGrid w:val="0"/>
              <w:spacing w:line="360" w:lineRule="auto"/>
              <w:rPr>
                <w:rFonts w:hint="eastAsia" w:ascii="宋体" w:hAnsi="宋体"/>
                <w:b/>
                <w:color w:val="auto"/>
                <w:szCs w:val="21"/>
                <w:highlight w:val="none"/>
              </w:rPr>
            </w:pPr>
            <w:r>
              <w:rPr>
                <w:rFonts w:hint="eastAsia" w:ascii="宋体" w:hAnsi="宋体"/>
                <w:b/>
                <w:color w:val="auto"/>
                <w:szCs w:val="21"/>
                <w:highlight w:val="none"/>
              </w:rPr>
              <w:t>1. 投标保证金在投标截止时间后提交的，或者不按规定交纳方式交纳的，或者未足额交纳的（包含保函额度不足的），视为无效投标保证金。</w:t>
            </w:r>
          </w:p>
          <w:p w14:paraId="67EAA342">
            <w:pPr>
              <w:snapToGrid w:val="0"/>
              <w:spacing w:line="360" w:lineRule="auto"/>
              <w:rPr>
                <w:rFonts w:hint="eastAsia" w:ascii="宋体" w:hAnsi="宋体"/>
                <w:b/>
                <w:color w:val="auto"/>
                <w:szCs w:val="21"/>
                <w:highlight w:val="none"/>
              </w:rPr>
            </w:pPr>
            <w:r>
              <w:rPr>
                <w:rFonts w:hint="eastAsia" w:ascii="宋体" w:hAnsi="宋体"/>
                <w:b/>
                <w:color w:val="auto"/>
                <w:szCs w:val="21"/>
                <w:highlight w:val="none"/>
              </w:rPr>
              <w:t>2.投标人采用现钞方式或者从个人账户（自然人投标除外）转出的投标保证金，视为无效投标保证金。</w:t>
            </w:r>
          </w:p>
          <w:p w14:paraId="2F85F770">
            <w:pPr>
              <w:snapToGrid w:val="0"/>
              <w:spacing w:line="360" w:lineRule="auto"/>
              <w:rPr>
                <w:rFonts w:hint="eastAsia" w:ascii="宋体" w:hAnsi="宋体"/>
                <w:b/>
                <w:color w:val="auto"/>
                <w:szCs w:val="21"/>
                <w:highlight w:val="none"/>
              </w:rPr>
            </w:pPr>
            <w:r>
              <w:rPr>
                <w:rFonts w:hint="eastAsia" w:ascii="宋体" w:hAnsi="宋体"/>
                <w:b/>
                <w:color w:val="auto"/>
                <w:szCs w:val="21"/>
                <w:highlight w:val="none"/>
              </w:rPr>
              <w:t>3.支票、汇票或者本票出现无效或者背书情形的，视为无效投标保证金。</w:t>
            </w:r>
          </w:p>
          <w:p w14:paraId="41726312">
            <w:pPr>
              <w:snapToGrid w:val="0"/>
              <w:spacing w:line="360" w:lineRule="auto"/>
              <w:rPr>
                <w:rFonts w:hint="eastAsia" w:ascii="宋体" w:hAnsi="宋体"/>
                <w:b/>
                <w:color w:val="auto"/>
                <w:szCs w:val="21"/>
                <w:highlight w:val="none"/>
              </w:rPr>
            </w:pPr>
            <w:r>
              <w:rPr>
                <w:rFonts w:hint="eastAsia" w:ascii="宋体" w:hAnsi="宋体"/>
                <w:b/>
                <w:color w:val="auto"/>
                <w:szCs w:val="21"/>
                <w:highlight w:val="none"/>
              </w:rPr>
              <w:t>4.保函有效期低于投标有效期的，视为无效投标保证金。</w:t>
            </w:r>
          </w:p>
          <w:p w14:paraId="5C4F8C25">
            <w:pPr>
              <w:snapToGrid w:val="0"/>
              <w:spacing w:line="360" w:lineRule="auto"/>
              <w:rPr>
                <w:rFonts w:hint="eastAsia" w:ascii="宋体" w:hAnsi="宋体"/>
                <w:b/>
                <w:color w:val="auto"/>
                <w:szCs w:val="21"/>
                <w:highlight w:val="none"/>
              </w:rPr>
            </w:pPr>
            <w:r>
              <w:rPr>
                <w:rFonts w:hint="eastAsia" w:ascii="宋体" w:hAnsi="宋体"/>
                <w:b/>
                <w:color w:val="auto"/>
                <w:szCs w:val="21"/>
                <w:highlight w:val="none"/>
              </w:rPr>
              <w:t>5.采用银行、保险机构出具保函的，必须为无条件保函，否则视为无效投标保证金。</w:t>
            </w:r>
          </w:p>
        </w:tc>
      </w:tr>
      <w:tr w14:paraId="17AB39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533" w:type="pct"/>
            <w:tcBorders>
              <w:top w:val="single" w:color="auto" w:sz="4" w:space="0"/>
              <w:left w:val="single" w:color="auto" w:sz="4" w:space="0"/>
              <w:bottom w:val="single" w:color="auto" w:sz="4" w:space="0"/>
              <w:right w:val="single" w:color="auto" w:sz="4" w:space="0"/>
            </w:tcBorders>
            <w:vAlign w:val="center"/>
          </w:tcPr>
          <w:p w14:paraId="54CEB63E">
            <w:pPr>
              <w:spacing w:line="360" w:lineRule="auto"/>
              <w:jc w:val="center"/>
              <w:rPr>
                <w:rFonts w:hint="eastAsia" w:ascii="宋体" w:hAnsi="宋体"/>
                <w:color w:val="auto"/>
                <w:szCs w:val="21"/>
                <w:highlight w:val="none"/>
              </w:rPr>
            </w:pPr>
            <w:bookmarkStart w:id="60" w:name="_19.2"/>
            <w:bookmarkEnd w:id="60"/>
            <w:bookmarkStart w:id="61" w:name="_21.1"/>
            <w:bookmarkEnd w:id="61"/>
            <w:r>
              <w:rPr>
                <w:rFonts w:hint="eastAsia" w:ascii="宋体" w:hAnsi="宋体"/>
                <w:color w:val="auto"/>
                <w:szCs w:val="21"/>
                <w:highlight w:val="none"/>
              </w:rPr>
              <w:t>20</w:t>
            </w:r>
          </w:p>
        </w:tc>
        <w:tc>
          <w:tcPr>
            <w:tcW w:w="4466" w:type="pct"/>
            <w:tcBorders>
              <w:top w:val="single" w:color="auto" w:sz="4" w:space="0"/>
              <w:left w:val="single" w:color="auto" w:sz="4" w:space="0"/>
              <w:bottom w:val="single" w:color="auto" w:sz="4" w:space="0"/>
              <w:right w:val="single" w:color="auto" w:sz="4" w:space="0"/>
            </w:tcBorders>
            <w:vAlign w:val="center"/>
          </w:tcPr>
          <w:p w14:paraId="19323C5F">
            <w:pPr>
              <w:autoSpaceDE w:val="0"/>
              <w:autoSpaceDN w:val="0"/>
              <w:adjustRightIn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备份投标文件；</w:t>
            </w:r>
          </w:p>
          <w:p w14:paraId="3742C5CE">
            <w:pPr>
              <w:autoSpaceDE w:val="0"/>
              <w:autoSpaceDN w:val="0"/>
              <w:adjustRightIn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w:t>
            </w:r>
            <w:r>
              <w:rPr>
                <w:rFonts w:hint="eastAsia"/>
                <w:color w:val="auto"/>
                <w:highlight w:val="none"/>
              </w:rPr>
              <w:t>本项目接受电子备份投标文件。</w:t>
            </w:r>
          </w:p>
        </w:tc>
      </w:tr>
      <w:tr w14:paraId="177C06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533" w:type="pct"/>
            <w:tcBorders>
              <w:top w:val="single" w:color="auto" w:sz="4" w:space="0"/>
              <w:left w:val="single" w:color="auto" w:sz="4" w:space="0"/>
              <w:bottom w:val="single" w:color="auto" w:sz="4" w:space="0"/>
              <w:right w:val="single" w:color="auto" w:sz="4" w:space="0"/>
            </w:tcBorders>
            <w:vAlign w:val="center"/>
          </w:tcPr>
          <w:p w14:paraId="1ECF1F33">
            <w:pPr>
              <w:spacing w:line="360" w:lineRule="auto"/>
              <w:jc w:val="center"/>
              <w:rPr>
                <w:rFonts w:hint="eastAsia" w:ascii="宋体" w:hAnsi="宋体"/>
                <w:color w:val="auto"/>
                <w:szCs w:val="21"/>
                <w:highlight w:val="none"/>
              </w:rPr>
            </w:pPr>
            <w:r>
              <w:rPr>
                <w:rFonts w:hint="eastAsia" w:ascii="宋体" w:hAnsi="宋体"/>
                <w:color w:val="auto"/>
                <w:szCs w:val="21"/>
                <w:highlight w:val="none"/>
              </w:rPr>
              <w:t>21.1</w:t>
            </w:r>
          </w:p>
        </w:tc>
        <w:tc>
          <w:tcPr>
            <w:tcW w:w="4466" w:type="pct"/>
            <w:tcBorders>
              <w:top w:val="single" w:color="auto" w:sz="4" w:space="0"/>
              <w:left w:val="single" w:color="auto" w:sz="4" w:space="0"/>
              <w:bottom w:val="single" w:color="auto" w:sz="4" w:space="0"/>
              <w:right w:val="single" w:color="auto" w:sz="4" w:space="0"/>
            </w:tcBorders>
            <w:vAlign w:val="center"/>
          </w:tcPr>
          <w:p w14:paraId="0AEC9A1C">
            <w:pPr>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rPr>
              <w:t>1. 提交投标文件截止时间：详见招标公告。</w:t>
            </w:r>
          </w:p>
          <w:p w14:paraId="31E0C897">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2.投标地点：详见招标公告。</w:t>
            </w:r>
          </w:p>
        </w:tc>
      </w:tr>
      <w:tr w14:paraId="096AF9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0C244831">
            <w:pPr>
              <w:spacing w:line="360" w:lineRule="auto"/>
              <w:jc w:val="center"/>
              <w:rPr>
                <w:rFonts w:hint="eastAsia" w:ascii="宋体" w:hAnsi="宋体"/>
                <w:color w:val="auto"/>
                <w:szCs w:val="21"/>
                <w:highlight w:val="none"/>
              </w:rPr>
            </w:pPr>
            <w:bookmarkStart w:id="62" w:name="_23"/>
            <w:bookmarkEnd w:id="62"/>
            <w:r>
              <w:rPr>
                <w:rFonts w:hint="eastAsia" w:ascii="宋体" w:hAnsi="宋体"/>
                <w:color w:val="auto"/>
                <w:szCs w:val="21"/>
                <w:highlight w:val="none"/>
              </w:rPr>
              <w:t>23</w:t>
            </w:r>
          </w:p>
        </w:tc>
        <w:tc>
          <w:tcPr>
            <w:tcW w:w="4466" w:type="pct"/>
            <w:tcBorders>
              <w:top w:val="single" w:color="auto" w:sz="4" w:space="0"/>
              <w:left w:val="single" w:color="auto" w:sz="4" w:space="0"/>
              <w:bottom w:val="single" w:color="auto" w:sz="4" w:space="0"/>
              <w:right w:val="single" w:color="auto" w:sz="4" w:space="0"/>
            </w:tcBorders>
            <w:vAlign w:val="center"/>
          </w:tcPr>
          <w:p w14:paraId="66F22916">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1.开标时间：详见招标公告。</w:t>
            </w:r>
          </w:p>
          <w:p w14:paraId="731F0E0D">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2.开标地点：详见招标公告。</w:t>
            </w:r>
          </w:p>
        </w:tc>
      </w:tr>
      <w:tr w14:paraId="627270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67F2187C">
            <w:pPr>
              <w:spacing w:line="360" w:lineRule="auto"/>
              <w:jc w:val="center"/>
              <w:rPr>
                <w:rFonts w:hint="eastAsia" w:ascii="宋体" w:hAnsi="宋体"/>
                <w:color w:val="auto"/>
                <w:szCs w:val="21"/>
                <w:highlight w:val="none"/>
              </w:rPr>
            </w:pPr>
            <w:r>
              <w:rPr>
                <w:rFonts w:hint="eastAsia" w:ascii="宋体" w:hAnsi="宋体"/>
                <w:color w:val="auto"/>
                <w:szCs w:val="21"/>
                <w:highlight w:val="none"/>
              </w:rPr>
              <w:t>24.3（1）</w:t>
            </w:r>
          </w:p>
        </w:tc>
        <w:tc>
          <w:tcPr>
            <w:tcW w:w="4466" w:type="pct"/>
            <w:tcBorders>
              <w:top w:val="single" w:color="auto" w:sz="4" w:space="0"/>
              <w:left w:val="single" w:color="auto" w:sz="4" w:space="0"/>
              <w:bottom w:val="single" w:color="auto" w:sz="4" w:space="0"/>
              <w:right w:val="single" w:color="auto" w:sz="4" w:space="0"/>
            </w:tcBorders>
            <w:vAlign w:val="center"/>
          </w:tcPr>
          <w:p w14:paraId="4DA23259">
            <w:pPr>
              <w:snapToGrid w:val="0"/>
              <w:spacing w:line="360" w:lineRule="auto"/>
              <w:rPr>
                <w:rFonts w:hint="eastAsia" w:ascii="宋体" w:hAnsi="宋体"/>
                <w:color w:val="auto"/>
                <w:szCs w:val="21"/>
                <w:highlight w:val="none"/>
              </w:rPr>
            </w:pPr>
            <w:r>
              <w:rPr>
                <w:rFonts w:hint="eastAsia" w:hAnsi="宋体"/>
                <w:color w:val="auto"/>
                <w:highlight w:val="none"/>
              </w:rPr>
              <w:t>电子投标文件解密时间：</w:t>
            </w:r>
            <w:r>
              <w:rPr>
                <w:rFonts w:hint="eastAsia" w:hAnsi="宋体"/>
                <w:color w:val="auto"/>
                <w:highlight w:val="none"/>
                <w:u w:val="single"/>
              </w:rPr>
              <w:t xml:space="preserve"> </w:t>
            </w:r>
            <w:r>
              <w:rPr>
                <w:rFonts w:hAnsi="宋体"/>
                <w:color w:val="auto"/>
                <w:highlight w:val="none"/>
                <w:u w:val="single"/>
              </w:rPr>
              <w:t>30</w:t>
            </w:r>
            <w:r>
              <w:rPr>
                <w:rFonts w:hint="eastAsia" w:hAnsi="宋体"/>
                <w:color w:val="auto"/>
                <w:highlight w:val="none"/>
              </w:rPr>
              <w:t>分钟。</w:t>
            </w:r>
          </w:p>
        </w:tc>
      </w:tr>
      <w:tr w14:paraId="234518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5B4CF560">
            <w:pPr>
              <w:spacing w:line="360" w:lineRule="auto"/>
              <w:jc w:val="center"/>
              <w:rPr>
                <w:rFonts w:hint="eastAsia" w:ascii="宋体" w:hAnsi="宋体"/>
                <w:color w:val="auto"/>
                <w:szCs w:val="21"/>
                <w:highlight w:val="none"/>
              </w:rPr>
            </w:pPr>
            <w:bookmarkStart w:id="63" w:name="_25.3"/>
            <w:bookmarkEnd w:id="63"/>
            <w:r>
              <w:rPr>
                <w:rFonts w:hint="eastAsia" w:ascii="宋体" w:hAnsi="宋体"/>
                <w:color w:val="auto"/>
                <w:szCs w:val="21"/>
                <w:highlight w:val="none"/>
              </w:rPr>
              <w:t>25.3（2）</w:t>
            </w:r>
          </w:p>
        </w:tc>
        <w:tc>
          <w:tcPr>
            <w:tcW w:w="4466" w:type="pct"/>
            <w:tcBorders>
              <w:top w:val="single" w:color="auto" w:sz="4" w:space="0"/>
              <w:left w:val="single" w:color="auto" w:sz="4" w:space="0"/>
              <w:bottom w:val="single" w:color="auto" w:sz="4" w:space="0"/>
              <w:right w:val="single" w:color="auto" w:sz="4" w:space="0"/>
            </w:tcBorders>
            <w:vAlign w:val="center"/>
          </w:tcPr>
          <w:p w14:paraId="326E450F">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4B5C1A7A">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查询渠道：“信用中国”网站（www.creditchina.gov.cn） 、中国政府采购网（www.ccgp.gov.cn）、中国执行信息公开网（https://zxgk.court.gov.cn/）。</w:t>
            </w:r>
          </w:p>
          <w:p w14:paraId="2770A5D8">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信用查询截止时点：资格审查结束前。</w:t>
            </w:r>
          </w:p>
          <w:p w14:paraId="27971C0C">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查询记录和证据留存方式：在查询网站中直接截图查询记录，截图作为在广西政府采购云平台（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）作为附件上传保存。</w:t>
            </w:r>
          </w:p>
          <w:p w14:paraId="6B1BC442">
            <w:pPr>
              <w:snapToGrid w:val="0"/>
              <w:spacing w:line="360" w:lineRule="auto"/>
              <w:rPr>
                <w:rFonts w:hint="eastAsia" w:ascii="宋体" w:hAnsi="宋体"/>
                <w:b/>
                <w:color w:val="auto"/>
                <w:szCs w:val="21"/>
                <w:highlight w:val="none"/>
              </w:rPr>
            </w:pPr>
            <w:r>
              <w:rPr>
                <w:rFonts w:hint="eastAsia" w:ascii="宋体" w:hAnsi="宋体"/>
                <w:color w:val="auto"/>
                <w:szCs w:val="21"/>
                <w:highlight w:val="none"/>
              </w:rPr>
              <w:t>信用信息使用规则：对在“信用中国”网站（www.creditchina.gov.cn） 、中国政府采购网（www.ccgp.gov.cn）重大税收违法失信主体、政府采购严重违法失信行为记录名单、中国执行信息公开网（https://zxgk.court.gov.cn/）被列入失信被执行人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1AA0F4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2CC04E41">
            <w:pPr>
              <w:spacing w:line="360" w:lineRule="auto"/>
              <w:jc w:val="center"/>
              <w:rPr>
                <w:rFonts w:hint="eastAsia" w:ascii="宋体" w:hAnsi="宋体"/>
                <w:color w:val="auto"/>
                <w:szCs w:val="21"/>
                <w:highlight w:val="none"/>
              </w:rPr>
            </w:pPr>
            <w:bookmarkStart w:id="64" w:name="_26"/>
            <w:bookmarkEnd w:id="64"/>
            <w:r>
              <w:rPr>
                <w:rFonts w:hint="eastAsia" w:ascii="宋体" w:hAnsi="宋体"/>
                <w:color w:val="auto"/>
                <w:szCs w:val="21"/>
                <w:highlight w:val="none"/>
              </w:rPr>
              <w:t>26.1</w:t>
            </w:r>
          </w:p>
        </w:tc>
        <w:tc>
          <w:tcPr>
            <w:tcW w:w="4466" w:type="pct"/>
            <w:tcBorders>
              <w:top w:val="single" w:color="auto" w:sz="4" w:space="0"/>
              <w:left w:val="single" w:color="auto" w:sz="4" w:space="0"/>
              <w:bottom w:val="single" w:color="auto" w:sz="4" w:space="0"/>
              <w:right w:val="single" w:color="auto" w:sz="4" w:space="0"/>
            </w:tcBorders>
            <w:vAlign w:val="center"/>
          </w:tcPr>
          <w:p w14:paraId="6886E8E1">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评标委员会的人数：</w:t>
            </w:r>
            <w:r>
              <w:rPr>
                <w:rFonts w:hint="eastAsia" w:ascii="宋体" w:hAnsi="宋体"/>
                <w:color w:val="auto"/>
                <w:szCs w:val="21"/>
                <w:highlight w:val="none"/>
                <w:u w:val="single"/>
              </w:rPr>
              <w:t>5</w:t>
            </w:r>
            <w:r>
              <w:rPr>
                <w:rFonts w:hint="eastAsia" w:ascii="宋体" w:hAnsi="宋体"/>
                <w:color w:val="auto"/>
                <w:szCs w:val="21"/>
                <w:highlight w:val="none"/>
              </w:rPr>
              <w:t>人或以上单数。</w:t>
            </w:r>
          </w:p>
        </w:tc>
      </w:tr>
      <w:tr w14:paraId="7B40AF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2BD865A0">
            <w:pPr>
              <w:spacing w:line="360" w:lineRule="auto"/>
              <w:jc w:val="center"/>
              <w:rPr>
                <w:rFonts w:hint="eastAsia" w:ascii="宋体" w:hAnsi="宋体"/>
                <w:color w:val="auto"/>
                <w:szCs w:val="21"/>
                <w:highlight w:val="none"/>
              </w:rPr>
            </w:pPr>
            <w:bookmarkStart w:id="65" w:name="_28.3"/>
            <w:bookmarkEnd w:id="65"/>
            <w:r>
              <w:rPr>
                <w:rFonts w:ascii="宋体" w:hAnsi="宋体"/>
                <w:color w:val="auto"/>
                <w:szCs w:val="21"/>
                <w:highlight w:val="none"/>
              </w:rPr>
              <w:t>29.1</w:t>
            </w:r>
          </w:p>
        </w:tc>
        <w:tc>
          <w:tcPr>
            <w:tcW w:w="4466" w:type="pct"/>
            <w:tcBorders>
              <w:top w:val="single" w:color="auto" w:sz="4" w:space="0"/>
              <w:left w:val="single" w:color="auto" w:sz="4" w:space="0"/>
              <w:bottom w:val="single" w:color="auto" w:sz="4" w:space="0"/>
              <w:right w:val="single" w:color="auto" w:sz="4" w:space="0"/>
            </w:tcBorders>
            <w:vAlign w:val="center"/>
          </w:tcPr>
          <w:p w14:paraId="27BF6280">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评标方法：</w:t>
            </w:r>
          </w:p>
          <w:p w14:paraId="743284E4">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☑综合评分法</w:t>
            </w:r>
          </w:p>
          <w:p w14:paraId="5121081A">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□最低评标价法</w:t>
            </w:r>
          </w:p>
        </w:tc>
      </w:tr>
      <w:tr w14:paraId="67A74D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33" w:type="pct"/>
            <w:tcBorders>
              <w:top w:val="single" w:color="auto" w:sz="4" w:space="0"/>
              <w:left w:val="single" w:color="auto" w:sz="4" w:space="0"/>
              <w:bottom w:val="single" w:color="auto" w:sz="4" w:space="0"/>
              <w:right w:val="single" w:color="auto" w:sz="4" w:space="0"/>
            </w:tcBorders>
            <w:vAlign w:val="center"/>
          </w:tcPr>
          <w:p w14:paraId="7B8F1F7B">
            <w:pPr>
              <w:spacing w:line="360" w:lineRule="auto"/>
              <w:jc w:val="center"/>
              <w:rPr>
                <w:rFonts w:hint="eastAsia" w:ascii="宋体" w:hAnsi="宋体"/>
                <w:color w:val="auto"/>
                <w:szCs w:val="21"/>
                <w:highlight w:val="none"/>
              </w:rPr>
            </w:pPr>
            <w:bookmarkStart w:id="66" w:name="_29.2.2（2）"/>
            <w:bookmarkEnd w:id="66"/>
            <w:r>
              <w:rPr>
                <w:rFonts w:hint="eastAsia" w:ascii="宋体" w:hAnsi="宋体"/>
                <w:color w:val="auto"/>
                <w:szCs w:val="21"/>
                <w:highlight w:val="none"/>
              </w:rPr>
              <w:t>29</w:t>
            </w:r>
            <w:r>
              <w:rPr>
                <w:rFonts w:ascii="宋体" w:hAnsi="宋体"/>
                <w:color w:val="auto"/>
                <w:szCs w:val="21"/>
                <w:highlight w:val="none"/>
              </w:rPr>
              <w:t>.2</w:t>
            </w:r>
          </w:p>
        </w:tc>
        <w:tc>
          <w:tcPr>
            <w:tcW w:w="4466" w:type="pct"/>
            <w:tcBorders>
              <w:top w:val="single" w:color="auto" w:sz="4" w:space="0"/>
              <w:left w:val="single" w:color="auto" w:sz="4" w:space="0"/>
              <w:right w:val="single" w:color="auto" w:sz="4" w:space="0"/>
            </w:tcBorders>
            <w:vAlign w:val="center"/>
          </w:tcPr>
          <w:p w14:paraId="3CB7A29A">
            <w:pPr>
              <w:snapToGrid w:val="0"/>
              <w:spacing w:line="360" w:lineRule="auto"/>
              <w:rPr>
                <w:rFonts w:hint="eastAsia" w:ascii="宋体" w:hAnsi="宋体"/>
                <w:color w:val="auto"/>
                <w:szCs w:val="21"/>
                <w:highlight w:val="none"/>
              </w:rPr>
            </w:pPr>
            <w:r>
              <w:rPr>
                <w:rFonts w:hint="eastAsia" w:ascii="宋体" w:hAnsi="宋体" w:cs="宋体"/>
                <w:color w:val="auto"/>
                <w:szCs w:val="21"/>
                <w:highlight w:val="none"/>
              </w:rPr>
              <w:t>商务要求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w:t>
            </w:r>
            <w:r>
              <w:rPr>
                <w:rFonts w:ascii="宋体" w:hAnsi="宋体"/>
                <w:color w:val="auto"/>
                <w:szCs w:val="21"/>
                <w:highlight w:val="none"/>
                <w:u w:val="single"/>
              </w:rPr>
              <w:t>0</w:t>
            </w:r>
            <w:r>
              <w:rPr>
                <w:rFonts w:hint="eastAsia" w:ascii="宋体" w:hAnsi="宋体"/>
                <w:color w:val="auto"/>
                <w:szCs w:val="21"/>
                <w:highlight w:val="none"/>
              </w:rPr>
              <w:t>项。</w:t>
            </w:r>
          </w:p>
          <w:p w14:paraId="6BE5BD97">
            <w:pPr>
              <w:snapToGrid w:val="0"/>
              <w:spacing w:line="360" w:lineRule="auto"/>
              <w:rPr>
                <w:rFonts w:hint="eastAsia" w:ascii="宋体" w:hAnsi="宋体"/>
                <w:color w:val="auto"/>
                <w:szCs w:val="21"/>
                <w:highlight w:val="none"/>
              </w:rPr>
            </w:pPr>
            <w:r>
              <w:rPr>
                <w:rFonts w:hint="eastAsia" w:ascii="宋体" w:hAnsi="宋体" w:cs="宋体"/>
                <w:color w:val="auto"/>
                <w:szCs w:val="21"/>
                <w:highlight w:val="none"/>
              </w:rPr>
              <w:t>技术要求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0</w:t>
            </w:r>
            <w:r>
              <w:rPr>
                <w:rFonts w:hint="eastAsia" w:ascii="宋体" w:hAnsi="宋体"/>
                <w:color w:val="auto"/>
                <w:szCs w:val="21"/>
                <w:highlight w:val="none"/>
              </w:rPr>
              <w:t>项。</w:t>
            </w:r>
          </w:p>
        </w:tc>
      </w:tr>
      <w:tr w14:paraId="093F74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33" w:type="pct"/>
            <w:tcBorders>
              <w:top w:val="single" w:color="auto" w:sz="4" w:space="0"/>
              <w:left w:val="single" w:color="auto" w:sz="4" w:space="0"/>
              <w:right w:val="single" w:color="auto" w:sz="4" w:space="0"/>
            </w:tcBorders>
            <w:vAlign w:val="center"/>
          </w:tcPr>
          <w:p w14:paraId="184C8DB6">
            <w:pPr>
              <w:spacing w:line="360" w:lineRule="auto"/>
              <w:jc w:val="center"/>
              <w:rPr>
                <w:rFonts w:hint="eastAsia" w:ascii="宋体" w:hAnsi="宋体"/>
                <w:color w:val="auto"/>
                <w:szCs w:val="21"/>
                <w:highlight w:val="none"/>
              </w:rPr>
            </w:pPr>
            <w:r>
              <w:rPr>
                <w:rFonts w:hint="eastAsia" w:ascii="宋体" w:hAnsi="宋体"/>
                <w:color w:val="auto"/>
                <w:szCs w:val="21"/>
                <w:highlight w:val="none"/>
              </w:rPr>
              <w:t>29.3</w:t>
            </w:r>
          </w:p>
        </w:tc>
        <w:tc>
          <w:tcPr>
            <w:tcW w:w="4466" w:type="pct"/>
            <w:tcBorders>
              <w:top w:val="single" w:color="auto" w:sz="4" w:space="0"/>
              <w:left w:val="single" w:color="auto" w:sz="4" w:space="0"/>
              <w:right w:val="single" w:color="auto" w:sz="4" w:space="0"/>
            </w:tcBorders>
            <w:vAlign w:val="center"/>
          </w:tcPr>
          <w:p w14:paraId="4BE54EB1">
            <w:pPr>
              <w:snapToGrid w:val="0"/>
              <w:spacing w:line="360" w:lineRule="auto"/>
              <w:rPr>
                <w:rFonts w:hint="eastAsia" w:hAnsi="宋体"/>
                <w:color w:val="auto"/>
                <w:highlight w:val="none"/>
              </w:rPr>
            </w:pPr>
            <w:r>
              <w:rPr>
                <w:rFonts w:hAnsi="宋体"/>
                <w:color w:val="auto"/>
                <w:highlight w:val="none"/>
              </w:rPr>
              <w:t>中标候选人推荐数量</w:t>
            </w:r>
            <w:r>
              <w:rPr>
                <w:rFonts w:hint="eastAsia" w:hAnsi="宋体"/>
                <w:color w:val="auto"/>
                <w:highlight w:val="none"/>
              </w:rPr>
              <w:t>：</w:t>
            </w:r>
          </w:p>
          <w:p w14:paraId="3708B265">
            <w:pPr>
              <w:snapToGrid w:val="0"/>
              <w:spacing w:line="360" w:lineRule="auto"/>
              <w:rPr>
                <w:rFonts w:hint="eastAsia" w:hAnsi="宋体"/>
                <w:color w:val="auto"/>
                <w:highlight w:val="none"/>
              </w:rPr>
            </w:pPr>
            <w:r>
              <w:rPr>
                <w:rFonts w:hint="eastAsia" w:ascii="宋体" w:hAnsi="宋体"/>
                <w:color w:val="auto"/>
                <w:szCs w:val="21"/>
                <w:highlight w:val="none"/>
              </w:rPr>
              <w:t>☑</w:t>
            </w:r>
            <w:r>
              <w:rPr>
                <w:rFonts w:hint="eastAsia" w:hAnsi="宋体"/>
                <w:color w:val="auto"/>
                <w:highlight w:val="none"/>
                <w:u w:val="single"/>
              </w:rPr>
              <w:t xml:space="preserve">  3 </w:t>
            </w:r>
            <w:r>
              <w:rPr>
                <w:rFonts w:hAnsi="宋体"/>
                <w:color w:val="auto"/>
                <w:highlight w:val="none"/>
                <w:u w:val="single"/>
              </w:rPr>
              <w:t xml:space="preserve"> </w:t>
            </w:r>
            <w:r>
              <w:rPr>
                <w:rFonts w:hAnsi="宋体"/>
                <w:color w:val="auto"/>
                <w:highlight w:val="none"/>
              </w:rPr>
              <w:t>名</w:t>
            </w:r>
          </w:p>
          <w:p w14:paraId="63B09B37">
            <w:pPr>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w:t>
            </w:r>
            <w:r>
              <w:rPr>
                <w:rFonts w:hint="eastAsia" w:hAnsi="宋体"/>
                <w:color w:val="auto"/>
                <w:highlight w:val="none"/>
              </w:rPr>
              <w:t>根据[总得分由高到低</w:t>
            </w:r>
            <w:r>
              <w:rPr>
                <w:rFonts w:hAnsi="宋体"/>
                <w:color w:val="auto"/>
                <w:highlight w:val="none"/>
              </w:rPr>
              <w:t>]</w:t>
            </w:r>
            <w:r>
              <w:rPr>
                <w:rFonts w:hint="eastAsia" w:hAnsi="宋体"/>
                <w:color w:val="auto"/>
                <w:highlight w:val="none"/>
              </w:rPr>
              <w:t>排列次序并全部推荐为中标候选人。</w:t>
            </w:r>
          </w:p>
        </w:tc>
      </w:tr>
      <w:tr w14:paraId="3ACC74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6269402A">
            <w:pPr>
              <w:spacing w:line="360" w:lineRule="auto"/>
              <w:jc w:val="center"/>
              <w:rPr>
                <w:rFonts w:hint="eastAsia" w:ascii="宋体" w:hAnsi="宋体"/>
                <w:color w:val="auto"/>
                <w:szCs w:val="21"/>
                <w:highlight w:val="none"/>
              </w:rPr>
            </w:pPr>
            <w:r>
              <w:rPr>
                <w:rFonts w:hint="eastAsia" w:ascii="宋体" w:hAnsi="宋体"/>
                <w:color w:val="auto"/>
                <w:szCs w:val="21"/>
                <w:highlight w:val="none"/>
              </w:rPr>
              <w:t>30</w:t>
            </w:r>
            <w:r>
              <w:rPr>
                <w:rFonts w:ascii="宋体" w:hAnsi="宋体"/>
                <w:color w:val="auto"/>
                <w:szCs w:val="21"/>
                <w:highlight w:val="none"/>
              </w:rPr>
              <w:t>.1</w:t>
            </w:r>
          </w:p>
        </w:tc>
        <w:tc>
          <w:tcPr>
            <w:tcW w:w="4466" w:type="pct"/>
            <w:tcBorders>
              <w:top w:val="single" w:color="auto" w:sz="4" w:space="0"/>
              <w:left w:val="single" w:color="auto" w:sz="4" w:space="0"/>
              <w:bottom w:val="single" w:color="auto" w:sz="4" w:space="0"/>
              <w:right w:val="single" w:color="auto" w:sz="4" w:space="0"/>
            </w:tcBorders>
            <w:vAlign w:val="center"/>
          </w:tcPr>
          <w:p w14:paraId="7ACF6DA3">
            <w:pPr>
              <w:autoSpaceDE w:val="0"/>
              <w:autoSpaceDN w:val="0"/>
              <w:snapToGrid w:val="0"/>
              <w:spacing w:line="360" w:lineRule="auto"/>
              <w:textAlignment w:val="bottom"/>
              <w:rPr>
                <w:rFonts w:hint="eastAsia" w:hAnsi="宋体"/>
                <w:color w:val="auto"/>
                <w:highlight w:val="none"/>
              </w:rPr>
            </w:pPr>
            <w:r>
              <w:rPr>
                <w:rFonts w:hint="eastAsia" w:hAnsi="宋体"/>
                <w:color w:val="auto"/>
                <w:highlight w:val="none"/>
              </w:rPr>
              <w:t>采用综合评分法的采购项目，采购人确定中标供应商时，出现中标候选人并列的情形，采购人按以下的方式确定中标供应商：</w:t>
            </w:r>
          </w:p>
          <w:p w14:paraId="02ADF304">
            <w:pPr>
              <w:autoSpaceDE w:val="0"/>
              <w:autoSpaceDN w:val="0"/>
              <w:snapToGrid w:val="0"/>
              <w:spacing w:line="360" w:lineRule="auto"/>
              <w:textAlignment w:val="bottom"/>
              <w:rPr>
                <w:rFonts w:hint="eastAsia" w:hAnsi="宋体"/>
                <w:color w:val="auto"/>
                <w:highlight w:val="none"/>
              </w:rPr>
            </w:pPr>
            <w:r>
              <w:rPr>
                <w:rFonts w:hint="eastAsia" w:ascii="宋体" w:hAnsi="宋体"/>
                <w:color w:val="auto"/>
                <w:highlight w:val="none"/>
              </w:rPr>
              <w:t>√</w:t>
            </w:r>
            <w:r>
              <w:rPr>
                <w:rFonts w:hint="eastAsia" w:hAnsi="宋体"/>
                <w:color w:val="auto"/>
                <w:highlight w:val="none"/>
              </w:rPr>
              <w:t>依次按投标报价低的优先、技术评分高的优先、商务评分高的优先、故障响应时间短优先的顺序确定；</w:t>
            </w:r>
          </w:p>
          <w:p w14:paraId="66508A09">
            <w:pPr>
              <w:autoSpaceDE w:val="0"/>
              <w:autoSpaceDN w:val="0"/>
              <w:snapToGrid w:val="0"/>
              <w:spacing w:line="360" w:lineRule="auto"/>
              <w:textAlignment w:val="bottom"/>
              <w:rPr>
                <w:rFonts w:hint="eastAsia" w:ascii="宋体" w:hAnsi="宋体"/>
                <w:b/>
                <w:color w:val="auto"/>
                <w:szCs w:val="21"/>
                <w:highlight w:val="none"/>
              </w:rPr>
            </w:pPr>
            <w:r>
              <w:rPr>
                <w:rFonts w:hint="eastAsia" w:hAnsi="宋体"/>
                <w:color w:val="auto"/>
                <w:highlight w:val="none"/>
              </w:rPr>
              <w:t>□随机抽取；</w:t>
            </w:r>
          </w:p>
        </w:tc>
      </w:tr>
      <w:tr w14:paraId="3E5AF1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3" w:type="pct"/>
            <w:tcBorders>
              <w:top w:val="single" w:color="auto" w:sz="4" w:space="0"/>
              <w:left w:val="single" w:color="auto" w:sz="4" w:space="0"/>
              <w:bottom w:val="single" w:color="auto" w:sz="4" w:space="0"/>
              <w:right w:val="single" w:color="auto" w:sz="4" w:space="0"/>
            </w:tcBorders>
            <w:vAlign w:val="center"/>
          </w:tcPr>
          <w:p w14:paraId="5092E62D">
            <w:pPr>
              <w:spacing w:line="360" w:lineRule="auto"/>
              <w:jc w:val="center"/>
              <w:rPr>
                <w:rFonts w:hint="eastAsia" w:ascii="宋体" w:hAnsi="宋体"/>
                <w:color w:val="auto"/>
                <w:szCs w:val="21"/>
                <w:highlight w:val="none"/>
              </w:rPr>
            </w:pPr>
            <w:bookmarkStart w:id="67" w:name="_39.1"/>
            <w:bookmarkEnd w:id="67"/>
            <w:r>
              <w:rPr>
                <w:rFonts w:hint="eastAsia" w:ascii="宋体" w:hAnsi="宋体"/>
                <w:color w:val="auto"/>
                <w:szCs w:val="21"/>
                <w:highlight w:val="none"/>
              </w:rPr>
              <w:t>35</w:t>
            </w:r>
            <w:r>
              <w:rPr>
                <w:rFonts w:ascii="宋体" w:hAnsi="宋体"/>
                <w:color w:val="auto"/>
                <w:szCs w:val="21"/>
                <w:highlight w:val="none"/>
              </w:rPr>
              <w:t>.1</w:t>
            </w:r>
          </w:p>
        </w:tc>
        <w:tc>
          <w:tcPr>
            <w:tcW w:w="4466" w:type="pct"/>
            <w:tcBorders>
              <w:top w:val="single" w:color="auto" w:sz="4" w:space="0"/>
              <w:left w:val="single" w:color="auto" w:sz="4" w:space="0"/>
              <w:bottom w:val="single" w:color="auto" w:sz="4" w:space="0"/>
              <w:right w:val="single" w:color="auto" w:sz="4" w:space="0"/>
            </w:tcBorders>
            <w:vAlign w:val="center"/>
          </w:tcPr>
          <w:p w14:paraId="2E952CC8">
            <w:pPr>
              <w:autoSpaceDE w:val="0"/>
              <w:autoSpaceDN w:val="0"/>
              <w:snapToGrid w:val="0"/>
              <w:spacing w:line="360" w:lineRule="auto"/>
              <w:textAlignment w:val="bottom"/>
              <w:rPr>
                <w:rFonts w:hint="eastAsia" w:ascii="宋体" w:hAnsi="宋体" w:cs="宋体"/>
                <w:color w:val="auto"/>
                <w:kern w:val="0"/>
                <w:sz w:val="20"/>
                <w:szCs w:val="21"/>
                <w:highlight w:val="none"/>
              </w:rPr>
            </w:pPr>
            <w:r>
              <w:rPr>
                <w:rFonts w:hint="eastAsia" w:ascii="宋体" w:hAnsi="宋体" w:cs="宋体"/>
                <w:color w:val="auto"/>
                <w:highlight w:val="none"/>
                <w:lang w:bidi="ar"/>
              </w:rPr>
              <w:t>☑本项目不收取履约保证金。</w:t>
            </w:r>
          </w:p>
          <w:p w14:paraId="2BE3C5BB">
            <w:pPr>
              <w:autoSpaceDE w:val="0"/>
              <w:autoSpaceDN w:val="0"/>
              <w:snapToGrid w:val="0"/>
              <w:spacing w:line="360" w:lineRule="auto"/>
              <w:textAlignment w:val="bottom"/>
              <w:rPr>
                <w:rFonts w:hint="eastAsia" w:ascii="宋体" w:hAnsi="宋体" w:cs="宋体"/>
                <w:color w:val="auto"/>
                <w:highlight w:val="none"/>
              </w:rPr>
            </w:pPr>
            <w:r>
              <w:rPr>
                <w:rFonts w:hint="eastAsia" w:ascii="宋体" w:hAnsi="宋体" w:cs="宋体"/>
                <w:color w:val="auto"/>
                <w:highlight w:val="none"/>
                <w:lang w:bidi="ar"/>
              </w:rPr>
              <w:t>□本项目收取履约保证金，具体规定如下：</w:t>
            </w:r>
          </w:p>
          <w:p w14:paraId="5C255EF0">
            <w:pPr>
              <w:pStyle w:val="13"/>
              <w:widowControl/>
              <w:spacing w:line="360" w:lineRule="auto"/>
              <w:rPr>
                <w:rFonts w:hint="eastAsia" w:ascii="宋体" w:hAnsi="宋体" w:cs="宋体"/>
                <w:color w:val="auto"/>
                <w:szCs w:val="21"/>
                <w:highlight w:val="none"/>
              </w:rPr>
            </w:pPr>
            <w:bookmarkStart w:id="68" w:name="OLE_LINK5"/>
            <w:r>
              <w:rPr>
                <w:rFonts w:hint="eastAsia" w:ascii="宋体" w:hAnsi="宋体" w:cs="宋体"/>
                <w:color w:val="auto"/>
                <w:szCs w:val="21"/>
                <w:highlight w:val="none"/>
              </w:rPr>
              <w:t>履约保证金金</w:t>
            </w:r>
            <w:r>
              <w:rPr>
                <w:rFonts w:hint="eastAsia" w:ascii="宋体" w:hAnsi="宋体"/>
                <w:color w:val="auto"/>
                <w:szCs w:val="21"/>
                <w:highlight w:val="none"/>
              </w:rPr>
              <w:t>额：非中小企业按预算金额的3 %，中小企业按预算金额的 2 %。</w:t>
            </w:r>
          </w:p>
          <w:p w14:paraId="20B80C62">
            <w:pPr>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highlight w:val="none"/>
                <w:lang w:bidi="ar"/>
              </w:rPr>
              <w:t>履约保证金递交方式：银行转账、支票、汇票、本票或者银行、保险机构出具的保函（含电子保函）等非现金方式。</w:t>
            </w:r>
          </w:p>
          <w:p w14:paraId="4FBFD45B">
            <w:pPr>
              <w:autoSpaceDE w:val="0"/>
              <w:autoSpaceDN w:val="0"/>
              <w:snapToGrid w:val="0"/>
              <w:spacing w:line="360" w:lineRule="auto"/>
              <w:textAlignment w:val="bottom"/>
              <w:rPr>
                <w:rFonts w:hint="eastAsia" w:ascii="宋体" w:hAnsi="宋体" w:cs="宋体"/>
                <w:color w:val="auto"/>
                <w:highlight w:val="none"/>
              </w:rPr>
            </w:pPr>
            <w:r>
              <w:rPr>
                <w:rFonts w:hint="eastAsia" w:ascii="宋体" w:hAnsi="宋体" w:cs="宋体"/>
                <w:color w:val="auto"/>
                <w:highlight w:val="none"/>
                <w:lang w:bidi="ar"/>
              </w:rPr>
              <w:t>履约保证金缴纳期限:</w:t>
            </w:r>
            <w:r>
              <w:rPr>
                <w:color w:val="auto"/>
                <w:highlight w:val="none"/>
                <w:lang w:bidi="ar"/>
              </w:rPr>
              <w:t xml:space="preserve"> </w:t>
            </w:r>
            <w:r>
              <w:rPr>
                <w:rFonts w:hint="eastAsia" w:ascii="宋体" w:hAnsi="宋体" w:cs="宋体"/>
                <w:color w:val="auto"/>
                <w:highlight w:val="none"/>
                <w:lang w:bidi="ar"/>
              </w:rPr>
              <w:t>自中标通知书发出之日起5日内。</w:t>
            </w:r>
          </w:p>
          <w:p w14:paraId="0D428F36">
            <w:pPr>
              <w:snapToGrid w:val="0"/>
              <w:spacing w:line="360" w:lineRule="auto"/>
              <w:rPr>
                <w:rFonts w:ascii="Cambria Math" w:hAnsi="Cambria Math" w:eastAsia="Cambria Math" w:cs="Cambria Math"/>
                <w:color w:val="auto"/>
                <w:highlight w:val="none"/>
              </w:rPr>
            </w:pPr>
            <w:r>
              <w:rPr>
                <w:rFonts w:hint="eastAsia" w:ascii="宋体" w:hAnsi="宋体" w:cs="宋体"/>
                <w:color w:val="auto"/>
                <w:highlight w:val="none"/>
                <w:lang w:bidi="ar"/>
              </w:rPr>
              <w:t>履约保证金退付方式、时间及条件：</w:t>
            </w:r>
            <w:r>
              <w:rPr>
                <w:rFonts w:hint="eastAsia" w:ascii="Cambria Math" w:hAnsi="Cambria Math" w:cs="宋体"/>
                <w:color w:val="auto"/>
                <w:highlight w:val="none"/>
                <w:lang w:bidi="ar"/>
              </w:rPr>
              <w:t>履约保证金在项目履约完成（按合同约定履行完合同所有内容）后无息退还。</w:t>
            </w:r>
            <w:r>
              <w:rPr>
                <w:rFonts w:hint="eastAsia" w:ascii="Cambria Math" w:hAnsi="Cambria Math" w:cs="Cambria Math"/>
                <w:color w:val="auto"/>
                <w:highlight w:val="none"/>
                <w:lang w:bidi="ar"/>
              </w:rPr>
              <w:t>由中标供应商向履约保证金收取单位提供《广西壮族自治区政府采购项目合同验收书》（详见桂财采〔</w:t>
            </w:r>
            <w:r>
              <w:rPr>
                <w:rFonts w:ascii="Cambria Math" w:hAnsi="Cambria Math" w:eastAsia="Cambria Math" w:cs="Cambria Math"/>
                <w:color w:val="auto"/>
                <w:highlight w:val="none"/>
                <w:lang w:bidi="ar"/>
              </w:rPr>
              <w:t>2015</w:t>
            </w:r>
            <w:r>
              <w:rPr>
                <w:rFonts w:hint="eastAsia" w:ascii="Cambria Math" w:hAnsi="Cambria Math" w:cs="Cambria Math"/>
                <w:color w:val="auto"/>
                <w:highlight w:val="none"/>
                <w:lang w:bidi="ar"/>
              </w:rPr>
              <w:t>〕</w:t>
            </w:r>
            <w:r>
              <w:rPr>
                <w:rFonts w:ascii="Cambria Math" w:hAnsi="Cambria Math" w:eastAsia="Cambria Math" w:cs="Cambria Math"/>
                <w:color w:val="auto"/>
                <w:highlight w:val="none"/>
                <w:lang w:bidi="ar"/>
              </w:rPr>
              <w:t>22</w:t>
            </w:r>
            <w:r>
              <w:rPr>
                <w:rFonts w:hint="eastAsia" w:ascii="Cambria Math" w:hAnsi="Cambria Math" w:cs="Cambria Math"/>
                <w:color w:val="auto"/>
                <w:highlight w:val="none"/>
                <w:lang w:bidi="ar"/>
              </w:rPr>
              <w:t>号），保证金收取单位在收到合格材料后</w:t>
            </w:r>
            <w:r>
              <w:rPr>
                <w:rFonts w:ascii="Cambria Math" w:hAnsi="Cambria Math" w:eastAsia="Cambria Math" w:cs="Cambria Math"/>
                <w:color w:val="auto"/>
                <w:highlight w:val="none"/>
                <w:lang w:bidi="ar"/>
              </w:rPr>
              <w:t>5</w:t>
            </w:r>
            <w:r>
              <w:rPr>
                <w:rFonts w:hint="eastAsia" w:ascii="Cambria Math" w:hAnsi="Cambria Math" w:cs="Cambria Math"/>
                <w:color w:val="auto"/>
                <w:highlight w:val="none"/>
                <w:lang w:bidi="ar"/>
              </w:rPr>
              <w:t>个工作日内办理退还手续（不计利息）。</w:t>
            </w:r>
          </w:p>
          <w:p w14:paraId="4D7CD086">
            <w:pPr>
              <w:snapToGrid w:val="0"/>
              <w:spacing w:line="360" w:lineRule="auto"/>
              <w:rPr>
                <w:rFonts w:hint="eastAsia" w:ascii="宋体" w:hAnsi="宋体" w:cs="宋体"/>
                <w:color w:val="auto"/>
                <w:highlight w:val="none"/>
                <w:u w:val="single"/>
              </w:rPr>
            </w:pPr>
            <w:r>
              <w:rPr>
                <w:rFonts w:hint="eastAsia" w:ascii="Cambria Math" w:hAnsi="Cambria Math" w:cs="Cambria Math"/>
                <w:color w:val="auto"/>
                <w:highlight w:val="none"/>
                <w:lang w:bidi="ar"/>
              </w:rPr>
              <w:t>不予退还的情形：签订合同后，如中标供应商不按双方签订的合同规定履约，则其全部履约保证金不予退还。</w:t>
            </w:r>
          </w:p>
          <w:p w14:paraId="48589094">
            <w:pPr>
              <w:autoSpaceDE w:val="0"/>
              <w:autoSpaceDN w:val="0"/>
              <w:snapToGrid w:val="0"/>
              <w:spacing w:line="360" w:lineRule="auto"/>
              <w:textAlignment w:val="bottom"/>
              <w:rPr>
                <w:rFonts w:ascii="Cambria Math" w:hAnsi="Cambria Math" w:eastAsia="Cambria Math" w:cs="Cambria Math"/>
                <w:color w:val="auto"/>
                <w:highlight w:val="none"/>
              </w:rPr>
            </w:pPr>
            <w:bookmarkStart w:id="69" w:name="OLE_LINK11"/>
            <w:r>
              <w:rPr>
                <w:rFonts w:hint="eastAsia" w:ascii="宋体" w:hAnsi="宋体" w:cs="宋体"/>
                <w:color w:val="auto"/>
                <w:highlight w:val="none"/>
                <w:lang w:bidi="ar"/>
              </w:rPr>
              <w:t>履</w:t>
            </w:r>
            <w:r>
              <w:rPr>
                <w:rFonts w:hint="eastAsia" w:ascii="Cambria Math" w:hAnsi="Cambria Math" w:cs="Cambria Math"/>
                <w:color w:val="auto"/>
                <w:highlight w:val="none"/>
                <w:lang w:bidi="ar"/>
              </w:rPr>
              <w:t>约保证金指定账户：</w:t>
            </w:r>
            <w:r>
              <w:rPr>
                <w:rFonts w:ascii="Cambria Math" w:hAnsi="Cambria Math" w:eastAsia="Cambria Math" w:cs="Cambria Math"/>
                <w:color w:val="auto"/>
                <w:highlight w:val="none"/>
                <w:lang w:bidi="ar"/>
              </w:rPr>
              <w:t xml:space="preserve"> </w:t>
            </w:r>
          </w:p>
          <w:p w14:paraId="08AF46D3">
            <w:pPr>
              <w:pStyle w:val="32"/>
              <w:widowControl w:val="0"/>
              <w:spacing w:before="0" w:beforeAutospacing="0" w:after="120" w:afterAutospacing="0" w:line="380" w:lineRule="exact"/>
              <w:jc w:val="both"/>
              <w:rPr>
                <w:rFonts w:ascii="Cambria Math" w:hAnsi="Cambria Math" w:eastAsia="Cambria Math" w:cs="Cambria Math"/>
                <w:color w:val="auto"/>
                <w:highlight w:val="none"/>
              </w:rPr>
            </w:pPr>
            <w:r>
              <w:rPr>
                <w:rFonts w:hint="eastAsia" w:ascii="Cambria Math" w:hAnsi="Cambria Math" w:cs="Cambria Math"/>
                <w:color w:val="auto"/>
                <w:sz w:val="21"/>
                <w:highlight w:val="none"/>
                <w:lang w:bidi="ar"/>
              </w:rPr>
              <w:t>开户名称：/</w:t>
            </w:r>
            <w:r>
              <w:rPr>
                <w:rFonts w:ascii="Cambria Math" w:hAnsi="Cambria Math" w:eastAsia="Cambria Math" w:cs="Cambria Math"/>
                <w:color w:val="auto"/>
                <w:sz w:val="21"/>
                <w:highlight w:val="none"/>
                <w:lang w:bidi="ar"/>
              </w:rPr>
              <w:t xml:space="preserve"> </w:t>
            </w:r>
          </w:p>
          <w:p w14:paraId="473CC3F3">
            <w:pPr>
              <w:pStyle w:val="32"/>
              <w:widowControl w:val="0"/>
              <w:spacing w:before="0" w:beforeAutospacing="0" w:after="120" w:afterAutospacing="0" w:line="380" w:lineRule="exact"/>
              <w:jc w:val="both"/>
              <w:rPr>
                <w:rFonts w:ascii="Cambria Math" w:hAnsi="Cambria Math" w:cs="Cambria Math"/>
                <w:color w:val="auto"/>
                <w:sz w:val="21"/>
                <w:highlight w:val="none"/>
                <w:lang w:bidi="ar"/>
              </w:rPr>
            </w:pPr>
            <w:r>
              <w:rPr>
                <w:rFonts w:hint="eastAsia" w:ascii="Cambria Math" w:hAnsi="Cambria Math" w:cs="Cambria Math"/>
                <w:color w:val="auto"/>
                <w:sz w:val="21"/>
                <w:highlight w:val="none"/>
                <w:lang w:bidi="ar"/>
              </w:rPr>
              <w:t>开户银行：/</w:t>
            </w:r>
          </w:p>
          <w:p w14:paraId="01361D12">
            <w:pPr>
              <w:pStyle w:val="32"/>
              <w:widowControl w:val="0"/>
              <w:spacing w:before="0" w:beforeAutospacing="0" w:after="120" w:afterAutospacing="0" w:line="380" w:lineRule="exact"/>
              <w:jc w:val="both"/>
              <w:rPr>
                <w:rFonts w:ascii="Cambria Math" w:hAnsi="Cambria Math" w:cs="Cambria Math"/>
                <w:color w:val="auto"/>
                <w:highlight w:val="none"/>
              </w:rPr>
            </w:pPr>
            <w:r>
              <w:rPr>
                <w:rFonts w:hint="eastAsia" w:ascii="Cambria Math" w:hAnsi="Cambria Math" w:cs="Cambria Math"/>
                <w:color w:val="auto"/>
                <w:sz w:val="21"/>
                <w:highlight w:val="none"/>
                <w:lang w:bidi="ar"/>
              </w:rPr>
              <w:t>银行账号：</w:t>
            </w:r>
            <w:bookmarkEnd w:id="68"/>
            <w:bookmarkEnd w:id="69"/>
            <w:r>
              <w:rPr>
                <w:rFonts w:hint="eastAsia" w:ascii="Cambria Math" w:hAnsi="Cambria Math" w:cs="Cambria Math"/>
                <w:color w:val="auto"/>
                <w:sz w:val="21"/>
                <w:highlight w:val="none"/>
                <w:lang w:bidi="ar"/>
              </w:rPr>
              <w:t>/</w:t>
            </w:r>
          </w:p>
          <w:p w14:paraId="1405DC36">
            <w:pPr>
              <w:spacing w:line="360" w:lineRule="auto"/>
              <w:jc w:val="left"/>
              <w:rPr>
                <w:rFonts w:hint="eastAsia" w:ascii="宋体" w:hAnsi="宋体" w:cs="Courier New"/>
                <w:color w:val="auto"/>
                <w:szCs w:val="21"/>
                <w:highlight w:val="none"/>
              </w:rPr>
            </w:pPr>
            <w:r>
              <w:rPr>
                <w:rFonts w:ascii="宋体" w:hAnsi="宋体" w:cs="Courier New"/>
                <w:color w:val="auto"/>
                <w:szCs w:val="21"/>
                <w:highlight w:val="none"/>
              </w:rPr>
              <w:t>备注：</w:t>
            </w:r>
          </w:p>
          <w:p w14:paraId="3FDDBE96">
            <w:pPr>
              <w:spacing w:line="360" w:lineRule="auto"/>
              <w:jc w:val="left"/>
              <w:rPr>
                <w:rFonts w:hint="eastAsia" w:ascii="宋体" w:hAnsi="宋体"/>
                <w:b/>
                <w:color w:val="auto"/>
                <w:szCs w:val="21"/>
                <w:highlight w:val="none"/>
              </w:rPr>
            </w:pPr>
            <w:r>
              <w:rPr>
                <w:rFonts w:ascii="宋体" w:hAnsi="宋体"/>
                <w:b/>
                <w:color w:val="auto"/>
                <w:szCs w:val="21"/>
                <w:highlight w:val="none"/>
              </w:rPr>
              <w:t>1.</w:t>
            </w:r>
            <w:r>
              <w:rPr>
                <w:rFonts w:hint="eastAsia" w:ascii="宋体" w:hAnsi="宋体"/>
                <w:b/>
                <w:color w:val="auto"/>
                <w:szCs w:val="21"/>
                <w:highlight w:val="none"/>
              </w:rPr>
              <w:t xml:space="preserve"> </w:t>
            </w:r>
            <w:bookmarkStart w:id="70" w:name="_Hlk54170335"/>
            <w:r>
              <w:rPr>
                <w:rFonts w:hint="eastAsia" w:ascii="宋体" w:hAnsi="宋体"/>
                <w:b/>
                <w:color w:val="auto"/>
                <w:szCs w:val="21"/>
                <w:highlight w:val="none"/>
              </w:rPr>
              <w:t>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cs="宋体"/>
                <w:b/>
                <w:color w:val="auto"/>
                <w:kern w:val="0"/>
                <w:sz w:val="24"/>
                <w:highlight w:val="none"/>
              </w:rPr>
              <w:t>。</w:t>
            </w:r>
            <w:bookmarkEnd w:id="70"/>
          </w:p>
          <w:p w14:paraId="38E563F6">
            <w:pPr>
              <w:spacing w:line="360" w:lineRule="auto"/>
              <w:jc w:val="left"/>
              <w:rPr>
                <w:rFonts w:hint="eastAsia" w:ascii="宋体" w:hAnsi="宋体"/>
                <w:b/>
                <w:color w:val="auto"/>
                <w:szCs w:val="21"/>
                <w:highlight w:val="none"/>
              </w:rPr>
            </w:pPr>
            <w:r>
              <w:rPr>
                <w:rFonts w:ascii="宋体" w:hAnsi="宋体"/>
                <w:b/>
                <w:color w:val="auto"/>
                <w:szCs w:val="21"/>
                <w:highlight w:val="none"/>
              </w:rPr>
              <w:t>2.</w:t>
            </w:r>
            <w:r>
              <w:rPr>
                <w:rFonts w:hint="eastAsia" w:ascii="宋体" w:hAnsi="宋体"/>
                <w:color w:val="auto"/>
                <w:szCs w:val="21"/>
                <w:highlight w:val="none"/>
              </w:rPr>
              <w:t xml:space="preserve"> </w:t>
            </w:r>
            <w:r>
              <w:rPr>
                <w:rFonts w:hint="eastAsia" w:ascii="宋体" w:hAnsi="宋体"/>
                <w:b/>
                <w:color w:val="auto"/>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ascii="宋体" w:hAnsi="宋体"/>
                <w:b/>
                <w:color w:val="auto"/>
                <w:szCs w:val="21"/>
                <w:highlight w:val="none"/>
              </w:rPr>
              <w:br w:type="textWrapping"/>
            </w:r>
            <w:r>
              <w:rPr>
                <w:rFonts w:ascii="宋体" w:hAnsi="宋体"/>
                <w:b/>
                <w:color w:val="auto"/>
                <w:szCs w:val="21"/>
                <w:highlight w:val="none"/>
              </w:rPr>
              <w:t>3.采用银行、保险机构出具的保函的，必须为无条件保函，否则不予签订合同。</w:t>
            </w:r>
          </w:p>
          <w:p w14:paraId="53389FE5">
            <w:pPr>
              <w:spacing w:line="360" w:lineRule="auto"/>
              <w:jc w:val="left"/>
              <w:rPr>
                <w:rFonts w:hint="eastAsia" w:ascii="宋体" w:hAnsi="宋体" w:cs="宋体"/>
                <w:color w:val="auto"/>
                <w:kern w:val="0"/>
                <w:szCs w:val="21"/>
                <w:highlight w:val="none"/>
              </w:rPr>
            </w:pPr>
            <w:r>
              <w:rPr>
                <w:rFonts w:ascii="宋体" w:hAnsi="宋体"/>
                <w:b/>
                <w:color w:val="auto"/>
                <w:szCs w:val="21"/>
                <w:highlight w:val="none"/>
              </w:rPr>
              <w:t>4.</w:t>
            </w:r>
            <w:r>
              <w:rPr>
                <w:rFonts w:hint="eastAsia" w:ascii="宋体" w:hAnsi="宋体"/>
                <w:b/>
                <w:color w:val="auto"/>
                <w:szCs w:val="21"/>
                <w:highlight w:val="none"/>
              </w:rPr>
              <w:t>投标人为联合体的，由联合体其中一方按规定提交的履约保证金，视为有效履约保证金。</w:t>
            </w:r>
          </w:p>
        </w:tc>
      </w:tr>
      <w:tr w14:paraId="42F4BD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41F4745F">
            <w:pPr>
              <w:spacing w:line="360" w:lineRule="auto"/>
              <w:jc w:val="center"/>
              <w:rPr>
                <w:rFonts w:hint="eastAsia" w:ascii="宋体" w:hAnsi="宋体"/>
                <w:color w:val="auto"/>
                <w:szCs w:val="21"/>
                <w:highlight w:val="none"/>
              </w:rPr>
            </w:pPr>
            <w:bookmarkStart w:id="71" w:name="_40.1"/>
            <w:bookmarkEnd w:id="71"/>
            <w:r>
              <w:rPr>
                <w:rFonts w:hint="eastAsia" w:ascii="宋体" w:hAnsi="宋体"/>
                <w:color w:val="auto"/>
                <w:szCs w:val="21"/>
                <w:highlight w:val="none"/>
              </w:rPr>
              <w:t>36.1</w:t>
            </w:r>
          </w:p>
        </w:tc>
        <w:tc>
          <w:tcPr>
            <w:tcW w:w="4466" w:type="pct"/>
            <w:tcBorders>
              <w:top w:val="single" w:color="auto" w:sz="4" w:space="0"/>
              <w:left w:val="single" w:color="auto" w:sz="4" w:space="0"/>
              <w:bottom w:val="single" w:color="auto" w:sz="4" w:space="0"/>
              <w:right w:val="single" w:color="auto" w:sz="4" w:space="0"/>
            </w:tcBorders>
            <w:vAlign w:val="center"/>
          </w:tcPr>
          <w:p w14:paraId="5A2133E8">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46D12B7D">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1.委托代理人负责签订合同的，须携带授权委托书及委托代理人身份证原件等其他资格证件。</w:t>
            </w:r>
          </w:p>
          <w:p w14:paraId="617E3CF0">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2.法定代表人负责签订合同的，须携带法定代表人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2ED7C1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4226CE71">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8.2</w:t>
            </w:r>
          </w:p>
        </w:tc>
        <w:tc>
          <w:tcPr>
            <w:tcW w:w="4466" w:type="pct"/>
            <w:tcBorders>
              <w:top w:val="single" w:color="auto" w:sz="4" w:space="0"/>
              <w:left w:val="single" w:color="auto" w:sz="4" w:space="0"/>
              <w:bottom w:val="single" w:color="auto" w:sz="4" w:space="0"/>
              <w:right w:val="single" w:color="auto" w:sz="4" w:space="0"/>
            </w:tcBorders>
            <w:vAlign w:val="center"/>
          </w:tcPr>
          <w:p w14:paraId="65CA985E">
            <w:pPr>
              <w:snapToGrid w:val="0"/>
              <w:spacing w:line="360" w:lineRule="auto"/>
              <w:rPr>
                <w:rFonts w:hint="eastAsia" w:ascii="宋体" w:hAnsi="宋体"/>
                <w:color w:val="auto"/>
                <w:highlight w:val="none"/>
              </w:rPr>
            </w:pPr>
            <w:r>
              <w:rPr>
                <w:rFonts w:ascii="宋体" w:hAnsi="宋体"/>
                <w:color w:val="auto"/>
                <w:highlight w:val="none"/>
              </w:rPr>
              <w:t>接收质疑函方式：以书面形式</w:t>
            </w:r>
            <w:r>
              <w:rPr>
                <w:rFonts w:hint="eastAsia" w:ascii="宋体" w:hAnsi="宋体"/>
                <w:color w:val="auto"/>
                <w:highlight w:val="none"/>
              </w:rPr>
              <w:t>。</w:t>
            </w:r>
          </w:p>
          <w:p w14:paraId="28444DC1">
            <w:pPr>
              <w:snapToGrid w:val="0"/>
              <w:spacing w:line="360" w:lineRule="auto"/>
              <w:rPr>
                <w:rFonts w:hint="eastAsia" w:ascii="宋体" w:hAnsi="宋体"/>
                <w:color w:val="auto"/>
                <w:highlight w:val="none"/>
              </w:rPr>
            </w:pPr>
            <w:r>
              <w:rPr>
                <w:rFonts w:ascii="宋体" w:hAnsi="宋体"/>
                <w:color w:val="auto"/>
                <w:highlight w:val="none"/>
              </w:rPr>
              <w:t>质疑联系部门及联系方式：</w:t>
            </w:r>
            <w:r>
              <w:rPr>
                <w:rFonts w:hint="eastAsia" w:ascii="宋体" w:hAnsi="宋体"/>
                <w:color w:val="auto"/>
                <w:highlight w:val="none"/>
              </w:rPr>
              <w:t>广西同泽工程项目管理股份有限公司</w:t>
            </w:r>
          </w:p>
          <w:p w14:paraId="5F67A566">
            <w:pPr>
              <w:snapToGrid w:val="0"/>
              <w:spacing w:line="360" w:lineRule="auto"/>
              <w:rPr>
                <w:rFonts w:hint="eastAsia" w:ascii="宋体" w:hAnsi="宋体"/>
                <w:color w:val="auto"/>
                <w:highlight w:val="none"/>
              </w:rPr>
            </w:pPr>
            <w:r>
              <w:rPr>
                <w:rFonts w:ascii="宋体" w:hAnsi="宋体"/>
                <w:color w:val="auto"/>
                <w:highlight w:val="none"/>
              </w:rPr>
              <w:t>联系电话：0771-5590176</w:t>
            </w:r>
          </w:p>
          <w:p w14:paraId="2641346A">
            <w:pPr>
              <w:snapToGrid w:val="0"/>
              <w:spacing w:line="360" w:lineRule="auto"/>
              <w:rPr>
                <w:rFonts w:hint="eastAsia" w:ascii="宋体" w:hAnsi="宋体"/>
                <w:color w:val="auto"/>
                <w:highlight w:val="none"/>
              </w:rPr>
            </w:pPr>
            <w:r>
              <w:rPr>
                <w:rFonts w:ascii="宋体" w:hAnsi="宋体"/>
                <w:color w:val="auto"/>
                <w:highlight w:val="none"/>
              </w:rPr>
              <w:t>通讯地址：</w:t>
            </w:r>
            <w:r>
              <w:rPr>
                <w:rFonts w:hint="eastAsia" w:ascii="宋体" w:hAnsi="宋体"/>
                <w:color w:val="auto"/>
                <w:highlight w:val="none"/>
              </w:rPr>
              <w:t>广西南宁市良庆区凯旋路16号裕达国际中心广东大厦18层</w:t>
            </w:r>
          </w:p>
          <w:p w14:paraId="2E8491BD">
            <w:pPr>
              <w:snapToGrid w:val="0"/>
              <w:spacing w:line="360" w:lineRule="auto"/>
              <w:rPr>
                <w:rFonts w:hint="eastAsia" w:ascii="宋体" w:hAnsi="宋体"/>
                <w:color w:val="auto"/>
                <w:szCs w:val="21"/>
                <w:highlight w:val="none"/>
              </w:rPr>
            </w:pPr>
            <w:r>
              <w:rPr>
                <w:rFonts w:hAnsi="宋体" w:cs="宋体"/>
                <w:color w:val="auto"/>
                <w:highlight w:val="none"/>
              </w:rPr>
              <w:t>业务时间：工作日每天上午</w:t>
            </w:r>
            <w:r>
              <w:rPr>
                <w:rFonts w:hint="eastAsia" w:hAnsi="宋体" w:cs="宋体"/>
                <w:color w:val="auto"/>
                <w:highlight w:val="none"/>
              </w:rPr>
              <w:t>9</w:t>
            </w:r>
            <w:r>
              <w:rPr>
                <w:rFonts w:hAnsi="宋体" w:cs="宋体"/>
                <w:color w:val="auto"/>
                <w:highlight w:val="none"/>
              </w:rPr>
              <w:t>时00分到12时00分，下午</w:t>
            </w:r>
            <w:r>
              <w:rPr>
                <w:rFonts w:hint="eastAsia" w:hAnsi="宋体" w:cs="宋体"/>
                <w:color w:val="auto"/>
                <w:highlight w:val="none"/>
              </w:rPr>
              <w:t>2</w:t>
            </w:r>
            <w:r>
              <w:rPr>
                <w:rFonts w:hAnsi="宋体" w:cs="宋体"/>
                <w:color w:val="auto"/>
                <w:highlight w:val="none"/>
              </w:rPr>
              <w:t>时</w:t>
            </w:r>
            <w:r>
              <w:rPr>
                <w:rFonts w:hint="eastAsia" w:hAnsi="宋体" w:cs="宋体"/>
                <w:color w:val="auto"/>
                <w:highlight w:val="none"/>
              </w:rPr>
              <w:t>30</w:t>
            </w:r>
            <w:r>
              <w:rPr>
                <w:rFonts w:hAnsi="宋体" w:cs="宋体"/>
                <w:color w:val="auto"/>
                <w:highlight w:val="none"/>
              </w:rPr>
              <w:t>分到</w:t>
            </w:r>
            <w:r>
              <w:rPr>
                <w:rFonts w:hint="eastAsia" w:hAnsi="宋体" w:cs="宋体"/>
                <w:color w:val="auto"/>
                <w:highlight w:val="none"/>
              </w:rPr>
              <w:t>5</w:t>
            </w:r>
            <w:r>
              <w:rPr>
                <w:rFonts w:hAnsi="宋体" w:cs="宋体"/>
                <w:color w:val="auto"/>
                <w:highlight w:val="none"/>
              </w:rPr>
              <w:t>时</w:t>
            </w:r>
            <w:r>
              <w:rPr>
                <w:rFonts w:hint="eastAsia" w:hAnsi="宋体" w:cs="宋体"/>
                <w:color w:val="auto"/>
                <w:highlight w:val="none"/>
              </w:rPr>
              <w:t>3</w:t>
            </w:r>
            <w:r>
              <w:rPr>
                <w:rFonts w:hAnsi="宋体" w:cs="宋体"/>
                <w:color w:val="auto"/>
                <w:highlight w:val="none"/>
              </w:rPr>
              <w:t>0分。</w:t>
            </w:r>
          </w:p>
        </w:tc>
      </w:tr>
      <w:tr w14:paraId="63B11A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261C7F13">
            <w:pPr>
              <w:spacing w:line="360" w:lineRule="auto"/>
              <w:jc w:val="center"/>
              <w:rPr>
                <w:rFonts w:hint="eastAsia" w:ascii="宋体" w:hAnsi="宋体"/>
                <w:color w:val="auto"/>
                <w:szCs w:val="21"/>
                <w:highlight w:val="none"/>
              </w:rPr>
            </w:pPr>
            <w:bookmarkStart w:id="72" w:name="_42"/>
            <w:bookmarkEnd w:id="72"/>
            <w:bookmarkStart w:id="73" w:name="_41"/>
            <w:bookmarkEnd w:id="73"/>
            <w:bookmarkStart w:id="74" w:name="_Hlt17709148"/>
            <w:r>
              <w:rPr>
                <w:rFonts w:hint="eastAsia" w:ascii="宋体" w:hAnsi="宋体"/>
                <w:color w:val="auto"/>
                <w:szCs w:val="21"/>
                <w:highlight w:val="none"/>
              </w:rPr>
              <w:t>3</w:t>
            </w:r>
            <w:bookmarkEnd w:id="74"/>
            <w:r>
              <w:rPr>
                <w:rFonts w:ascii="宋体" w:hAnsi="宋体"/>
                <w:color w:val="auto"/>
                <w:szCs w:val="21"/>
                <w:highlight w:val="none"/>
              </w:rPr>
              <w:t>9.1</w:t>
            </w:r>
          </w:p>
        </w:tc>
        <w:tc>
          <w:tcPr>
            <w:tcW w:w="4466" w:type="pct"/>
            <w:tcBorders>
              <w:top w:val="single" w:color="auto" w:sz="4" w:space="0"/>
              <w:left w:val="single" w:color="auto" w:sz="4" w:space="0"/>
              <w:bottom w:val="single" w:color="auto" w:sz="4" w:space="0"/>
              <w:right w:val="single" w:color="auto" w:sz="4" w:space="0"/>
            </w:tcBorders>
            <w:vAlign w:val="center"/>
          </w:tcPr>
          <w:p w14:paraId="2E43CDCD">
            <w:pPr>
              <w:pStyle w:val="18"/>
              <w:snapToGrid w:val="0"/>
              <w:spacing w:line="360" w:lineRule="auto"/>
              <w:rPr>
                <w:rFonts w:hint="eastAsia" w:hAnsi="宋体" w:cs="宋体"/>
                <w:color w:val="auto"/>
                <w:highlight w:val="none"/>
              </w:rPr>
            </w:pPr>
            <w:r>
              <w:rPr>
                <w:rFonts w:hint="eastAsia" w:hAnsi="宋体" w:cs="宋体"/>
                <w:color w:val="auto"/>
                <w:highlight w:val="none"/>
              </w:rPr>
              <w:t>1.采购代理费支付方式：</w:t>
            </w:r>
          </w:p>
          <w:p w14:paraId="7A3AF967">
            <w:pPr>
              <w:pStyle w:val="18"/>
              <w:snapToGrid w:val="0"/>
              <w:spacing w:line="360" w:lineRule="auto"/>
              <w:rPr>
                <w:rFonts w:hint="eastAsia" w:hAnsi="宋体" w:cs="宋体"/>
                <w:color w:val="auto"/>
                <w:highlight w:val="none"/>
              </w:rPr>
            </w:pPr>
            <w:r>
              <w:rPr>
                <w:rFonts w:hint="eastAsia" w:hAnsi="宋体" w:cs="宋体"/>
                <w:color w:val="auto"/>
                <w:highlight w:val="none"/>
              </w:rPr>
              <w:t>☑本项目代理服务费由</w:t>
            </w:r>
            <w:r>
              <w:rPr>
                <w:rFonts w:hint="eastAsia" w:hAnsi="宋体" w:cs="宋体"/>
                <w:color w:val="auto"/>
                <w:highlight w:val="none"/>
                <w:u w:val="single"/>
              </w:rPr>
              <w:t>中标供应商</w:t>
            </w:r>
            <w:r>
              <w:rPr>
                <w:rFonts w:hint="eastAsia" w:hAnsi="宋体" w:cs="宋体"/>
                <w:color w:val="auto"/>
                <w:highlight w:val="none"/>
              </w:rPr>
              <w:t>一次性向采购代理机构支付。</w:t>
            </w:r>
          </w:p>
          <w:p w14:paraId="437ECCA5">
            <w:pPr>
              <w:pStyle w:val="18"/>
              <w:snapToGrid w:val="0"/>
              <w:spacing w:line="360" w:lineRule="auto"/>
              <w:rPr>
                <w:rFonts w:hint="eastAsia" w:hAnsi="宋体" w:cs="宋体"/>
                <w:color w:val="auto"/>
                <w:highlight w:val="none"/>
              </w:rPr>
            </w:pPr>
            <w:r>
              <w:rPr>
                <w:rFonts w:hint="eastAsia" w:hAnsi="宋体" w:cs="宋体"/>
                <w:color w:val="auto"/>
                <w:highlight w:val="none"/>
              </w:rPr>
              <w:t>□采购人支付。</w:t>
            </w:r>
          </w:p>
          <w:p w14:paraId="727DA2E4">
            <w:pPr>
              <w:pStyle w:val="18"/>
              <w:snapToGrid w:val="0"/>
              <w:spacing w:line="360" w:lineRule="auto"/>
              <w:rPr>
                <w:rFonts w:hint="eastAsia" w:hAnsi="宋体" w:cs="宋体"/>
                <w:color w:val="auto"/>
                <w:highlight w:val="none"/>
              </w:rPr>
            </w:pPr>
            <w:r>
              <w:rPr>
                <w:rFonts w:hint="eastAsia" w:hAnsi="宋体" w:cs="宋体"/>
                <w:color w:val="auto"/>
                <w:highlight w:val="none"/>
              </w:rPr>
              <w:t>2.采购代理费收取标准：</w:t>
            </w:r>
          </w:p>
          <w:p w14:paraId="58DEF392">
            <w:pPr>
              <w:pStyle w:val="18"/>
              <w:snapToGrid w:val="0"/>
              <w:spacing w:line="360" w:lineRule="auto"/>
              <w:rPr>
                <w:rFonts w:hint="eastAsia" w:hAnsi="宋体" w:cs="宋体"/>
                <w:color w:val="auto"/>
                <w:highlight w:val="none"/>
                <w:u w:val="single"/>
              </w:rPr>
            </w:pPr>
            <w:r>
              <w:rPr>
                <w:rFonts w:hint="eastAsia" w:hAnsi="宋体" w:cs="宋体"/>
                <w:color w:val="auto"/>
                <w:highlight w:val="none"/>
              </w:rPr>
              <w:t>代理服务费参照原《国家计委关于印发〈招标代理服务收费管理暂行办法〉的通知》（计价格〔2002〕1980号）、《国家发展改革委办公厅关于招标代理服务收费有关问题的通知》（发改办价格〔2003〕857号）、《国家发展改革委关于降低部分建设项目收费标准规范收费行为等有关问题的通知》（发改价格〔2011〕534号），向中标供应商收取。签订合同前，中标供应商应向乙方一次付清代理服务费。</w:t>
            </w:r>
          </w:p>
          <w:p w14:paraId="7C3313DC">
            <w:pPr>
              <w:pStyle w:val="18"/>
              <w:snapToGrid w:val="0"/>
              <w:spacing w:line="360" w:lineRule="auto"/>
              <w:rPr>
                <w:rFonts w:hint="eastAsia" w:ascii="Times New Roman" w:hAnsi="宋体" w:cs="宋体"/>
                <w:color w:val="auto"/>
                <w:szCs w:val="24"/>
                <w:highlight w:val="none"/>
              </w:rPr>
            </w:pPr>
            <w:r>
              <w:rPr>
                <w:rFonts w:hint="eastAsia" w:ascii="Times New Roman" w:hAnsi="宋体" w:cs="宋体"/>
                <w:color w:val="auto"/>
                <w:szCs w:val="24"/>
                <w:highlight w:val="none"/>
              </w:rPr>
              <w:t>3</w:t>
            </w:r>
            <w:r>
              <w:rPr>
                <w:rFonts w:hint="eastAsia" w:hAnsi="宋体" w:cs="宋体"/>
                <w:color w:val="auto"/>
                <w:highlight w:val="none"/>
              </w:rPr>
              <w:t>.</w:t>
            </w:r>
            <w:r>
              <w:rPr>
                <w:rFonts w:hint="eastAsia" w:ascii="Times New Roman" w:hAnsi="宋体" w:cs="宋体"/>
                <w:color w:val="auto"/>
                <w:szCs w:val="24"/>
                <w:highlight w:val="none"/>
              </w:rPr>
              <w:t xml:space="preserve">账户名称： </w:t>
            </w:r>
          </w:p>
          <w:p w14:paraId="4E8DC75F">
            <w:pPr>
              <w:pStyle w:val="18"/>
              <w:snapToGrid w:val="0"/>
              <w:spacing w:line="360" w:lineRule="auto"/>
              <w:rPr>
                <w:rFonts w:hint="eastAsia" w:ascii="Times New Roman" w:hAnsi="宋体" w:cs="宋体"/>
                <w:color w:val="auto"/>
                <w:szCs w:val="24"/>
                <w:highlight w:val="none"/>
              </w:rPr>
            </w:pPr>
            <w:r>
              <w:rPr>
                <w:rFonts w:hint="eastAsia" w:ascii="Times New Roman" w:hAnsi="宋体" w:cs="宋体"/>
                <w:color w:val="auto"/>
                <w:szCs w:val="24"/>
                <w:highlight w:val="none"/>
              </w:rPr>
              <w:t>开户名称：广西同泽工程项目管理股份有限公司南宁第八分公司</w:t>
            </w:r>
          </w:p>
          <w:p w14:paraId="30266972">
            <w:pPr>
              <w:pStyle w:val="18"/>
              <w:snapToGrid w:val="0"/>
              <w:spacing w:line="360" w:lineRule="auto"/>
              <w:rPr>
                <w:rFonts w:hint="eastAsia" w:ascii="Times New Roman" w:hAnsi="宋体" w:cs="宋体"/>
                <w:color w:val="auto"/>
                <w:szCs w:val="24"/>
                <w:highlight w:val="none"/>
              </w:rPr>
            </w:pPr>
            <w:r>
              <w:rPr>
                <w:rFonts w:hint="eastAsia" w:ascii="Times New Roman" w:hAnsi="宋体" w:cs="宋体"/>
                <w:color w:val="auto"/>
                <w:szCs w:val="24"/>
                <w:highlight w:val="none"/>
              </w:rPr>
              <w:t xml:space="preserve">开户银行：上海浦东发展银行广西自贸试验区南宁片区支行 </w:t>
            </w:r>
          </w:p>
          <w:p w14:paraId="4CA7FD66">
            <w:pPr>
              <w:pStyle w:val="18"/>
              <w:snapToGrid w:val="0"/>
              <w:spacing w:line="360" w:lineRule="auto"/>
              <w:rPr>
                <w:rFonts w:hint="eastAsia" w:hAnsi="宋体" w:cs="宋体"/>
                <w:color w:val="auto"/>
                <w:highlight w:val="none"/>
              </w:rPr>
            </w:pPr>
            <w:r>
              <w:rPr>
                <w:rFonts w:hint="eastAsia" w:ascii="Times New Roman" w:hAnsi="宋体" w:cs="宋体"/>
                <w:color w:val="auto"/>
                <w:szCs w:val="24"/>
                <w:highlight w:val="none"/>
              </w:rPr>
              <w:t>银行账号：63150078801600000504</w:t>
            </w:r>
          </w:p>
        </w:tc>
      </w:tr>
      <w:tr w14:paraId="30B267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1C5B4842">
            <w:pPr>
              <w:snapToGrid w:val="0"/>
              <w:spacing w:line="360" w:lineRule="auto"/>
              <w:jc w:val="center"/>
              <w:rPr>
                <w:rFonts w:hint="eastAsia" w:ascii="宋体" w:hAnsi="宋体"/>
                <w:color w:val="auto"/>
                <w:szCs w:val="21"/>
                <w:highlight w:val="none"/>
              </w:rPr>
            </w:pPr>
            <w:r>
              <w:rPr>
                <w:rFonts w:ascii="宋体" w:hAnsi="宋体"/>
                <w:color w:val="auto"/>
                <w:szCs w:val="21"/>
                <w:highlight w:val="none"/>
              </w:rPr>
              <w:t>40.1</w:t>
            </w:r>
          </w:p>
        </w:tc>
        <w:tc>
          <w:tcPr>
            <w:tcW w:w="4466" w:type="pct"/>
            <w:tcBorders>
              <w:top w:val="single" w:color="auto" w:sz="4" w:space="0"/>
              <w:left w:val="single" w:color="auto" w:sz="4" w:space="0"/>
              <w:bottom w:val="single" w:color="auto" w:sz="4" w:space="0"/>
              <w:right w:val="single" w:color="auto" w:sz="4" w:space="0"/>
            </w:tcBorders>
            <w:vAlign w:val="center"/>
          </w:tcPr>
          <w:p w14:paraId="74EFDB06">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解释：</w:t>
            </w:r>
            <w:r>
              <w:rPr>
                <w:rFonts w:ascii="宋体" w:hAnsi="宋体"/>
                <w:color w:val="auto"/>
                <w:szCs w:val="21"/>
                <w:highlight w:val="none"/>
              </w:rPr>
              <w:t>构成本</w:t>
            </w:r>
            <w:r>
              <w:rPr>
                <w:rFonts w:hint="eastAsia" w:ascii="宋体" w:hAnsi="宋体"/>
                <w:color w:val="auto"/>
                <w:szCs w:val="21"/>
                <w:highlight w:val="none"/>
              </w:rPr>
              <w:t>采购</w:t>
            </w:r>
            <w:r>
              <w:rPr>
                <w:rFonts w:ascii="宋体" w:hAnsi="宋体"/>
                <w:color w:val="auto"/>
                <w:szCs w:val="21"/>
                <w:highlight w:val="none"/>
              </w:rPr>
              <w:t>文件的各个组成文件应互为解释，互为说明；除</w:t>
            </w:r>
            <w:r>
              <w:rPr>
                <w:rFonts w:hint="eastAsia" w:ascii="宋体" w:hAnsi="宋体"/>
                <w:color w:val="auto"/>
                <w:szCs w:val="21"/>
                <w:highlight w:val="none"/>
              </w:rPr>
              <w:t>采购</w:t>
            </w:r>
            <w:r>
              <w:rPr>
                <w:rFonts w:ascii="宋体" w:hAnsi="宋体"/>
                <w:color w:val="auto"/>
                <w:szCs w:val="21"/>
                <w:highlight w:val="none"/>
              </w:rPr>
              <w:t>文件中有特别规定外，仅适用于</w:t>
            </w:r>
            <w:r>
              <w:rPr>
                <w:rFonts w:hint="eastAsia" w:ascii="宋体" w:hAnsi="宋体"/>
                <w:color w:val="auto"/>
                <w:szCs w:val="21"/>
                <w:highlight w:val="none"/>
              </w:rPr>
              <w:t>采购</w:t>
            </w:r>
            <w:r>
              <w:rPr>
                <w:rFonts w:ascii="宋体" w:hAnsi="宋体"/>
                <w:color w:val="auto"/>
                <w:szCs w:val="21"/>
                <w:highlight w:val="none"/>
              </w:rPr>
              <w:t>投标阶段的规定，按</w:t>
            </w:r>
            <w:r>
              <w:rPr>
                <w:rFonts w:hint="eastAsia" w:ascii="宋体" w:hAnsi="宋体"/>
                <w:color w:val="auto"/>
                <w:szCs w:val="21"/>
                <w:highlight w:val="none"/>
              </w:rPr>
              <w:t>更正公告（澄清公告）</w:t>
            </w:r>
            <w:r>
              <w:rPr>
                <w:rFonts w:ascii="宋体" w:hAnsi="宋体"/>
                <w:color w:val="auto"/>
                <w:szCs w:val="21"/>
                <w:highlight w:val="none"/>
              </w:rPr>
              <w:t>、</w:t>
            </w:r>
            <w:r>
              <w:rPr>
                <w:rFonts w:hint="eastAsia" w:ascii="宋体" w:hAnsi="宋体"/>
                <w:color w:val="auto"/>
                <w:szCs w:val="21"/>
                <w:highlight w:val="none"/>
              </w:rPr>
              <w:t>采购</w:t>
            </w:r>
            <w:r>
              <w:rPr>
                <w:rFonts w:ascii="宋体" w:hAnsi="宋体"/>
                <w:color w:val="auto"/>
                <w:szCs w:val="21"/>
                <w:highlight w:val="none"/>
              </w:rPr>
              <w:t>公告、</w:t>
            </w:r>
            <w:r>
              <w:rPr>
                <w:rFonts w:hint="eastAsia" w:ascii="宋体" w:hAnsi="宋体"/>
                <w:color w:val="auto"/>
                <w:szCs w:val="21"/>
                <w:highlight w:val="none"/>
              </w:rPr>
              <w:t>采购需求、</w:t>
            </w:r>
            <w:r>
              <w:rPr>
                <w:rFonts w:ascii="宋体" w:hAnsi="宋体"/>
                <w:color w:val="auto"/>
                <w:szCs w:val="21"/>
                <w:highlight w:val="none"/>
              </w:rPr>
              <w:t>投标人须知、</w:t>
            </w:r>
            <w:r>
              <w:rPr>
                <w:rFonts w:hint="eastAsia" w:ascii="宋体" w:hAnsi="宋体"/>
                <w:color w:val="auto"/>
                <w:szCs w:val="21"/>
                <w:highlight w:val="none"/>
              </w:rPr>
              <w:t>评标方法及评标标准</w:t>
            </w:r>
            <w:r>
              <w:rPr>
                <w:rFonts w:ascii="宋体" w:hAnsi="宋体"/>
                <w:color w:val="auto"/>
                <w:szCs w:val="21"/>
                <w:highlight w:val="none"/>
              </w:rPr>
              <w:t>、</w:t>
            </w:r>
            <w:r>
              <w:rPr>
                <w:rFonts w:hint="eastAsia" w:ascii="宋体" w:hAnsi="宋体"/>
                <w:color w:val="auto"/>
                <w:szCs w:val="21"/>
                <w:highlight w:val="none"/>
              </w:rPr>
              <w:t>拟签订的合同文本、</w:t>
            </w:r>
            <w:r>
              <w:rPr>
                <w:rFonts w:ascii="宋体" w:hAnsi="宋体"/>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Cs w:val="21"/>
                <w:highlight w:val="none"/>
              </w:rPr>
              <w:t>更正公告（澄清公告）</w:t>
            </w:r>
            <w:r>
              <w:rPr>
                <w:rFonts w:ascii="宋体" w:hAnsi="宋体"/>
                <w:color w:val="auto"/>
                <w:szCs w:val="21"/>
                <w:highlight w:val="none"/>
              </w:rPr>
              <w:t>与同步更新的</w:t>
            </w:r>
            <w:r>
              <w:rPr>
                <w:rFonts w:hint="eastAsia" w:ascii="宋体" w:hAnsi="宋体"/>
                <w:color w:val="auto"/>
                <w:szCs w:val="21"/>
                <w:highlight w:val="none"/>
              </w:rPr>
              <w:t>采购</w:t>
            </w:r>
            <w:r>
              <w:rPr>
                <w:rFonts w:ascii="宋体" w:hAnsi="宋体"/>
                <w:color w:val="auto"/>
                <w:szCs w:val="21"/>
                <w:highlight w:val="none"/>
              </w:rPr>
              <w:t>文件不一致时以</w:t>
            </w:r>
            <w:r>
              <w:rPr>
                <w:rFonts w:hint="eastAsia" w:ascii="宋体" w:hAnsi="宋体"/>
                <w:color w:val="auto"/>
                <w:szCs w:val="21"/>
                <w:highlight w:val="none"/>
              </w:rPr>
              <w:t>更正公告（澄清公告）</w:t>
            </w:r>
            <w:r>
              <w:rPr>
                <w:rFonts w:ascii="宋体" w:hAnsi="宋体"/>
                <w:color w:val="auto"/>
                <w:szCs w:val="21"/>
                <w:highlight w:val="none"/>
              </w:rPr>
              <w:t>为准。按本款前述规定仍不能形成结论的，由</w:t>
            </w:r>
            <w:r>
              <w:rPr>
                <w:rFonts w:hint="eastAsia" w:ascii="宋体" w:hAnsi="宋体"/>
                <w:color w:val="auto"/>
                <w:szCs w:val="21"/>
                <w:highlight w:val="none"/>
              </w:rPr>
              <w:t>采购</w:t>
            </w:r>
            <w:r>
              <w:rPr>
                <w:rFonts w:ascii="宋体" w:hAnsi="宋体"/>
                <w:color w:val="auto"/>
                <w:szCs w:val="21"/>
                <w:highlight w:val="none"/>
              </w:rPr>
              <w:t>人</w:t>
            </w:r>
            <w:r>
              <w:rPr>
                <w:rFonts w:hint="eastAsia" w:ascii="宋体" w:hAnsi="宋体"/>
                <w:color w:val="auto"/>
                <w:szCs w:val="21"/>
                <w:highlight w:val="none"/>
              </w:rPr>
              <w:t>或者采购代理机构</w:t>
            </w:r>
            <w:r>
              <w:rPr>
                <w:rFonts w:ascii="宋体" w:hAnsi="宋体"/>
                <w:color w:val="auto"/>
                <w:szCs w:val="21"/>
                <w:highlight w:val="none"/>
              </w:rPr>
              <w:t>负责解释。</w:t>
            </w:r>
          </w:p>
        </w:tc>
      </w:tr>
      <w:tr w14:paraId="5963E2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472EBADE">
            <w:pPr>
              <w:snapToGrid w:val="0"/>
              <w:spacing w:line="360" w:lineRule="auto"/>
              <w:jc w:val="center"/>
              <w:rPr>
                <w:rFonts w:hint="eastAsia" w:ascii="宋体" w:hAnsi="宋体"/>
                <w:color w:val="auto"/>
                <w:szCs w:val="21"/>
                <w:highlight w:val="none"/>
              </w:rPr>
            </w:pPr>
            <w:r>
              <w:rPr>
                <w:rFonts w:ascii="宋体" w:hAnsi="宋体"/>
                <w:color w:val="auto"/>
                <w:szCs w:val="21"/>
                <w:highlight w:val="none"/>
              </w:rPr>
              <w:t>40.2</w:t>
            </w:r>
          </w:p>
        </w:tc>
        <w:tc>
          <w:tcPr>
            <w:tcW w:w="4466" w:type="pct"/>
            <w:tcBorders>
              <w:top w:val="single" w:color="auto" w:sz="4" w:space="0"/>
              <w:left w:val="single" w:color="auto" w:sz="4" w:space="0"/>
              <w:bottom w:val="single" w:color="auto" w:sz="4" w:space="0"/>
              <w:right w:val="single" w:color="auto" w:sz="4" w:space="0"/>
            </w:tcBorders>
            <w:vAlign w:val="center"/>
          </w:tcPr>
          <w:p w14:paraId="66C3A339">
            <w:pPr>
              <w:pStyle w:val="18"/>
              <w:snapToGrid w:val="0"/>
              <w:spacing w:line="360" w:lineRule="auto"/>
              <w:rPr>
                <w:rFonts w:hint="eastAsia" w:hAnsi="宋体" w:cs="宋体"/>
                <w:bCs/>
                <w:color w:val="auto"/>
                <w:highlight w:val="none"/>
              </w:rPr>
            </w:pPr>
            <w:r>
              <w:rPr>
                <w:rFonts w:hint="eastAsia" w:hAnsi="宋体" w:cs="宋体"/>
                <w:bCs/>
                <w:color w:val="auto"/>
                <w:highlight w:val="none"/>
              </w:rPr>
              <w:t>1.本采购文件中描述投标人的“公章”是指根据我国对公章的管理规定，用投标人法定主体行为名称制作的印章，除本采购文件有特殊规定外，投标人的财务章、部门章、分公司章、工会章、合同章、投标专用章、业务专用章及银行的转账章、现金收讫章、现金付讫章等其他形式印章均不能代替公章。</w:t>
            </w:r>
          </w:p>
          <w:p w14:paraId="7A59B3F8">
            <w:pPr>
              <w:pStyle w:val="18"/>
              <w:snapToGrid w:val="0"/>
              <w:spacing w:line="360" w:lineRule="auto"/>
              <w:rPr>
                <w:rFonts w:hint="eastAsia" w:hAnsi="宋体" w:cs="宋体"/>
                <w:bCs/>
                <w:color w:val="auto"/>
                <w:highlight w:val="none"/>
              </w:rPr>
            </w:pPr>
            <w:r>
              <w:rPr>
                <w:rFonts w:hint="eastAsia" w:hAnsi="宋体" w:cs="宋体"/>
                <w:bCs/>
                <w:color w:val="auto"/>
                <w:highlight w:val="none"/>
              </w:rPr>
              <w:t>2.本采购文件所称的“</w:t>
            </w:r>
            <w:r>
              <w:rPr>
                <w:rFonts w:hint="eastAsia" w:hAnsi="宋体"/>
                <w:color w:val="auto"/>
                <w:highlight w:val="none"/>
              </w:rPr>
              <w:t>电子签章</w:t>
            </w:r>
            <w:r>
              <w:rPr>
                <w:rFonts w:hint="eastAsia" w:hAnsi="宋体" w:cs="宋体"/>
                <w:bCs/>
                <w:color w:val="auto"/>
                <w:highlight w:val="none"/>
              </w:rPr>
              <w:t>”“电子签名”</w:t>
            </w:r>
            <w:r>
              <w:rPr>
                <w:rFonts w:hint="eastAsia" w:hAnsi="宋体"/>
                <w:color w:val="auto"/>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5E5A315F">
            <w:pPr>
              <w:pStyle w:val="18"/>
              <w:snapToGrid w:val="0"/>
              <w:spacing w:line="360" w:lineRule="auto"/>
              <w:rPr>
                <w:rFonts w:hint="eastAsia" w:hAnsi="宋体" w:cs="宋体"/>
                <w:bCs/>
                <w:color w:val="auto"/>
                <w:highlight w:val="none"/>
              </w:rPr>
            </w:pPr>
            <w:r>
              <w:rPr>
                <w:rFonts w:hint="eastAsia" w:hAnsi="宋体" w:cs="宋体"/>
                <w:bCs/>
                <w:color w:val="auto"/>
                <w:highlight w:val="none"/>
              </w:rPr>
              <w:t>3.投标人为其他组织或者自然人时，本采购文件规定的法定代表人指负责人或者自然人。本采购文件所称负责人是指参加投标的其他组织营业执照或者执业许可证等证照上的负责人，本采购文件所称自然人指参与投标的自然人本人，且应具备独立承担民事责任能力，自然人应当为年满18岁以上成年人（十六周岁以上的未成年人，以自己的劳动收入为主要生活来源的，视为完全民事行为能力人）。</w:t>
            </w:r>
          </w:p>
          <w:p w14:paraId="4524E227">
            <w:pPr>
              <w:pStyle w:val="18"/>
              <w:snapToGrid w:val="0"/>
              <w:spacing w:line="360" w:lineRule="auto"/>
              <w:rPr>
                <w:rFonts w:hint="eastAsia" w:hAnsi="宋体" w:cs="宋体"/>
                <w:bCs/>
                <w:color w:val="auto"/>
                <w:highlight w:val="none"/>
              </w:rPr>
            </w:pPr>
            <w:r>
              <w:rPr>
                <w:rFonts w:hint="eastAsia" w:hAnsi="宋体" w:cs="宋体"/>
                <w:bCs/>
                <w:color w:val="auto"/>
                <w:highlight w:val="none"/>
              </w:rPr>
              <w:t>4.本采购文件中描述投标人的“签字”是指投标人的法定代表人或者委托代理人亲自在文件规定签字处亲笔写上个人的名字的行为，私章、签字章、印鉴、影印等其他形式均不能代替亲笔签字。</w:t>
            </w:r>
          </w:p>
          <w:p w14:paraId="3304C770">
            <w:pPr>
              <w:spacing w:line="360" w:lineRule="auto"/>
              <w:jc w:val="left"/>
              <w:rPr>
                <w:rFonts w:hint="eastAsia" w:ascii="宋体" w:hAnsi="宋体"/>
                <w:color w:val="auto"/>
                <w:szCs w:val="21"/>
                <w:highlight w:val="none"/>
              </w:rPr>
            </w:pPr>
            <w:r>
              <w:rPr>
                <w:rFonts w:hint="eastAsia" w:hAnsi="宋体" w:cs="宋体"/>
                <w:bCs/>
                <w:color w:val="auto"/>
                <w:highlight w:val="none"/>
              </w:rPr>
              <w:t>5.</w:t>
            </w:r>
            <w:r>
              <w:rPr>
                <w:rFonts w:hint="eastAsia" w:ascii="宋体" w:hAnsi="宋体" w:cs="宋体"/>
                <w:bCs/>
                <w:color w:val="auto"/>
                <w:kern w:val="0"/>
                <w:szCs w:val="21"/>
                <w:highlight w:val="none"/>
              </w:rPr>
              <w:t>本采购文件所称的“以上”“以下”“以内”“届满”，包括本数；所称的“不满”“超过”“以外”，不包括本数。</w:t>
            </w:r>
          </w:p>
        </w:tc>
      </w:tr>
      <w:tr w14:paraId="099C59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3" w:type="pct"/>
            <w:tcBorders>
              <w:top w:val="single" w:color="auto" w:sz="4" w:space="0"/>
              <w:left w:val="single" w:color="auto" w:sz="4" w:space="0"/>
              <w:bottom w:val="single" w:color="auto" w:sz="4" w:space="0"/>
              <w:right w:val="single" w:color="auto" w:sz="4" w:space="0"/>
            </w:tcBorders>
            <w:vAlign w:val="center"/>
          </w:tcPr>
          <w:p w14:paraId="67ECF91D">
            <w:pPr>
              <w:snapToGrid w:val="0"/>
              <w:spacing w:line="360" w:lineRule="auto"/>
              <w:jc w:val="center"/>
              <w:rPr>
                <w:rFonts w:hint="eastAsia" w:ascii="宋体" w:hAnsi="宋体"/>
                <w:color w:val="auto"/>
                <w:szCs w:val="21"/>
                <w:highlight w:val="none"/>
              </w:rPr>
            </w:pPr>
          </w:p>
        </w:tc>
        <w:tc>
          <w:tcPr>
            <w:tcW w:w="4466" w:type="pct"/>
            <w:tcBorders>
              <w:top w:val="single" w:color="auto" w:sz="4" w:space="0"/>
              <w:left w:val="single" w:color="auto" w:sz="4" w:space="0"/>
              <w:bottom w:val="single" w:color="auto" w:sz="4" w:space="0"/>
              <w:right w:val="single" w:color="auto" w:sz="4" w:space="0"/>
            </w:tcBorders>
            <w:vAlign w:val="center"/>
          </w:tcPr>
          <w:p w14:paraId="091DAB46">
            <w:pPr>
              <w:spacing w:line="360" w:lineRule="auto"/>
              <w:jc w:val="left"/>
              <w:rPr>
                <w:rFonts w:hint="eastAsia" w:hAnsi="宋体" w:cs="宋体"/>
                <w:b/>
                <w:color w:val="auto"/>
                <w:highlight w:val="none"/>
              </w:rPr>
            </w:pPr>
            <w:r>
              <w:rPr>
                <w:rFonts w:hint="eastAsia" w:hAnsi="宋体" w:cs="宋体"/>
                <w:b/>
                <w:color w:val="auto"/>
                <w:highlight w:val="none"/>
              </w:rPr>
              <w:t>特别说明：因项目存档需要，须按以下要求提供纸质投标响应文件：</w:t>
            </w:r>
          </w:p>
          <w:p w14:paraId="524058D2">
            <w:pPr>
              <w:spacing w:line="360" w:lineRule="auto"/>
              <w:jc w:val="left"/>
              <w:rPr>
                <w:rFonts w:hint="eastAsia" w:hAnsi="宋体" w:cs="宋体"/>
                <w:bCs/>
                <w:color w:val="auto"/>
                <w:highlight w:val="none"/>
              </w:rPr>
            </w:pPr>
            <w:r>
              <w:rPr>
                <w:rFonts w:hint="eastAsia" w:hAnsi="宋体" w:cs="宋体"/>
                <w:b/>
                <w:color w:val="auto"/>
                <w:highlight w:val="none"/>
              </w:rPr>
              <w:t>中标供应商在中标通知书发出后5天内须提交3套纸质版投标响应文件（含报价文件、资格证明文件、商务文件、技术文件。按要求加盖公章）给招标代理机构，一正二副。提交的纸质版响应文件文本必须与其上传系统的电子响应文件内容一致，不允许有篡改。如项目验收时因所提供的纸质响应文件与评标的响应文件不一致造成纠纷时，所有责任由中标人承担。</w:t>
            </w:r>
          </w:p>
        </w:tc>
      </w:tr>
    </w:tbl>
    <w:p w14:paraId="4E24CB05">
      <w:pPr>
        <w:snapToGrid w:val="0"/>
        <w:rPr>
          <w:rFonts w:hint="eastAsia" w:ascii="宋体" w:hAnsi="宋体"/>
          <w:sz w:val="24"/>
          <w:szCs w:val="20"/>
        </w:rPr>
      </w:pPr>
    </w:p>
    <w:p w14:paraId="748D5342">
      <w:pPr>
        <w:pStyle w:val="6"/>
        <w:keepNext w:val="0"/>
        <w:keepLines w:val="0"/>
        <w:jc w:val="center"/>
      </w:pPr>
      <w:r>
        <w:br w:type="page"/>
      </w:r>
      <w:r>
        <w:rPr>
          <w:rFonts w:hint="eastAsia"/>
        </w:rPr>
        <w:t>投标人须知正文</w:t>
      </w:r>
    </w:p>
    <w:p w14:paraId="6CC00003">
      <w:pPr>
        <w:pStyle w:val="6"/>
        <w:keepNext w:val="0"/>
        <w:keepLines w:val="0"/>
        <w:jc w:val="center"/>
      </w:pPr>
      <w:r>
        <w:rPr>
          <w:rFonts w:hint="eastAsia"/>
        </w:rPr>
        <w:t>一、总  则</w:t>
      </w:r>
    </w:p>
    <w:p w14:paraId="1CCD68CE">
      <w:pPr>
        <w:pStyle w:val="8"/>
        <w:keepNext w:val="0"/>
        <w:keepLines w:val="0"/>
        <w:spacing w:before="0" w:after="0" w:line="360" w:lineRule="auto"/>
        <w:ind w:left="420" w:leftChars="200"/>
        <w:rPr>
          <w:rFonts w:hint="eastAsia" w:ascii="黑体" w:hAnsi="黑体" w:eastAsia="黑体"/>
          <w:sz w:val="24"/>
        </w:rPr>
      </w:pPr>
      <w:bookmarkStart w:id="75" w:name="_Toc254970527"/>
      <w:bookmarkStart w:id="76" w:name="_Toc254970668"/>
      <w:r>
        <w:rPr>
          <w:rFonts w:hint="eastAsia" w:ascii="黑体" w:hAnsi="黑体" w:eastAsia="黑体"/>
          <w:sz w:val="24"/>
        </w:rPr>
        <w:t>1.适用范围</w:t>
      </w:r>
      <w:bookmarkEnd w:id="75"/>
      <w:bookmarkEnd w:id="76"/>
    </w:p>
    <w:p w14:paraId="0F3A681A">
      <w:pPr>
        <w:snapToGrid w:val="0"/>
        <w:spacing w:line="360" w:lineRule="auto"/>
        <w:ind w:firstLine="420" w:firstLineChars="200"/>
        <w:jc w:val="left"/>
        <w:rPr>
          <w:rFonts w:hint="eastAsia" w:ascii="宋体" w:hAnsi="宋体"/>
          <w:szCs w:val="21"/>
        </w:rPr>
      </w:pPr>
      <w:r>
        <w:rPr>
          <w:rFonts w:hint="eastAsia" w:ascii="宋体" w:hAnsi="宋体"/>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对政府采购有关规定的约束和保护。</w:t>
      </w:r>
    </w:p>
    <w:p w14:paraId="4EB868F0">
      <w:pPr>
        <w:snapToGrid w:val="0"/>
        <w:spacing w:line="360" w:lineRule="auto"/>
        <w:ind w:firstLine="420" w:firstLineChars="200"/>
        <w:jc w:val="left"/>
        <w:rPr>
          <w:rFonts w:hint="eastAsia" w:ascii="宋体" w:hAnsi="宋体"/>
          <w:szCs w:val="21"/>
        </w:rPr>
      </w:pPr>
      <w:r>
        <w:rPr>
          <w:rFonts w:hint="eastAsia" w:ascii="宋体" w:hAnsi="宋体"/>
          <w:szCs w:val="21"/>
        </w:rPr>
        <w:t>1.2本采购文件</w:t>
      </w:r>
      <w:r>
        <w:rPr>
          <w:rFonts w:hint="eastAsia" w:ascii="宋体" w:hAnsi="宋体" w:cs="宋体"/>
          <w:spacing w:val="-6"/>
          <w:szCs w:val="21"/>
        </w:rPr>
        <w:t>适用于本项目的所有采购程序和环节（法律、法规另有规定的，从其规定）。</w:t>
      </w:r>
    </w:p>
    <w:p w14:paraId="139EA192">
      <w:pPr>
        <w:pStyle w:val="8"/>
        <w:keepNext w:val="0"/>
        <w:keepLines w:val="0"/>
        <w:spacing w:before="0" w:after="0" w:line="360" w:lineRule="auto"/>
        <w:ind w:left="420" w:leftChars="200"/>
        <w:rPr>
          <w:rFonts w:hint="eastAsia" w:ascii="黑体" w:hAnsi="黑体" w:eastAsia="黑体"/>
          <w:sz w:val="24"/>
        </w:rPr>
      </w:pPr>
      <w:bookmarkStart w:id="77" w:name="_Toc254970528"/>
      <w:bookmarkStart w:id="78" w:name="_Toc254970669"/>
      <w:r>
        <w:rPr>
          <w:rFonts w:hint="eastAsia" w:ascii="黑体" w:hAnsi="黑体" w:eastAsia="黑体"/>
          <w:sz w:val="24"/>
        </w:rPr>
        <w:t>2.定义</w:t>
      </w:r>
      <w:bookmarkEnd w:id="77"/>
      <w:bookmarkEnd w:id="78"/>
    </w:p>
    <w:p w14:paraId="47A92479">
      <w:pPr>
        <w:pStyle w:val="8"/>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2.1“采购人”是指依法进行政府采购的国家机关、事业单位、团体组织。</w:t>
      </w:r>
    </w:p>
    <w:p w14:paraId="3EE905E8">
      <w:pPr>
        <w:pStyle w:val="8"/>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2.2“采购代理机构”是指政府采购集中采购机构和集中采购机构以外的采购代理机构。</w:t>
      </w:r>
    </w:p>
    <w:p w14:paraId="0C9467DB">
      <w:pPr>
        <w:pStyle w:val="8"/>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2.3“供应商”是指向采购人提供货物、工程或者服务的法人、其他组织或者自然人。</w:t>
      </w:r>
    </w:p>
    <w:p w14:paraId="3460F67B">
      <w:pPr>
        <w:pStyle w:val="9"/>
        <w:spacing w:line="360" w:lineRule="auto"/>
        <w:rPr>
          <w:rFonts w:hint="eastAsia" w:ascii="宋体" w:hAnsi="宋体"/>
          <w:szCs w:val="21"/>
        </w:rPr>
      </w:pPr>
      <w:r>
        <w:rPr>
          <w:rFonts w:hint="eastAsia" w:ascii="宋体" w:hAnsi="宋体"/>
          <w:szCs w:val="21"/>
        </w:rPr>
        <w:t>2.4“投标人”是指响应招标、参加投标竞争的法人、其他组织或者自然人。</w:t>
      </w:r>
    </w:p>
    <w:p w14:paraId="06DC8FD3">
      <w:pPr>
        <w:pStyle w:val="8"/>
        <w:keepNext w:val="0"/>
        <w:keepLines w:val="0"/>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2.5“服务”是指除货物和工程以外的其他政府采购对象。</w:t>
      </w:r>
    </w:p>
    <w:p w14:paraId="56863B89">
      <w:pPr>
        <w:pStyle w:val="8"/>
        <w:keepNext w:val="0"/>
        <w:keepLines w:val="0"/>
        <w:spacing w:before="0" w:after="0" w:line="360" w:lineRule="auto"/>
        <w:rPr>
          <w:rFonts w:hint="eastAsia" w:ascii="宋体" w:hAnsi="宋体"/>
          <w:b w:val="0"/>
          <w:sz w:val="21"/>
          <w:szCs w:val="21"/>
        </w:rPr>
      </w:pPr>
      <w:r>
        <w:rPr>
          <w:rFonts w:hint="eastAsia" w:ascii="宋体" w:hAnsi="宋体"/>
          <w:b w:val="0"/>
          <w:sz w:val="21"/>
          <w:szCs w:val="21"/>
        </w:rPr>
        <w:t xml:space="preserve">    2.</w:t>
      </w:r>
      <w:r>
        <w:rPr>
          <w:rFonts w:ascii="宋体" w:hAnsi="宋体"/>
          <w:b w:val="0"/>
          <w:sz w:val="21"/>
          <w:szCs w:val="21"/>
        </w:rPr>
        <w:t>6</w:t>
      </w:r>
      <w:r>
        <w:rPr>
          <w:rFonts w:hint="eastAsia" w:ascii="宋体" w:hAnsi="宋体"/>
          <w:b w:val="0"/>
          <w:sz w:val="21"/>
          <w:szCs w:val="21"/>
        </w:rPr>
        <w:t>“书面形式”是指合同书、信件和数据电文（包括电报、电传、传真、电子数据交换和电子邮件）等可以有形地表现所载内容的形式。</w:t>
      </w:r>
    </w:p>
    <w:p w14:paraId="76A6E536">
      <w:pPr>
        <w:pStyle w:val="8"/>
        <w:keepNext w:val="0"/>
        <w:keepLines w:val="0"/>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2.</w:t>
      </w:r>
      <w:r>
        <w:rPr>
          <w:rFonts w:ascii="宋体" w:hAnsi="宋体"/>
          <w:b w:val="0"/>
          <w:sz w:val="21"/>
          <w:szCs w:val="21"/>
        </w:rPr>
        <w:t>7</w:t>
      </w:r>
      <w:r>
        <w:rPr>
          <w:rFonts w:hint="eastAsia" w:ascii="宋体" w:hAnsi="宋体"/>
          <w:b w:val="0"/>
          <w:sz w:val="21"/>
          <w:szCs w:val="21"/>
        </w:rPr>
        <w:t>“实质性要求”是指采购文件中已经指明不满足则投标无效的条款，或者不能负偏离的条款，或者采购需求中带“▲”的条款。</w:t>
      </w:r>
    </w:p>
    <w:p w14:paraId="7BB43EC7">
      <w:pPr>
        <w:snapToGrid w:val="0"/>
        <w:spacing w:line="360" w:lineRule="auto"/>
        <w:ind w:firstLine="420" w:firstLineChars="200"/>
        <w:jc w:val="left"/>
        <w:rPr>
          <w:rFonts w:hint="eastAsia" w:ascii="宋体" w:hAnsi="宋体" w:cs="宋体"/>
          <w:szCs w:val="21"/>
        </w:rPr>
      </w:pPr>
      <w:r>
        <w:rPr>
          <w:rFonts w:hint="eastAsia" w:ascii="宋体" w:hAnsi="宋体"/>
          <w:szCs w:val="21"/>
        </w:rPr>
        <w:t>2.</w:t>
      </w:r>
      <w:r>
        <w:rPr>
          <w:rFonts w:ascii="宋体" w:hAnsi="宋体"/>
          <w:szCs w:val="21"/>
        </w:rPr>
        <w:t>8</w:t>
      </w:r>
      <w:r>
        <w:rPr>
          <w:rFonts w:hint="eastAsia" w:ascii="宋体" w:hAnsi="宋体" w:cs="宋体"/>
          <w:szCs w:val="21"/>
        </w:rPr>
        <w:t>“正偏离”，是指投标文件对采购文件“采购需求”中有关条款作出的响应优于条款要求并有利于采购人的情形。</w:t>
      </w:r>
    </w:p>
    <w:p w14:paraId="4CD9435D">
      <w:pPr>
        <w:snapToGrid w:val="0"/>
        <w:spacing w:line="360" w:lineRule="auto"/>
        <w:ind w:firstLine="420" w:firstLineChars="200"/>
        <w:jc w:val="left"/>
        <w:rPr>
          <w:rFonts w:hint="eastAsia" w:ascii="宋体" w:hAnsi="宋体" w:cs="宋体"/>
          <w:szCs w:val="21"/>
        </w:rPr>
      </w:pPr>
      <w:r>
        <w:rPr>
          <w:rFonts w:ascii="宋体" w:hAnsi="宋体" w:cs="宋体"/>
          <w:szCs w:val="21"/>
        </w:rPr>
        <w:t>2.9</w:t>
      </w:r>
      <w:r>
        <w:rPr>
          <w:rFonts w:hint="eastAsia" w:ascii="宋体" w:hAnsi="宋体" w:cs="宋体"/>
          <w:szCs w:val="21"/>
        </w:rPr>
        <w:t>“负偏离”，是指投标文件对采购文件“采购需求”中有关条款作出的响应不满足条款要求，导致采购人要求不能得到满足的情形。</w:t>
      </w:r>
    </w:p>
    <w:p w14:paraId="45FA365A">
      <w:pPr>
        <w:snapToGrid w:val="0"/>
        <w:spacing w:line="360" w:lineRule="auto"/>
        <w:ind w:firstLine="420" w:firstLineChars="200"/>
        <w:jc w:val="left"/>
        <w:rPr>
          <w:rFonts w:hint="eastAsia" w:ascii="宋体" w:hAnsi="宋体"/>
          <w:szCs w:val="21"/>
        </w:rPr>
      </w:pPr>
      <w:r>
        <w:rPr>
          <w:rFonts w:hint="eastAsia" w:ascii="宋体" w:hAnsi="宋体"/>
          <w:szCs w:val="21"/>
        </w:rPr>
        <w:t>2.1</w:t>
      </w:r>
      <w:r>
        <w:rPr>
          <w:rFonts w:ascii="宋体" w:hAnsi="宋体"/>
          <w:szCs w:val="21"/>
        </w:rPr>
        <w:t>0</w:t>
      </w:r>
      <w:r>
        <w:rPr>
          <w:rFonts w:hint="eastAsia" w:ascii="宋体" w:hAnsi="宋体" w:cs="宋体"/>
          <w:szCs w:val="21"/>
        </w:rPr>
        <w:t>“允许负偏离的条款”是指采购需求中的不属于“实质性要求”的条款。</w:t>
      </w:r>
      <w:bookmarkStart w:id="79" w:name="_Toc254970529"/>
      <w:bookmarkStart w:id="80" w:name="_Toc254970670"/>
    </w:p>
    <w:p w14:paraId="2B04064B">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3.</w:t>
      </w:r>
      <w:bookmarkEnd w:id="79"/>
      <w:bookmarkEnd w:id="80"/>
      <w:r>
        <w:rPr>
          <w:rFonts w:hint="eastAsia" w:ascii="黑体" w:hAnsi="黑体" w:eastAsia="黑体"/>
          <w:sz w:val="24"/>
        </w:rPr>
        <w:t>投标人的资格要求</w:t>
      </w:r>
    </w:p>
    <w:p w14:paraId="54723ECA">
      <w:pPr>
        <w:snapToGrid w:val="0"/>
        <w:spacing w:line="360" w:lineRule="auto"/>
        <w:ind w:firstLine="420" w:firstLineChars="200"/>
        <w:jc w:val="left"/>
        <w:rPr>
          <w:rFonts w:hint="eastAsia" w:ascii="宋体" w:hAnsi="宋体"/>
          <w:szCs w:val="21"/>
        </w:rPr>
      </w:pPr>
      <w:r>
        <w:rPr>
          <w:rFonts w:hint="eastAsia" w:ascii="宋体" w:hAnsi="宋体"/>
          <w:szCs w:val="21"/>
        </w:rPr>
        <w:t>投标人的资格要求详见“投标人须知前附表”。</w:t>
      </w:r>
    </w:p>
    <w:p w14:paraId="3DDFB987">
      <w:pPr>
        <w:pStyle w:val="8"/>
        <w:keepNext w:val="0"/>
        <w:keepLines w:val="0"/>
        <w:spacing w:before="0" w:after="0" w:line="360" w:lineRule="auto"/>
        <w:ind w:left="420" w:leftChars="200"/>
        <w:rPr>
          <w:rFonts w:hint="eastAsia" w:ascii="黑体" w:hAnsi="黑体" w:eastAsia="黑体"/>
          <w:sz w:val="24"/>
        </w:rPr>
      </w:pPr>
      <w:bookmarkStart w:id="81" w:name="_Toc254970530"/>
      <w:bookmarkStart w:id="82" w:name="_Toc254970671"/>
      <w:r>
        <w:rPr>
          <w:rFonts w:hint="eastAsia" w:ascii="黑体" w:hAnsi="黑体" w:eastAsia="黑体"/>
          <w:sz w:val="24"/>
        </w:rPr>
        <w:t>4.投标委托</w:t>
      </w:r>
      <w:bookmarkEnd w:id="81"/>
      <w:bookmarkEnd w:id="82"/>
    </w:p>
    <w:p w14:paraId="4ADD4A55">
      <w:pPr>
        <w:snapToGrid w:val="0"/>
        <w:spacing w:line="360" w:lineRule="auto"/>
        <w:ind w:firstLine="420" w:firstLineChars="200"/>
        <w:jc w:val="left"/>
        <w:rPr>
          <w:rFonts w:hint="eastAsia" w:ascii="宋体" w:hAnsi="宋体"/>
          <w:szCs w:val="21"/>
        </w:rPr>
      </w:pPr>
      <w:r>
        <w:rPr>
          <w:rFonts w:hint="eastAsia" w:ascii="宋体" w:hAnsi="宋体"/>
          <w:szCs w:val="21"/>
        </w:rPr>
        <w:t>投标人代表参加投标活动过程中必须携带个人有效身份证件。如投标人代表不是法定代表人，须持有授权委托书（按第六章要求格式填写）。</w:t>
      </w:r>
    </w:p>
    <w:p w14:paraId="26797400">
      <w:pPr>
        <w:pStyle w:val="8"/>
        <w:keepNext w:val="0"/>
        <w:keepLines w:val="0"/>
        <w:spacing w:before="0" w:after="0" w:line="360" w:lineRule="auto"/>
        <w:ind w:left="420" w:leftChars="200"/>
        <w:rPr>
          <w:rFonts w:hint="eastAsia" w:ascii="黑体" w:hAnsi="黑体" w:eastAsia="黑体"/>
          <w:sz w:val="24"/>
        </w:rPr>
      </w:pPr>
      <w:bookmarkStart w:id="83" w:name="_5.投标费用"/>
      <w:bookmarkEnd w:id="83"/>
      <w:bookmarkStart w:id="84" w:name="_Toc254970531"/>
      <w:bookmarkStart w:id="85" w:name="_Toc254970672"/>
      <w:r>
        <w:rPr>
          <w:rFonts w:hint="eastAsia" w:ascii="黑体" w:hAnsi="黑体" w:eastAsia="黑体"/>
          <w:sz w:val="24"/>
        </w:rPr>
        <w:t>5.投标费用</w:t>
      </w:r>
      <w:bookmarkEnd w:id="84"/>
      <w:bookmarkEnd w:id="85"/>
    </w:p>
    <w:p w14:paraId="1C63E4AA">
      <w:pPr>
        <w:snapToGrid w:val="0"/>
        <w:spacing w:line="360" w:lineRule="auto"/>
        <w:ind w:firstLine="420" w:firstLineChars="200"/>
        <w:jc w:val="left"/>
        <w:rPr>
          <w:rFonts w:hint="eastAsia" w:ascii="宋体" w:hAnsi="宋体"/>
          <w:szCs w:val="21"/>
        </w:rPr>
      </w:pPr>
      <w:r>
        <w:rPr>
          <w:rFonts w:hint="eastAsia" w:ascii="宋体" w:hAnsi="宋体" w:cs="宋体"/>
          <w:szCs w:val="21"/>
        </w:rPr>
        <w:t>投标费用：投标人应承担参与本次采购活动有关的所有费用，包括但不限于获取采购文件、勘查现场、编制和提交投标文件、参加澄清说明、签订合同等，不论投标结果如何，均应自行承担。</w:t>
      </w:r>
    </w:p>
    <w:p w14:paraId="3F481E3B">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6.联合体投标</w:t>
      </w:r>
    </w:p>
    <w:p w14:paraId="4CBC9A6B">
      <w:pPr>
        <w:snapToGrid w:val="0"/>
        <w:spacing w:line="360" w:lineRule="auto"/>
        <w:ind w:firstLine="420" w:firstLineChars="200"/>
        <w:jc w:val="left"/>
        <w:rPr>
          <w:rFonts w:hint="eastAsia" w:ascii="宋体" w:hAnsi="宋体"/>
          <w:szCs w:val="21"/>
        </w:rPr>
      </w:pPr>
      <w:r>
        <w:rPr>
          <w:rFonts w:hint="eastAsia" w:ascii="宋体" w:hAnsi="宋体"/>
          <w:szCs w:val="21"/>
        </w:rPr>
        <w:t>6.1本项目是否接受联合体投标，详见“投标人须知前附表”。</w:t>
      </w:r>
    </w:p>
    <w:p w14:paraId="7A7CE4AB">
      <w:pPr>
        <w:snapToGrid w:val="0"/>
        <w:spacing w:line="360" w:lineRule="auto"/>
        <w:ind w:firstLine="420" w:firstLineChars="200"/>
        <w:jc w:val="left"/>
        <w:rPr>
          <w:rFonts w:hint="eastAsia" w:ascii="宋体" w:hAnsi="宋体"/>
          <w:bCs/>
          <w:szCs w:val="21"/>
        </w:rPr>
      </w:pPr>
      <w:r>
        <w:rPr>
          <w:rFonts w:hint="eastAsia" w:ascii="宋体" w:hAnsi="宋体"/>
          <w:bCs/>
          <w:szCs w:val="21"/>
        </w:rPr>
        <w:t>6.2如接受联合体投标，联合体投标要求详见“投标人须知前附表”。</w:t>
      </w:r>
    </w:p>
    <w:p w14:paraId="245D603F">
      <w:pPr>
        <w:snapToGrid w:val="0"/>
        <w:spacing w:line="360" w:lineRule="auto"/>
        <w:ind w:firstLine="420" w:firstLineChars="200"/>
        <w:jc w:val="left"/>
        <w:rPr>
          <w:rFonts w:hint="eastAsia" w:ascii="宋体" w:hAnsi="宋体"/>
          <w:szCs w:val="21"/>
        </w:rPr>
      </w:pPr>
      <w:r>
        <w:rPr>
          <w:rFonts w:hint="eastAsia" w:ascii="宋体" w:hAnsi="宋体"/>
          <w:bCs/>
          <w:szCs w:val="21"/>
        </w:rPr>
        <w:t>6.3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2D42088F">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 xml:space="preserve">7.转包与分包             </w:t>
      </w:r>
    </w:p>
    <w:p w14:paraId="594F2E37">
      <w:pPr>
        <w:pStyle w:val="8"/>
        <w:keepNext w:val="0"/>
        <w:keepLines w:val="0"/>
        <w:spacing w:before="0" w:after="0" w:line="360" w:lineRule="auto"/>
        <w:ind w:left="420" w:leftChars="200"/>
        <w:rPr>
          <w:rFonts w:hint="eastAsia" w:ascii="宋体" w:hAnsi="宋体"/>
          <w:b w:val="0"/>
          <w:sz w:val="21"/>
          <w:szCs w:val="21"/>
        </w:rPr>
      </w:pPr>
      <w:bookmarkStart w:id="86" w:name="_Toc254970532"/>
      <w:bookmarkStart w:id="87" w:name="_Toc254970673"/>
      <w:r>
        <w:rPr>
          <w:rFonts w:hint="eastAsia" w:ascii="宋体" w:hAnsi="宋体"/>
          <w:b w:val="0"/>
          <w:sz w:val="21"/>
          <w:szCs w:val="21"/>
        </w:rPr>
        <w:t>7.1本项目不允许转包。</w:t>
      </w:r>
    </w:p>
    <w:p w14:paraId="4DACCCC5">
      <w:pPr>
        <w:pStyle w:val="8"/>
        <w:keepNext w:val="0"/>
        <w:keepLines w:val="0"/>
        <w:spacing w:before="0" w:after="0" w:line="360" w:lineRule="auto"/>
        <w:ind w:firstLine="315" w:firstLineChars="150"/>
        <w:rPr>
          <w:rFonts w:hint="eastAsia" w:ascii="宋体" w:hAnsi="宋体"/>
          <w:b w:val="0"/>
          <w:sz w:val="21"/>
          <w:szCs w:val="21"/>
        </w:rPr>
      </w:pPr>
      <w:r>
        <w:rPr>
          <w:rFonts w:hint="eastAsia" w:ascii="宋体" w:hAnsi="宋体"/>
          <w:b w:val="0"/>
          <w:sz w:val="21"/>
          <w:szCs w:val="21"/>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的投标人应具备相应行政许可。</w:t>
      </w:r>
    </w:p>
    <w:p w14:paraId="793884C5">
      <w:pPr>
        <w:pStyle w:val="8"/>
        <w:keepNext w:val="0"/>
        <w:keepLines w:val="0"/>
        <w:spacing w:before="0" w:after="0" w:line="360" w:lineRule="auto"/>
        <w:ind w:firstLine="315" w:firstLineChars="150"/>
        <w:rPr>
          <w:rFonts w:hint="eastAsia" w:ascii="宋体" w:hAnsi="宋体"/>
          <w:b w:val="0"/>
          <w:sz w:val="21"/>
          <w:szCs w:val="21"/>
        </w:rPr>
      </w:pPr>
      <w:r>
        <w:rPr>
          <w:rFonts w:hint="eastAsia" w:ascii="宋体" w:hAnsi="宋体"/>
          <w:b w:val="0"/>
          <w:sz w:val="21"/>
          <w:szCs w:val="21"/>
        </w:rPr>
        <w:t xml:space="preserve"> 7.3投标人根据采购文件的规定和采购项目的实际情况，拟在中标后将中标项目的非主体、非关键性工作分包的，应当在投标文件中载明分包承担主体，分包承担主体应当具备相应资质条件且不得再次分包。</w:t>
      </w:r>
    </w:p>
    <w:p w14:paraId="084A664B">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8.特别说明</w:t>
      </w:r>
      <w:bookmarkEnd w:id="86"/>
      <w:bookmarkEnd w:id="87"/>
    </w:p>
    <w:p w14:paraId="2942EDF1">
      <w:pPr>
        <w:pStyle w:val="8"/>
        <w:keepNext w:val="0"/>
        <w:keepLines w:val="0"/>
        <w:spacing w:before="0" w:after="0" w:line="360" w:lineRule="auto"/>
        <w:ind w:firstLine="367" w:firstLineChars="175"/>
        <w:rPr>
          <w:rFonts w:hint="eastAsia" w:ascii="宋体" w:hAnsi="宋体"/>
          <w:b w:val="0"/>
          <w:sz w:val="21"/>
          <w:szCs w:val="21"/>
        </w:rPr>
      </w:pPr>
      <w:r>
        <w:rPr>
          <w:rFonts w:hint="eastAsia" w:ascii="宋体" w:hAnsi="宋体"/>
          <w:b w:val="0"/>
          <w:sz w:val="21"/>
          <w:szCs w:val="21"/>
        </w:rPr>
        <w:t>8.1如果本采购文件要求提供投标人或制造商的资格、信誉、荣誉、业绩与企业认证等材料的，资格、信誉、荣誉、业绩与企业认证等必须为投标人或者制造商所拥有或自身获得 。</w:t>
      </w:r>
    </w:p>
    <w:p w14:paraId="07AEEDDA">
      <w:pPr>
        <w:pStyle w:val="8"/>
        <w:keepNext w:val="0"/>
        <w:keepLines w:val="0"/>
        <w:spacing w:before="0" w:after="0" w:line="360" w:lineRule="auto"/>
        <w:ind w:firstLine="367" w:firstLineChars="175"/>
        <w:rPr>
          <w:rFonts w:hint="eastAsia" w:ascii="宋体" w:hAnsi="宋体"/>
          <w:b w:val="0"/>
          <w:sz w:val="21"/>
          <w:szCs w:val="21"/>
        </w:rPr>
      </w:pPr>
      <w:r>
        <w:rPr>
          <w:rFonts w:hint="eastAsia" w:ascii="宋体" w:hAnsi="宋体"/>
          <w:b w:val="0"/>
          <w:sz w:val="21"/>
          <w:szCs w:val="21"/>
        </w:rPr>
        <w:t>8.2投标人应仔细阅读采购文件的所有内容，按照采购文件的要求提交投标文件，并对所提供的全部资料的真实性承担法律责任。</w:t>
      </w:r>
    </w:p>
    <w:p w14:paraId="5CE7799E">
      <w:pPr>
        <w:pStyle w:val="8"/>
        <w:keepNext w:val="0"/>
        <w:keepLines w:val="0"/>
        <w:spacing w:before="0" w:after="0" w:line="360" w:lineRule="auto"/>
        <w:ind w:firstLine="367" w:firstLineChars="175"/>
        <w:rPr>
          <w:rFonts w:hint="eastAsia" w:ascii="宋体" w:hAnsi="宋体"/>
          <w:b w:val="0"/>
          <w:sz w:val="21"/>
          <w:szCs w:val="21"/>
        </w:rPr>
      </w:pPr>
      <w:r>
        <w:rPr>
          <w:rFonts w:hint="eastAsia" w:ascii="宋体" w:hAnsi="宋体"/>
          <w:b w:val="0"/>
          <w:sz w:val="21"/>
          <w:szCs w:val="21"/>
        </w:rPr>
        <w:t>8.3投标人在投标活动中提供任何虚假材料，将报监管部门查处；中标后发现的，中标供应商须依照《中华人民共和国消费者权益保护法》规定赔偿采购人，且民事赔偿并不免除违法投标人的行政与刑事责任。</w:t>
      </w:r>
    </w:p>
    <w:p w14:paraId="37318FCB">
      <w:pPr>
        <w:pStyle w:val="8"/>
        <w:keepNext w:val="0"/>
        <w:keepLines w:val="0"/>
        <w:spacing w:before="0" w:after="0" w:line="360" w:lineRule="auto"/>
        <w:ind w:left="420" w:leftChars="200"/>
        <w:rPr>
          <w:rFonts w:hint="eastAsia" w:ascii="黑体" w:hAnsi="黑体" w:eastAsia="黑体"/>
          <w:sz w:val="24"/>
        </w:rPr>
      </w:pPr>
      <w:r>
        <w:rPr>
          <w:rFonts w:ascii="黑体" w:hAnsi="黑体" w:eastAsia="黑体"/>
          <w:sz w:val="24"/>
        </w:rPr>
        <w:t>9.</w:t>
      </w:r>
      <w:r>
        <w:rPr>
          <w:rFonts w:hint="eastAsia" w:ascii="黑体" w:hAnsi="黑体" w:eastAsia="黑体"/>
          <w:sz w:val="24"/>
        </w:rPr>
        <w:t>回避与串通投标</w:t>
      </w:r>
    </w:p>
    <w:p w14:paraId="03664015">
      <w:pPr>
        <w:pStyle w:val="8"/>
        <w:keepNext w:val="0"/>
        <w:keepLines w:val="0"/>
        <w:spacing w:before="0" w:after="0" w:line="360" w:lineRule="auto"/>
        <w:ind w:firstLine="367" w:firstLineChars="175"/>
        <w:rPr>
          <w:rFonts w:hint="eastAsia" w:ascii="宋体" w:hAnsi="宋体"/>
          <w:b w:val="0"/>
          <w:sz w:val="21"/>
          <w:szCs w:val="21"/>
        </w:rPr>
      </w:pPr>
      <w:r>
        <w:rPr>
          <w:rFonts w:hint="eastAsia" w:ascii="宋体" w:hAnsi="宋体"/>
          <w:b w:val="0"/>
          <w:sz w:val="21"/>
          <w:szCs w:val="21"/>
        </w:rPr>
        <w:t>9</w:t>
      </w:r>
      <w:r>
        <w:rPr>
          <w:rFonts w:ascii="宋体" w:hAnsi="宋体"/>
          <w:b w:val="0"/>
          <w:sz w:val="21"/>
          <w:szCs w:val="21"/>
        </w:rPr>
        <w:t>.1在政府采购活动中，采购人员及相关人员与</w:t>
      </w:r>
      <w:r>
        <w:rPr>
          <w:rFonts w:hint="eastAsia" w:ascii="宋体" w:hAnsi="宋体"/>
          <w:b w:val="0"/>
          <w:sz w:val="21"/>
          <w:szCs w:val="21"/>
        </w:rPr>
        <w:t>供应商</w:t>
      </w:r>
      <w:r>
        <w:rPr>
          <w:rFonts w:ascii="宋体" w:hAnsi="宋体"/>
          <w:b w:val="0"/>
          <w:sz w:val="21"/>
          <w:szCs w:val="21"/>
        </w:rPr>
        <w:t>有下列利害关系之一的，应当回避：</w:t>
      </w:r>
    </w:p>
    <w:p w14:paraId="04B5173C">
      <w:pPr>
        <w:pStyle w:val="18"/>
        <w:snapToGrid w:val="0"/>
        <w:spacing w:line="360" w:lineRule="auto"/>
        <w:ind w:left="2" w:leftChars="1" w:firstLine="420" w:firstLineChars="200"/>
        <w:rPr>
          <w:rFonts w:hint="eastAsia" w:hAnsi="宋体"/>
        </w:rPr>
      </w:pPr>
      <w:r>
        <w:rPr>
          <w:rFonts w:hAnsi="宋体"/>
        </w:rPr>
        <w:t>（</w:t>
      </w:r>
      <w:r>
        <w:rPr>
          <w:rFonts w:hint="eastAsia" w:hAnsi="宋体"/>
        </w:rPr>
        <w:t>1</w:t>
      </w:r>
      <w:r>
        <w:rPr>
          <w:rFonts w:hAnsi="宋体"/>
        </w:rPr>
        <w:t>）参加采购活动前3年内与</w:t>
      </w:r>
      <w:r>
        <w:rPr>
          <w:rFonts w:hint="eastAsia" w:hAnsi="宋体"/>
        </w:rPr>
        <w:t>供应商</w:t>
      </w:r>
      <w:r>
        <w:rPr>
          <w:rFonts w:hAnsi="宋体"/>
        </w:rPr>
        <w:t>存在劳动关系；</w:t>
      </w:r>
    </w:p>
    <w:p w14:paraId="324915B7">
      <w:pPr>
        <w:pStyle w:val="18"/>
        <w:snapToGrid w:val="0"/>
        <w:spacing w:line="360" w:lineRule="auto"/>
        <w:ind w:left="2" w:leftChars="1" w:firstLine="420" w:firstLineChars="200"/>
        <w:rPr>
          <w:rFonts w:hint="eastAsia" w:hAnsi="宋体"/>
        </w:rPr>
      </w:pPr>
      <w:r>
        <w:rPr>
          <w:rFonts w:hAnsi="宋体"/>
        </w:rPr>
        <w:t>（</w:t>
      </w:r>
      <w:r>
        <w:rPr>
          <w:rFonts w:hint="eastAsia" w:hAnsi="宋体"/>
        </w:rPr>
        <w:t>2</w:t>
      </w:r>
      <w:r>
        <w:rPr>
          <w:rFonts w:hAnsi="宋体"/>
        </w:rPr>
        <w:t>）参加采购活动前3年内担任</w:t>
      </w:r>
      <w:r>
        <w:rPr>
          <w:rFonts w:hint="eastAsia" w:hAnsi="宋体"/>
        </w:rPr>
        <w:t>供应商</w:t>
      </w:r>
      <w:r>
        <w:rPr>
          <w:rFonts w:hAnsi="宋体"/>
        </w:rPr>
        <w:t>的董事、监事；</w:t>
      </w:r>
    </w:p>
    <w:p w14:paraId="38D2DACF">
      <w:pPr>
        <w:pStyle w:val="18"/>
        <w:snapToGrid w:val="0"/>
        <w:spacing w:line="360" w:lineRule="auto"/>
        <w:ind w:left="2" w:leftChars="1" w:firstLine="420" w:firstLineChars="200"/>
        <w:rPr>
          <w:rFonts w:hint="eastAsia" w:hAnsi="宋体"/>
        </w:rPr>
      </w:pPr>
      <w:r>
        <w:rPr>
          <w:rFonts w:hAnsi="宋体"/>
        </w:rPr>
        <w:t>（</w:t>
      </w:r>
      <w:r>
        <w:rPr>
          <w:rFonts w:hint="eastAsia" w:hAnsi="宋体"/>
        </w:rPr>
        <w:t>3</w:t>
      </w:r>
      <w:r>
        <w:rPr>
          <w:rFonts w:hAnsi="宋体"/>
        </w:rPr>
        <w:t>）参加采购活动前3年内是</w:t>
      </w:r>
      <w:r>
        <w:rPr>
          <w:rFonts w:hint="eastAsia" w:hAnsi="宋体"/>
        </w:rPr>
        <w:t>供应商</w:t>
      </w:r>
      <w:r>
        <w:rPr>
          <w:rFonts w:hAnsi="宋体"/>
        </w:rPr>
        <w:t>的控股股东或者实际控制人；</w:t>
      </w:r>
    </w:p>
    <w:p w14:paraId="0C20FC10">
      <w:pPr>
        <w:pStyle w:val="18"/>
        <w:snapToGrid w:val="0"/>
        <w:spacing w:line="360" w:lineRule="auto"/>
        <w:ind w:left="2" w:leftChars="1" w:firstLine="420" w:firstLineChars="200"/>
        <w:rPr>
          <w:rFonts w:hint="eastAsia" w:hAnsi="宋体"/>
        </w:rPr>
      </w:pPr>
      <w:r>
        <w:rPr>
          <w:rFonts w:hAnsi="宋体"/>
        </w:rPr>
        <w:t>（</w:t>
      </w:r>
      <w:r>
        <w:rPr>
          <w:rFonts w:hint="eastAsia" w:hAnsi="宋体"/>
        </w:rPr>
        <w:t>4</w:t>
      </w:r>
      <w:r>
        <w:rPr>
          <w:rFonts w:hAnsi="宋体"/>
        </w:rPr>
        <w:t>）与</w:t>
      </w:r>
      <w:r>
        <w:rPr>
          <w:rFonts w:hint="eastAsia" w:hAnsi="宋体"/>
        </w:rPr>
        <w:t>供应商</w:t>
      </w:r>
      <w:r>
        <w:rPr>
          <w:rFonts w:hAnsi="宋体"/>
        </w:rPr>
        <w:t>的法定代表人或者负责人有夫妻、直系血亲、三代以内旁系血亲或者近姻亲关系；</w:t>
      </w:r>
    </w:p>
    <w:p w14:paraId="6872A284">
      <w:pPr>
        <w:pStyle w:val="18"/>
        <w:snapToGrid w:val="0"/>
        <w:spacing w:line="360" w:lineRule="auto"/>
        <w:ind w:left="2" w:leftChars="1" w:firstLine="420" w:firstLineChars="200"/>
        <w:rPr>
          <w:rFonts w:hint="eastAsia" w:hAnsi="宋体"/>
        </w:rPr>
      </w:pPr>
      <w:r>
        <w:rPr>
          <w:rFonts w:hAnsi="宋体"/>
        </w:rPr>
        <w:t>（</w:t>
      </w:r>
      <w:r>
        <w:rPr>
          <w:rFonts w:hint="eastAsia" w:hAnsi="宋体"/>
        </w:rPr>
        <w:t>5</w:t>
      </w:r>
      <w:r>
        <w:rPr>
          <w:rFonts w:hAnsi="宋体"/>
        </w:rPr>
        <w:t>）与</w:t>
      </w:r>
      <w:r>
        <w:rPr>
          <w:rFonts w:hint="eastAsia" w:hAnsi="宋体"/>
        </w:rPr>
        <w:t>供应商</w:t>
      </w:r>
      <w:r>
        <w:rPr>
          <w:rFonts w:hAnsi="宋体"/>
        </w:rPr>
        <w:t>有其他可能影响政府采购活动公平、公正进行的关系。</w:t>
      </w:r>
    </w:p>
    <w:p w14:paraId="10D17E58">
      <w:pPr>
        <w:pStyle w:val="18"/>
        <w:snapToGrid w:val="0"/>
        <w:spacing w:line="360" w:lineRule="auto"/>
        <w:ind w:left="2" w:leftChars="1" w:firstLine="420" w:firstLineChars="200"/>
        <w:rPr>
          <w:rFonts w:hint="eastAsia" w:hAnsi="宋体"/>
        </w:rPr>
      </w:pPr>
      <w:r>
        <w:rPr>
          <w:rFonts w:hint="eastAsia" w:hAnsi="宋体"/>
        </w:rPr>
        <w:t>供应商</w:t>
      </w:r>
      <w:r>
        <w:rPr>
          <w:rFonts w:hAnsi="宋体"/>
        </w:rPr>
        <w:t>认为采购人员及相关人员与其他</w:t>
      </w:r>
      <w:r>
        <w:rPr>
          <w:rFonts w:hint="eastAsia" w:hAnsi="宋体"/>
        </w:rPr>
        <w:t>供应商</w:t>
      </w:r>
      <w:r>
        <w:rPr>
          <w:rFonts w:hAnsi="宋体"/>
        </w:rPr>
        <w:t>有利害关系的，可以向采购人或者采购代理机构书面提出回避申请，并说明理由。采购人或者采购代理机构应当及时询问被申请回避人员，有利害关系的被申请回避人员应当回避。</w:t>
      </w:r>
    </w:p>
    <w:p w14:paraId="4FE8A805">
      <w:pPr>
        <w:pStyle w:val="8"/>
        <w:keepNext w:val="0"/>
        <w:keepLines w:val="0"/>
        <w:spacing w:before="0" w:after="0" w:line="360" w:lineRule="auto"/>
        <w:ind w:left="420" w:leftChars="200"/>
        <w:rPr>
          <w:rFonts w:hint="eastAsia" w:ascii="宋体" w:hAnsi="宋体"/>
          <w:sz w:val="21"/>
          <w:szCs w:val="21"/>
        </w:rPr>
      </w:pPr>
      <w:r>
        <w:rPr>
          <w:rFonts w:ascii="宋体" w:hAnsi="宋体"/>
          <w:sz w:val="21"/>
          <w:szCs w:val="21"/>
        </w:rPr>
        <w:t>9.2</w:t>
      </w:r>
      <w:r>
        <w:rPr>
          <w:rFonts w:hint="eastAsia" w:ascii="宋体" w:hAnsi="宋体"/>
          <w:sz w:val="21"/>
          <w:szCs w:val="21"/>
        </w:rPr>
        <w:t>有下列情形之一的视为投标人相互串通投标，投标文件将被视为无效：</w:t>
      </w:r>
    </w:p>
    <w:p w14:paraId="2B82AE8B">
      <w:pPr>
        <w:pStyle w:val="18"/>
        <w:snapToGrid w:val="0"/>
        <w:spacing w:line="360" w:lineRule="auto"/>
        <w:ind w:left="2" w:leftChars="1" w:firstLine="422" w:firstLineChars="200"/>
        <w:rPr>
          <w:rFonts w:hint="eastAsia" w:hAnsi="宋体"/>
          <w:b/>
        </w:rPr>
      </w:pPr>
      <w:r>
        <w:rPr>
          <w:rFonts w:hint="eastAsia" w:hAnsi="宋体"/>
          <w:b/>
        </w:rPr>
        <w:t xml:space="preserve">（1）不同投标人的投标文件由同一单位或者个人编制； </w:t>
      </w:r>
    </w:p>
    <w:p w14:paraId="4F6EE575">
      <w:pPr>
        <w:pStyle w:val="18"/>
        <w:snapToGrid w:val="0"/>
        <w:spacing w:line="360" w:lineRule="auto"/>
        <w:ind w:left="2" w:leftChars="1" w:firstLine="422" w:firstLineChars="200"/>
        <w:rPr>
          <w:rFonts w:hint="eastAsia" w:hAnsi="宋体"/>
          <w:b/>
        </w:rPr>
      </w:pPr>
      <w:r>
        <w:rPr>
          <w:rFonts w:hint="eastAsia" w:hAnsi="宋体"/>
          <w:b/>
        </w:rPr>
        <w:t>（2）不同投标人委托同一单位或者个人办理投标事宜；</w:t>
      </w:r>
    </w:p>
    <w:p w14:paraId="6C65A6F9">
      <w:pPr>
        <w:pStyle w:val="18"/>
        <w:snapToGrid w:val="0"/>
        <w:spacing w:line="360" w:lineRule="auto"/>
        <w:ind w:left="2" w:leftChars="1" w:firstLine="422" w:firstLineChars="200"/>
        <w:rPr>
          <w:rFonts w:hint="eastAsia" w:hAnsi="宋体"/>
          <w:b/>
        </w:rPr>
      </w:pPr>
      <w:r>
        <w:rPr>
          <w:rFonts w:hint="eastAsia" w:hAnsi="宋体"/>
          <w:b/>
        </w:rPr>
        <w:t>（3）不同的投标人的投标文件载明的项目管理员为同一个人；</w:t>
      </w:r>
    </w:p>
    <w:p w14:paraId="12C386C3">
      <w:pPr>
        <w:pStyle w:val="18"/>
        <w:snapToGrid w:val="0"/>
        <w:spacing w:line="360" w:lineRule="auto"/>
        <w:ind w:left="2" w:leftChars="1" w:firstLine="422" w:firstLineChars="200"/>
        <w:rPr>
          <w:rFonts w:hint="eastAsia" w:hAnsi="宋体"/>
          <w:b/>
        </w:rPr>
      </w:pPr>
      <w:r>
        <w:rPr>
          <w:rFonts w:hint="eastAsia" w:hAnsi="宋体"/>
          <w:b/>
        </w:rPr>
        <w:t>（4）不同投标人的投标文件异常一致或者投标报价呈规律性差异；</w:t>
      </w:r>
    </w:p>
    <w:p w14:paraId="72159452">
      <w:pPr>
        <w:pStyle w:val="18"/>
        <w:snapToGrid w:val="0"/>
        <w:spacing w:line="360" w:lineRule="auto"/>
        <w:ind w:left="2" w:leftChars="1" w:firstLine="422" w:firstLineChars="200"/>
        <w:rPr>
          <w:rFonts w:hint="eastAsia" w:hAnsi="宋体"/>
          <w:b/>
        </w:rPr>
      </w:pPr>
      <w:r>
        <w:rPr>
          <w:rFonts w:hint="eastAsia" w:hAnsi="宋体"/>
          <w:b/>
        </w:rPr>
        <w:t>（5）不同投标人的投标文件相互混装；</w:t>
      </w:r>
    </w:p>
    <w:p w14:paraId="40E7F172">
      <w:pPr>
        <w:pStyle w:val="18"/>
        <w:snapToGrid w:val="0"/>
        <w:spacing w:line="360" w:lineRule="auto"/>
        <w:ind w:left="2" w:leftChars="1" w:firstLine="422" w:firstLineChars="200"/>
        <w:rPr>
          <w:rFonts w:hint="eastAsia" w:hAnsi="宋体"/>
          <w:b/>
        </w:rPr>
      </w:pPr>
      <w:r>
        <w:rPr>
          <w:rFonts w:hint="eastAsia" w:hAnsi="宋体"/>
          <w:b/>
        </w:rPr>
        <w:t>（6）不同投标人的投标保证金从同一单位或者个人账户转出。</w:t>
      </w:r>
    </w:p>
    <w:p w14:paraId="1D266C5F">
      <w:pPr>
        <w:pStyle w:val="8"/>
        <w:keepNext w:val="0"/>
        <w:keepLines w:val="0"/>
        <w:spacing w:before="0" w:after="0" w:line="360" w:lineRule="auto"/>
        <w:ind w:left="420" w:leftChars="200"/>
        <w:rPr>
          <w:rFonts w:hint="eastAsia" w:ascii="宋体" w:hAnsi="宋体"/>
          <w:b w:val="0"/>
          <w:sz w:val="21"/>
          <w:szCs w:val="21"/>
        </w:rPr>
      </w:pPr>
      <w:r>
        <w:rPr>
          <w:rFonts w:ascii="宋体" w:hAnsi="宋体"/>
          <w:b w:val="0"/>
          <w:sz w:val="21"/>
          <w:szCs w:val="21"/>
        </w:rPr>
        <w:t>9.3</w:t>
      </w:r>
      <w:r>
        <w:rPr>
          <w:rFonts w:hint="eastAsia" w:ascii="宋体" w:hAnsi="宋体"/>
          <w:b w:val="0"/>
          <w:sz w:val="21"/>
          <w:szCs w:val="21"/>
        </w:rPr>
        <w:t>供应商有下列情形之一的，属于恶意串通行为，将报同级监督管理部门：</w:t>
      </w:r>
    </w:p>
    <w:p w14:paraId="661836B3">
      <w:pPr>
        <w:pStyle w:val="18"/>
        <w:snapToGrid w:val="0"/>
        <w:spacing w:line="360" w:lineRule="auto"/>
        <w:ind w:left="2" w:leftChars="1" w:firstLine="420" w:firstLineChars="200"/>
        <w:rPr>
          <w:rFonts w:hint="eastAsia" w:hAnsi="宋体"/>
        </w:rPr>
      </w:pPr>
      <w:r>
        <w:rPr>
          <w:rFonts w:hint="eastAsia" w:hAnsi="宋体"/>
        </w:rPr>
        <w:t>（1）供应商直接或者间接从采购人或者采购代理机构处获得其他供应商的相关信息并修改其投标文件或者响应文件；</w:t>
      </w:r>
    </w:p>
    <w:p w14:paraId="49F76817">
      <w:pPr>
        <w:pStyle w:val="18"/>
        <w:snapToGrid w:val="0"/>
        <w:spacing w:line="360" w:lineRule="auto"/>
        <w:ind w:left="2" w:leftChars="1" w:firstLine="420" w:firstLineChars="200"/>
        <w:rPr>
          <w:rFonts w:hint="eastAsia" w:hAnsi="宋体"/>
        </w:rPr>
      </w:pPr>
      <w:r>
        <w:rPr>
          <w:rFonts w:hint="eastAsia" w:hAnsi="宋体"/>
        </w:rPr>
        <w:t>（2）供应商按照采购人或者采购代理机构的授意撤换、修改投标文件或者响应文件；</w:t>
      </w:r>
    </w:p>
    <w:p w14:paraId="336105E2">
      <w:pPr>
        <w:pStyle w:val="18"/>
        <w:snapToGrid w:val="0"/>
        <w:spacing w:line="360" w:lineRule="auto"/>
        <w:ind w:left="2" w:leftChars="1" w:firstLine="420" w:firstLineChars="200"/>
        <w:rPr>
          <w:rFonts w:hint="eastAsia" w:hAnsi="宋体"/>
        </w:rPr>
      </w:pPr>
      <w:r>
        <w:rPr>
          <w:rFonts w:hint="eastAsia" w:hAnsi="宋体"/>
        </w:rPr>
        <w:t>（3）供应商之间协商报价、技术方案等投标文件或者响应文件的实质性内容；</w:t>
      </w:r>
    </w:p>
    <w:p w14:paraId="2C2B8C8A">
      <w:pPr>
        <w:pStyle w:val="18"/>
        <w:snapToGrid w:val="0"/>
        <w:spacing w:line="360" w:lineRule="auto"/>
        <w:ind w:left="2" w:leftChars="1" w:firstLine="420" w:firstLineChars="200"/>
        <w:rPr>
          <w:rFonts w:hint="eastAsia" w:hAnsi="宋体"/>
        </w:rPr>
      </w:pPr>
      <w:r>
        <w:rPr>
          <w:rFonts w:hint="eastAsia" w:hAnsi="宋体"/>
        </w:rPr>
        <w:t>（4）属于同一集团、协会、商会等组织成员的供应商按照该组织要求协同参加政府采购活动；</w:t>
      </w:r>
    </w:p>
    <w:p w14:paraId="1DBB5104">
      <w:pPr>
        <w:pStyle w:val="18"/>
        <w:snapToGrid w:val="0"/>
        <w:spacing w:line="360" w:lineRule="auto"/>
        <w:ind w:left="2" w:leftChars="1" w:firstLine="420" w:firstLineChars="200"/>
        <w:rPr>
          <w:rFonts w:hint="eastAsia" w:hAnsi="宋体"/>
        </w:rPr>
      </w:pPr>
      <w:r>
        <w:rPr>
          <w:rFonts w:hint="eastAsia" w:hAnsi="宋体"/>
        </w:rPr>
        <w:t>（5）供应商之间事先约定一致抬高或者压低投标报价，或者在采购项目中事先约定轮流以高价位或者低价位中标，或者事先约定由某一特定供应商中标，然后再参加投标；</w:t>
      </w:r>
    </w:p>
    <w:p w14:paraId="361FD9D9">
      <w:pPr>
        <w:pStyle w:val="18"/>
        <w:snapToGrid w:val="0"/>
        <w:spacing w:line="360" w:lineRule="auto"/>
        <w:ind w:left="2" w:leftChars="1" w:firstLine="420" w:firstLineChars="200"/>
        <w:rPr>
          <w:rFonts w:hint="eastAsia" w:hAnsi="宋体"/>
        </w:rPr>
      </w:pPr>
      <w:r>
        <w:rPr>
          <w:rFonts w:hint="eastAsia" w:hAnsi="宋体"/>
        </w:rPr>
        <w:t>（6）供应商之间商定部分供应商放弃参加政府采购活动或者放弃中标；</w:t>
      </w:r>
    </w:p>
    <w:p w14:paraId="7EF53A09">
      <w:pPr>
        <w:pStyle w:val="18"/>
        <w:snapToGrid w:val="0"/>
        <w:spacing w:line="360" w:lineRule="auto"/>
        <w:ind w:left="2" w:leftChars="1" w:firstLine="420" w:firstLineChars="200"/>
        <w:rPr>
          <w:rFonts w:hint="eastAsia" w:hAnsi="宋体"/>
        </w:rPr>
      </w:pPr>
      <w:r>
        <w:rPr>
          <w:rFonts w:hint="eastAsia" w:hAnsi="宋体"/>
        </w:rPr>
        <w:t>（7）供应商与采购人或者采购代理机构之间、供应商相互之间，为谋求特定供应商中标或者排斥其他供应商的其他串通行为。</w:t>
      </w:r>
    </w:p>
    <w:p w14:paraId="20C0742A">
      <w:pPr>
        <w:pStyle w:val="18"/>
        <w:snapToGrid w:val="0"/>
        <w:spacing w:line="360" w:lineRule="auto"/>
        <w:ind w:left="2" w:leftChars="1" w:firstLine="422" w:firstLineChars="200"/>
        <w:rPr>
          <w:rFonts w:hint="eastAsia" w:hAnsi="宋体"/>
          <w:b/>
        </w:rPr>
      </w:pPr>
    </w:p>
    <w:p w14:paraId="123543B5">
      <w:pPr>
        <w:pStyle w:val="6"/>
        <w:keepNext w:val="0"/>
        <w:keepLines w:val="0"/>
        <w:jc w:val="center"/>
      </w:pPr>
      <w:bookmarkStart w:id="88" w:name="_Toc254970534"/>
      <w:bookmarkStart w:id="89" w:name="_Toc254970675"/>
      <w:r>
        <w:rPr>
          <w:rFonts w:hint="eastAsia"/>
        </w:rPr>
        <w:t>二、招标文件</w:t>
      </w:r>
      <w:bookmarkEnd w:id="88"/>
      <w:bookmarkEnd w:id="89"/>
    </w:p>
    <w:p w14:paraId="20731F11">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10.招标文件的组成</w:t>
      </w:r>
    </w:p>
    <w:p w14:paraId="7B7B9E5F">
      <w:pPr>
        <w:snapToGrid w:val="0"/>
        <w:spacing w:line="360" w:lineRule="auto"/>
        <w:ind w:firstLine="420"/>
        <w:jc w:val="left"/>
        <w:rPr>
          <w:rFonts w:hint="eastAsia" w:ascii="宋体" w:hAnsi="宋体"/>
          <w:szCs w:val="21"/>
        </w:rPr>
      </w:pPr>
      <w:r>
        <w:rPr>
          <w:rFonts w:hint="eastAsia" w:ascii="宋体" w:hAnsi="宋体"/>
          <w:szCs w:val="21"/>
        </w:rPr>
        <w:t>（1）采购公告；</w:t>
      </w:r>
    </w:p>
    <w:p w14:paraId="5077A27D">
      <w:pPr>
        <w:snapToGrid w:val="0"/>
        <w:spacing w:line="360" w:lineRule="auto"/>
        <w:ind w:firstLine="420"/>
        <w:jc w:val="left"/>
        <w:rPr>
          <w:rFonts w:hint="eastAsia" w:ascii="宋体" w:hAnsi="宋体"/>
          <w:szCs w:val="21"/>
        </w:rPr>
      </w:pPr>
      <w:r>
        <w:rPr>
          <w:rFonts w:hint="eastAsia" w:ascii="宋体" w:hAnsi="宋体"/>
          <w:szCs w:val="21"/>
        </w:rPr>
        <w:t xml:space="preserve">（2）采购需求； </w:t>
      </w:r>
    </w:p>
    <w:p w14:paraId="18A1788B">
      <w:pPr>
        <w:snapToGrid w:val="0"/>
        <w:spacing w:line="360" w:lineRule="auto"/>
        <w:ind w:firstLine="420"/>
        <w:jc w:val="left"/>
        <w:rPr>
          <w:rFonts w:hint="eastAsia" w:ascii="宋体" w:hAnsi="宋体"/>
          <w:szCs w:val="21"/>
        </w:rPr>
      </w:pPr>
      <w:r>
        <w:rPr>
          <w:rFonts w:hint="eastAsia" w:ascii="宋体" w:hAnsi="宋体"/>
          <w:szCs w:val="21"/>
        </w:rPr>
        <w:t>（3）投标人须知；</w:t>
      </w:r>
    </w:p>
    <w:p w14:paraId="059A2BE4">
      <w:pPr>
        <w:snapToGrid w:val="0"/>
        <w:spacing w:line="360" w:lineRule="auto"/>
        <w:ind w:firstLine="420"/>
        <w:jc w:val="left"/>
        <w:rPr>
          <w:rFonts w:hint="eastAsia" w:ascii="宋体" w:hAnsi="宋体"/>
          <w:szCs w:val="21"/>
        </w:rPr>
      </w:pPr>
      <w:r>
        <w:rPr>
          <w:rFonts w:hint="eastAsia" w:ascii="宋体" w:hAnsi="宋体"/>
          <w:szCs w:val="21"/>
        </w:rPr>
        <w:t>（4）评标方法及评标标准；</w:t>
      </w:r>
    </w:p>
    <w:p w14:paraId="06927092">
      <w:pPr>
        <w:snapToGrid w:val="0"/>
        <w:spacing w:line="360" w:lineRule="auto"/>
        <w:ind w:firstLine="420"/>
        <w:jc w:val="left"/>
        <w:rPr>
          <w:rFonts w:hint="eastAsia" w:ascii="宋体" w:hAnsi="宋体"/>
          <w:szCs w:val="21"/>
        </w:rPr>
      </w:pPr>
      <w:r>
        <w:rPr>
          <w:rFonts w:hint="eastAsia" w:ascii="宋体" w:hAnsi="宋体"/>
          <w:szCs w:val="21"/>
        </w:rPr>
        <w:t>（5）拟签订的合同文本；</w:t>
      </w:r>
    </w:p>
    <w:p w14:paraId="3AF540FE">
      <w:pPr>
        <w:snapToGrid w:val="0"/>
        <w:spacing w:line="360" w:lineRule="auto"/>
        <w:ind w:firstLine="420"/>
        <w:jc w:val="left"/>
        <w:rPr>
          <w:rFonts w:hint="eastAsia" w:ascii="宋体" w:hAnsi="宋体"/>
          <w:szCs w:val="21"/>
        </w:rPr>
      </w:pPr>
      <w:r>
        <w:rPr>
          <w:rFonts w:hint="eastAsia" w:ascii="宋体" w:hAnsi="宋体"/>
          <w:szCs w:val="21"/>
        </w:rPr>
        <w:t>（6）投标文件格式。</w:t>
      </w:r>
    </w:p>
    <w:p w14:paraId="6DCB33B3">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11.招标文件的澄清、修改 、现场考察和答疑会</w:t>
      </w:r>
    </w:p>
    <w:p w14:paraId="278B5BA8">
      <w:pPr>
        <w:pStyle w:val="8"/>
        <w:keepNext w:val="0"/>
        <w:keepLines w:val="0"/>
        <w:spacing w:before="0" w:after="0" w:line="360" w:lineRule="auto"/>
        <w:ind w:firstLine="315" w:firstLineChars="150"/>
        <w:rPr>
          <w:rFonts w:hint="eastAsia" w:ascii="宋体" w:hAnsi="宋体"/>
          <w:b w:val="0"/>
          <w:sz w:val="21"/>
          <w:szCs w:val="21"/>
        </w:rPr>
      </w:pPr>
      <w:r>
        <w:rPr>
          <w:rFonts w:hint="eastAsia" w:ascii="宋体" w:hAnsi="宋体"/>
          <w:b w:val="0"/>
          <w:sz w:val="21"/>
          <w:szCs w:val="21"/>
        </w:rPr>
        <w:t xml:space="preserve"> 11.1采购人或者采购代理机构可以对已发出的采购文件进行必要的澄清或者修改，但不得改变采购标的和资格条件。澄清或者修改应当在原公告发布媒体上发布澄清公告。澄清或者修改的内容为采购文件的组成部分。</w:t>
      </w:r>
    </w:p>
    <w:p w14:paraId="2847F8CD">
      <w:pPr>
        <w:pStyle w:val="18"/>
        <w:snapToGrid w:val="0"/>
        <w:spacing w:line="360" w:lineRule="auto"/>
        <w:ind w:firstLine="420" w:firstLineChars="200"/>
        <w:rPr>
          <w:rFonts w:hint="eastAsia" w:hAnsi="宋体"/>
        </w:rPr>
      </w:pPr>
      <w:r>
        <w:rPr>
          <w:rFonts w:hint="eastAsia" w:hAnsi="宋体"/>
        </w:rPr>
        <w:t>澄清或者修改的内容可能影响投标文件编制的，采购人或者采购代理机构应当在投标截止时间至少15日前，以书面形式通知所有获取采购文件的潜在投标人；不足15日的，采购人或者采购代理机构应当顺延提交投标文件的截止时间。</w:t>
      </w:r>
    </w:p>
    <w:p w14:paraId="6C208FDC">
      <w:pPr>
        <w:pStyle w:val="18"/>
        <w:snapToGrid w:val="0"/>
        <w:spacing w:line="360" w:lineRule="auto"/>
        <w:ind w:firstLine="420" w:firstLineChars="200"/>
        <w:rPr>
          <w:rFonts w:hint="eastAsia" w:hAnsi="宋体"/>
        </w:rPr>
      </w:pPr>
      <w:r>
        <w:rPr>
          <w:rFonts w:hint="eastAsia" w:hAnsi="宋体"/>
        </w:rPr>
        <w:t>1</w:t>
      </w:r>
      <w:r>
        <w:rPr>
          <w:rFonts w:hAnsi="宋体"/>
        </w:rPr>
        <w:t>1.2</w:t>
      </w:r>
      <w:bookmarkStart w:id="90" w:name="_Hlk53134511"/>
      <w:r>
        <w:rPr>
          <w:rFonts w:hint="eastAsia" w:hAnsi="宋体"/>
        </w:rPr>
        <w:t>采购人或者采购代理机构可以在采购文件提供期限截止后，组织已获取采购文件的潜在投标人现场考察或者召开开标前答疑会，具体详见“投标人须知前附表”。</w:t>
      </w:r>
    </w:p>
    <w:bookmarkEnd w:id="90"/>
    <w:p w14:paraId="383BDE63">
      <w:pPr>
        <w:pStyle w:val="6"/>
        <w:keepNext w:val="0"/>
        <w:keepLines w:val="0"/>
        <w:jc w:val="center"/>
      </w:pPr>
      <w:bookmarkStart w:id="91" w:name="_Toc254970676"/>
      <w:bookmarkStart w:id="92" w:name="_Toc254970535"/>
      <w:r>
        <w:rPr>
          <w:rFonts w:hint="eastAsia"/>
        </w:rPr>
        <w:t>三、投标文件的编制</w:t>
      </w:r>
      <w:bookmarkEnd w:id="91"/>
      <w:bookmarkEnd w:id="92"/>
    </w:p>
    <w:p w14:paraId="6BCF525B">
      <w:pPr>
        <w:pStyle w:val="8"/>
        <w:keepNext w:val="0"/>
        <w:keepLines w:val="0"/>
        <w:spacing w:before="0" w:after="0" w:line="360" w:lineRule="auto"/>
        <w:ind w:left="420" w:leftChars="200"/>
        <w:rPr>
          <w:rFonts w:hint="eastAsia" w:ascii="黑体" w:hAnsi="黑体" w:eastAsia="黑体"/>
          <w:sz w:val="24"/>
        </w:rPr>
      </w:pPr>
      <w:bookmarkStart w:id="93" w:name="_Toc254970536"/>
      <w:bookmarkStart w:id="94" w:name="_Toc254970677"/>
      <w:r>
        <w:rPr>
          <w:rFonts w:hint="eastAsia" w:ascii="黑体" w:hAnsi="黑体" w:eastAsia="黑体"/>
          <w:sz w:val="24"/>
        </w:rPr>
        <w:t>12.投标文件的编制原则</w:t>
      </w:r>
    </w:p>
    <w:p w14:paraId="0B975776">
      <w:pPr>
        <w:snapToGrid w:val="0"/>
        <w:spacing w:line="360" w:lineRule="auto"/>
        <w:ind w:firstLine="420"/>
        <w:jc w:val="left"/>
        <w:rPr>
          <w:rFonts w:hint="eastAsia" w:ascii="宋体" w:hAnsi="宋体" w:cs="Courier New"/>
          <w:szCs w:val="21"/>
        </w:rPr>
      </w:pPr>
      <w:r>
        <w:rPr>
          <w:rFonts w:ascii="宋体" w:hAnsi="宋体"/>
          <w:szCs w:val="21"/>
        </w:rPr>
        <w:t>投标人必须按照</w:t>
      </w:r>
      <w:r>
        <w:rPr>
          <w:rFonts w:hint="eastAsia" w:ascii="宋体" w:hAnsi="宋体"/>
          <w:szCs w:val="21"/>
        </w:rPr>
        <w:t>采购</w:t>
      </w:r>
      <w:r>
        <w:rPr>
          <w:rFonts w:ascii="宋体" w:hAnsi="宋体"/>
          <w:szCs w:val="21"/>
        </w:rPr>
        <w:t>文件的要求编制投标文件。投标文件必须对</w:t>
      </w:r>
      <w:r>
        <w:rPr>
          <w:rFonts w:hint="eastAsia" w:ascii="宋体" w:hAnsi="宋体"/>
          <w:szCs w:val="21"/>
        </w:rPr>
        <w:t>采购</w:t>
      </w:r>
      <w:r>
        <w:rPr>
          <w:rFonts w:ascii="宋体" w:hAnsi="宋体"/>
          <w:szCs w:val="21"/>
        </w:rPr>
        <w:t>文件提出的要求和条件作出明确响应。</w:t>
      </w:r>
    </w:p>
    <w:p w14:paraId="4802FAA5">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13.投标文件的组成</w:t>
      </w:r>
      <w:bookmarkEnd w:id="93"/>
      <w:bookmarkEnd w:id="94"/>
    </w:p>
    <w:p w14:paraId="35566F4C">
      <w:pPr>
        <w:snapToGrid w:val="0"/>
        <w:spacing w:line="360" w:lineRule="auto"/>
        <w:ind w:firstLine="420" w:firstLineChars="200"/>
        <w:jc w:val="left"/>
        <w:rPr>
          <w:rFonts w:hint="eastAsia" w:ascii="宋体" w:hAnsi="宋体"/>
          <w:szCs w:val="21"/>
        </w:rPr>
      </w:pPr>
      <w:r>
        <w:rPr>
          <w:rFonts w:hint="eastAsia" w:ascii="宋体" w:hAnsi="宋体"/>
          <w:szCs w:val="21"/>
        </w:rPr>
        <w:t>投标文件由报价文件、资格证明文件、商务及技术文件三部分组成。</w:t>
      </w:r>
    </w:p>
    <w:p w14:paraId="4FF88AE7">
      <w:pPr>
        <w:pStyle w:val="8"/>
        <w:keepNext w:val="0"/>
        <w:keepLines w:val="0"/>
        <w:spacing w:before="0" w:after="0" w:line="360" w:lineRule="auto"/>
        <w:ind w:left="420" w:leftChars="200"/>
        <w:rPr>
          <w:rFonts w:hint="eastAsia" w:ascii="宋体" w:hAnsi="宋体"/>
          <w:b w:val="0"/>
          <w:sz w:val="21"/>
          <w:szCs w:val="21"/>
        </w:rPr>
      </w:pPr>
      <w:bookmarkStart w:id="95" w:name="_13.1报价文件:_具体材料见“投标人须知前附表”。"/>
      <w:bookmarkEnd w:id="95"/>
      <w:r>
        <w:rPr>
          <w:rFonts w:hint="eastAsia" w:ascii="宋体" w:hAnsi="宋体"/>
          <w:b w:val="0"/>
          <w:sz w:val="21"/>
          <w:szCs w:val="21"/>
        </w:rPr>
        <w:t>（1）报价文件：</w:t>
      </w:r>
      <w:r>
        <w:rPr>
          <w:rFonts w:ascii="宋体" w:hAnsi="宋体"/>
          <w:b w:val="0"/>
          <w:sz w:val="21"/>
          <w:szCs w:val="21"/>
        </w:rPr>
        <w:t xml:space="preserve"> 具体材料见“投标人须知前附表”</w:t>
      </w:r>
      <w:r>
        <w:rPr>
          <w:rFonts w:hint="eastAsia" w:ascii="宋体" w:hAnsi="宋体"/>
          <w:b w:val="0"/>
          <w:sz w:val="21"/>
          <w:szCs w:val="21"/>
        </w:rPr>
        <w:t>。</w:t>
      </w:r>
    </w:p>
    <w:p w14:paraId="0CF5A706">
      <w:pPr>
        <w:pStyle w:val="8"/>
        <w:keepNext w:val="0"/>
        <w:keepLines w:val="0"/>
        <w:spacing w:before="0" w:after="0" w:line="360" w:lineRule="auto"/>
        <w:ind w:left="420" w:leftChars="200"/>
        <w:rPr>
          <w:rFonts w:hint="eastAsia" w:ascii="宋体" w:hAnsi="宋体"/>
          <w:b w:val="0"/>
          <w:sz w:val="21"/>
          <w:szCs w:val="21"/>
        </w:rPr>
      </w:pPr>
      <w:bookmarkStart w:id="96" w:name="_13.2资格证明文件：具体材料见“投标人须知前附表”。"/>
      <w:bookmarkEnd w:id="96"/>
      <w:r>
        <w:rPr>
          <w:rFonts w:hint="eastAsia" w:ascii="宋体" w:hAnsi="宋体"/>
          <w:b w:val="0"/>
          <w:sz w:val="21"/>
          <w:szCs w:val="21"/>
        </w:rPr>
        <w:t>（</w:t>
      </w:r>
      <w:r>
        <w:rPr>
          <w:rFonts w:ascii="宋体" w:hAnsi="宋体"/>
          <w:b w:val="0"/>
          <w:sz w:val="21"/>
          <w:szCs w:val="21"/>
        </w:rPr>
        <w:t>2</w:t>
      </w:r>
      <w:r>
        <w:rPr>
          <w:rFonts w:hint="eastAsia" w:ascii="宋体" w:hAnsi="宋体"/>
          <w:b w:val="0"/>
          <w:sz w:val="21"/>
          <w:szCs w:val="21"/>
        </w:rPr>
        <w:t>）资格证明文件：</w:t>
      </w:r>
      <w:r>
        <w:rPr>
          <w:rFonts w:ascii="宋体" w:hAnsi="宋体"/>
          <w:b w:val="0"/>
          <w:sz w:val="21"/>
          <w:szCs w:val="21"/>
        </w:rPr>
        <w:t>具体材料见“投标人须知前附表”</w:t>
      </w:r>
      <w:r>
        <w:rPr>
          <w:rFonts w:hint="eastAsia" w:ascii="宋体" w:hAnsi="宋体"/>
          <w:b w:val="0"/>
          <w:sz w:val="21"/>
          <w:szCs w:val="21"/>
        </w:rPr>
        <w:t>。</w:t>
      </w:r>
    </w:p>
    <w:p w14:paraId="47154242">
      <w:pPr>
        <w:pStyle w:val="8"/>
        <w:keepNext w:val="0"/>
        <w:keepLines w:val="0"/>
        <w:spacing w:before="0" w:after="0" w:line="360" w:lineRule="auto"/>
        <w:ind w:left="420" w:leftChars="200"/>
        <w:rPr>
          <w:rFonts w:hint="eastAsia" w:ascii="宋体" w:hAnsi="宋体"/>
          <w:b w:val="0"/>
          <w:sz w:val="21"/>
          <w:szCs w:val="21"/>
        </w:rPr>
      </w:pPr>
      <w:bookmarkStart w:id="97" w:name="_13.3商务文件:_具体材料见“投标人须知前附表”。"/>
      <w:bookmarkEnd w:id="97"/>
      <w:r>
        <w:rPr>
          <w:rFonts w:hint="eastAsia" w:ascii="宋体" w:hAnsi="宋体"/>
          <w:b w:val="0"/>
          <w:sz w:val="21"/>
          <w:szCs w:val="21"/>
        </w:rPr>
        <w:t>（</w:t>
      </w:r>
      <w:r>
        <w:rPr>
          <w:rFonts w:ascii="宋体" w:hAnsi="宋体"/>
          <w:b w:val="0"/>
          <w:sz w:val="21"/>
          <w:szCs w:val="21"/>
        </w:rPr>
        <w:t>3</w:t>
      </w:r>
      <w:r>
        <w:rPr>
          <w:rFonts w:hint="eastAsia" w:ascii="宋体" w:hAnsi="宋体"/>
          <w:b w:val="0"/>
          <w:sz w:val="21"/>
          <w:szCs w:val="21"/>
        </w:rPr>
        <w:t>）商务及技术文件：</w:t>
      </w:r>
      <w:r>
        <w:rPr>
          <w:rFonts w:ascii="宋体" w:hAnsi="宋体"/>
          <w:b w:val="0"/>
          <w:sz w:val="21"/>
          <w:szCs w:val="21"/>
        </w:rPr>
        <w:t>具体材料见“投标人须知前附表”</w:t>
      </w:r>
      <w:r>
        <w:rPr>
          <w:rFonts w:hint="eastAsia" w:ascii="宋体" w:hAnsi="宋体"/>
          <w:b w:val="0"/>
          <w:sz w:val="21"/>
          <w:szCs w:val="21"/>
        </w:rPr>
        <w:t>。</w:t>
      </w:r>
    </w:p>
    <w:p w14:paraId="159BB6D8">
      <w:pPr>
        <w:pStyle w:val="8"/>
        <w:keepNext w:val="0"/>
        <w:keepLines w:val="0"/>
        <w:spacing w:before="0" w:after="0" w:line="360" w:lineRule="auto"/>
        <w:ind w:left="420" w:leftChars="200"/>
        <w:rPr>
          <w:rFonts w:hint="eastAsia" w:ascii="黑体" w:hAnsi="黑体" w:eastAsia="黑体"/>
          <w:sz w:val="24"/>
        </w:rPr>
      </w:pPr>
      <w:bookmarkStart w:id="98" w:name="_13.4技术文件：具体材料见“投标人须知前附表”。"/>
      <w:bookmarkEnd w:id="98"/>
      <w:bookmarkStart w:id="99" w:name="_13.5投标文件电子版：具体材料见“投标人须知前附表”。"/>
      <w:bookmarkEnd w:id="99"/>
      <w:bookmarkStart w:id="100" w:name="_Toc254970537"/>
      <w:bookmarkStart w:id="101" w:name="_Toc254970678"/>
      <w:r>
        <w:rPr>
          <w:rFonts w:hint="eastAsia" w:ascii="黑体" w:hAnsi="黑体" w:eastAsia="黑体"/>
          <w:sz w:val="24"/>
        </w:rPr>
        <w:t>14.投标文件的语言及计量</w:t>
      </w:r>
      <w:bookmarkEnd w:id="100"/>
      <w:bookmarkEnd w:id="101"/>
    </w:p>
    <w:p w14:paraId="11C24048">
      <w:pPr>
        <w:pStyle w:val="8"/>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14.1语言文字</w:t>
      </w:r>
    </w:p>
    <w:p w14:paraId="6428CC64">
      <w:pPr>
        <w:pStyle w:val="8"/>
        <w:keepNext w:val="0"/>
        <w:keepLines w:val="0"/>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0C36080D">
      <w:pPr>
        <w:pStyle w:val="8"/>
        <w:keepNext w:val="0"/>
        <w:keepLines w:val="0"/>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14.2投标计量单位</w:t>
      </w:r>
    </w:p>
    <w:p w14:paraId="0FDF8788">
      <w:pPr>
        <w:pStyle w:val="8"/>
        <w:keepNext w:val="0"/>
        <w:keepLines w:val="0"/>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采购文件已有明确规定的，使用采购文件规定的计量单位；采购文件没有规定的，应采用中华人民共和国法定计量单位，货币种类为人民币</w:t>
      </w:r>
      <w:r>
        <w:rPr>
          <w:rFonts w:hint="eastAsia" w:ascii="宋体" w:hAnsi="宋体"/>
          <w:sz w:val="21"/>
          <w:szCs w:val="21"/>
        </w:rPr>
        <w:t>，否则视同未响应。</w:t>
      </w:r>
    </w:p>
    <w:p w14:paraId="0D5F37B6">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15.投标的风险</w:t>
      </w:r>
    </w:p>
    <w:p w14:paraId="18E909A7">
      <w:pPr>
        <w:pStyle w:val="18"/>
        <w:snapToGrid w:val="0"/>
        <w:spacing w:line="360" w:lineRule="auto"/>
        <w:ind w:firstLine="420" w:firstLineChars="200"/>
        <w:jc w:val="left"/>
        <w:rPr>
          <w:rFonts w:hint="eastAsia" w:hAnsi="宋体"/>
        </w:rPr>
      </w:pPr>
      <w:r>
        <w:rPr>
          <w:rFonts w:hint="eastAsia" w:hAnsi="宋体"/>
        </w:rPr>
        <w:t>投标人没有按照采购文件要求提供全部资料，或者投标人没有对采购文件作出实质性响应是投标人的风险，并可能导致其投标被拒绝。</w:t>
      </w:r>
    </w:p>
    <w:p w14:paraId="3F23F88D">
      <w:pPr>
        <w:pStyle w:val="8"/>
        <w:keepNext w:val="0"/>
        <w:keepLines w:val="0"/>
        <w:spacing w:before="0" w:after="0" w:line="360" w:lineRule="auto"/>
        <w:ind w:left="420" w:leftChars="200"/>
        <w:rPr>
          <w:rFonts w:hint="eastAsia" w:ascii="黑体" w:hAnsi="黑体" w:eastAsia="黑体"/>
          <w:sz w:val="24"/>
        </w:rPr>
      </w:pPr>
      <w:bookmarkStart w:id="102" w:name="_Toc254970679"/>
      <w:bookmarkStart w:id="103" w:name="_Toc254970538"/>
      <w:r>
        <w:rPr>
          <w:rFonts w:hint="eastAsia" w:ascii="黑体" w:hAnsi="黑体" w:eastAsia="黑体"/>
          <w:sz w:val="24"/>
        </w:rPr>
        <w:t>16.投标报价</w:t>
      </w:r>
      <w:bookmarkEnd w:id="102"/>
      <w:bookmarkEnd w:id="103"/>
    </w:p>
    <w:p w14:paraId="62030B7E">
      <w:pPr>
        <w:pStyle w:val="8"/>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16.1投标报价应按“第六章　投标文件格式”中“开标一览表”格式填写。</w:t>
      </w:r>
    </w:p>
    <w:p w14:paraId="29DCCB8C">
      <w:pPr>
        <w:pStyle w:val="8"/>
        <w:keepNext w:val="0"/>
        <w:keepLines w:val="0"/>
        <w:spacing w:before="0" w:after="0" w:line="360" w:lineRule="auto"/>
        <w:ind w:left="420" w:leftChars="200"/>
        <w:rPr>
          <w:rFonts w:hint="eastAsia" w:ascii="宋体" w:hAnsi="宋体"/>
          <w:b w:val="0"/>
          <w:sz w:val="21"/>
          <w:szCs w:val="21"/>
        </w:rPr>
      </w:pPr>
      <w:bookmarkStart w:id="104" w:name="_16.2投标报价具体定义见投标人须知前附表。"/>
      <w:bookmarkEnd w:id="104"/>
      <w:r>
        <w:rPr>
          <w:rFonts w:hint="eastAsia" w:ascii="宋体" w:hAnsi="宋体"/>
          <w:b w:val="0"/>
          <w:sz w:val="21"/>
          <w:szCs w:val="21"/>
        </w:rPr>
        <w:t>16.2投标报价具体包括内容详见“投标人须知前附表”。</w:t>
      </w:r>
    </w:p>
    <w:p w14:paraId="16798D7B">
      <w:pPr>
        <w:pStyle w:val="8"/>
        <w:keepNext w:val="0"/>
        <w:keepLines w:val="0"/>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16.3投标人必须就所投每个分标的全部内容分别作完整唯一总价报价，不得存在漏项报价；投标人必须就所投分标的单项内容作唯一报价。</w:t>
      </w:r>
    </w:p>
    <w:p w14:paraId="5035766F">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17.投标有效期</w:t>
      </w:r>
    </w:p>
    <w:p w14:paraId="2E0D567E">
      <w:pPr>
        <w:pStyle w:val="8"/>
        <w:keepNext w:val="0"/>
        <w:keepLines w:val="0"/>
        <w:spacing w:before="0" w:after="0" w:line="360" w:lineRule="auto"/>
        <w:ind w:firstLine="420" w:firstLineChars="200"/>
        <w:rPr>
          <w:rFonts w:hint="eastAsia" w:ascii="宋体" w:hAnsi="宋体"/>
          <w:b w:val="0"/>
          <w:sz w:val="21"/>
          <w:szCs w:val="21"/>
        </w:rPr>
      </w:pPr>
      <w:bookmarkStart w:id="105" w:name="_17.1投标有效期应按“投标人须知中的前附表”规定的期限。"/>
      <w:bookmarkEnd w:id="105"/>
      <w:r>
        <w:rPr>
          <w:rFonts w:hint="eastAsia" w:ascii="宋体" w:hAnsi="宋体"/>
          <w:b w:val="0"/>
          <w:sz w:val="21"/>
          <w:szCs w:val="21"/>
        </w:rPr>
        <w:t>17.1投标有效期是指为保证采购人有足够的时间在开标后完成评标、定标、合同签订等工作而要求投标人提交的投标文件在一定时间内保持有效的期限。</w:t>
      </w:r>
    </w:p>
    <w:p w14:paraId="50BBF544">
      <w:pPr>
        <w:pStyle w:val="8"/>
        <w:keepNext w:val="0"/>
        <w:keepLines w:val="0"/>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17.2</w:t>
      </w:r>
      <w:bookmarkStart w:id="106" w:name="_Toc254970540"/>
      <w:bookmarkStart w:id="107" w:name="_Toc254970681"/>
      <w:r>
        <w:rPr>
          <w:rFonts w:hint="eastAsia" w:ascii="宋体" w:hAnsi="宋体"/>
          <w:b w:val="0"/>
          <w:sz w:val="21"/>
          <w:szCs w:val="21"/>
        </w:rPr>
        <w:t xml:space="preserve"> 投标有效期应按采购文件规定的期限作出承诺，具体详见“投标人须知前附表”。</w:t>
      </w:r>
      <w:r>
        <w:rPr>
          <w:rFonts w:hint="eastAsia" w:ascii="宋体" w:hAnsi="宋体"/>
          <w:sz w:val="21"/>
          <w:szCs w:val="21"/>
        </w:rPr>
        <w:t>承诺的投标有效期低于采购文件规定期限的，按无效投标处理。</w:t>
      </w:r>
    </w:p>
    <w:p w14:paraId="55BD1535">
      <w:pPr>
        <w:pStyle w:val="8"/>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17.3投标人的投标文件在投标有效期内均保持有效。</w:t>
      </w:r>
      <w:bookmarkEnd w:id="106"/>
      <w:bookmarkEnd w:id="107"/>
    </w:p>
    <w:p w14:paraId="51E3747C">
      <w:pPr>
        <w:pStyle w:val="8"/>
        <w:keepNext w:val="0"/>
        <w:keepLines w:val="0"/>
        <w:spacing w:before="0" w:after="0" w:line="360" w:lineRule="auto"/>
        <w:ind w:left="420" w:leftChars="200"/>
        <w:rPr>
          <w:rFonts w:hint="eastAsia" w:ascii="黑体" w:hAnsi="黑体" w:eastAsia="黑体"/>
          <w:sz w:val="24"/>
        </w:rPr>
      </w:pPr>
      <w:bookmarkStart w:id="108" w:name="_18.投标保证金"/>
      <w:bookmarkEnd w:id="108"/>
      <w:bookmarkStart w:id="109" w:name="_Toc254970682"/>
      <w:bookmarkStart w:id="110" w:name="_Toc254970541"/>
      <w:r>
        <w:rPr>
          <w:rFonts w:hint="eastAsia" w:ascii="黑体" w:hAnsi="黑体" w:eastAsia="黑体"/>
          <w:sz w:val="24"/>
        </w:rPr>
        <w:t>18.投标保证金</w:t>
      </w:r>
      <w:bookmarkEnd w:id="109"/>
      <w:bookmarkEnd w:id="110"/>
    </w:p>
    <w:p w14:paraId="1DF897E9">
      <w:pPr>
        <w:pStyle w:val="8"/>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18.1投标人须按“投标人须知前附表” 的规定提交投标保证金。</w:t>
      </w:r>
    </w:p>
    <w:p w14:paraId="64E87778">
      <w:pPr>
        <w:pStyle w:val="8"/>
        <w:keepNext w:val="0"/>
        <w:keepLines w:val="0"/>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18.2投标保证金的退还</w:t>
      </w:r>
    </w:p>
    <w:p w14:paraId="453C2EC7">
      <w:pPr>
        <w:pStyle w:val="8"/>
        <w:keepNext w:val="0"/>
        <w:keepLines w:val="0"/>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 xml:space="preserve">未中标供应商的投标保证金自中标通知书发出之日起5个工作日内退还；中标供应商的投标保证金自政府采购合同签订之日起5个工作日内退还。 </w:t>
      </w:r>
    </w:p>
    <w:p w14:paraId="30DB6F9F">
      <w:pPr>
        <w:pStyle w:val="8"/>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18.3除逾期退还投标保证金和终止采购的情形以外，投标保证金不计息。</w:t>
      </w:r>
    </w:p>
    <w:p w14:paraId="6D55ECBE">
      <w:pPr>
        <w:pStyle w:val="8"/>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 xml:space="preserve">18.4投标人有下列情形之一的，投标保证金将不予退还： </w:t>
      </w:r>
    </w:p>
    <w:p w14:paraId="146827E4">
      <w:pPr>
        <w:snapToGrid w:val="0"/>
        <w:spacing w:line="360" w:lineRule="auto"/>
        <w:ind w:firstLine="411" w:firstLineChars="196"/>
        <w:jc w:val="left"/>
        <w:rPr>
          <w:rFonts w:hint="eastAsia" w:ascii="宋体" w:hAnsi="宋体"/>
          <w:szCs w:val="21"/>
        </w:rPr>
      </w:pPr>
      <w:r>
        <w:rPr>
          <w:rFonts w:hint="eastAsia" w:ascii="宋体" w:hAnsi="宋体"/>
          <w:szCs w:val="21"/>
        </w:rPr>
        <w:t>（1）投标人在投标有效期内撤销投标文件的；</w:t>
      </w:r>
    </w:p>
    <w:p w14:paraId="7ACF1AD5">
      <w:pPr>
        <w:snapToGrid w:val="0"/>
        <w:spacing w:line="360" w:lineRule="auto"/>
        <w:ind w:firstLine="411" w:firstLineChars="196"/>
        <w:jc w:val="left"/>
        <w:rPr>
          <w:rFonts w:hint="eastAsia" w:ascii="宋体" w:hAnsi="宋体"/>
          <w:szCs w:val="21"/>
        </w:rPr>
      </w:pPr>
      <w:r>
        <w:rPr>
          <w:rFonts w:hint="eastAsia" w:ascii="宋体" w:hAnsi="宋体"/>
          <w:szCs w:val="21"/>
        </w:rPr>
        <w:t>（2）未按规定提交履约保证金的；</w:t>
      </w:r>
    </w:p>
    <w:p w14:paraId="764568BE">
      <w:pPr>
        <w:snapToGrid w:val="0"/>
        <w:spacing w:line="360" w:lineRule="auto"/>
        <w:ind w:firstLine="411" w:firstLineChars="196"/>
        <w:jc w:val="left"/>
        <w:rPr>
          <w:rFonts w:hint="eastAsia" w:ascii="宋体" w:hAnsi="宋体"/>
          <w:szCs w:val="21"/>
        </w:rPr>
      </w:pPr>
      <w:r>
        <w:rPr>
          <w:rFonts w:hint="eastAsia" w:ascii="宋体" w:hAnsi="宋体"/>
          <w:szCs w:val="21"/>
        </w:rPr>
        <w:t>（3）投标人在投标过程中弄虚作假，提供虚假材料的；</w:t>
      </w:r>
    </w:p>
    <w:p w14:paraId="5FD03B88">
      <w:pPr>
        <w:snapToGrid w:val="0"/>
        <w:spacing w:line="360" w:lineRule="auto"/>
        <w:ind w:firstLine="411" w:firstLineChars="196"/>
        <w:rPr>
          <w:rFonts w:hint="eastAsia" w:ascii="宋体" w:hAnsi="宋体"/>
          <w:szCs w:val="21"/>
        </w:rPr>
      </w:pPr>
      <w:r>
        <w:rPr>
          <w:rFonts w:hint="eastAsia" w:ascii="宋体" w:hAnsi="宋体"/>
          <w:szCs w:val="21"/>
        </w:rPr>
        <w:t>（4）中标供应商无正当理由不与采购人签订合同的；</w:t>
      </w:r>
    </w:p>
    <w:p w14:paraId="5288A9A5">
      <w:pPr>
        <w:snapToGrid w:val="0"/>
        <w:spacing w:line="360" w:lineRule="auto"/>
        <w:ind w:firstLine="420" w:firstLineChars="200"/>
        <w:rPr>
          <w:rFonts w:hint="eastAsia" w:ascii="宋体" w:hAnsi="宋体"/>
          <w:szCs w:val="21"/>
        </w:rPr>
      </w:pPr>
      <w:bookmarkStart w:id="111" w:name="_Toc254970542"/>
      <w:bookmarkStart w:id="112" w:name="_Toc254970683"/>
      <w:r>
        <w:rPr>
          <w:rFonts w:hint="eastAsia" w:ascii="宋体" w:hAnsi="宋体"/>
          <w:szCs w:val="21"/>
        </w:rPr>
        <w:t>（5）投标人出现本章第9.2、9.3情形的；</w:t>
      </w:r>
    </w:p>
    <w:p w14:paraId="5FE10597">
      <w:pPr>
        <w:snapToGrid w:val="0"/>
        <w:spacing w:line="360" w:lineRule="auto"/>
        <w:ind w:firstLine="420" w:firstLineChars="200"/>
        <w:rPr>
          <w:rFonts w:hint="eastAsia" w:ascii="宋体" w:hAnsi="宋体"/>
          <w:szCs w:val="21"/>
        </w:rPr>
      </w:pPr>
      <w:r>
        <w:rPr>
          <w:rFonts w:hint="eastAsia" w:ascii="宋体" w:hAnsi="宋体"/>
          <w:szCs w:val="21"/>
        </w:rPr>
        <w:t>（6）</w:t>
      </w:r>
      <w:r>
        <w:rPr>
          <w:rFonts w:hint="eastAsia" w:ascii="宋体" w:hAnsi="宋体" w:cs="宋体"/>
          <w:szCs w:val="21"/>
        </w:rPr>
        <w:t>法律法规规定的其他情形</w:t>
      </w:r>
      <w:r>
        <w:rPr>
          <w:rFonts w:hint="eastAsia" w:ascii="宋体" w:hAnsi="宋体"/>
          <w:szCs w:val="21"/>
        </w:rPr>
        <w:t>。</w:t>
      </w:r>
    </w:p>
    <w:bookmarkEnd w:id="111"/>
    <w:bookmarkEnd w:id="112"/>
    <w:p w14:paraId="56A06C36">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19.投标文件的编制</w:t>
      </w:r>
    </w:p>
    <w:p w14:paraId="63644535">
      <w:pPr>
        <w:pStyle w:val="8"/>
        <w:keepNext w:val="0"/>
        <w:keepLines w:val="0"/>
        <w:spacing w:before="0" w:after="0" w:line="360" w:lineRule="auto"/>
        <w:ind w:firstLine="315" w:firstLineChars="150"/>
        <w:rPr>
          <w:rFonts w:hint="eastAsia" w:ascii="宋体" w:hAnsi="宋体"/>
          <w:b w:val="0"/>
          <w:sz w:val="21"/>
          <w:szCs w:val="21"/>
        </w:rPr>
      </w:pPr>
      <w:r>
        <w:rPr>
          <w:rFonts w:hint="eastAsia" w:ascii="宋体" w:hAnsi="宋体"/>
          <w:b w:val="0"/>
          <w:sz w:val="21"/>
          <w:szCs w:val="21"/>
        </w:rPr>
        <w:t xml:space="preserve"> 19.1投标人应按照本项目采购文件规定的格式和顺序和广西政府采购云平台的要求编制投标文件并加密。投标文件内容不完整、编排混乱导致投标文件被误读、漏读或者查找不到相关内容的，由此引发的后果由投标人承担。</w:t>
      </w:r>
    </w:p>
    <w:p w14:paraId="18BFEA2F">
      <w:pPr>
        <w:pStyle w:val="8"/>
        <w:keepNext w:val="0"/>
        <w:keepLines w:val="0"/>
        <w:spacing w:before="0" w:after="0" w:line="360" w:lineRule="auto"/>
        <w:ind w:firstLine="315" w:firstLineChars="150"/>
        <w:rPr>
          <w:rFonts w:hint="eastAsia" w:ascii="宋体" w:hAnsi="宋体"/>
          <w:b w:val="0"/>
          <w:sz w:val="21"/>
          <w:szCs w:val="21"/>
        </w:rPr>
      </w:pPr>
      <w:bookmarkStart w:id="113" w:name="_19.2投标文件应按报价文件、资格证明文件、商务文件、技术文件分别编制"/>
      <w:bookmarkEnd w:id="113"/>
      <w:r>
        <w:rPr>
          <w:rFonts w:hint="eastAsia" w:ascii="宋体" w:hAnsi="宋体"/>
          <w:b w:val="0"/>
          <w:sz w:val="21"/>
          <w:szCs w:val="21"/>
        </w:rPr>
        <w:t xml:space="preserve"> 19.2为确保网上操作合法、有效和安全，投标人应当在投标截止时间前完成在广西政府采购云平台的身份认证，确保在电子投标过程中能够对相关数据电文进行加密和使用电子签章。</w:t>
      </w:r>
    </w:p>
    <w:p w14:paraId="1587BE15">
      <w:pPr>
        <w:pStyle w:val="8"/>
        <w:keepNext w:val="0"/>
        <w:keepLines w:val="0"/>
        <w:spacing w:before="0" w:after="0" w:line="360" w:lineRule="auto"/>
        <w:rPr>
          <w:rFonts w:hint="eastAsia" w:ascii="宋体" w:hAnsi="宋体"/>
          <w:b w:val="0"/>
          <w:sz w:val="21"/>
          <w:szCs w:val="21"/>
        </w:rPr>
      </w:pPr>
      <w:r>
        <w:rPr>
          <w:rFonts w:hint="eastAsia" w:ascii="宋体" w:hAnsi="宋体"/>
          <w:b w:val="0"/>
          <w:sz w:val="21"/>
          <w:szCs w:val="21"/>
        </w:rPr>
        <w:t xml:space="preserve">    19.3投标文件须由投标人在规定位置签字（或者电子签名）、盖章（具体以投标人须知前附表或投标文件格式规定为准），</w:t>
      </w:r>
      <w:r>
        <w:rPr>
          <w:rFonts w:hint="eastAsia" w:ascii="宋体" w:hAnsi="宋体"/>
          <w:sz w:val="21"/>
          <w:szCs w:val="21"/>
        </w:rPr>
        <w:t>否则按无效投标处理</w:t>
      </w:r>
      <w:r>
        <w:rPr>
          <w:rFonts w:hint="eastAsia" w:ascii="宋体" w:hAnsi="宋体"/>
          <w:b w:val="0"/>
          <w:sz w:val="21"/>
          <w:szCs w:val="21"/>
        </w:rPr>
        <w:t>。</w:t>
      </w:r>
    </w:p>
    <w:p w14:paraId="1393D72A">
      <w:pPr>
        <w:pStyle w:val="8"/>
        <w:keepNext w:val="0"/>
        <w:keepLines w:val="0"/>
        <w:spacing w:before="0" w:after="0" w:line="360" w:lineRule="auto"/>
        <w:ind w:firstLine="315" w:firstLineChars="150"/>
        <w:rPr>
          <w:rFonts w:hint="eastAsia" w:ascii="宋体" w:hAnsi="宋体"/>
          <w:b w:val="0"/>
          <w:sz w:val="21"/>
          <w:szCs w:val="21"/>
        </w:rPr>
      </w:pPr>
      <w:r>
        <w:rPr>
          <w:rFonts w:hint="eastAsia" w:ascii="宋体" w:hAnsi="宋体"/>
          <w:b w:val="0"/>
          <w:sz w:val="21"/>
          <w:szCs w:val="21"/>
        </w:rPr>
        <w:t xml:space="preserve"> 19.4投标文件中标注的投标人名称应与主体资格证明（如营业执照或者事业单位法人证书或者执业许可证或者登记证书等）及公章一致，并与广西政府采购云平台中获取采购文件的投标人名称一致，投标人为自然人的，标注的投标人名称应与身份证姓名及签名一致，</w:t>
      </w:r>
      <w:r>
        <w:rPr>
          <w:rFonts w:hint="eastAsia" w:ascii="宋体" w:hAnsi="宋体"/>
          <w:sz w:val="21"/>
          <w:szCs w:val="21"/>
        </w:rPr>
        <w:t>否则按无效投标处理</w:t>
      </w:r>
      <w:r>
        <w:rPr>
          <w:rFonts w:hint="eastAsia" w:ascii="宋体" w:hAnsi="宋体"/>
          <w:b w:val="0"/>
          <w:sz w:val="21"/>
          <w:szCs w:val="21"/>
        </w:rPr>
        <w:t>。</w:t>
      </w:r>
    </w:p>
    <w:p w14:paraId="29B22E31">
      <w:pPr>
        <w:pStyle w:val="8"/>
        <w:keepNext w:val="0"/>
        <w:keepLines w:val="0"/>
        <w:spacing w:before="0" w:after="0" w:line="360" w:lineRule="auto"/>
        <w:ind w:firstLine="315" w:firstLineChars="150"/>
        <w:rPr>
          <w:rFonts w:hint="eastAsia" w:ascii="宋体" w:hAnsi="宋体"/>
          <w:b w:val="0"/>
          <w:sz w:val="21"/>
          <w:szCs w:val="21"/>
        </w:rPr>
      </w:pPr>
      <w:r>
        <w:rPr>
          <w:rFonts w:hint="eastAsia" w:ascii="宋体" w:hAnsi="宋体"/>
          <w:b w:val="0"/>
          <w:sz w:val="21"/>
          <w:szCs w:val="21"/>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33A2CFAA">
      <w:pPr>
        <w:spacing w:line="360" w:lineRule="auto"/>
        <w:ind w:firstLine="482" w:firstLineChars="200"/>
        <w:rPr>
          <w:rFonts w:hint="eastAsia" w:ascii="黑体" w:hAnsi="黑体" w:eastAsia="黑体"/>
          <w:b/>
          <w:bCs/>
          <w:sz w:val="24"/>
        </w:rPr>
      </w:pPr>
      <w:r>
        <w:rPr>
          <w:rFonts w:hint="eastAsia" w:ascii="黑体" w:hAnsi="黑体" w:eastAsia="黑体"/>
          <w:b/>
          <w:bCs/>
          <w:sz w:val="24"/>
        </w:rPr>
        <w:t>20.电子备份投标文件</w:t>
      </w:r>
    </w:p>
    <w:p w14:paraId="080579A3">
      <w:pPr>
        <w:spacing w:line="360" w:lineRule="auto"/>
        <w:ind w:firstLine="420" w:firstLineChars="200"/>
        <w:rPr>
          <w:rFonts w:hint="eastAsia" w:ascii="黑体" w:hAnsi="黑体" w:eastAsia="黑体"/>
          <w:sz w:val="24"/>
        </w:rPr>
      </w:pPr>
      <w:r>
        <w:rPr>
          <w:rFonts w:hint="eastAsia"/>
        </w:rPr>
        <w:t>电子备份投标文件是指通过在线编制生成且后缀名为“</w:t>
      </w:r>
      <w:r>
        <w:t>bfbs</w:t>
      </w:r>
      <w:r>
        <w:rPr>
          <w:rFonts w:hint="eastAsia"/>
        </w:rPr>
        <w:t>”的文件，是否接受电子备份投标文件详见</w:t>
      </w:r>
      <w:r>
        <w:rPr>
          <w:rFonts w:hint="eastAsia" w:hAnsi="宋体"/>
          <w:bCs/>
          <w:szCs w:val="21"/>
        </w:rPr>
        <w:t>“投标人须知前附表”。</w:t>
      </w:r>
    </w:p>
    <w:p w14:paraId="551823A0">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21.投标文件的提交</w:t>
      </w:r>
    </w:p>
    <w:p w14:paraId="1A1BA0EC">
      <w:pPr>
        <w:spacing w:line="360" w:lineRule="auto"/>
        <w:ind w:firstLine="420" w:firstLineChars="200"/>
        <w:rPr>
          <w:rFonts w:hint="eastAsia" w:hAnsi="宋体"/>
          <w:b/>
        </w:rPr>
      </w:pPr>
      <w:bookmarkStart w:id="114" w:name="_21.1投标人必须在“投标人须知中的前附表”规定的投标文件接收时间和投"/>
      <w:bookmarkEnd w:id="114"/>
      <w:r>
        <w:rPr>
          <w:rFonts w:hint="eastAsia" w:hAnsi="宋体"/>
          <w:bCs/>
          <w:szCs w:val="21"/>
        </w:rPr>
        <w:t>21.1投标人必须在“投标人须知前附表”规定的</w:t>
      </w:r>
      <w:r>
        <w:rPr>
          <w:rFonts w:hint="eastAsia" w:ascii="宋体" w:hAnsi="宋体"/>
          <w:szCs w:val="21"/>
        </w:rPr>
        <w:t>提交投标文件截止时间前将</w:t>
      </w:r>
      <w:r>
        <w:rPr>
          <w:rFonts w:hint="eastAsia" w:hAnsi="宋体"/>
          <w:bCs/>
          <w:szCs w:val="21"/>
        </w:rPr>
        <w:t>电子投标文件提交至投标地点。电子投标文件应在制作完成后，</w:t>
      </w:r>
      <w:r>
        <w:rPr>
          <w:rFonts w:hAnsi="宋体"/>
          <w:bCs/>
          <w:szCs w:val="21"/>
        </w:rPr>
        <w:t>在投标截止时间前</w:t>
      </w:r>
      <w:r>
        <w:rPr>
          <w:rFonts w:hint="eastAsia" w:hAnsi="宋体"/>
          <w:bCs/>
          <w:szCs w:val="21"/>
        </w:rPr>
        <w:t>通过有效数字证书（CA认证锁）进行电子签章、加密，然后通过网络将加密的电子投标文件递交至</w:t>
      </w:r>
      <w:r>
        <w:rPr>
          <w:rFonts w:hint="eastAsia" w:ascii="宋体" w:hAnsi="宋体"/>
          <w:b/>
          <w:szCs w:val="21"/>
        </w:rPr>
        <w:t>广西政府采购云平台</w:t>
      </w:r>
      <w:r>
        <w:rPr>
          <w:rFonts w:hint="eastAsia" w:hAnsi="宋体"/>
          <w:bCs/>
          <w:szCs w:val="21"/>
        </w:rPr>
        <w:t xml:space="preserve">。 </w:t>
      </w:r>
      <w:r>
        <w:rPr>
          <w:rFonts w:hint="eastAsia" w:hAnsi="宋体"/>
          <w:b/>
        </w:rPr>
        <w:t xml:space="preserve"> </w:t>
      </w:r>
    </w:p>
    <w:p w14:paraId="30F93183">
      <w:pPr>
        <w:spacing w:line="360" w:lineRule="auto"/>
        <w:ind w:firstLine="422" w:firstLineChars="200"/>
        <w:rPr>
          <w:rFonts w:hint="eastAsia" w:ascii="宋体" w:hAnsi="宋体"/>
          <w:b/>
          <w:szCs w:val="20"/>
        </w:rPr>
      </w:pPr>
      <w:r>
        <w:rPr>
          <w:rFonts w:hint="eastAsia" w:ascii="宋体" w:hAnsi="宋体"/>
          <w:b/>
          <w:szCs w:val="21"/>
        </w:rPr>
        <w:t>21.</w:t>
      </w:r>
      <w:r>
        <w:rPr>
          <w:rFonts w:ascii="宋体" w:hAnsi="宋体"/>
          <w:b/>
          <w:szCs w:val="21"/>
        </w:rPr>
        <w:t>2</w:t>
      </w:r>
      <w:r>
        <w:rPr>
          <w:rFonts w:hint="eastAsia" w:ascii="宋体" w:hAnsi="宋体"/>
          <w:b/>
          <w:szCs w:val="21"/>
        </w:rPr>
        <w:t>未在规定时间内提交或者未按照采购文件要求加密的电子投标文件，广西政府采购云平台将拒收。</w:t>
      </w:r>
    </w:p>
    <w:p w14:paraId="62ED35C5">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22. 投标文件的补充、修改、撤回与退回</w:t>
      </w:r>
    </w:p>
    <w:p w14:paraId="4134B5D6">
      <w:pPr>
        <w:snapToGrid w:val="0"/>
        <w:spacing w:line="360" w:lineRule="auto"/>
        <w:ind w:firstLine="420"/>
        <w:jc w:val="left"/>
        <w:rPr>
          <w:rFonts w:hint="eastAsia" w:ascii="宋体" w:hAnsi="宋体"/>
          <w:szCs w:val="21"/>
        </w:rPr>
      </w:pPr>
      <w:bookmarkStart w:id="115" w:name="_Toc254970543"/>
      <w:bookmarkStart w:id="116" w:name="_Toc254970684"/>
      <w:r>
        <w:rPr>
          <w:rFonts w:ascii="宋体" w:hAnsi="宋体" w:cs="宋体"/>
          <w:szCs w:val="21"/>
        </w:rPr>
        <w:t>22</w:t>
      </w:r>
      <w:r>
        <w:rPr>
          <w:rFonts w:hint="eastAsia" w:ascii="宋体" w:hAnsi="宋体" w:cs="宋体"/>
          <w:szCs w:val="21"/>
        </w:rPr>
        <w:t>.1</w:t>
      </w:r>
      <w:r>
        <w:rPr>
          <w:rFonts w:hint="eastAsia" w:ascii="宋体" w:hAnsi="宋体"/>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szCs w:val="21"/>
        </w:rPr>
        <w:t>（补充、修改或者撤回方式可</w:t>
      </w:r>
      <w:r>
        <w:rPr>
          <w:rFonts w:hint="eastAsia" w:ascii="宋体" w:hAnsi="宋体"/>
          <w:szCs w:val="21"/>
        </w:rPr>
        <w:t>登录</w:t>
      </w:r>
      <w:r>
        <w:rPr>
          <w:rFonts w:hint="eastAsia" w:ascii="宋体" w:hAnsi="宋体" w:cs="宋体"/>
          <w:kern w:val="0"/>
          <w:szCs w:val="21"/>
        </w:rPr>
        <w:t>广西政府采购云平台，</w:t>
      </w:r>
      <w:r>
        <w:rPr>
          <w:rFonts w:hint="eastAsia" w:ascii="宋体" w:hAnsi="宋体"/>
          <w:szCs w:val="21"/>
        </w:rPr>
        <w:t>依次进入“服务中心”中查看</w:t>
      </w:r>
      <w:r>
        <w:rPr>
          <w:rFonts w:hint="eastAsia" w:ascii="宋体" w:hAnsi="宋体" w:cs="宋体"/>
          <w:szCs w:val="21"/>
        </w:rPr>
        <w:t xml:space="preserve"> “电子投标文件制作与投送教程”）</w:t>
      </w:r>
    </w:p>
    <w:bookmarkEnd w:id="115"/>
    <w:bookmarkEnd w:id="116"/>
    <w:p w14:paraId="1E30A278">
      <w:pPr>
        <w:pStyle w:val="79"/>
        <w:spacing w:before="0"/>
        <w:ind w:firstLine="420"/>
        <w:rPr>
          <w:rFonts w:hint="eastAsia" w:ascii="宋体" w:hAnsi="宋体" w:cs="宋体"/>
          <w:sz w:val="21"/>
          <w:szCs w:val="21"/>
        </w:rPr>
      </w:pPr>
      <w:r>
        <w:rPr>
          <w:rFonts w:ascii="宋体" w:hAnsi="宋体" w:cs="宋体"/>
          <w:sz w:val="21"/>
          <w:szCs w:val="21"/>
        </w:rPr>
        <w:t>22.</w:t>
      </w:r>
      <w:r>
        <w:rPr>
          <w:rFonts w:hint="eastAsia" w:ascii="宋体" w:hAnsi="宋体" w:cs="宋体"/>
          <w:sz w:val="21"/>
          <w:szCs w:val="21"/>
        </w:rPr>
        <w:t>2广西政府采购云平台收到投标文件后向供应商发出确认回执通知。在投标截止时间前，除供应商补充、修改或者撤回投标文件外，任何单位和个人不得解密或提取投标文件。</w:t>
      </w:r>
    </w:p>
    <w:p w14:paraId="4AD59342">
      <w:pPr>
        <w:spacing w:line="360" w:lineRule="auto"/>
        <w:ind w:firstLine="420" w:firstLineChars="200"/>
        <w:rPr>
          <w:rFonts w:hint="eastAsia" w:ascii="宋体" w:hAnsi="宋体" w:cs="宋体"/>
          <w:szCs w:val="21"/>
        </w:rPr>
      </w:pPr>
      <w:r>
        <w:rPr>
          <w:rFonts w:hint="eastAsia" w:ascii="宋体" w:hAnsi="宋体" w:cs="宋体"/>
          <w:szCs w:val="21"/>
        </w:rPr>
        <w:t>22.</w:t>
      </w:r>
      <w:r>
        <w:rPr>
          <w:rFonts w:ascii="宋体" w:hAnsi="宋体" w:cs="宋体"/>
          <w:szCs w:val="21"/>
        </w:rPr>
        <w:t>3</w:t>
      </w:r>
      <w:r>
        <w:rPr>
          <w:rFonts w:hint="eastAsia" w:ascii="宋体" w:hAnsi="宋体" w:cs="宋体"/>
          <w:szCs w:val="21"/>
        </w:rPr>
        <w:t>在投标截止时间后，采购人和采购代理机构对已提交的投标文件概不退回。</w:t>
      </w:r>
    </w:p>
    <w:p w14:paraId="7E7F379E">
      <w:pPr>
        <w:pStyle w:val="6"/>
        <w:keepNext w:val="0"/>
        <w:keepLines w:val="0"/>
        <w:jc w:val="center"/>
      </w:pPr>
      <w:bookmarkStart w:id="117" w:name="_Toc254970685"/>
      <w:bookmarkStart w:id="118" w:name="_Toc254970544"/>
      <w:r>
        <w:rPr>
          <w:rFonts w:hint="eastAsia"/>
        </w:rPr>
        <w:t>四、开    标</w:t>
      </w:r>
      <w:bookmarkEnd w:id="117"/>
      <w:bookmarkEnd w:id="118"/>
    </w:p>
    <w:p w14:paraId="7185B722">
      <w:pPr>
        <w:pStyle w:val="8"/>
        <w:keepNext w:val="0"/>
        <w:keepLines w:val="0"/>
        <w:spacing w:before="0" w:after="0" w:line="360" w:lineRule="auto"/>
        <w:ind w:left="420" w:leftChars="200"/>
        <w:rPr>
          <w:rFonts w:hint="eastAsia" w:ascii="黑体" w:hAnsi="黑体" w:eastAsia="黑体"/>
          <w:sz w:val="24"/>
        </w:rPr>
      </w:pPr>
      <w:bookmarkStart w:id="119" w:name="_23.开标时间和地点"/>
      <w:bookmarkEnd w:id="119"/>
      <w:r>
        <w:rPr>
          <w:rFonts w:hint="eastAsia" w:ascii="黑体" w:hAnsi="黑体" w:eastAsia="黑体"/>
          <w:sz w:val="24"/>
        </w:rPr>
        <w:t>23.开标时间和地点</w:t>
      </w:r>
    </w:p>
    <w:p w14:paraId="31CF949B">
      <w:pPr>
        <w:spacing w:line="360" w:lineRule="auto"/>
        <w:ind w:firstLine="420" w:firstLineChars="200"/>
        <w:rPr>
          <w:rFonts w:hint="eastAsia" w:hAnsi="宋体"/>
          <w:bCs/>
        </w:rPr>
      </w:pPr>
      <w:r>
        <w:rPr>
          <w:rFonts w:hint="eastAsia" w:hAnsi="宋体"/>
          <w:bCs/>
        </w:rPr>
        <w:t>开标时间及地点详见“投标人须知前附表”</w:t>
      </w:r>
    </w:p>
    <w:p w14:paraId="0384BE87">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24.开标程序</w:t>
      </w:r>
    </w:p>
    <w:p w14:paraId="168DE7B5">
      <w:pPr>
        <w:pStyle w:val="9"/>
        <w:spacing w:line="360" w:lineRule="auto"/>
      </w:pPr>
      <w:r>
        <w:rPr>
          <w:rFonts w:hint="eastAsia"/>
        </w:rPr>
        <w:t>2</w:t>
      </w:r>
      <w:r>
        <w:t>4.1</w:t>
      </w:r>
      <w:r>
        <w:rPr>
          <w:rFonts w:hint="eastAsia"/>
        </w:rPr>
        <w:t>提交投标文件截止时间止，投标人不足3家的，不得开标。</w:t>
      </w:r>
    </w:p>
    <w:p w14:paraId="5CFEDA1A">
      <w:pPr>
        <w:pStyle w:val="9"/>
        <w:spacing w:line="360" w:lineRule="auto"/>
      </w:pPr>
      <w:r>
        <w:rPr>
          <w:rFonts w:hint="eastAsia"/>
        </w:rPr>
        <w:t>24.</w:t>
      </w:r>
      <w:r>
        <w:t>2</w:t>
      </w:r>
      <w:r>
        <w:rPr>
          <w:rFonts w:hint="eastAsia"/>
        </w:rPr>
        <w:t>采购代理机构将按照采购文件规定的时间通过广西政府采购云平台组织线上开标活动，所有供应商均应当准时在线参加，投标人因未在线参加开标而导致投标文件无法按时解密等一切后果由投标人自己承担。</w:t>
      </w:r>
    </w:p>
    <w:p w14:paraId="3801FEFF">
      <w:pPr>
        <w:pStyle w:val="9"/>
        <w:spacing w:line="360" w:lineRule="auto"/>
      </w:pPr>
      <w:r>
        <w:rPr>
          <w:rFonts w:hint="eastAsia"/>
        </w:rPr>
        <w:t>24.</w:t>
      </w:r>
      <w:r>
        <w:t>3</w:t>
      </w:r>
      <w:r>
        <w:rPr>
          <w:rFonts w:hint="eastAsia"/>
        </w:rPr>
        <w:t>开标程序</w:t>
      </w:r>
    </w:p>
    <w:p w14:paraId="3FA05786">
      <w:pPr>
        <w:pStyle w:val="9"/>
        <w:spacing w:line="360" w:lineRule="auto"/>
      </w:pPr>
      <w:r>
        <w:rPr>
          <w:rFonts w:hint="eastAsia"/>
        </w:rPr>
        <w:t>（1）解密电子投标文件。广西政府采购云平台按开标时间自动提取所有投标文件。采购代理机构依托广西政府采购云平台向各投标人发出电子加密投标文件【开始解密】通知，由投标人按</w:t>
      </w:r>
      <w:r>
        <w:rPr>
          <w:rFonts w:hint="eastAsia" w:hAnsi="宋体"/>
          <w:bCs/>
          <w:szCs w:val="21"/>
        </w:rPr>
        <w:t>“投标人须知前附表”</w:t>
      </w:r>
      <w:r>
        <w:rPr>
          <w:rFonts w:hint="eastAsia"/>
        </w:rPr>
        <w:t>规定的时间内自行进行投标文件解密。投标人的法定代表人或其委托代理人须凭加密时所用的CA锁准时登录到广西政府采购云平台电子开标大厅签到并对电子投标文件解密。</w:t>
      </w:r>
      <w:r>
        <w:rPr>
          <w:b/>
        </w:rPr>
        <w:t>投标人</w:t>
      </w:r>
      <w:r>
        <w:rPr>
          <w:rFonts w:hint="eastAsia"/>
          <w:b/>
        </w:rPr>
        <w:t>未在</w:t>
      </w:r>
      <w:r>
        <w:rPr>
          <w:b/>
        </w:rPr>
        <w:t>规定的时间内解密</w:t>
      </w:r>
      <w:r>
        <w:rPr>
          <w:rFonts w:hint="eastAsia"/>
          <w:b/>
        </w:rPr>
        <w:t>投标文件</w:t>
      </w:r>
      <w:r>
        <w:rPr>
          <w:b/>
        </w:rPr>
        <w:t>或</w:t>
      </w:r>
      <w:r>
        <w:rPr>
          <w:rFonts w:hint="eastAsia"/>
          <w:b/>
        </w:rPr>
        <w:t>者</w:t>
      </w:r>
      <w:r>
        <w:rPr>
          <w:b/>
        </w:rPr>
        <w:t>解密失败的</w:t>
      </w:r>
      <w:r>
        <w:rPr>
          <w:rFonts w:hint="eastAsia"/>
          <w:b/>
        </w:rPr>
        <w:t>，</w:t>
      </w:r>
      <w:r>
        <w:rPr>
          <w:rFonts w:hint="eastAsia" w:ascii="宋体" w:hAnsi="宋体"/>
          <w:b/>
          <w:szCs w:val="21"/>
        </w:rPr>
        <w:t>投标人的投标文件作无效处理</w:t>
      </w:r>
      <w:r>
        <w:rPr>
          <w:b/>
        </w:rPr>
        <w:t>。</w:t>
      </w:r>
    </w:p>
    <w:p w14:paraId="054A962F">
      <w:pPr>
        <w:pStyle w:val="9"/>
        <w:spacing w:line="360" w:lineRule="auto"/>
      </w:pPr>
      <w:r>
        <w:rPr>
          <w:rFonts w:hint="eastAsia"/>
        </w:rPr>
        <w:t>（2）电子唱标。投标文件解密结束，宣布的内容均在广西政府采购云平台远程开标大厅展示，具体详见</w:t>
      </w:r>
      <w:r>
        <w:rPr>
          <w:rFonts w:hint="eastAsia" w:hAnsi="宋体"/>
          <w:bCs/>
        </w:rPr>
        <w:t>“投标人须知前附表”</w:t>
      </w:r>
      <w:r>
        <w:rPr>
          <w:rFonts w:hint="eastAsia"/>
        </w:rPr>
        <w:t>；</w:t>
      </w:r>
    </w:p>
    <w:p w14:paraId="19704F23">
      <w:pPr>
        <w:pStyle w:val="9"/>
        <w:spacing w:line="360" w:lineRule="auto"/>
      </w:pPr>
      <w:r>
        <w:rPr>
          <w:rFonts w:hint="eastAsia"/>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04989ED3">
      <w:pPr>
        <w:pStyle w:val="9"/>
        <w:spacing w:line="360" w:lineRule="auto"/>
      </w:pPr>
      <w:r>
        <w:rPr>
          <w:rFonts w:hint="eastAsia"/>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6E11C576">
      <w:pPr>
        <w:pStyle w:val="9"/>
        <w:spacing w:line="360" w:lineRule="auto"/>
        <w:rPr>
          <w:szCs w:val="21"/>
        </w:rPr>
      </w:pPr>
      <w:r>
        <w:rPr>
          <w:rFonts w:hint="eastAsia"/>
          <w:szCs w:val="21"/>
        </w:rPr>
        <w:t>（5）开标结束。</w:t>
      </w:r>
    </w:p>
    <w:p w14:paraId="3AD144A4">
      <w:pPr>
        <w:pStyle w:val="18"/>
        <w:snapToGrid w:val="0"/>
        <w:spacing w:line="360" w:lineRule="auto"/>
        <w:ind w:firstLine="420" w:firstLineChars="200"/>
        <w:rPr>
          <w:rFonts w:hint="eastAsia" w:hAnsi="宋体"/>
        </w:rPr>
      </w:pPr>
      <w:r>
        <w:rPr>
          <w:rFonts w:hint="eastAsia"/>
        </w:rPr>
        <w:t>特别说明：如遇广西政府采购云平台电子化开标或评审程序调整的，按调整后执行。</w:t>
      </w:r>
    </w:p>
    <w:p w14:paraId="09431C53">
      <w:pPr>
        <w:pStyle w:val="18"/>
        <w:snapToGrid w:val="0"/>
        <w:spacing w:line="360" w:lineRule="auto"/>
        <w:ind w:left="689" w:leftChars="228" w:hanging="210" w:hangingChars="100"/>
        <w:rPr>
          <w:rFonts w:hint="eastAsia" w:hAnsi="宋体"/>
        </w:rPr>
      </w:pPr>
    </w:p>
    <w:p w14:paraId="6EA26056">
      <w:pPr>
        <w:pStyle w:val="6"/>
        <w:keepNext w:val="0"/>
        <w:keepLines w:val="0"/>
        <w:jc w:val="center"/>
      </w:pPr>
      <w:r>
        <w:rPr>
          <w:rFonts w:hint="eastAsia"/>
        </w:rPr>
        <w:t>五、资格审查</w:t>
      </w:r>
    </w:p>
    <w:p w14:paraId="6656A852">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25.资格审查</w:t>
      </w:r>
    </w:p>
    <w:p w14:paraId="25842CFB">
      <w:pPr>
        <w:pStyle w:val="8"/>
        <w:keepNext w:val="0"/>
        <w:keepLines w:val="0"/>
        <w:spacing w:before="0" w:after="0" w:line="360" w:lineRule="auto"/>
        <w:ind w:firstLine="315" w:firstLineChars="150"/>
        <w:rPr>
          <w:rFonts w:hint="eastAsia" w:ascii="宋体" w:hAnsi="宋体"/>
          <w:b w:val="0"/>
          <w:sz w:val="21"/>
          <w:szCs w:val="21"/>
        </w:rPr>
      </w:pPr>
      <w:r>
        <w:rPr>
          <w:rFonts w:hint="eastAsia" w:ascii="宋体" w:hAnsi="宋体"/>
          <w:b w:val="0"/>
          <w:sz w:val="21"/>
          <w:szCs w:val="21"/>
        </w:rPr>
        <w:t xml:space="preserve"> 25.1</w:t>
      </w:r>
      <w:r>
        <w:rPr>
          <w:rFonts w:ascii="宋体" w:hAnsi="宋体"/>
          <w:b w:val="0"/>
          <w:sz w:val="21"/>
          <w:szCs w:val="21"/>
        </w:rPr>
        <w:t>开标结束后，</w:t>
      </w:r>
      <w:r>
        <w:rPr>
          <w:rFonts w:hint="eastAsia" w:ascii="宋体" w:hAnsi="宋体"/>
          <w:b w:val="0"/>
          <w:sz w:val="21"/>
          <w:szCs w:val="21"/>
        </w:rPr>
        <w:t>采购人或者采购代理机构通过电子开评标系统依据采购文件对电子投标文件进行线上资格审查</w:t>
      </w:r>
      <w:r>
        <w:rPr>
          <w:rFonts w:ascii="宋体" w:hAnsi="宋体"/>
          <w:b w:val="0"/>
          <w:sz w:val="21"/>
          <w:szCs w:val="21"/>
        </w:rPr>
        <w:t>。</w:t>
      </w:r>
    </w:p>
    <w:p w14:paraId="5ABE4ED5">
      <w:pPr>
        <w:pStyle w:val="8"/>
        <w:keepNext w:val="0"/>
        <w:keepLines w:val="0"/>
        <w:spacing w:before="0" w:after="0" w:line="360" w:lineRule="auto"/>
        <w:ind w:firstLine="315" w:firstLineChars="150"/>
        <w:rPr>
          <w:rFonts w:hint="eastAsia" w:ascii="宋体" w:hAnsi="宋体"/>
          <w:b w:val="0"/>
          <w:sz w:val="21"/>
          <w:szCs w:val="21"/>
        </w:rPr>
      </w:pPr>
      <w:r>
        <w:rPr>
          <w:rFonts w:hint="eastAsia" w:ascii="宋体" w:hAnsi="宋体"/>
          <w:b w:val="0"/>
          <w:sz w:val="21"/>
          <w:szCs w:val="21"/>
        </w:rPr>
        <w:t xml:space="preserve"> 25.2资格审查标准为本采购文件中载明对投标人资格要求的条件。本项目资格审查采用合格制，凡符合采购文件规定的投标人资格要求的投标人均通过资格审查。</w:t>
      </w:r>
    </w:p>
    <w:p w14:paraId="51E31D51">
      <w:pPr>
        <w:pStyle w:val="8"/>
        <w:keepNext w:val="0"/>
        <w:keepLines w:val="0"/>
        <w:spacing w:before="0" w:after="0" w:line="360" w:lineRule="auto"/>
        <w:ind w:firstLine="422" w:firstLineChars="200"/>
        <w:rPr>
          <w:rFonts w:hint="eastAsia" w:ascii="宋体" w:hAnsi="宋体"/>
          <w:sz w:val="21"/>
          <w:szCs w:val="21"/>
        </w:rPr>
      </w:pPr>
      <w:bookmarkStart w:id="120" w:name="_25.3_投标人有下列情形之一的，资格审查不通过而导致其投标无效："/>
      <w:bookmarkEnd w:id="120"/>
      <w:r>
        <w:rPr>
          <w:rFonts w:hint="eastAsia" w:ascii="宋体" w:hAnsi="宋体"/>
          <w:sz w:val="21"/>
          <w:szCs w:val="21"/>
        </w:rPr>
        <w:t>25.3 投标人有下列情形之一的，资格审查不通过，作无效投标处理：</w:t>
      </w:r>
    </w:p>
    <w:p w14:paraId="10E88166">
      <w:pPr>
        <w:pStyle w:val="18"/>
        <w:snapToGrid w:val="0"/>
        <w:spacing w:line="360" w:lineRule="auto"/>
        <w:ind w:firstLine="422" w:firstLineChars="200"/>
        <w:rPr>
          <w:rFonts w:hint="eastAsia" w:hAnsi="宋体"/>
          <w:b/>
        </w:rPr>
      </w:pPr>
      <w:r>
        <w:rPr>
          <w:rFonts w:hint="eastAsia" w:hAnsi="宋体"/>
          <w:b/>
        </w:rPr>
        <w:t>（1）不具备招标文件中规定的资格要求的；</w:t>
      </w:r>
    </w:p>
    <w:p w14:paraId="42B8D8C8">
      <w:pPr>
        <w:pStyle w:val="18"/>
        <w:snapToGrid w:val="0"/>
        <w:spacing w:line="360" w:lineRule="auto"/>
        <w:ind w:firstLine="422" w:firstLineChars="200"/>
        <w:rPr>
          <w:rFonts w:hint="eastAsia" w:hAnsi="宋体"/>
          <w:b/>
        </w:rPr>
      </w:pPr>
      <w:r>
        <w:rPr>
          <w:rFonts w:hint="eastAsia" w:hAnsi="宋体"/>
          <w:b/>
        </w:rPr>
        <w:t>（2）在“信用中国”网站（www.creditchina.gov.cn）、中国政府采购网（www.ccgp.gov.cn）重大税收违法失信主体、政府采购严重违法失信行为记录名单、中国执行信息公开网（https://zxgk.court.gov.cn/）被列入失信被执行人及其他不符合《中华人民共和国政府采购法》第二十二条规定条件的；（注：其中信用查询规则见“投标人须知前附表”）</w:t>
      </w:r>
    </w:p>
    <w:p w14:paraId="4861495F">
      <w:pPr>
        <w:pStyle w:val="18"/>
        <w:snapToGrid w:val="0"/>
        <w:spacing w:line="360" w:lineRule="auto"/>
        <w:ind w:firstLine="422" w:firstLineChars="200"/>
        <w:rPr>
          <w:rFonts w:hint="eastAsia" w:hAnsi="宋体"/>
          <w:b/>
        </w:rPr>
      </w:pPr>
      <w:r>
        <w:rPr>
          <w:rFonts w:hint="eastAsia" w:hAnsi="宋体"/>
          <w:b/>
        </w:rPr>
        <w:t>（3）同一合同项下的不同投标人，单位负责人为同一人或者存在直接控股、管理关系的；为本项目提供过整体设计、规范编制或者项目管理、监理、检测等服务的供应商，再参加该采购项目的其他采购活动的；</w:t>
      </w:r>
    </w:p>
    <w:p w14:paraId="57489DBF">
      <w:pPr>
        <w:pStyle w:val="18"/>
        <w:snapToGrid w:val="0"/>
        <w:spacing w:line="360" w:lineRule="auto"/>
        <w:ind w:firstLine="422" w:firstLineChars="200"/>
        <w:rPr>
          <w:rFonts w:hint="eastAsia" w:hAnsi="宋体"/>
          <w:b/>
        </w:rPr>
      </w:pPr>
      <w:r>
        <w:rPr>
          <w:rFonts w:hint="eastAsia" w:hAnsi="宋体"/>
          <w:b/>
        </w:rPr>
        <w:t>（4）投标文件中的资格证明文件缺少任一项“投标人须知前附表”资格证明文件规定“必须提供”的文件资料的；</w:t>
      </w:r>
    </w:p>
    <w:p w14:paraId="17D8993B">
      <w:pPr>
        <w:pStyle w:val="18"/>
        <w:snapToGrid w:val="0"/>
        <w:spacing w:line="360" w:lineRule="auto"/>
        <w:ind w:firstLine="422" w:firstLineChars="200"/>
        <w:rPr>
          <w:rFonts w:hint="eastAsia" w:hAnsi="宋体"/>
          <w:b/>
        </w:rPr>
      </w:pPr>
      <w:r>
        <w:rPr>
          <w:rFonts w:hint="eastAsia" w:hAnsi="宋体"/>
          <w:b/>
        </w:rPr>
        <w:t>（5）投标文件中的资格证明文件出现任一项不符合“投标人须知前附表”资格证明文件规定“必须提供”的文件资料要求或者无效的。</w:t>
      </w:r>
    </w:p>
    <w:p w14:paraId="6B7B3509">
      <w:pPr>
        <w:pStyle w:val="8"/>
        <w:keepNext w:val="0"/>
        <w:keepLines w:val="0"/>
        <w:spacing w:before="0" w:after="0" w:line="360" w:lineRule="auto"/>
        <w:ind w:left="420" w:leftChars="200"/>
        <w:rPr>
          <w:rFonts w:hint="eastAsia" w:ascii="宋体" w:hAnsi="宋体"/>
          <w:b w:val="0"/>
          <w:sz w:val="21"/>
          <w:szCs w:val="21"/>
        </w:rPr>
      </w:pPr>
      <w:r>
        <w:rPr>
          <w:rFonts w:hint="eastAsia" w:ascii="宋体" w:hAnsi="宋体"/>
          <w:sz w:val="21"/>
          <w:szCs w:val="21"/>
        </w:rPr>
        <w:t>25.4</w:t>
      </w:r>
      <w:r>
        <w:rPr>
          <w:rFonts w:ascii="宋体" w:hAnsi="宋体"/>
          <w:sz w:val="21"/>
          <w:szCs w:val="21"/>
        </w:rPr>
        <w:t>合格投标人不足3家的，不得评标。</w:t>
      </w:r>
    </w:p>
    <w:p w14:paraId="70AE9AD8">
      <w:pPr>
        <w:pStyle w:val="18"/>
        <w:snapToGrid w:val="0"/>
        <w:spacing w:line="360" w:lineRule="auto"/>
        <w:ind w:left="689" w:leftChars="228" w:hanging="210" w:hangingChars="100"/>
        <w:rPr>
          <w:rFonts w:hint="eastAsia" w:hAnsi="宋体"/>
        </w:rPr>
      </w:pPr>
    </w:p>
    <w:p w14:paraId="757744FB">
      <w:pPr>
        <w:pStyle w:val="6"/>
        <w:keepNext w:val="0"/>
        <w:keepLines w:val="0"/>
        <w:jc w:val="center"/>
      </w:pPr>
      <w:r>
        <w:rPr>
          <w:rFonts w:hint="eastAsia"/>
        </w:rPr>
        <w:t>六、评   标</w:t>
      </w:r>
    </w:p>
    <w:p w14:paraId="7B9E3C67">
      <w:pPr>
        <w:pStyle w:val="8"/>
        <w:keepNext w:val="0"/>
        <w:keepLines w:val="0"/>
        <w:spacing w:before="0" w:after="0" w:line="360" w:lineRule="auto"/>
        <w:ind w:left="420" w:leftChars="200"/>
        <w:rPr>
          <w:rFonts w:hint="eastAsia" w:ascii="黑体" w:hAnsi="黑体" w:eastAsia="黑体"/>
          <w:sz w:val="24"/>
        </w:rPr>
      </w:pPr>
      <w:bookmarkStart w:id="121" w:name="_26.组建评标委员会"/>
      <w:bookmarkEnd w:id="121"/>
      <w:r>
        <w:rPr>
          <w:rFonts w:hint="eastAsia" w:ascii="黑体" w:hAnsi="黑体" w:eastAsia="黑体"/>
          <w:sz w:val="24"/>
        </w:rPr>
        <w:t>26.组建评标委员会</w:t>
      </w:r>
    </w:p>
    <w:p w14:paraId="008038ED">
      <w:pPr>
        <w:pStyle w:val="18"/>
        <w:snapToGrid w:val="0"/>
        <w:spacing w:line="360" w:lineRule="auto"/>
        <w:ind w:firstLine="420" w:firstLineChars="200"/>
        <w:rPr>
          <w:rFonts w:hint="eastAsia" w:hAnsi="宋体"/>
        </w:rPr>
      </w:pPr>
      <w:r>
        <w:rPr>
          <w:rFonts w:hint="eastAsia" w:hAnsi="宋体"/>
        </w:rPr>
        <w:t>26.1评标委员会由采购人代表和评审专家组成，具体人数详见“投标人须知前附表”，其中评审专家不得少于成员总数的三分之二。</w:t>
      </w:r>
    </w:p>
    <w:p w14:paraId="5214992A">
      <w:pPr>
        <w:pStyle w:val="18"/>
        <w:snapToGrid w:val="0"/>
        <w:spacing w:line="360" w:lineRule="auto"/>
        <w:ind w:left="2" w:leftChars="1" w:firstLine="420" w:firstLineChars="200"/>
        <w:rPr>
          <w:rFonts w:hint="eastAsia" w:hAnsi="宋体"/>
        </w:rPr>
      </w:pPr>
      <w:r>
        <w:rPr>
          <w:rFonts w:hint="eastAsia" w:hAnsi="宋体"/>
        </w:rPr>
        <w:t>26.2参加过采购项目前期咨询论证的专家，不得参加该采购项目的评审活动。</w:t>
      </w:r>
    </w:p>
    <w:p w14:paraId="7B44BB85">
      <w:pPr>
        <w:pStyle w:val="18"/>
        <w:snapToGrid w:val="0"/>
        <w:spacing w:line="360" w:lineRule="auto"/>
        <w:ind w:left="2" w:leftChars="1" w:firstLine="420" w:firstLineChars="200"/>
        <w:rPr>
          <w:rFonts w:hint="eastAsia" w:hAnsi="宋体"/>
        </w:rPr>
      </w:pPr>
      <w:r>
        <w:rPr>
          <w:rFonts w:hint="eastAsia" w:hAnsi="宋体"/>
        </w:rPr>
        <w:t>26.3</w:t>
      </w:r>
      <w:r>
        <w:rPr>
          <w:rFonts w:hint="eastAsia" w:hAnsi="宋体"/>
          <w:bCs/>
        </w:rPr>
        <w:t>采购代理机构应当基于广西政府采购云平台抽（选）取评审专家。</w:t>
      </w:r>
    </w:p>
    <w:p w14:paraId="16DACBC3">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27.评标的依据</w:t>
      </w:r>
    </w:p>
    <w:p w14:paraId="62C7C7C9">
      <w:pPr>
        <w:pStyle w:val="18"/>
        <w:snapToGrid w:val="0"/>
        <w:spacing w:line="360" w:lineRule="auto"/>
        <w:ind w:firstLine="420" w:firstLineChars="200"/>
        <w:rPr>
          <w:rFonts w:hint="eastAsia" w:hAnsi="宋体"/>
        </w:rPr>
      </w:pPr>
      <w:r>
        <w:rPr>
          <w:rFonts w:hint="eastAsia" w:hAnsi="宋体"/>
        </w:rPr>
        <w:t>评标委员会以</w:t>
      </w:r>
      <w:r>
        <w:rPr>
          <w:rFonts w:hint="eastAsia" w:hAnsi="宋体" w:cs="宋体"/>
        </w:rPr>
        <w:t>“第四章 评标方法和评标标准”</w:t>
      </w:r>
      <w:r>
        <w:rPr>
          <w:rFonts w:hint="eastAsia" w:hAnsi="宋体"/>
        </w:rPr>
        <w:t>为依据对投标文件进行评审，</w:t>
      </w:r>
      <w:r>
        <w:rPr>
          <w:rFonts w:hAnsi="宋体"/>
        </w:rPr>
        <w:t>没有规定的方法、评审因素和标准，不作为评标依据。</w:t>
      </w:r>
    </w:p>
    <w:p w14:paraId="254862F5">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28.评标原则</w:t>
      </w:r>
    </w:p>
    <w:p w14:paraId="65090AEC">
      <w:pPr>
        <w:pStyle w:val="18"/>
        <w:snapToGrid w:val="0"/>
        <w:spacing w:line="360" w:lineRule="auto"/>
        <w:ind w:firstLine="420" w:firstLineChars="200"/>
        <w:rPr>
          <w:rFonts w:hint="eastAsia" w:hAnsi="宋体"/>
        </w:rPr>
      </w:pPr>
      <w:r>
        <w:rPr>
          <w:rFonts w:hint="eastAsia" w:hAnsi="宋体"/>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6F4E93C">
      <w:pPr>
        <w:pStyle w:val="18"/>
        <w:snapToGrid w:val="0"/>
        <w:spacing w:line="360" w:lineRule="auto"/>
        <w:ind w:firstLine="420" w:firstLineChars="200"/>
        <w:rPr>
          <w:rFonts w:hint="eastAsia" w:hAnsi="宋体"/>
        </w:rPr>
      </w:pPr>
      <w:r>
        <w:rPr>
          <w:rFonts w:hint="eastAsia" w:hAnsi="宋体"/>
        </w:rPr>
        <w:t>28.2</w:t>
      </w:r>
      <w:bookmarkStart w:id="122" w:name="_28.3评标方法。本项目将按须知前附表规定的评标办法进行评标，具体评标"/>
      <w:bookmarkEnd w:id="122"/>
      <w:r>
        <w:rPr>
          <w:rFonts w:hint="eastAsia" w:hAnsi="宋体"/>
        </w:rPr>
        <w:t>评委表决。评标委员会成员对需要共同认定的事项存在争议的，应当按照少数服从多数的原则作出结论。</w:t>
      </w:r>
    </w:p>
    <w:p w14:paraId="1CA4730C">
      <w:pPr>
        <w:pStyle w:val="18"/>
        <w:snapToGrid w:val="0"/>
        <w:spacing w:line="360" w:lineRule="auto"/>
        <w:ind w:firstLine="420" w:firstLineChars="200"/>
        <w:rPr>
          <w:rFonts w:hint="eastAsia" w:hAnsi="宋体"/>
        </w:rPr>
      </w:pPr>
      <w:r>
        <w:rPr>
          <w:rFonts w:hint="eastAsia" w:hAnsi="宋体"/>
        </w:rPr>
        <w:t>28.</w:t>
      </w:r>
      <w:r>
        <w:rPr>
          <w:rFonts w:hAnsi="宋体"/>
        </w:rPr>
        <w:t>3</w:t>
      </w:r>
      <w:r>
        <w:rPr>
          <w:rFonts w:hint="eastAsia" w:hAnsi="宋体"/>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6BDE5B70">
      <w:pPr>
        <w:pStyle w:val="18"/>
        <w:snapToGrid w:val="0"/>
        <w:spacing w:line="360" w:lineRule="auto"/>
        <w:ind w:firstLine="420" w:firstLineChars="200"/>
        <w:rPr>
          <w:rFonts w:hint="eastAsia" w:hAnsi="宋体"/>
        </w:rPr>
      </w:pPr>
      <w:r>
        <w:rPr>
          <w:rFonts w:hint="eastAsia" w:hAnsi="宋体"/>
        </w:rPr>
        <w:t>2</w:t>
      </w:r>
      <w:r>
        <w:rPr>
          <w:rFonts w:hAnsi="宋体"/>
        </w:rPr>
        <w:t>8.4</w:t>
      </w:r>
      <w:r>
        <w:rPr>
          <w:rFonts w:hint="eastAsia" w:hAnsi="宋体"/>
        </w:rPr>
        <w:t>评标过程的监控。本项目电子评标过程实行网上留痕、全程录音、录像监控，</w:t>
      </w:r>
      <w:r>
        <w:rPr>
          <w:rFonts w:hint="eastAsia" w:hAnsi="宋体"/>
          <w:b/>
        </w:rPr>
        <w:t>投标人在评标过程中所进行的试图影响评标结果的不公正活动，可能导致其投标按无效处理。</w:t>
      </w:r>
    </w:p>
    <w:p w14:paraId="4C66CDD9">
      <w:pPr>
        <w:pStyle w:val="8"/>
        <w:keepNext w:val="0"/>
        <w:keepLines w:val="0"/>
        <w:spacing w:before="0" w:after="0" w:line="360" w:lineRule="auto"/>
        <w:ind w:left="420" w:leftChars="200"/>
        <w:rPr>
          <w:rFonts w:hint="eastAsia" w:ascii="黑体" w:hAnsi="黑体" w:eastAsia="黑体"/>
          <w:sz w:val="21"/>
          <w:szCs w:val="21"/>
        </w:rPr>
      </w:pPr>
      <w:r>
        <w:rPr>
          <w:rFonts w:hint="eastAsia" w:ascii="黑体" w:hAnsi="黑体" w:eastAsia="黑体"/>
          <w:sz w:val="21"/>
          <w:szCs w:val="21"/>
        </w:rPr>
        <w:t>29.评标方法及中标候选人推荐</w:t>
      </w:r>
    </w:p>
    <w:p w14:paraId="1EF3E8E8">
      <w:pPr>
        <w:pStyle w:val="18"/>
        <w:snapToGrid w:val="0"/>
        <w:spacing w:line="360" w:lineRule="auto"/>
        <w:ind w:firstLine="420" w:firstLineChars="200"/>
        <w:rPr>
          <w:rFonts w:hint="eastAsia" w:hAnsi="宋体"/>
        </w:rPr>
      </w:pPr>
      <w:r>
        <w:rPr>
          <w:rFonts w:hint="eastAsia" w:hAnsi="宋体"/>
        </w:rPr>
        <w:t>2</w:t>
      </w:r>
      <w:r>
        <w:rPr>
          <w:rFonts w:hAnsi="宋体"/>
        </w:rPr>
        <w:t>9.1</w:t>
      </w:r>
      <w:r>
        <w:rPr>
          <w:rFonts w:hint="eastAsia" w:hAnsi="宋体"/>
        </w:rPr>
        <w:t>本项目的评标方法详见“投标人须知前附表”。</w:t>
      </w:r>
    </w:p>
    <w:p w14:paraId="0E3AD56A">
      <w:pPr>
        <w:pStyle w:val="18"/>
        <w:snapToGrid w:val="0"/>
        <w:spacing w:line="360" w:lineRule="auto"/>
        <w:ind w:firstLine="420" w:firstLineChars="200"/>
        <w:rPr>
          <w:rFonts w:hint="eastAsia" w:hAnsi="宋体"/>
        </w:rPr>
      </w:pPr>
      <w:r>
        <w:rPr>
          <w:rFonts w:hint="eastAsia" w:hAnsi="宋体"/>
        </w:rPr>
        <w:t>2</w:t>
      </w:r>
      <w:r>
        <w:rPr>
          <w:rFonts w:hAnsi="宋体"/>
        </w:rPr>
        <w:t>9.2</w:t>
      </w:r>
      <w:r>
        <w:rPr>
          <w:rFonts w:hAnsi="宋体" w:cs="宋体"/>
        </w:rPr>
        <w:t xml:space="preserve"> </w:t>
      </w:r>
      <w:r>
        <w:rPr>
          <w:rFonts w:hint="eastAsia" w:hAnsi="宋体" w:cs="宋体"/>
        </w:rPr>
        <w:t>商务/技术要求</w:t>
      </w:r>
      <w:r>
        <w:rPr>
          <w:rFonts w:hint="eastAsia" w:hAnsi="宋体"/>
        </w:rPr>
        <w:t>允许负偏离的条款数</w:t>
      </w:r>
      <w:r>
        <w:rPr>
          <w:rFonts w:hAnsi="宋体"/>
        </w:rPr>
        <w:t>详见</w:t>
      </w:r>
      <w:r>
        <w:rPr>
          <w:rFonts w:hint="eastAsia" w:hAnsi="宋体"/>
        </w:rPr>
        <w:t>“投标人须知前附表”。</w:t>
      </w:r>
    </w:p>
    <w:p w14:paraId="021A01C7">
      <w:pPr>
        <w:pStyle w:val="18"/>
        <w:snapToGrid w:val="0"/>
        <w:spacing w:line="360" w:lineRule="auto"/>
        <w:ind w:firstLine="420" w:firstLineChars="200"/>
        <w:rPr>
          <w:rFonts w:hint="eastAsia" w:hAnsi="宋体" w:cs="宋体"/>
        </w:rPr>
      </w:pPr>
      <w:r>
        <w:rPr>
          <w:rFonts w:hint="eastAsia" w:hAnsi="宋体"/>
        </w:rPr>
        <w:t>2</w:t>
      </w:r>
      <w:r>
        <w:rPr>
          <w:rFonts w:hAnsi="宋体"/>
        </w:rPr>
        <w:t>9.3</w:t>
      </w:r>
      <w:r>
        <w:rPr>
          <w:rFonts w:hAnsi="宋体" w:cs="宋体"/>
        </w:rPr>
        <w:t xml:space="preserve"> </w:t>
      </w:r>
      <w:r>
        <w:rPr>
          <w:rFonts w:hAnsi="宋体"/>
        </w:rPr>
        <w:t>中标候选人推荐数量详见</w:t>
      </w:r>
      <w:r>
        <w:rPr>
          <w:rFonts w:hint="eastAsia" w:hAnsi="宋体"/>
        </w:rPr>
        <w:t>“投标人须知前附表”。</w:t>
      </w:r>
    </w:p>
    <w:p w14:paraId="3AC2E099">
      <w:pPr>
        <w:pStyle w:val="18"/>
        <w:snapToGrid w:val="0"/>
        <w:spacing w:line="360" w:lineRule="auto"/>
        <w:ind w:firstLine="420" w:firstLineChars="200"/>
        <w:rPr>
          <w:rFonts w:hint="eastAsia" w:hAnsi="宋体"/>
        </w:rPr>
      </w:pPr>
      <w:r>
        <w:rPr>
          <w:rFonts w:hint="eastAsia" w:hAnsi="宋体"/>
        </w:rPr>
        <w:t>29.</w:t>
      </w:r>
      <w:r>
        <w:rPr>
          <w:rFonts w:hAnsi="宋体"/>
        </w:rPr>
        <w:t>4</w:t>
      </w:r>
      <w:r>
        <w:rPr>
          <w:rFonts w:hint="eastAsia" w:hAnsi="宋体"/>
        </w:rPr>
        <w:t xml:space="preserve"> 电子交易活动的中止。采购过程中出现以下情形，导致电子交易平台无法正常运行，或者无法保证电子交易的公平、公正和安全时，采购代理机构可以中止电子交易活动：</w:t>
      </w:r>
    </w:p>
    <w:p w14:paraId="612F14FD">
      <w:pPr>
        <w:pStyle w:val="18"/>
        <w:snapToGrid w:val="0"/>
        <w:spacing w:line="360" w:lineRule="auto"/>
        <w:ind w:firstLine="420" w:firstLineChars="200"/>
        <w:rPr>
          <w:rFonts w:hint="eastAsia" w:hAnsi="宋体"/>
        </w:rPr>
      </w:pPr>
      <w:r>
        <w:rPr>
          <w:rFonts w:hint="eastAsia" w:hAnsi="宋体"/>
        </w:rPr>
        <w:t xml:space="preserve">（1）电子交易平台发生故障而无法登录访问的； </w:t>
      </w:r>
    </w:p>
    <w:p w14:paraId="664522B9">
      <w:pPr>
        <w:pStyle w:val="18"/>
        <w:snapToGrid w:val="0"/>
        <w:spacing w:line="360" w:lineRule="auto"/>
        <w:ind w:firstLine="420" w:firstLineChars="200"/>
        <w:rPr>
          <w:rFonts w:hint="eastAsia" w:hAnsi="宋体"/>
        </w:rPr>
      </w:pPr>
      <w:r>
        <w:rPr>
          <w:rFonts w:hint="eastAsia" w:hAnsi="宋体"/>
        </w:rPr>
        <w:t>（2）电子交易平台应用或数据库出现错误，不能进行正常操作的；</w:t>
      </w:r>
    </w:p>
    <w:p w14:paraId="0551F3DE">
      <w:pPr>
        <w:pStyle w:val="18"/>
        <w:snapToGrid w:val="0"/>
        <w:spacing w:line="360" w:lineRule="auto"/>
        <w:ind w:firstLine="420" w:firstLineChars="200"/>
        <w:rPr>
          <w:rFonts w:hint="eastAsia" w:hAnsi="宋体"/>
        </w:rPr>
      </w:pPr>
      <w:r>
        <w:rPr>
          <w:rFonts w:hint="eastAsia" w:hAnsi="宋体"/>
        </w:rPr>
        <w:t>（3）电子交易平台发现严重安全漏洞，有潜在泄密危险的；</w:t>
      </w:r>
    </w:p>
    <w:p w14:paraId="34054B43">
      <w:pPr>
        <w:pStyle w:val="18"/>
        <w:snapToGrid w:val="0"/>
        <w:spacing w:line="360" w:lineRule="auto"/>
        <w:ind w:firstLine="420" w:firstLineChars="200"/>
        <w:rPr>
          <w:rFonts w:hint="eastAsia" w:hAnsi="宋体"/>
        </w:rPr>
      </w:pPr>
      <w:r>
        <w:rPr>
          <w:rFonts w:hint="eastAsia" w:hAnsi="宋体"/>
        </w:rPr>
        <w:t xml:space="preserve">（4）病毒发作导致不能进行正常操作的； </w:t>
      </w:r>
    </w:p>
    <w:p w14:paraId="4A252B59">
      <w:pPr>
        <w:pStyle w:val="18"/>
        <w:snapToGrid w:val="0"/>
        <w:spacing w:line="360" w:lineRule="auto"/>
        <w:ind w:firstLine="420" w:firstLineChars="200"/>
        <w:rPr>
          <w:rFonts w:hint="eastAsia" w:hAnsi="宋体"/>
        </w:rPr>
      </w:pPr>
      <w:r>
        <w:rPr>
          <w:rFonts w:hint="eastAsia" w:hAnsi="宋体"/>
        </w:rPr>
        <w:t>（5）其他无法保证电子交易的公平、公正和安全的情况。</w:t>
      </w:r>
    </w:p>
    <w:p w14:paraId="0EFCBF4A">
      <w:pPr>
        <w:pStyle w:val="18"/>
        <w:snapToGrid w:val="0"/>
        <w:spacing w:line="360" w:lineRule="auto"/>
        <w:ind w:firstLine="420" w:firstLineChars="200"/>
        <w:rPr>
          <w:rFonts w:hint="eastAsia" w:hAnsi="宋体"/>
        </w:rPr>
      </w:pPr>
      <w:r>
        <w:rPr>
          <w:rFonts w:hint="eastAsia" w:hAnsi="宋体"/>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11433814">
      <w:pPr>
        <w:pStyle w:val="18"/>
        <w:snapToGrid w:val="0"/>
        <w:spacing w:line="360" w:lineRule="auto"/>
        <w:ind w:firstLine="420" w:firstLineChars="200"/>
        <w:rPr>
          <w:rFonts w:hint="eastAsia" w:hAnsi="宋体"/>
        </w:rPr>
      </w:pPr>
      <w:r>
        <w:rPr>
          <w:rFonts w:hint="eastAsia" w:hAnsi="宋体"/>
        </w:rPr>
        <w:t>29.5出现下列情形之一的，应予废标：</w:t>
      </w:r>
    </w:p>
    <w:p w14:paraId="5ACB0199">
      <w:pPr>
        <w:pStyle w:val="18"/>
        <w:snapToGrid w:val="0"/>
        <w:spacing w:line="360" w:lineRule="auto"/>
        <w:ind w:firstLine="420" w:firstLineChars="200"/>
        <w:rPr>
          <w:rFonts w:hint="eastAsia" w:hAnsi="宋体"/>
        </w:rPr>
      </w:pPr>
      <w:r>
        <w:rPr>
          <w:rFonts w:hint="eastAsia" w:hAnsi="宋体"/>
        </w:rPr>
        <w:t>（1）符合专业条件的供应商或者对采购文件作实质响应的供应商不足三家的；</w:t>
      </w:r>
    </w:p>
    <w:p w14:paraId="39093C79">
      <w:pPr>
        <w:pStyle w:val="18"/>
        <w:snapToGrid w:val="0"/>
        <w:spacing w:line="360" w:lineRule="auto"/>
        <w:ind w:firstLine="420" w:firstLineChars="200"/>
        <w:rPr>
          <w:rFonts w:hint="eastAsia" w:hAnsi="宋体"/>
        </w:rPr>
      </w:pPr>
      <w:r>
        <w:rPr>
          <w:rFonts w:hint="eastAsia" w:hAnsi="宋体"/>
        </w:rPr>
        <w:t>（2）出现影响采购公正的违法、违规行为的；</w:t>
      </w:r>
    </w:p>
    <w:p w14:paraId="3261CB65">
      <w:pPr>
        <w:pStyle w:val="18"/>
        <w:snapToGrid w:val="0"/>
        <w:spacing w:line="360" w:lineRule="auto"/>
        <w:ind w:firstLine="420" w:firstLineChars="200"/>
        <w:rPr>
          <w:rFonts w:hint="eastAsia" w:hAnsi="宋体"/>
        </w:rPr>
      </w:pPr>
      <w:r>
        <w:rPr>
          <w:rFonts w:hint="eastAsia" w:hAnsi="宋体"/>
        </w:rPr>
        <w:t>（3）投标人的报价均超过了采购预算，采购人不能支付的；</w:t>
      </w:r>
    </w:p>
    <w:p w14:paraId="6CC4A892">
      <w:pPr>
        <w:pStyle w:val="18"/>
        <w:snapToGrid w:val="0"/>
        <w:spacing w:line="360" w:lineRule="auto"/>
        <w:ind w:firstLine="420" w:firstLineChars="200"/>
        <w:rPr>
          <w:rFonts w:hint="eastAsia" w:hAnsi="宋体"/>
        </w:rPr>
      </w:pPr>
      <w:r>
        <w:rPr>
          <w:rFonts w:hint="eastAsia" w:hAnsi="宋体"/>
        </w:rPr>
        <w:t>（4）因重大变故，采购任务取消的。</w:t>
      </w:r>
    </w:p>
    <w:p w14:paraId="4F83E2CC">
      <w:pPr>
        <w:pStyle w:val="18"/>
        <w:snapToGrid w:val="0"/>
        <w:spacing w:line="360" w:lineRule="auto"/>
        <w:ind w:firstLine="420" w:firstLineChars="200"/>
        <w:rPr>
          <w:rFonts w:hint="eastAsia" w:hAnsi="宋体"/>
        </w:rPr>
      </w:pPr>
      <w:r>
        <w:rPr>
          <w:rFonts w:hint="eastAsia" w:hAnsi="宋体"/>
        </w:rPr>
        <w:t>废标后，采购人应当将废标理由通知所有投标人。</w:t>
      </w:r>
    </w:p>
    <w:p w14:paraId="11A08C65">
      <w:pPr>
        <w:pStyle w:val="6"/>
        <w:keepNext w:val="0"/>
        <w:keepLines w:val="0"/>
        <w:jc w:val="center"/>
      </w:pPr>
      <w:bookmarkStart w:id="123" w:name="_Toc254970546"/>
      <w:bookmarkStart w:id="124" w:name="_Toc254970687"/>
      <w:r>
        <w:rPr>
          <w:rFonts w:hint="eastAsia"/>
        </w:rPr>
        <w:t>七、</w:t>
      </w:r>
      <w:bookmarkEnd w:id="123"/>
      <w:bookmarkEnd w:id="124"/>
      <w:r>
        <w:rPr>
          <w:rFonts w:hint="eastAsia"/>
        </w:rPr>
        <w:t>中标和合同</w:t>
      </w:r>
    </w:p>
    <w:p w14:paraId="5736C1D3">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30</w:t>
      </w:r>
      <w:r>
        <w:rPr>
          <w:rFonts w:ascii="黑体" w:hAnsi="黑体" w:eastAsia="黑体"/>
          <w:sz w:val="24"/>
        </w:rPr>
        <w:t xml:space="preserve"> </w:t>
      </w:r>
      <w:r>
        <w:rPr>
          <w:rFonts w:hint="eastAsia" w:ascii="黑体" w:hAnsi="黑体" w:eastAsia="黑体"/>
          <w:sz w:val="24"/>
        </w:rPr>
        <w:t>确定中标供应商</w:t>
      </w:r>
    </w:p>
    <w:p w14:paraId="6AB6B243">
      <w:pPr>
        <w:pStyle w:val="8"/>
        <w:keepNext w:val="0"/>
        <w:keepLines w:val="0"/>
        <w:spacing w:before="0" w:after="0" w:line="360" w:lineRule="auto"/>
        <w:ind w:firstLine="420" w:firstLineChars="200"/>
        <w:rPr>
          <w:rFonts w:hint="eastAsia" w:ascii="宋体" w:hAnsi="宋体"/>
          <w:b w:val="0"/>
          <w:sz w:val="21"/>
          <w:szCs w:val="21"/>
        </w:rPr>
      </w:pPr>
      <w:r>
        <w:rPr>
          <w:rFonts w:ascii="宋体" w:hAnsi="宋体"/>
          <w:b w:val="0"/>
          <w:sz w:val="21"/>
          <w:szCs w:val="21"/>
        </w:rPr>
        <w:t>30.1</w:t>
      </w:r>
      <w:r>
        <w:rPr>
          <w:rFonts w:hint="eastAsia" w:ascii="宋体" w:hAnsi="宋体"/>
          <w:b w:val="0"/>
          <w:sz w:val="21"/>
          <w:szCs w:val="21"/>
        </w:rPr>
        <w:t>采购代理机构在评标结束之日起2个工作日内将评标报告送采购人，采购人在收到评标报告之日起5个工作日内，在评标报告确定的中标候选人名单中按顺序确定中标供应商。中标候选人并列的，按照“投标人须知前附表”规定的方式确定中标供应商。采购人也可以事先授权评标委员会直接确定中标供应商。</w:t>
      </w:r>
    </w:p>
    <w:p w14:paraId="7DE1A2C8">
      <w:pPr>
        <w:snapToGrid w:val="0"/>
        <w:spacing w:line="360" w:lineRule="auto"/>
        <w:ind w:firstLine="420" w:firstLineChars="200"/>
        <w:rPr>
          <w:rFonts w:hint="eastAsia" w:ascii="宋体" w:hAnsi="宋体" w:cs="Courier New"/>
          <w:szCs w:val="21"/>
        </w:rPr>
      </w:pPr>
      <w:r>
        <w:rPr>
          <w:rFonts w:ascii="宋体" w:hAnsi="宋体" w:cs="Courier New"/>
          <w:szCs w:val="21"/>
        </w:rPr>
        <w:t>30.2</w:t>
      </w:r>
      <w:r>
        <w:rPr>
          <w:rFonts w:hint="eastAsia" w:ascii="宋体" w:hAnsi="宋体" w:cs="Courier New"/>
          <w:szCs w:val="21"/>
        </w:rPr>
        <w:t>采购人在收到评标报告5个工作日内未按评标报告推荐的中标候选人顺序确定中标供应商，又不能说明合法理由的，视同按评标报告推荐的顺序确定排名第一的中标候选人为中标供应商。</w:t>
      </w:r>
    </w:p>
    <w:p w14:paraId="542EC8D1">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31. 结果公告</w:t>
      </w:r>
    </w:p>
    <w:p w14:paraId="21DAE500">
      <w:pPr>
        <w:pStyle w:val="8"/>
        <w:keepNext w:val="0"/>
        <w:keepLines w:val="0"/>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3</w:t>
      </w:r>
      <w:r>
        <w:rPr>
          <w:rFonts w:ascii="宋体" w:hAnsi="宋体"/>
          <w:b w:val="0"/>
          <w:sz w:val="21"/>
          <w:szCs w:val="21"/>
        </w:rPr>
        <w:t>1.1</w:t>
      </w:r>
      <w:r>
        <w:rPr>
          <w:rFonts w:hint="eastAsia" w:ascii="宋体" w:hAnsi="宋体"/>
          <w:b w:val="0"/>
          <w:sz w:val="21"/>
          <w:szCs w:val="21"/>
        </w:rPr>
        <w:t>采购人或者采购代理机构应当自中标供应商确定之日起2个工作日内，在省级以上财政部门指定的媒体上公告中标结果，采购文件应当随中标结果同时公告。采购人或者采购代理发出中标通知书前，应当对中标供应商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供应商。排名第二的中标候选人因前款规定的同样原因被取消中标资格的，采购人可以确定排名第三的中标候选人为中标供应商，以此类推。</w:t>
      </w:r>
    </w:p>
    <w:p w14:paraId="658FFA21">
      <w:pPr>
        <w:snapToGrid w:val="0"/>
        <w:spacing w:line="360" w:lineRule="auto"/>
        <w:ind w:firstLine="420" w:firstLineChars="200"/>
        <w:rPr>
          <w:rFonts w:hint="eastAsia" w:ascii="宋体" w:hAnsi="宋体"/>
          <w:szCs w:val="21"/>
        </w:rPr>
      </w:pPr>
      <w:r>
        <w:rPr>
          <w:rFonts w:hint="eastAsia" w:ascii="宋体" w:hAnsi="宋体"/>
          <w:szCs w:val="21"/>
        </w:rPr>
        <w:t>以上信息查询记录及相关证据与采购文件一并保存。</w:t>
      </w:r>
    </w:p>
    <w:p w14:paraId="5F7BA89E">
      <w:pPr>
        <w:pStyle w:val="8"/>
        <w:keepNext w:val="0"/>
        <w:keepLines w:val="0"/>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31.2中标供应商享受《政府采购促进中小企业发展管理办法》（财库〔2020〕46号）规定的中小企业扶持政策的，采购人、采购代理机构应当随中标结果公开中标供应商的《中小企业声明函》。</w:t>
      </w:r>
    </w:p>
    <w:p w14:paraId="26008D11">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32.发出中标通知书</w:t>
      </w:r>
    </w:p>
    <w:p w14:paraId="7E308C94">
      <w:pPr>
        <w:pStyle w:val="8"/>
        <w:keepNext w:val="0"/>
        <w:keepLines w:val="0"/>
        <w:spacing w:before="0" w:after="0" w:line="360" w:lineRule="auto"/>
        <w:rPr>
          <w:rFonts w:hint="eastAsia" w:ascii="宋体" w:hAnsi="宋体"/>
          <w:b w:val="0"/>
          <w:sz w:val="21"/>
          <w:szCs w:val="21"/>
        </w:rPr>
      </w:pPr>
      <w:r>
        <w:rPr>
          <w:rFonts w:hint="eastAsia" w:ascii="宋体" w:hAnsi="宋体"/>
          <w:b w:val="0"/>
          <w:sz w:val="21"/>
          <w:szCs w:val="21"/>
        </w:rPr>
        <w:t xml:space="preserve"> </w:t>
      </w:r>
      <w:r>
        <w:rPr>
          <w:rFonts w:ascii="宋体" w:hAnsi="宋体"/>
          <w:b w:val="0"/>
          <w:sz w:val="21"/>
          <w:szCs w:val="21"/>
        </w:rPr>
        <w:t xml:space="preserve">   </w:t>
      </w:r>
      <w:r>
        <w:rPr>
          <w:rFonts w:hint="eastAsia" w:ascii="宋体" w:hAnsi="宋体"/>
          <w:b w:val="0"/>
          <w:sz w:val="21"/>
          <w:szCs w:val="21"/>
        </w:rPr>
        <w:t>在发布中标公告的同时，采购代理机构向中标供应商通过广西政府采购云平台发出电子中标通知书。对未通过资格审查的投标人，应当告知其未通过的原因；采用综合评分办法评审的，还应当告知未中标供应商本人的评审得分与排序。</w:t>
      </w:r>
    </w:p>
    <w:p w14:paraId="278E0DF1">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33. 无义务解释未中标原因</w:t>
      </w:r>
    </w:p>
    <w:p w14:paraId="0FB999EA">
      <w:pPr>
        <w:pStyle w:val="8"/>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采购代理机构无义务向未中标的投标人解释未中标原因。</w:t>
      </w:r>
    </w:p>
    <w:p w14:paraId="5E5264CC">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34.合同授予标准</w:t>
      </w:r>
    </w:p>
    <w:p w14:paraId="19F1C831">
      <w:pPr>
        <w:snapToGrid w:val="0"/>
        <w:spacing w:line="360" w:lineRule="auto"/>
        <w:ind w:firstLine="420" w:firstLineChars="200"/>
        <w:rPr>
          <w:rFonts w:hint="eastAsia" w:ascii="宋体" w:hAnsi="宋体"/>
          <w:szCs w:val="21"/>
        </w:rPr>
      </w:pPr>
      <w:r>
        <w:rPr>
          <w:rFonts w:hint="eastAsia" w:ascii="宋体" w:hAnsi="宋体" w:cs="Courier New"/>
          <w:szCs w:val="21"/>
        </w:rPr>
        <w:t>合同将授予被确定实质上响应采购文件要求，具备履行合同能力的中标供应商。</w:t>
      </w:r>
    </w:p>
    <w:p w14:paraId="6B99D0B9">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35.履约保证金</w:t>
      </w:r>
    </w:p>
    <w:p w14:paraId="06E929A5">
      <w:pPr>
        <w:pStyle w:val="8"/>
        <w:keepNext w:val="0"/>
        <w:keepLines w:val="0"/>
        <w:spacing w:before="0" w:after="0" w:line="360" w:lineRule="auto"/>
        <w:ind w:firstLine="315" w:firstLineChars="150"/>
        <w:rPr>
          <w:rFonts w:hint="eastAsia" w:ascii="宋体" w:hAnsi="宋体"/>
          <w:b w:val="0"/>
          <w:sz w:val="21"/>
          <w:szCs w:val="21"/>
        </w:rPr>
      </w:pPr>
      <w:bookmarkStart w:id="125" w:name="_39.1中标人须于签订合同前按本须知前附表规定的金额转账或电汇到指定账"/>
      <w:bookmarkEnd w:id="125"/>
      <w:r>
        <w:rPr>
          <w:rFonts w:ascii="宋体" w:hAnsi="宋体"/>
          <w:b w:val="0"/>
          <w:sz w:val="21"/>
          <w:szCs w:val="21"/>
        </w:rPr>
        <w:t xml:space="preserve"> </w:t>
      </w:r>
      <w:r>
        <w:rPr>
          <w:rFonts w:hint="eastAsia" w:ascii="宋体" w:hAnsi="宋体"/>
          <w:b w:val="0"/>
          <w:sz w:val="21"/>
          <w:szCs w:val="21"/>
        </w:rPr>
        <w:t>3</w:t>
      </w:r>
      <w:r>
        <w:rPr>
          <w:rFonts w:ascii="宋体" w:hAnsi="宋体"/>
          <w:b w:val="0"/>
          <w:sz w:val="21"/>
          <w:szCs w:val="21"/>
        </w:rPr>
        <w:t>5</w:t>
      </w:r>
      <w:r>
        <w:rPr>
          <w:rFonts w:hint="eastAsia" w:ascii="宋体" w:hAnsi="宋体"/>
          <w:b w:val="0"/>
          <w:sz w:val="21"/>
          <w:szCs w:val="21"/>
        </w:rPr>
        <w:t>.1 履约保证金的金额、提交方式、缴纳期限、退付的时间和条件详见 “投标人须知前附表”。中标供应商未按规定提交履约保证金的，视为拒绝与采购人签订合同。</w:t>
      </w:r>
    </w:p>
    <w:p w14:paraId="39EF49BA">
      <w:pPr>
        <w:pStyle w:val="8"/>
        <w:keepNext w:val="0"/>
        <w:keepLines w:val="0"/>
        <w:spacing w:before="0" w:after="0" w:line="360" w:lineRule="auto"/>
        <w:ind w:firstLine="316" w:firstLineChars="150"/>
        <w:rPr>
          <w:rFonts w:hint="eastAsia" w:ascii="宋体" w:hAnsi="宋体"/>
          <w:sz w:val="21"/>
          <w:szCs w:val="21"/>
        </w:rPr>
      </w:pPr>
      <w:r>
        <w:rPr>
          <w:rFonts w:hint="eastAsia" w:ascii="宋体" w:hAnsi="宋体"/>
          <w:sz w:val="21"/>
          <w:szCs w:val="21"/>
        </w:rPr>
        <w:t xml:space="preserve"> </w:t>
      </w:r>
      <w:r>
        <w:rPr>
          <w:rFonts w:hint="eastAsia" w:ascii="宋体" w:hAnsi="宋体"/>
          <w:b w:val="0"/>
          <w:sz w:val="21"/>
          <w:szCs w:val="21"/>
        </w:rPr>
        <w:t>35.2在履约保证金退还日期前，若中标供应商的开户名称、开户银行、账号有变动的，请以书面形式通知履约保证金收取单位，否则由此产生的后果由中标供应商自行承担。</w:t>
      </w:r>
    </w:p>
    <w:p w14:paraId="2BEC338C">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36.签订合同</w:t>
      </w:r>
    </w:p>
    <w:p w14:paraId="1F824692">
      <w:pPr>
        <w:pStyle w:val="8"/>
        <w:keepNext w:val="0"/>
        <w:keepLines w:val="0"/>
        <w:spacing w:before="0" w:after="0" w:line="360" w:lineRule="auto"/>
        <w:ind w:firstLine="315" w:firstLineChars="150"/>
        <w:rPr>
          <w:rFonts w:hint="eastAsia" w:ascii="宋体" w:hAnsi="宋体"/>
          <w:b w:val="0"/>
          <w:sz w:val="21"/>
          <w:szCs w:val="21"/>
        </w:rPr>
      </w:pPr>
      <w:bookmarkStart w:id="126" w:name="_40.1投标人接到中标通知书后，按须知前附表规定向采购人出示相关资格证"/>
      <w:bookmarkEnd w:id="126"/>
      <w:r>
        <w:rPr>
          <w:rFonts w:hint="eastAsia" w:ascii="宋体" w:hAnsi="宋体"/>
          <w:b w:val="0"/>
          <w:sz w:val="21"/>
          <w:szCs w:val="21"/>
        </w:rPr>
        <w:t xml:space="preserve"> </w:t>
      </w:r>
      <w:r>
        <w:rPr>
          <w:rFonts w:hint="eastAsia" w:ascii="宋体" w:hAnsi="宋体"/>
          <w:sz w:val="21"/>
          <w:szCs w:val="21"/>
        </w:rPr>
        <w:t>36.1签订电子采购合同：中标供应商领取电子中标通知书后，</w:t>
      </w:r>
      <w:r>
        <w:rPr>
          <w:rFonts w:hint="eastAsia" w:ascii="宋体" w:hAnsi="宋体"/>
          <w:kern w:val="0"/>
          <w:sz w:val="21"/>
          <w:szCs w:val="21"/>
        </w:rPr>
        <w:t>在</w:t>
      </w:r>
      <w:r>
        <w:rPr>
          <w:rFonts w:hint="eastAsia" w:ascii="宋体" w:hAnsi="宋体"/>
          <w:kern w:val="0"/>
          <w:sz w:val="21"/>
          <w:szCs w:val="21"/>
          <w:lang w:val="zh-CN"/>
        </w:rPr>
        <w:t>规定的日期、时间、地点，由法定代表人或其授权代表与采购人代表签订电子采购合同。如中标供应商为联合体的，由联合体成员各方法定代表人或其授权代表与采购人代表签订合同。</w:t>
      </w:r>
    </w:p>
    <w:p w14:paraId="63DA182B">
      <w:pPr>
        <w:pStyle w:val="8"/>
        <w:keepNext w:val="0"/>
        <w:keepLines w:val="0"/>
        <w:spacing w:before="0" w:after="0" w:line="360" w:lineRule="auto"/>
        <w:ind w:firstLine="315" w:firstLineChars="150"/>
        <w:rPr>
          <w:rFonts w:hint="eastAsia" w:ascii="宋体" w:hAnsi="宋体"/>
          <w:b w:val="0"/>
          <w:sz w:val="21"/>
          <w:szCs w:val="21"/>
        </w:rPr>
      </w:pPr>
      <w:r>
        <w:rPr>
          <w:rFonts w:hint="eastAsia" w:ascii="宋体" w:hAnsi="宋体"/>
          <w:b w:val="0"/>
          <w:sz w:val="21"/>
          <w:szCs w:val="21"/>
        </w:rPr>
        <w:t xml:space="preserve"> 线下签订纸质合同：投标人领取中标通知书后，按“投标人须知前附表”规定向采购人出示相关证明材料，经采购人核验合格后方可签订合同。</w:t>
      </w:r>
    </w:p>
    <w:p w14:paraId="40DE0E40">
      <w:pPr>
        <w:pStyle w:val="8"/>
        <w:keepNext w:val="0"/>
        <w:keepLines w:val="0"/>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36.2签订合同时间：按中标通知书规定的时间与采购人签订合同。</w:t>
      </w:r>
    </w:p>
    <w:p w14:paraId="21D584EB">
      <w:pPr>
        <w:pStyle w:val="8"/>
        <w:keepNext w:val="0"/>
        <w:keepLines w:val="0"/>
        <w:spacing w:before="0" w:after="0" w:line="360" w:lineRule="auto"/>
        <w:rPr>
          <w:rFonts w:hint="eastAsia" w:ascii="宋体" w:hAnsi="宋体"/>
          <w:b w:val="0"/>
          <w:sz w:val="21"/>
          <w:szCs w:val="21"/>
        </w:rPr>
      </w:pPr>
      <w:r>
        <w:rPr>
          <w:rFonts w:hint="eastAsia" w:ascii="宋体" w:hAnsi="宋体"/>
          <w:b w:val="0"/>
          <w:sz w:val="21"/>
          <w:szCs w:val="21"/>
        </w:rPr>
        <w:t xml:space="preserve">    36.</w:t>
      </w:r>
      <w:r>
        <w:rPr>
          <w:rFonts w:ascii="宋体" w:hAnsi="宋体"/>
          <w:b w:val="0"/>
          <w:sz w:val="21"/>
          <w:szCs w:val="21"/>
        </w:rPr>
        <w:t>3</w:t>
      </w:r>
      <w:r>
        <w:rPr>
          <w:rFonts w:hint="eastAsia" w:ascii="宋体" w:hAnsi="宋体"/>
          <w:b w:val="0"/>
          <w:sz w:val="21"/>
          <w:szCs w:val="21"/>
        </w:rPr>
        <w:t>中标供应商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1758F2C8">
      <w:pPr>
        <w:spacing w:line="360" w:lineRule="auto"/>
        <w:ind w:firstLine="420" w:firstLineChars="200"/>
        <w:rPr>
          <w:rFonts w:hint="eastAsia" w:ascii="宋体" w:hAnsi="宋体"/>
          <w:szCs w:val="21"/>
        </w:rPr>
      </w:pPr>
      <w:r>
        <w:rPr>
          <w:rFonts w:hint="eastAsia" w:ascii="宋体" w:hAnsi="宋体"/>
          <w:szCs w:val="21"/>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A669A1A">
      <w:pPr>
        <w:spacing w:line="360" w:lineRule="auto"/>
        <w:ind w:firstLine="420" w:firstLineChars="200"/>
        <w:rPr>
          <w:rFonts w:hint="eastAsia" w:ascii="宋体" w:hAnsi="宋体"/>
          <w:szCs w:val="21"/>
        </w:rPr>
      </w:pPr>
      <w:r>
        <w:rPr>
          <w:rFonts w:hint="eastAsia" w:ascii="宋体" w:hAnsi="宋体"/>
          <w:szCs w:val="21"/>
        </w:rPr>
        <w:t>36.5采购人或中标供应商不得单方面向合同另一方提出任何采购文件没有约定的条件或不合理的要求，作为签订合同的条件；也不得协商另行订立背离采购文件和合同实质性内容的协议。</w:t>
      </w:r>
    </w:p>
    <w:p w14:paraId="5D32C12B">
      <w:pPr>
        <w:spacing w:line="360" w:lineRule="auto"/>
        <w:ind w:firstLine="420" w:firstLineChars="200"/>
        <w:rPr>
          <w:rFonts w:hint="eastAsia" w:ascii="宋体" w:hAnsi="宋体"/>
          <w:szCs w:val="21"/>
        </w:rPr>
      </w:pPr>
      <w:r>
        <w:rPr>
          <w:rFonts w:hint="eastAsia" w:ascii="宋体" w:hAnsi="宋体"/>
          <w:szCs w:val="21"/>
        </w:rPr>
        <w:t>36.6</w:t>
      </w:r>
      <w:r>
        <w:rPr>
          <w:rFonts w:hint="eastAsia" w:ascii="宋体" w:hAnsi="宋体" w:cs="仿宋_GB2312"/>
          <w:szCs w:val="21"/>
        </w:rPr>
        <w:t>如签订合同并生效后，供应商无故拒绝或延期，除按照合同条款处理外，将承担相应的法律责任。</w:t>
      </w:r>
    </w:p>
    <w:p w14:paraId="7F2973C5">
      <w:pPr>
        <w:spacing w:line="360" w:lineRule="auto"/>
        <w:ind w:firstLine="420" w:firstLineChars="200"/>
        <w:rPr>
          <w:rFonts w:hint="eastAsia" w:ascii="宋体" w:hAnsi="宋体"/>
          <w:szCs w:val="21"/>
        </w:rPr>
      </w:pPr>
      <w:r>
        <w:rPr>
          <w:rFonts w:hint="eastAsia" w:ascii="宋体" w:hAnsi="宋体"/>
          <w:szCs w:val="21"/>
        </w:rPr>
        <w:t>36.7</w:t>
      </w:r>
      <w:r>
        <w:rPr>
          <w:rFonts w:hint="eastAsia" w:ascii="宋体" w:hAnsi="宋体" w:cs="宋体"/>
          <w:szCs w:val="21"/>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744B5502">
      <w:pPr>
        <w:pStyle w:val="8"/>
        <w:keepNext w:val="0"/>
        <w:keepLines w:val="0"/>
        <w:spacing w:before="0" w:after="0" w:line="360" w:lineRule="auto"/>
        <w:ind w:left="420" w:leftChars="200"/>
        <w:rPr>
          <w:rFonts w:hint="eastAsia" w:ascii="黑体" w:hAnsi="黑体" w:eastAsia="黑体"/>
          <w:sz w:val="24"/>
        </w:rPr>
      </w:pPr>
      <w:bookmarkStart w:id="127" w:name="_41.政府采购合同公告"/>
      <w:bookmarkEnd w:id="127"/>
      <w:r>
        <w:rPr>
          <w:rFonts w:hint="eastAsia" w:ascii="黑体" w:hAnsi="黑体" w:eastAsia="黑体"/>
          <w:sz w:val="24"/>
        </w:rPr>
        <w:t>37.政府采购合同公告</w:t>
      </w:r>
    </w:p>
    <w:p w14:paraId="09092517">
      <w:pPr>
        <w:pStyle w:val="18"/>
        <w:snapToGrid w:val="0"/>
        <w:spacing w:line="360" w:lineRule="auto"/>
        <w:ind w:firstLine="420" w:firstLineChars="200"/>
        <w:rPr>
          <w:rFonts w:hint="eastAsia" w:hAnsi="宋体"/>
        </w:rPr>
      </w:pPr>
      <w:r>
        <w:rPr>
          <w:rFonts w:hint="eastAsia" w:hAnsi="宋体"/>
        </w:rPr>
        <w:t>采购人或者受托采购代理机构应当自政府采购合同签订之日起2个工作日内，将政府采购合同在省级以上人民政府财政部门指定的媒体上公告，</w:t>
      </w:r>
      <w:r>
        <w:rPr>
          <w:rFonts w:hAnsi="宋体"/>
        </w:rPr>
        <w:t>但政府采购合同中涉及国家秘密、商业秘密的内容除外。</w:t>
      </w:r>
    </w:p>
    <w:p w14:paraId="3EE0A478">
      <w:pPr>
        <w:pStyle w:val="8"/>
        <w:keepNext w:val="0"/>
        <w:keepLines w:val="0"/>
        <w:spacing w:before="0" w:after="0" w:line="360" w:lineRule="auto"/>
        <w:ind w:left="420" w:leftChars="200"/>
        <w:rPr>
          <w:rFonts w:hint="eastAsia" w:ascii="黑体" w:hAnsi="黑体" w:eastAsia="黑体"/>
          <w:sz w:val="24"/>
        </w:rPr>
      </w:pPr>
      <w:r>
        <w:rPr>
          <w:rFonts w:hint="eastAsia" w:ascii="黑体" w:hAnsi="黑体" w:eastAsia="黑体"/>
          <w:sz w:val="24"/>
        </w:rPr>
        <w:t>3</w:t>
      </w:r>
      <w:r>
        <w:rPr>
          <w:rFonts w:ascii="黑体" w:hAnsi="黑体" w:eastAsia="黑体"/>
          <w:sz w:val="24"/>
        </w:rPr>
        <w:t>8.</w:t>
      </w:r>
      <w:r>
        <w:rPr>
          <w:rFonts w:hint="eastAsia" w:ascii="黑体" w:hAnsi="黑体" w:eastAsia="黑体"/>
          <w:sz w:val="24"/>
        </w:rPr>
        <w:t xml:space="preserve"> 询问、质疑和投诉</w:t>
      </w:r>
    </w:p>
    <w:p w14:paraId="4B126383">
      <w:pPr>
        <w:pStyle w:val="9"/>
        <w:spacing w:line="360" w:lineRule="auto"/>
        <w:rPr>
          <w:rFonts w:hint="eastAsia" w:ascii="宋体" w:hAnsi="宋体"/>
          <w:szCs w:val="21"/>
        </w:rPr>
      </w:pPr>
      <w:r>
        <w:rPr>
          <w:rFonts w:ascii="宋体" w:hAnsi="宋体"/>
          <w:szCs w:val="21"/>
        </w:rPr>
        <w:t>38.1</w:t>
      </w:r>
      <w:r>
        <w:rPr>
          <w:rFonts w:hint="eastAsia" w:ascii="宋体" w:hAnsi="宋体"/>
          <w:szCs w:val="21"/>
        </w:rPr>
        <w:t>供应商对政府采购活动事项有疑问的，可以向采购人提出询问，采购人或者采购代理机构应当在3个工作日内对供应商依法提出的询问作出答复，但答复的内容不得涉及商业秘密。</w:t>
      </w:r>
    </w:p>
    <w:p w14:paraId="1B808337">
      <w:pPr>
        <w:pStyle w:val="8"/>
        <w:keepNext w:val="0"/>
        <w:keepLines w:val="0"/>
        <w:spacing w:before="0" w:after="0" w:line="360" w:lineRule="auto"/>
        <w:ind w:firstLine="315" w:firstLineChars="150"/>
        <w:rPr>
          <w:rFonts w:hint="eastAsia" w:ascii="宋体" w:hAnsi="宋体"/>
          <w:b w:val="0"/>
          <w:sz w:val="21"/>
          <w:szCs w:val="21"/>
        </w:rPr>
      </w:pPr>
      <w:r>
        <w:rPr>
          <w:rFonts w:hint="eastAsia" w:ascii="宋体" w:hAnsi="宋体"/>
          <w:b w:val="0"/>
          <w:sz w:val="21"/>
          <w:szCs w:val="21"/>
        </w:rPr>
        <w:t xml:space="preserve"> </w:t>
      </w:r>
      <w:r>
        <w:rPr>
          <w:rFonts w:ascii="宋体" w:hAnsi="宋体"/>
          <w:b w:val="0"/>
          <w:sz w:val="21"/>
          <w:szCs w:val="21"/>
        </w:rPr>
        <w:t>38</w:t>
      </w:r>
      <w:r>
        <w:rPr>
          <w:rFonts w:hint="eastAsia" w:ascii="宋体" w:hAnsi="宋体"/>
          <w:b w:val="0"/>
          <w:sz w:val="21"/>
          <w:szCs w:val="21"/>
        </w:rPr>
        <w:t>.</w:t>
      </w:r>
      <w:r>
        <w:rPr>
          <w:rFonts w:ascii="宋体" w:hAnsi="宋体"/>
          <w:b w:val="0"/>
          <w:sz w:val="21"/>
          <w:szCs w:val="21"/>
        </w:rPr>
        <w:t>2</w:t>
      </w:r>
      <w:r>
        <w:rPr>
          <w:rFonts w:hint="eastAsia" w:ascii="宋体" w:hAnsi="宋体"/>
          <w:b w:val="0"/>
          <w:sz w:val="21"/>
          <w:szCs w:val="21"/>
        </w:rPr>
        <w:t xml:space="preserve">供应商认为采购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2C369AAA">
      <w:pPr>
        <w:pStyle w:val="18"/>
        <w:snapToGrid w:val="0"/>
        <w:spacing w:line="360" w:lineRule="auto"/>
        <w:ind w:firstLine="420" w:firstLineChars="200"/>
        <w:rPr>
          <w:rFonts w:hint="eastAsia" w:hAnsi="宋体"/>
        </w:rPr>
      </w:pPr>
      <w:r>
        <w:rPr>
          <w:rFonts w:hAnsi="宋体"/>
        </w:rPr>
        <w:t>（</w:t>
      </w:r>
      <w:r>
        <w:rPr>
          <w:rFonts w:hint="eastAsia" w:hAnsi="宋体"/>
        </w:rPr>
        <w:t>1</w:t>
      </w:r>
      <w:r>
        <w:rPr>
          <w:rFonts w:hAnsi="宋体"/>
        </w:rPr>
        <w:t>）对可以质疑的</w:t>
      </w:r>
      <w:r>
        <w:rPr>
          <w:rFonts w:hint="eastAsia" w:hAnsi="宋体"/>
        </w:rPr>
        <w:t>采购</w:t>
      </w:r>
      <w:r>
        <w:rPr>
          <w:rFonts w:hAnsi="宋体"/>
        </w:rPr>
        <w:t>文件提出质疑的，为收到</w:t>
      </w:r>
      <w:r>
        <w:rPr>
          <w:rFonts w:hint="eastAsia" w:hAnsi="宋体"/>
        </w:rPr>
        <w:t>采购</w:t>
      </w:r>
      <w:r>
        <w:rPr>
          <w:rFonts w:hAnsi="宋体"/>
        </w:rPr>
        <w:t>文件之日</w:t>
      </w:r>
      <w:r>
        <w:rPr>
          <w:rFonts w:hint="eastAsia" w:hAnsi="宋体"/>
        </w:rPr>
        <w:t>或者采购文件公告期限届满之日</w:t>
      </w:r>
      <w:r>
        <w:rPr>
          <w:rFonts w:hAnsi="宋体"/>
        </w:rPr>
        <w:t>；</w:t>
      </w:r>
    </w:p>
    <w:p w14:paraId="45D842C0">
      <w:pPr>
        <w:pStyle w:val="18"/>
        <w:snapToGrid w:val="0"/>
        <w:spacing w:line="360" w:lineRule="auto"/>
        <w:ind w:firstLine="420" w:firstLineChars="200"/>
        <w:rPr>
          <w:rFonts w:hint="eastAsia" w:hAnsi="宋体"/>
        </w:rPr>
      </w:pPr>
      <w:r>
        <w:rPr>
          <w:rFonts w:hAnsi="宋体"/>
        </w:rPr>
        <w:t>（</w:t>
      </w:r>
      <w:r>
        <w:rPr>
          <w:rFonts w:hint="eastAsia" w:hAnsi="宋体"/>
        </w:rPr>
        <w:t>2</w:t>
      </w:r>
      <w:r>
        <w:rPr>
          <w:rFonts w:hAnsi="宋体"/>
        </w:rPr>
        <w:t>）对</w:t>
      </w:r>
      <w:r>
        <w:rPr>
          <w:rFonts w:hint="eastAsia" w:hAnsi="宋体"/>
        </w:rPr>
        <w:t>采购</w:t>
      </w:r>
      <w:r>
        <w:rPr>
          <w:rFonts w:hAnsi="宋体"/>
        </w:rPr>
        <w:t>过程提出质疑的，为各采购程序环节结束之日；</w:t>
      </w:r>
    </w:p>
    <w:p w14:paraId="1485952C">
      <w:pPr>
        <w:pStyle w:val="18"/>
        <w:snapToGrid w:val="0"/>
        <w:spacing w:line="360" w:lineRule="auto"/>
        <w:ind w:firstLine="420" w:firstLineChars="200"/>
        <w:rPr>
          <w:rFonts w:hint="eastAsia" w:hAnsi="宋体"/>
          <w:bCs/>
        </w:rPr>
      </w:pPr>
      <w:r>
        <w:rPr>
          <w:rFonts w:hAnsi="宋体"/>
        </w:rPr>
        <w:t>（</w:t>
      </w:r>
      <w:r>
        <w:rPr>
          <w:rFonts w:hint="eastAsia" w:hAnsi="宋体"/>
        </w:rPr>
        <w:t>3</w:t>
      </w:r>
      <w:r>
        <w:rPr>
          <w:rFonts w:hAnsi="宋体"/>
        </w:rPr>
        <w:t>）对中标结果提出质疑的，为中标结果公告期限届满之日。</w:t>
      </w:r>
    </w:p>
    <w:p w14:paraId="63B86F28">
      <w:pPr>
        <w:pStyle w:val="8"/>
        <w:keepNext w:val="0"/>
        <w:keepLines w:val="0"/>
        <w:spacing w:before="0" w:after="0" w:line="360" w:lineRule="auto"/>
        <w:ind w:firstLine="315" w:firstLineChars="150"/>
        <w:rPr>
          <w:rFonts w:hint="eastAsia" w:ascii="宋体" w:hAnsi="宋体"/>
          <w:b w:val="0"/>
          <w:sz w:val="21"/>
          <w:szCs w:val="21"/>
        </w:rPr>
      </w:pPr>
      <w:bookmarkStart w:id="128" w:name="_9.2质疑、投诉应当采用书面形式，质疑函、投诉书均应明确阐述招标文件、"/>
      <w:bookmarkEnd w:id="128"/>
      <w:r>
        <w:rPr>
          <w:rFonts w:hint="eastAsia" w:ascii="宋体" w:hAnsi="宋体"/>
          <w:b w:val="0"/>
          <w:sz w:val="21"/>
          <w:szCs w:val="21"/>
        </w:rPr>
        <w:t xml:space="preserve"> </w:t>
      </w:r>
      <w:r>
        <w:rPr>
          <w:rFonts w:ascii="宋体" w:hAnsi="宋体"/>
          <w:b w:val="0"/>
          <w:sz w:val="21"/>
          <w:szCs w:val="21"/>
        </w:rPr>
        <w:t>38</w:t>
      </w:r>
      <w:r>
        <w:rPr>
          <w:rFonts w:hint="eastAsia" w:ascii="宋体" w:hAnsi="宋体"/>
          <w:b w:val="0"/>
          <w:sz w:val="21"/>
          <w:szCs w:val="21"/>
        </w:rPr>
        <w:t>.</w:t>
      </w:r>
      <w:r>
        <w:rPr>
          <w:rFonts w:ascii="宋体" w:hAnsi="宋体"/>
          <w:b w:val="0"/>
          <w:sz w:val="21"/>
          <w:szCs w:val="21"/>
        </w:rPr>
        <w:t>3</w:t>
      </w:r>
      <w:r>
        <w:rPr>
          <w:rFonts w:hint="eastAsia" w:ascii="宋体" w:hAnsi="宋体"/>
          <w:b w:val="0"/>
          <w:sz w:val="21"/>
          <w:szCs w:val="21"/>
        </w:rPr>
        <w:t xml:space="preserve"> </w:t>
      </w:r>
      <w:r>
        <w:rPr>
          <w:rFonts w:hAnsi="宋体"/>
          <w:b w:val="0"/>
          <w:sz w:val="21"/>
        </w:rPr>
        <w:t>供应商提出质疑应当提交质疑函和必要的证明材料</w:t>
      </w:r>
      <w:r>
        <w:rPr>
          <w:rFonts w:hint="eastAsia" w:hAnsi="宋体"/>
          <w:b w:val="0"/>
          <w:sz w:val="21"/>
        </w:rPr>
        <w:t>，</w:t>
      </w:r>
      <w:r>
        <w:rPr>
          <w:rFonts w:hAnsi="宋体"/>
          <w:b w:val="0"/>
          <w:sz w:val="21"/>
        </w:rPr>
        <w:t>针对同一采购程序环节的质疑</w:t>
      </w:r>
      <w:r>
        <w:rPr>
          <w:rFonts w:hint="eastAsia" w:hAnsi="宋体"/>
          <w:b w:val="0"/>
          <w:sz w:val="21"/>
        </w:rPr>
        <w:t>必须</w:t>
      </w:r>
      <w:r>
        <w:rPr>
          <w:rFonts w:hAnsi="宋体"/>
          <w:b w:val="0"/>
          <w:sz w:val="21"/>
        </w:rPr>
        <w:t>在法定质疑期内一次性提出。质疑函应当包括下列内容</w:t>
      </w:r>
      <w:r>
        <w:rPr>
          <w:rFonts w:hint="eastAsia" w:hAnsi="宋体"/>
          <w:b w:val="0"/>
          <w:sz w:val="21"/>
        </w:rPr>
        <w:t>（质疑函格式后附）</w:t>
      </w:r>
      <w:r>
        <w:rPr>
          <w:rFonts w:hAnsi="宋体"/>
          <w:b w:val="0"/>
          <w:sz w:val="21"/>
        </w:rPr>
        <w:t>：</w:t>
      </w:r>
    </w:p>
    <w:p w14:paraId="358D37E2">
      <w:pPr>
        <w:pStyle w:val="18"/>
        <w:snapToGrid w:val="0"/>
        <w:spacing w:line="360" w:lineRule="auto"/>
        <w:ind w:firstLine="420" w:firstLineChars="200"/>
        <w:rPr>
          <w:rFonts w:hint="eastAsia" w:hAnsi="宋体"/>
          <w:bCs/>
        </w:rPr>
      </w:pPr>
      <w:r>
        <w:rPr>
          <w:rFonts w:hAnsi="宋体"/>
          <w:bCs/>
        </w:rPr>
        <w:t>（</w:t>
      </w:r>
      <w:r>
        <w:rPr>
          <w:rFonts w:hint="eastAsia" w:hAnsi="宋体"/>
          <w:bCs/>
        </w:rPr>
        <w:t>1</w:t>
      </w:r>
      <w:r>
        <w:rPr>
          <w:rFonts w:hAnsi="宋体"/>
          <w:bCs/>
        </w:rPr>
        <w:t>）供应商的姓名或者名称、地址、邮编、联系人及联系电话；</w:t>
      </w:r>
    </w:p>
    <w:p w14:paraId="05A5B797">
      <w:pPr>
        <w:pStyle w:val="18"/>
        <w:snapToGrid w:val="0"/>
        <w:spacing w:line="360" w:lineRule="auto"/>
        <w:ind w:firstLine="420" w:firstLineChars="200"/>
        <w:rPr>
          <w:rFonts w:hint="eastAsia" w:hAnsi="宋体"/>
          <w:bCs/>
        </w:rPr>
      </w:pPr>
      <w:r>
        <w:rPr>
          <w:rFonts w:hAnsi="宋体"/>
          <w:bCs/>
        </w:rPr>
        <w:t>（</w:t>
      </w:r>
      <w:r>
        <w:rPr>
          <w:rFonts w:hint="eastAsia" w:hAnsi="宋体"/>
          <w:bCs/>
        </w:rPr>
        <w:t>2</w:t>
      </w:r>
      <w:r>
        <w:rPr>
          <w:rFonts w:hAnsi="宋体"/>
          <w:bCs/>
        </w:rPr>
        <w:t>）质疑项目的名称、编号；</w:t>
      </w:r>
    </w:p>
    <w:p w14:paraId="4180D134">
      <w:pPr>
        <w:pStyle w:val="18"/>
        <w:snapToGrid w:val="0"/>
        <w:spacing w:line="360" w:lineRule="auto"/>
        <w:ind w:firstLine="420" w:firstLineChars="200"/>
        <w:rPr>
          <w:rFonts w:hint="eastAsia" w:hAnsi="宋体"/>
          <w:bCs/>
        </w:rPr>
      </w:pPr>
      <w:r>
        <w:rPr>
          <w:rFonts w:hAnsi="宋体"/>
          <w:bCs/>
        </w:rPr>
        <w:t>（</w:t>
      </w:r>
      <w:r>
        <w:rPr>
          <w:rFonts w:hint="eastAsia" w:hAnsi="宋体"/>
          <w:bCs/>
        </w:rPr>
        <w:t>3</w:t>
      </w:r>
      <w:r>
        <w:rPr>
          <w:rFonts w:hAnsi="宋体"/>
          <w:bCs/>
        </w:rPr>
        <w:t>）具体、明确的质疑事项和与质疑事项相关的请求；</w:t>
      </w:r>
    </w:p>
    <w:p w14:paraId="05E69E52">
      <w:pPr>
        <w:pStyle w:val="18"/>
        <w:snapToGrid w:val="0"/>
        <w:spacing w:line="360" w:lineRule="auto"/>
        <w:ind w:firstLine="420" w:firstLineChars="200"/>
        <w:rPr>
          <w:rFonts w:hint="eastAsia" w:hAnsi="宋体"/>
          <w:bCs/>
        </w:rPr>
      </w:pPr>
      <w:r>
        <w:rPr>
          <w:rFonts w:hAnsi="宋体"/>
          <w:bCs/>
        </w:rPr>
        <w:t>（</w:t>
      </w:r>
      <w:r>
        <w:rPr>
          <w:rFonts w:hint="eastAsia" w:hAnsi="宋体"/>
          <w:bCs/>
        </w:rPr>
        <w:t>4</w:t>
      </w:r>
      <w:r>
        <w:rPr>
          <w:rFonts w:hAnsi="宋体"/>
          <w:bCs/>
        </w:rPr>
        <w:t>）事实依据；</w:t>
      </w:r>
    </w:p>
    <w:p w14:paraId="7B546EE0">
      <w:pPr>
        <w:pStyle w:val="18"/>
        <w:snapToGrid w:val="0"/>
        <w:spacing w:line="360" w:lineRule="auto"/>
        <w:ind w:firstLine="420" w:firstLineChars="200"/>
        <w:rPr>
          <w:rFonts w:hint="eastAsia" w:hAnsi="宋体"/>
          <w:bCs/>
        </w:rPr>
      </w:pPr>
      <w:r>
        <w:rPr>
          <w:rFonts w:hAnsi="宋体"/>
          <w:bCs/>
        </w:rPr>
        <w:t>（</w:t>
      </w:r>
      <w:r>
        <w:rPr>
          <w:rFonts w:hint="eastAsia" w:hAnsi="宋体"/>
          <w:bCs/>
        </w:rPr>
        <w:t>5</w:t>
      </w:r>
      <w:r>
        <w:rPr>
          <w:rFonts w:hAnsi="宋体"/>
          <w:bCs/>
        </w:rPr>
        <w:t>）必要的法律依据；</w:t>
      </w:r>
    </w:p>
    <w:p w14:paraId="712E8554">
      <w:pPr>
        <w:pStyle w:val="18"/>
        <w:snapToGrid w:val="0"/>
        <w:spacing w:line="360" w:lineRule="auto"/>
        <w:ind w:firstLine="420" w:firstLineChars="200"/>
        <w:rPr>
          <w:rFonts w:hint="eastAsia" w:hAnsi="宋体"/>
          <w:bCs/>
        </w:rPr>
      </w:pPr>
      <w:r>
        <w:rPr>
          <w:rFonts w:hAnsi="宋体"/>
          <w:bCs/>
        </w:rPr>
        <w:t>（</w:t>
      </w:r>
      <w:r>
        <w:rPr>
          <w:rFonts w:hint="eastAsia" w:hAnsi="宋体"/>
          <w:bCs/>
        </w:rPr>
        <w:t>6</w:t>
      </w:r>
      <w:r>
        <w:rPr>
          <w:rFonts w:hAnsi="宋体"/>
          <w:bCs/>
        </w:rPr>
        <w:t>）提出质疑的日期。</w:t>
      </w:r>
    </w:p>
    <w:p w14:paraId="20BDCE65">
      <w:pPr>
        <w:pStyle w:val="18"/>
        <w:snapToGrid w:val="0"/>
        <w:spacing w:line="360" w:lineRule="auto"/>
        <w:ind w:firstLine="420" w:firstLineChars="200"/>
        <w:rPr>
          <w:rFonts w:hint="eastAsia" w:hAnsi="宋体"/>
          <w:bCs/>
        </w:rPr>
      </w:pPr>
      <w:r>
        <w:rPr>
          <w:rFonts w:hAnsi="宋体"/>
          <w:bCs/>
        </w:rPr>
        <w:t>供应商为自然人的，应当由本人签字；供应商为法人或者其他组织的，应当由法定代表人、主要负责人，或者其委托代理人签字或者盖章，并加盖公章</w:t>
      </w:r>
      <w:r>
        <w:rPr>
          <w:rFonts w:hint="eastAsia" w:hAnsi="宋体"/>
          <w:bCs/>
        </w:rPr>
        <w:t>。</w:t>
      </w:r>
    </w:p>
    <w:p w14:paraId="2CA3BB4E">
      <w:pPr>
        <w:pStyle w:val="8"/>
        <w:keepNext w:val="0"/>
        <w:keepLines w:val="0"/>
        <w:snapToGrid w:val="0"/>
        <w:spacing w:before="0" w:after="0" w:line="360" w:lineRule="auto"/>
        <w:ind w:firstLine="420" w:firstLineChars="200"/>
        <w:rPr>
          <w:rFonts w:hint="eastAsia" w:ascii="宋体" w:hAnsi="宋体"/>
          <w:b w:val="0"/>
          <w:sz w:val="21"/>
          <w:szCs w:val="21"/>
        </w:rPr>
      </w:pPr>
      <w:r>
        <w:rPr>
          <w:rFonts w:ascii="宋体" w:hAnsi="宋体"/>
          <w:b w:val="0"/>
          <w:sz w:val="21"/>
          <w:szCs w:val="21"/>
        </w:rPr>
        <w:t>38.4</w:t>
      </w:r>
      <w:r>
        <w:rPr>
          <w:rFonts w:hint="eastAsia" w:ascii="宋体" w:hAnsi="宋体"/>
          <w:b w:val="0"/>
          <w:sz w:val="21"/>
          <w:szCs w:val="21"/>
        </w:rPr>
        <w:t>采购人、采购代理机构认为供应商质疑不成立，或者成立但未对中标结果构成影响的，继续开展采购活动；认为供应商质疑成立且影响或者可能影响中标结果的，按照下列情况处理：</w:t>
      </w:r>
    </w:p>
    <w:p w14:paraId="2055652C">
      <w:pPr>
        <w:pStyle w:val="18"/>
        <w:snapToGrid w:val="0"/>
        <w:spacing w:line="360" w:lineRule="auto"/>
        <w:rPr>
          <w:rFonts w:hint="eastAsia" w:hAnsi="宋体"/>
          <w:bCs/>
        </w:rPr>
      </w:pPr>
      <w:r>
        <w:rPr>
          <w:rFonts w:hint="eastAsia" w:hAnsi="宋体"/>
          <w:bCs/>
        </w:rPr>
        <w:t>　　（一）对采购文件提出的质疑，依法通过澄清或者修改可以继续开展采购活动的，澄清或者修改采购文件后继续开展采购活动；否则应当修改采购文件后重新开展采购活动。</w:t>
      </w:r>
    </w:p>
    <w:p w14:paraId="0717078E">
      <w:pPr>
        <w:pStyle w:val="18"/>
        <w:snapToGrid w:val="0"/>
        <w:spacing w:line="360" w:lineRule="auto"/>
        <w:rPr>
          <w:rFonts w:hint="eastAsia" w:hAnsi="宋体"/>
          <w:bCs/>
        </w:rPr>
      </w:pPr>
      <w:r>
        <w:rPr>
          <w:rFonts w:hint="eastAsia" w:hAnsi="宋体"/>
          <w:bCs/>
        </w:rPr>
        <w:t>　　（二）对采购过程、中标结果提出的质疑，合格供应商符合法定数量时，可以从合格的中标候选人中另行确定中标供应商的，应当依法另行确定中标供应商；否则应当重新开展采购活动。</w:t>
      </w:r>
    </w:p>
    <w:p w14:paraId="19897967">
      <w:pPr>
        <w:pStyle w:val="18"/>
        <w:snapToGrid w:val="0"/>
        <w:spacing w:line="360" w:lineRule="auto"/>
        <w:ind w:firstLine="420"/>
        <w:rPr>
          <w:rFonts w:hint="eastAsia" w:hAnsi="宋体"/>
          <w:bCs/>
        </w:rPr>
      </w:pPr>
      <w:r>
        <w:rPr>
          <w:rFonts w:hint="eastAsia" w:hAnsi="宋体"/>
          <w:bCs/>
        </w:rPr>
        <w:t>质疑答复导致中标结果改变的，采购人或者采购代理机构应当将有关情况书面报告本级财政部门。</w:t>
      </w:r>
    </w:p>
    <w:p w14:paraId="4A031B57">
      <w:pPr>
        <w:pStyle w:val="18"/>
        <w:snapToGrid w:val="0"/>
        <w:spacing w:line="360" w:lineRule="auto"/>
        <w:ind w:firstLine="420" w:firstLineChars="200"/>
        <w:rPr>
          <w:rFonts w:hint="eastAsia" w:hAnsi="宋体"/>
        </w:rPr>
      </w:pPr>
      <w:r>
        <w:rPr>
          <w:rFonts w:hAnsi="宋体"/>
        </w:rPr>
        <w:t>38</w:t>
      </w:r>
      <w:r>
        <w:rPr>
          <w:rFonts w:hint="eastAsia" w:hAnsi="宋体"/>
        </w:rPr>
        <w:t>.</w:t>
      </w:r>
      <w:r>
        <w:rPr>
          <w:rFonts w:hAnsi="宋体"/>
        </w:rPr>
        <w:t>5</w:t>
      </w:r>
      <w:r>
        <w:rPr>
          <w:rFonts w:hint="eastAsia" w:hAnsi="宋体"/>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43CB7E9">
      <w:pPr>
        <w:pStyle w:val="6"/>
        <w:keepNext w:val="0"/>
        <w:keepLines w:val="0"/>
        <w:spacing w:before="240" w:after="240" w:line="415" w:lineRule="auto"/>
        <w:jc w:val="center"/>
      </w:pPr>
      <w:bookmarkStart w:id="129" w:name="_八、其他事项"/>
      <w:bookmarkEnd w:id="129"/>
      <w:r>
        <w:rPr>
          <w:rFonts w:hint="eastAsia"/>
        </w:rPr>
        <w:t>八、其他事项</w:t>
      </w:r>
    </w:p>
    <w:p w14:paraId="586867A5">
      <w:pPr>
        <w:pStyle w:val="8"/>
        <w:keepNext w:val="0"/>
        <w:keepLines w:val="0"/>
        <w:spacing w:before="0" w:after="0" w:line="360" w:lineRule="auto"/>
        <w:ind w:left="420" w:leftChars="200"/>
        <w:rPr>
          <w:rFonts w:hint="eastAsia" w:ascii="黑体" w:hAnsi="黑体" w:eastAsia="黑体"/>
          <w:sz w:val="24"/>
        </w:rPr>
      </w:pPr>
      <w:bookmarkStart w:id="130" w:name="_42.代理服务费"/>
      <w:bookmarkEnd w:id="130"/>
      <w:r>
        <w:rPr>
          <w:rFonts w:hint="eastAsia" w:ascii="黑体" w:hAnsi="黑体" w:eastAsia="黑体"/>
          <w:sz w:val="24"/>
        </w:rPr>
        <w:t>3</w:t>
      </w:r>
      <w:r>
        <w:rPr>
          <w:rFonts w:ascii="黑体" w:hAnsi="黑体" w:eastAsia="黑体"/>
          <w:sz w:val="24"/>
        </w:rPr>
        <w:t>9</w:t>
      </w:r>
      <w:r>
        <w:rPr>
          <w:rFonts w:hint="eastAsia" w:ascii="黑体" w:hAnsi="黑体" w:eastAsia="黑体"/>
          <w:sz w:val="24"/>
        </w:rPr>
        <w:t>.代理服务费</w:t>
      </w:r>
    </w:p>
    <w:p w14:paraId="385D047A">
      <w:pPr>
        <w:pStyle w:val="8"/>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3</w:t>
      </w:r>
      <w:r>
        <w:rPr>
          <w:rFonts w:ascii="宋体" w:hAnsi="宋体"/>
          <w:b w:val="0"/>
          <w:sz w:val="21"/>
          <w:szCs w:val="21"/>
        </w:rPr>
        <w:t>9</w:t>
      </w:r>
      <w:r>
        <w:rPr>
          <w:rFonts w:hint="eastAsia" w:ascii="宋体" w:hAnsi="宋体"/>
          <w:b w:val="0"/>
          <w:sz w:val="21"/>
          <w:szCs w:val="21"/>
        </w:rPr>
        <w:t>.1代理服务收取标准及缴费账户详见“投标人须知前附表”，投标人为联合体的，可以由联合体中的一方或者多方共同交纳代理服务费。</w:t>
      </w:r>
    </w:p>
    <w:p w14:paraId="6381867F">
      <w:pPr>
        <w:pStyle w:val="8"/>
        <w:keepNext w:val="0"/>
        <w:keepLines w:val="0"/>
        <w:spacing w:before="0" w:after="0" w:line="360" w:lineRule="auto"/>
        <w:ind w:left="420" w:leftChars="200"/>
        <w:rPr>
          <w:rFonts w:hint="eastAsia" w:ascii="宋体" w:hAnsi="宋体"/>
          <w:b w:val="0"/>
          <w:sz w:val="21"/>
          <w:szCs w:val="21"/>
        </w:rPr>
      </w:pPr>
      <w:r>
        <w:rPr>
          <w:rFonts w:hint="eastAsia" w:ascii="宋体" w:hAnsi="宋体"/>
          <w:b w:val="0"/>
          <w:sz w:val="21"/>
          <w:szCs w:val="21"/>
        </w:rPr>
        <w:t>3</w:t>
      </w:r>
      <w:r>
        <w:rPr>
          <w:rFonts w:ascii="宋体" w:hAnsi="宋体"/>
          <w:b w:val="0"/>
          <w:sz w:val="21"/>
          <w:szCs w:val="21"/>
        </w:rPr>
        <w:t>9</w:t>
      </w:r>
      <w:r>
        <w:rPr>
          <w:rFonts w:hint="eastAsia" w:ascii="宋体" w:hAnsi="宋体"/>
          <w:b w:val="0"/>
          <w:sz w:val="21"/>
          <w:szCs w:val="21"/>
        </w:rPr>
        <w:t>.2代理服务收费标准：</w:t>
      </w:r>
    </w:p>
    <w:p w14:paraId="7B11AF98">
      <w:pPr>
        <w:pStyle w:val="9"/>
        <w:rPr>
          <w:rFonts w:hint="eastAsia" w:ascii="宋体" w:hAnsi="宋体"/>
          <w:szCs w:val="21"/>
        </w:rPr>
      </w:pPr>
    </w:p>
    <w:p w14:paraId="708A44EA">
      <w:pPr>
        <w:pStyle w:val="9"/>
        <w:rPr>
          <w:rFonts w:hint="eastAsia" w:ascii="宋体" w:hAnsi="宋体"/>
          <w:szCs w:val="21"/>
        </w:rPr>
      </w:pPr>
    </w:p>
    <w:p w14:paraId="0382B807">
      <w:pPr>
        <w:spacing w:line="360" w:lineRule="auto"/>
        <w:rPr>
          <w:rFonts w:hint="eastAsia" w:ascii="宋体" w:hAnsi="宋体"/>
          <w:szCs w:val="21"/>
        </w:rPr>
      </w:pPr>
    </w:p>
    <w:tbl>
      <w:tblPr>
        <w:tblStyle w:val="3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1706"/>
        <w:gridCol w:w="1734"/>
        <w:gridCol w:w="1706"/>
      </w:tblGrid>
      <w:tr w14:paraId="6B04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Borders>
              <w:tl2br w:val="single" w:color="auto" w:sz="4" w:space="0"/>
            </w:tcBorders>
          </w:tcPr>
          <w:p w14:paraId="48DA9120">
            <w:pPr>
              <w:spacing w:line="360" w:lineRule="auto"/>
              <w:rPr>
                <w:rFonts w:hint="eastAsia" w:ascii="宋体" w:hAnsi="宋体"/>
                <w:szCs w:val="21"/>
              </w:rPr>
            </w:pPr>
            <w:r>
              <w:rPr>
                <w:rFonts w:hint="eastAsia" w:ascii="宋体" w:hAnsi="宋体"/>
                <w:szCs w:val="21"/>
              </w:rPr>
              <w:t xml:space="preserve">               费率</w:t>
            </w:r>
          </w:p>
          <w:p w14:paraId="03FE5564">
            <w:pPr>
              <w:spacing w:line="360" w:lineRule="auto"/>
              <w:rPr>
                <w:rFonts w:hint="eastAsia" w:ascii="宋体" w:hAnsi="宋体"/>
                <w:szCs w:val="21"/>
              </w:rPr>
            </w:pPr>
            <w:r>
              <w:rPr>
                <w:rFonts w:hint="eastAsia" w:ascii="宋体" w:hAnsi="宋体"/>
                <w:szCs w:val="21"/>
              </w:rPr>
              <w:t>中标金额</w:t>
            </w:r>
          </w:p>
        </w:tc>
        <w:tc>
          <w:tcPr>
            <w:tcW w:w="978" w:type="pct"/>
            <w:vAlign w:val="center"/>
          </w:tcPr>
          <w:p w14:paraId="4F1E8BDC">
            <w:pPr>
              <w:spacing w:line="360" w:lineRule="auto"/>
              <w:ind w:firstLine="105" w:firstLineChars="50"/>
              <w:jc w:val="center"/>
              <w:rPr>
                <w:rFonts w:hint="eastAsia" w:ascii="宋体" w:hAnsi="宋体"/>
                <w:szCs w:val="21"/>
              </w:rPr>
            </w:pPr>
            <w:r>
              <w:rPr>
                <w:rFonts w:hint="eastAsia" w:ascii="宋体" w:hAnsi="宋体"/>
                <w:szCs w:val="21"/>
              </w:rPr>
              <w:t>货物招标</w:t>
            </w:r>
          </w:p>
        </w:tc>
        <w:tc>
          <w:tcPr>
            <w:tcW w:w="994" w:type="pct"/>
            <w:vAlign w:val="center"/>
          </w:tcPr>
          <w:p w14:paraId="61E8490B">
            <w:pPr>
              <w:spacing w:line="360" w:lineRule="auto"/>
              <w:jc w:val="center"/>
              <w:rPr>
                <w:rFonts w:hint="eastAsia" w:ascii="宋体" w:hAnsi="宋体"/>
                <w:szCs w:val="21"/>
              </w:rPr>
            </w:pPr>
            <w:r>
              <w:rPr>
                <w:rFonts w:hint="eastAsia" w:ascii="宋体" w:hAnsi="宋体"/>
                <w:szCs w:val="21"/>
              </w:rPr>
              <w:t>服务招标</w:t>
            </w:r>
          </w:p>
        </w:tc>
        <w:tc>
          <w:tcPr>
            <w:tcW w:w="978" w:type="pct"/>
            <w:vAlign w:val="center"/>
          </w:tcPr>
          <w:p w14:paraId="274707D6">
            <w:pPr>
              <w:spacing w:line="360" w:lineRule="auto"/>
              <w:jc w:val="center"/>
              <w:rPr>
                <w:rFonts w:hint="eastAsia" w:ascii="宋体" w:hAnsi="宋体"/>
                <w:szCs w:val="21"/>
              </w:rPr>
            </w:pPr>
            <w:r>
              <w:rPr>
                <w:rFonts w:hint="eastAsia" w:ascii="宋体" w:hAnsi="宋体"/>
                <w:szCs w:val="21"/>
              </w:rPr>
              <w:t>工程招标</w:t>
            </w:r>
          </w:p>
        </w:tc>
      </w:tr>
      <w:tr w14:paraId="7F68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Pr>
          <w:p w14:paraId="1FD3E287">
            <w:pPr>
              <w:spacing w:line="360" w:lineRule="auto"/>
              <w:rPr>
                <w:rFonts w:hint="eastAsia" w:ascii="宋体" w:hAnsi="宋体"/>
                <w:szCs w:val="21"/>
              </w:rPr>
            </w:pPr>
            <w:r>
              <w:rPr>
                <w:rFonts w:hint="eastAsia" w:ascii="宋体" w:hAnsi="宋体"/>
                <w:szCs w:val="21"/>
              </w:rPr>
              <w:t>100万元以下</w:t>
            </w:r>
          </w:p>
        </w:tc>
        <w:tc>
          <w:tcPr>
            <w:tcW w:w="978" w:type="pct"/>
          </w:tcPr>
          <w:p w14:paraId="1EA60BF8">
            <w:pPr>
              <w:spacing w:line="360" w:lineRule="auto"/>
              <w:rPr>
                <w:rFonts w:hint="eastAsia" w:ascii="宋体" w:hAnsi="宋体"/>
                <w:szCs w:val="21"/>
              </w:rPr>
            </w:pPr>
            <w:r>
              <w:rPr>
                <w:rFonts w:hint="eastAsia" w:ascii="宋体" w:hAnsi="宋体" w:cs="宋体"/>
                <w:kern w:val="0"/>
                <w:szCs w:val="21"/>
              </w:rPr>
              <w:t xml:space="preserve">  </w:t>
            </w:r>
            <w:r>
              <w:rPr>
                <w:rFonts w:ascii="宋体" w:hAnsi="宋体" w:cs="宋体"/>
                <w:kern w:val="0"/>
                <w:szCs w:val="21"/>
              </w:rPr>
              <w:t xml:space="preserve">1.5% </w:t>
            </w:r>
            <w:r>
              <w:rPr>
                <w:rFonts w:hint="eastAsia" w:ascii="宋体" w:hAnsi="宋体" w:cs="宋体"/>
                <w:kern w:val="0"/>
                <w:szCs w:val="21"/>
              </w:rPr>
              <w:t xml:space="preserve">          </w:t>
            </w:r>
            <w:r>
              <w:rPr>
                <w:rFonts w:ascii="宋体" w:hAnsi="宋体" w:cs="宋体"/>
                <w:kern w:val="0"/>
                <w:szCs w:val="21"/>
              </w:rPr>
              <w:t xml:space="preserve"> </w:t>
            </w:r>
            <w:r>
              <w:rPr>
                <w:rFonts w:hint="eastAsia" w:ascii="宋体" w:hAnsi="宋体" w:cs="宋体"/>
                <w:kern w:val="0"/>
                <w:szCs w:val="21"/>
              </w:rPr>
              <w:t xml:space="preserve">    </w:t>
            </w:r>
          </w:p>
        </w:tc>
        <w:tc>
          <w:tcPr>
            <w:tcW w:w="994" w:type="pct"/>
          </w:tcPr>
          <w:p w14:paraId="6325E20A">
            <w:pPr>
              <w:spacing w:line="360" w:lineRule="auto"/>
              <w:ind w:firstLine="210" w:firstLineChars="100"/>
              <w:rPr>
                <w:rFonts w:hint="eastAsia" w:ascii="宋体" w:hAnsi="宋体"/>
                <w:szCs w:val="21"/>
              </w:rPr>
            </w:pPr>
            <w:r>
              <w:rPr>
                <w:rFonts w:ascii="宋体" w:hAnsi="宋体" w:cs="宋体"/>
                <w:kern w:val="0"/>
                <w:szCs w:val="21"/>
              </w:rPr>
              <w:t>1.5%</w:t>
            </w:r>
          </w:p>
        </w:tc>
        <w:tc>
          <w:tcPr>
            <w:tcW w:w="978" w:type="pct"/>
          </w:tcPr>
          <w:p w14:paraId="3F5D7545">
            <w:pPr>
              <w:spacing w:line="360" w:lineRule="auto"/>
              <w:ind w:firstLine="210" w:firstLineChars="100"/>
              <w:rPr>
                <w:rFonts w:hint="eastAsia" w:ascii="宋体" w:hAnsi="宋体"/>
                <w:szCs w:val="21"/>
              </w:rPr>
            </w:pPr>
            <w:r>
              <w:rPr>
                <w:rFonts w:ascii="宋体" w:hAnsi="宋体" w:cs="宋体"/>
                <w:kern w:val="0"/>
                <w:szCs w:val="21"/>
              </w:rPr>
              <w:t xml:space="preserve">1.0% </w:t>
            </w:r>
          </w:p>
        </w:tc>
      </w:tr>
      <w:tr w14:paraId="2F27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Pr>
          <w:p w14:paraId="6F557940">
            <w:pPr>
              <w:spacing w:line="360" w:lineRule="auto"/>
              <w:rPr>
                <w:rFonts w:hint="eastAsia" w:ascii="宋体" w:hAnsi="宋体"/>
                <w:szCs w:val="21"/>
              </w:rPr>
            </w:pPr>
            <w:r>
              <w:rPr>
                <w:rFonts w:hint="eastAsia" w:ascii="宋体" w:hAnsi="宋体"/>
                <w:szCs w:val="21"/>
              </w:rPr>
              <w:t>100万元～500万元</w:t>
            </w:r>
          </w:p>
        </w:tc>
        <w:tc>
          <w:tcPr>
            <w:tcW w:w="978" w:type="pct"/>
          </w:tcPr>
          <w:p w14:paraId="3D1989E8">
            <w:pPr>
              <w:spacing w:line="360" w:lineRule="auto"/>
              <w:ind w:firstLine="210" w:firstLineChars="100"/>
              <w:rPr>
                <w:rFonts w:hint="eastAsia" w:ascii="宋体" w:hAnsi="宋体"/>
                <w:szCs w:val="21"/>
              </w:rPr>
            </w:pPr>
            <w:r>
              <w:rPr>
                <w:rFonts w:ascii="宋体" w:hAnsi="宋体" w:cs="宋体"/>
                <w:kern w:val="0"/>
                <w:szCs w:val="21"/>
              </w:rPr>
              <w:t xml:space="preserve">1.1% </w:t>
            </w:r>
            <w:r>
              <w:rPr>
                <w:rFonts w:hint="eastAsia" w:ascii="宋体" w:hAnsi="宋体" w:cs="宋体"/>
                <w:kern w:val="0"/>
                <w:szCs w:val="21"/>
              </w:rPr>
              <w:t xml:space="preserve">                </w:t>
            </w:r>
          </w:p>
        </w:tc>
        <w:tc>
          <w:tcPr>
            <w:tcW w:w="994" w:type="pct"/>
          </w:tcPr>
          <w:p w14:paraId="17CC544A">
            <w:pPr>
              <w:spacing w:line="360" w:lineRule="auto"/>
              <w:ind w:firstLine="210" w:firstLineChars="100"/>
              <w:rPr>
                <w:rFonts w:hint="eastAsia" w:ascii="宋体" w:hAnsi="宋体"/>
                <w:szCs w:val="21"/>
              </w:rPr>
            </w:pPr>
            <w:r>
              <w:rPr>
                <w:rFonts w:ascii="宋体" w:hAnsi="宋体" w:cs="宋体"/>
                <w:kern w:val="0"/>
                <w:szCs w:val="21"/>
              </w:rPr>
              <w:t>0.8%</w:t>
            </w:r>
          </w:p>
        </w:tc>
        <w:tc>
          <w:tcPr>
            <w:tcW w:w="978" w:type="pct"/>
          </w:tcPr>
          <w:p w14:paraId="14CA478B">
            <w:pPr>
              <w:spacing w:line="360" w:lineRule="auto"/>
              <w:ind w:firstLine="210" w:firstLineChars="100"/>
              <w:rPr>
                <w:rFonts w:hint="eastAsia" w:ascii="宋体" w:hAnsi="宋体"/>
                <w:szCs w:val="21"/>
              </w:rPr>
            </w:pPr>
            <w:r>
              <w:rPr>
                <w:rFonts w:ascii="宋体" w:hAnsi="宋体" w:cs="宋体"/>
                <w:kern w:val="0"/>
                <w:szCs w:val="21"/>
              </w:rPr>
              <w:t xml:space="preserve">0.7% </w:t>
            </w:r>
          </w:p>
        </w:tc>
      </w:tr>
      <w:tr w14:paraId="58AB2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Pr>
          <w:p w14:paraId="14225B10">
            <w:pPr>
              <w:spacing w:line="360" w:lineRule="auto"/>
              <w:rPr>
                <w:rFonts w:hint="eastAsia" w:ascii="宋体" w:hAnsi="宋体"/>
                <w:szCs w:val="21"/>
              </w:rPr>
            </w:pPr>
            <w:r>
              <w:rPr>
                <w:rFonts w:hint="eastAsia" w:ascii="宋体" w:hAnsi="宋体"/>
                <w:szCs w:val="21"/>
              </w:rPr>
              <w:t>500万元～1000万元</w:t>
            </w:r>
          </w:p>
        </w:tc>
        <w:tc>
          <w:tcPr>
            <w:tcW w:w="978" w:type="pct"/>
          </w:tcPr>
          <w:p w14:paraId="050C20F3">
            <w:pPr>
              <w:spacing w:line="360" w:lineRule="auto"/>
              <w:rPr>
                <w:rFonts w:hint="eastAsia" w:ascii="宋体" w:hAnsi="宋体"/>
                <w:szCs w:val="21"/>
              </w:rPr>
            </w:pPr>
            <w:r>
              <w:rPr>
                <w:rFonts w:hint="eastAsia" w:ascii="宋体" w:hAnsi="宋体" w:cs="宋体"/>
                <w:kern w:val="0"/>
                <w:szCs w:val="21"/>
              </w:rPr>
              <w:t xml:space="preserve">  </w:t>
            </w:r>
            <w:r>
              <w:rPr>
                <w:rFonts w:ascii="宋体" w:hAnsi="宋体" w:cs="宋体"/>
                <w:kern w:val="0"/>
                <w:szCs w:val="21"/>
              </w:rPr>
              <w:t xml:space="preserve">0.8% </w:t>
            </w:r>
            <w:r>
              <w:rPr>
                <w:rFonts w:hint="eastAsia" w:ascii="宋体" w:hAnsi="宋体" w:cs="宋体"/>
                <w:kern w:val="0"/>
                <w:szCs w:val="21"/>
              </w:rPr>
              <w:t xml:space="preserve">               </w:t>
            </w:r>
          </w:p>
        </w:tc>
        <w:tc>
          <w:tcPr>
            <w:tcW w:w="994" w:type="pct"/>
          </w:tcPr>
          <w:p w14:paraId="3D58BD3B">
            <w:pPr>
              <w:spacing w:line="360" w:lineRule="auto"/>
              <w:ind w:firstLine="210" w:firstLineChars="100"/>
              <w:rPr>
                <w:rFonts w:hint="eastAsia" w:ascii="宋体" w:hAnsi="宋体"/>
                <w:szCs w:val="21"/>
              </w:rPr>
            </w:pPr>
            <w:r>
              <w:rPr>
                <w:rFonts w:ascii="宋体" w:hAnsi="宋体" w:cs="宋体"/>
                <w:kern w:val="0"/>
                <w:szCs w:val="21"/>
              </w:rPr>
              <w:t>0.45%</w:t>
            </w:r>
          </w:p>
        </w:tc>
        <w:tc>
          <w:tcPr>
            <w:tcW w:w="978" w:type="pct"/>
          </w:tcPr>
          <w:p w14:paraId="106047B2">
            <w:pPr>
              <w:spacing w:line="360" w:lineRule="auto"/>
              <w:ind w:firstLine="210" w:firstLineChars="100"/>
              <w:rPr>
                <w:rFonts w:hint="eastAsia" w:ascii="宋体" w:hAnsi="宋体"/>
                <w:szCs w:val="21"/>
              </w:rPr>
            </w:pPr>
            <w:r>
              <w:rPr>
                <w:rFonts w:ascii="宋体" w:hAnsi="宋体" w:cs="宋体"/>
                <w:kern w:val="0"/>
                <w:szCs w:val="21"/>
              </w:rPr>
              <w:t>0.55%</w:t>
            </w:r>
          </w:p>
        </w:tc>
      </w:tr>
      <w:tr w14:paraId="00DB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Pr>
          <w:p w14:paraId="382486F3">
            <w:pPr>
              <w:spacing w:line="360" w:lineRule="auto"/>
              <w:rPr>
                <w:rFonts w:hint="eastAsia" w:ascii="宋体" w:hAnsi="宋体"/>
                <w:szCs w:val="21"/>
              </w:rPr>
            </w:pPr>
            <w:r>
              <w:rPr>
                <w:rFonts w:hint="eastAsia" w:ascii="宋体" w:hAnsi="宋体"/>
                <w:szCs w:val="21"/>
              </w:rPr>
              <w:t>1000万元～5000万元</w:t>
            </w:r>
          </w:p>
        </w:tc>
        <w:tc>
          <w:tcPr>
            <w:tcW w:w="978" w:type="pct"/>
          </w:tcPr>
          <w:p w14:paraId="6C59FCAE">
            <w:pPr>
              <w:spacing w:line="360" w:lineRule="auto"/>
              <w:ind w:firstLine="210" w:firstLineChars="100"/>
              <w:rPr>
                <w:rFonts w:hint="eastAsia" w:ascii="宋体" w:hAnsi="宋体"/>
                <w:szCs w:val="21"/>
              </w:rPr>
            </w:pPr>
            <w:r>
              <w:rPr>
                <w:rFonts w:ascii="宋体" w:hAnsi="宋体" w:cs="宋体"/>
                <w:kern w:val="0"/>
                <w:szCs w:val="21"/>
              </w:rPr>
              <w:t xml:space="preserve">0.5% </w:t>
            </w:r>
            <w:r>
              <w:rPr>
                <w:rFonts w:hint="eastAsia" w:ascii="宋体" w:hAnsi="宋体" w:cs="宋体"/>
                <w:kern w:val="0"/>
                <w:szCs w:val="21"/>
              </w:rPr>
              <w:t xml:space="preserve">               </w:t>
            </w:r>
          </w:p>
        </w:tc>
        <w:tc>
          <w:tcPr>
            <w:tcW w:w="994" w:type="pct"/>
          </w:tcPr>
          <w:p w14:paraId="533F8856">
            <w:pPr>
              <w:spacing w:line="360" w:lineRule="auto"/>
              <w:ind w:firstLine="210" w:firstLineChars="100"/>
              <w:rPr>
                <w:rFonts w:hint="eastAsia" w:ascii="宋体" w:hAnsi="宋体"/>
                <w:szCs w:val="21"/>
              </w:rPr>
            </w:pPr>
            <w:r>
              <w:rPr>
                <w:rFonts w:ascii="宋体" w:hAnsi="宋体" w:cs="宋体"/>
                <w:kern w:val="0"/>
                <w:szCs w:val="21"/>
              </w:rPr>
              <w:t>0.25%</w:t>
            </w:r>
          </w:p>
        </w:tc>
        <w:tc>
          <w:tcPr>
            <w:tcW w:w="978" w:type="pct"/>
          </w:tcPr>
          <w:p w14:paraId="475E1F16">
            <w:pPr>
              <w:spacing w:line="360" w:lineRule="auto"/>
              <w:ind w:firstLine="210" w:firstLineChars="100"/>
              <w:rPr>
                <w:rFonts w:hint="eastAsia" w:ascii="宋体" w:hAnsi="宋体"/>
                <w:szCs w:val="21"/>
              </w:rPr>
            </w:pPr>
            <w:r>
              <w:rPr>
                <w:rFonts w:ascii="宋体" w:hAnsi="宋体" w:cs="宋体"/>
                <w:kern w:val="0"/>
                <w:szCs w:val="21"/>
              </w:rPr>
              <w:t xml:space="preserve">0.35% </w:t>
            </w:r>
          </w:p>
        </w:tc>
      </w:tr>
      <w:tr w14:paraId="01EE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Pr>
          <w:p w14:paraId="7DCA141B">
            <w:pPr>
              <w:spacing w:line="360" w:lineRule="auto"/>
              <w:rPr>
                <w:rFonts w:hint="eastAsia" w:ascii="宋体" w:hAnsi="宋体"/>
                <w:szCs w:val="21"/>
              </w:rPr>
            </w:pPr>
            <w:r>
              <w:rPr>
                <w:rFonts w:hint="eastAsia" w:ascii="宋体" w:hAnsi="宋体"/>
                <w:szCs w:val="21"/>
              </w:rPr>
              <w:t>5000万元～1亿元</w:t>
            </w:r>
          </w:p>
        </w:tc>
        <w:tc>
          <w:tcPr>
            <w:tcW w:w="978" w:type="pct"/>
          </w:tcPr>
          <w:p w14:paraId="4C724CCA">
            <w:pPr>
              <w:spacing w:line="360" w:lineRule="auto"/>
              <w:ind w:firstLine="210" w:firstLineChars="100"/>
              <w:rPr>
                <w:rFonts w:hint="eastAsia" w:ascii="宋体" w:hAnsi="宋体"/>
                <w:szCs w:val="21"/>
              </w:rPr>
            </w:pPr>
            <w:r>
              <w:rPr>
                <w:rFonts w:ascii="宋体" w:hAnsi="宋体" w:cs="宋体"/>
                <w:kern w:val="0"/>
                <w:szCs w:val="21"/>
              </w:rPr>
              <w:t xml:space="preserve">0.25% </w:t>
            </w:r>
            <w:r>
              <w:rPr>
                <w:rFonts w:hint="eastAsia" w:ascii="宋体" w:hAnsi="宋体" w:cs="宋体"/>
                <w:kern w:val="0"/>
                <w:szCs w:val="21"/>
              </w:rPr>
              <w:t xml:space="preserve">      </w:t>
            </w:r>
            <w:r>
              <w:rPr>
                <w:rFonts w:ascii="宋体" w:hAnsi="宋体" w:cs="宋体"/>
                <w:kern w:val="0"/>
                <w:szCs w:val="21"/>
              </w:rPr>
              <w:t xml:space="preserve"> </w:t>
            </w:r>
            <w:r>
              <w:rPr>
                <w:rFonts w:hint="eastAsia" w:ascii="宋体" w:hAnsi="宋体" w:cs="宋体"/>
                <w:kern w:val="0"/>
                <w:szCs w:val="21"/>
              </w:rPr>
              <w:t xml:space="preserve">         </w:t>
            </w:r>
          </w:p>
        </w:tc>
        <w:tc>
          <w:tcPr>
            <w:tcW w:w="994" w:type="pct"/>
          </w:tcPr>
          <w:p w14:paraId="57F8C5DC">
            <w:pPr>
              <w:spacing w:line="360" w:lineRule="auto"/>
              <w:ind w:firstLine="210" w:firstLineChars="100"/>
              <w:rPr>
                <w:rFonts w:hint="eastAsia" w:ascii="宋体" w:hAnsi="宋体"/>
                <w:szCs w:val="21"/>
              </w:rPr>
            </w:pPr>
            <w:r>
              <w:rPr>
                <w:rFonts w:ascii="宋体" w:hAnsi="宋体" w:cs="宋体"/>
                <w:kern w:val="0"/>
                <w:szCs w:val="21"/>
              </w:rPr>
              <w:t>0.1%</w:t>
            </w:r>
          </w:p>
        </w:tc>
        <w:tc>
          <w:tcPr>
            <w:tcW w:w="978" w:type="pct"/>
          </w:tcPr>
          <w:p w14:paraId="7DCB7903">
            <w:pPr>
              <w:spacing w:line="360" w:lineRule="auto"/>
              <w:ind w:firstLine="210" w:firstLineChars="100"/>
              <w:rPr>
                <w:rFonts w:hint="eastAsia" w:ascii="宋体" w:hAnsi="宋体"/>
                <w:szCs w:val="21"/>
              </w:rPr>
            </w:pPr>
            <w:r>
              <w:rPr>
                <w:rFonts w:ascii="宋体" w:hAnsi="宋体" w:cs="宋体"/>
                <w:kern w:val="0"/>
                <w:szCs w:val="21"/>
              </w:rPr>
              <w:t>0.2%</w:t>
            </w:r>
          </w:p>
        </w:tc>
      </w:tr>
      <w:tr w14:paraId="7861D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Pr>
          <w:p w14:paraId="309CE895">
            <w:pPr>
              <w:spacing w:line="360" w:lineRule="auto"/>
              <w:rPr>
                <w:rFonts w:hint="eastAsia" w:ascii="宋体" w:hAnsi="宋体"/>
                <w:szCs w:val="21"/>
              </w:rPr>
            </w:pPr>
            <w:r>
              <w:rPr>
                <w:rFonts w:hint="eastAsia" w:ascii="宋体" w:hAnsi="宋体"/>
                <w:szCs w:val="21"/>
              </w:rPr>
              <w:t>1亿元～5亿元</w:t>
            </w:r>
          </w:p>
        </w:tc>
        <w:tc>
          <w:tcPr>
            <w:tcW w:w="978" w:type="pct"/>
          </w:tcPr>
          <w:p w14:paraId="0E936D82">
            <w:pPr>
              <w:spacing w:line="360" w:lineRule="auto"/>
              <w:ind w:firstLine="210" w:firstLineChars="100"/>
              <w:rPr>
                <w:rFonts w:hint="eastAsia" w:ascii="宋体" w:hAnsi="宋体"/>
                <w:szCs w:val="21"/>
              </w:rPr>
            </w:pPr>
            <w:r>
              <w:rPr>
                <w:rFonts w:hint="eastAsia" w:ascii="宋体" w:hAnsi="宋体"/>
                <w:szCs w:val="21"/>
              </w:rPr>
              <w:t>0.05%</w:t>
            </w:r>
          </w:p>
        </w:tc>
        <w:tc>
          <w:tcPr>
            <w:tcW w:w="994" w:type="pct"/>
          </w:tcPr>
          <w:p w14:paraId="48DCC262">
            <w:pPr>
              <w:spacing w:line="360" w:lineRule="auto"/>
              <w:rPr>
                <w:rFonts w:hint="eastAsia" w:ascii="宋体" w:hAnsi="宋体"/>
                <w:szCs w:val="21"/>
              </w:rPr>
            </w:pPr>
            <w:r>
              <w:rPr>
                <w:rFonts w:hint="eastAsia" w:ascii="宋体" w:hAnsi="宋体"/>
                <w:szCs w:val="21"/>
              </w:rPr>
              <w:t xml:space="preserve">  0.05%</w:t>
            </w:r>
          </w:p>
        </w:tc>
        <w:tc>
          <w:tcPr>
            <w:tcW w:w="978" w:type="pct"/>
          </w:tcPr>
          <w:p w14:paraId="5819FF3E">
            <w:pPr>
              <w:spacing w:line="360" w:lineRule="auto"/>
              <w:rPr>
                <w:rFonts w:hint="eastAsia" w:ascii="宋体" w:hAnsi="宋体"/>
                <w:szCs w:val="21"/>
              </w:rPr>
            </w:pPr>
            <w:r>
              <w:rPr>
                <w:rFonts w:hint="eastAsia" w:ascii="宋体" w:hAnsi="宋体"/>
                <w:szCs w:val="21"/>
              </w:rPr>
              <w:t xml:space="preserve">  0.05%</w:t>
            </w:r>
          </w:p>
        </w:tc>
      </w:tr>
      <w:tr w14:paraId="55A07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Pr>
          <w:p w14:paraId="5DB383B8">
            <w:pPr>
              <w:spacing w:line="360" w:lineRule="auto"/>
              <w:rPr>
                <w:rFonts w:hint="eastAsia" w:ascii="宋体" w:hAnsi="宋体"/>
                <w:szCs w:val="21"/>
              </w:rPr>
            </w:pPr>
            <w:r>
              <w:rPr>
                <w:rFonts w:hint="eastAsia" w:ascii="宋体" w:hAnsi="宋体"/>
                <w:szCs w:val="21"/>
              </w:rPr>
              <w:t>5亿元～10亿元</w:t>
            </w:r>
          </w:p>
        </w:tc>
        <w:tc>
          <w:tcPr>
            <w:tcW w:w="978" w:type="pct"/>
          </w:tcPr>
          <w:p w14:paraId="4AD10987">
            <w:pPr>
              <w:spacing w:line="360" w:lineRule="auto"/>
              <w:ind w:firstLine="105" w:firstLineChars="50"/>
              <w:rPr>
                <w:rFonts w:hint="eastAsia" w:ascii="宋体" w:hAnsi="宋体"/>
                <w:szCs w:val="21"/>
              </w:rPr>
            </w:pPr>
            <w:r>
              <w:rPr>
                <w:rFonts w:hint="eastAsia" w:ascii="宋体" w:hAnsi="宋体"/>
                <w:szCs w:val="21"/>
              </w:rPr>
              <w:t>0.035%</w:t>
            </w:r>
          </w:p>
        </w:tc>
        <w:tc>
          <w:tcPr>
            <w:tcW w:w="994" w:type="pct"/>
          </w:tcPr>
          <w:p w14:paraId="50675828">
            <w:pPr>
              <w:spacing w:line="360" w:lineRule="auto"/>
              <w:rPr>
                <w:rFonts w:hint="eastAsia" w:ascii="宋体" w:hAnsi="宋体"/>
                <w:szCs w:val="21"/>
              </w:rPr>
            </w:pPr>
            <w:r>
              <w:rPr>
                <w:rFonts w:hint="eastAsia" w:ascii="宋体" w:hAnsi="宋体"/>
                <w:szCs w:val="21"/>
              </w:rPr>
              <w:t xml:space="preserve">  0.035%</w:t>
            </w:r>
          </w:p>
        </w:tc>
        <w:tc>
          <w:tcPr>
            <w:tcW w:w="978" w:type="pct"/>
          </w:tcPr>
          <w:p w14:paraId="27ADE7C0">
            <w:pPr>
              <w:spacing w:line="360" w:lineRule="auto"/>
              <w:ind w:firstLine="105" w:firstLineChars="50"/>
              <w:rPr>
                <w:rFonts w:hint="eastAsia" w:ascii="宋体" w:hAnsi="宋体"/>
                <w:szCs w:val="21"/>
              </w:rPr>
            </w:pPr>
            <w:r>
              <w:rPr>
                <w:rFonts w:hint="eastAsia" w:ascii="宋体" w:hAnsi="宋体"/>
                <w:szCs w:val="21"/>
              </w:rPr>
              <w:t>0.035%</w:t>
            </w:r>
          </w:p>
        </w:tc>
      </w:tr>
      <w:tr w14:paraId="3BBE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Pr>
          <w:p w14:paraId="07D5585B">
            <w:pPr>
              <w:spacing w:line="360" w:lineRule="auto"/>
              <w:rPr>
                <w:rFonts w:hint="eastAsia" w:ascii="宋体" w:hAnsi="宋体"/>
                <w:szCs w:val="21"/>
              </w:rPr>
            </w:pPr>
            <w:r>
              <w:rPr>
                <w:rFonts w:hint="eastAsia" w:ascii="宋体" w:hAnsi="宋体"/>
                <w:szCs w:val="21"/>
              </w:rPr>
              <w:t>10亿元～50亿元</w:t>
            </w:r>
          </w:p>
        </w:tc>
        <w:tc>
          <w:tcPr>
            <w:tcW w:w="978" w:type="pct"/>
          </w:tcPr>
          <w:p w14:paraId="1EAB44B9">
            <w:pPr>
              <w:spacing w:line="360" w:lineRule="auto"/>
              <w:ind w:firstLine="105" w:firstLineChars="50"/>
              <w:rPr>
                <w:rFonts w:hint="eastAsia" w:ascii="宋体" w:hAnsi="宋体"/>
                <w:szCs w:val="21"/>
              </w:rPr>
            </w:pPr>
            <w:r>
              <w:rPr>
                <w:rFonts w:hint="eastAsia" w:ascii="宋体" w:hAnsi="宋体"/>
                <w:szCs w:val="21"/>
              </w:rPr>
              <w:t>0.008%</w:t>
            </w:r>
          </w:p>
        </w:tc>
        <w:tc>
          <w:tcPr>
            <w:tcW w:w="994" w:type="pct"/>
          </w:tcPr>
          <w:p w14:paraId="2B782062">
            <w:pPr>
              <w:spacing w:line="360" w:lineRule="auto"/>
              <w:ind w:firstLine="210" w:firstLineChars="100"/>
              <w:rPr>
                <w:rFonts w:hint="eastAsia" w:ascii="宋体" w:hAnsi="宋体"/>
                <w:szCs w:val="21"/>
              </w:rPr>
            </w:pPr>
            <w:r>
              <w:rPr>
                <w:rFonts w:hint="eastAsia" w:ascii="宋体" w:hAnsi="宋体"/>
                <w:szCs w:val="21"/>
              </w:rPr>
              <w:t>0.008%</w:t>
            </w:r>
          </w:p>
        </w:tc>
        <w:tc>
          <w:tcPr>
            <w:tcW w:w="978" w:type="pct"/>
          </w:tcPr>
          <w:p w14:paraId="3A7F2BC4">
            <w:pPr>
              <w:spacing w:line="360" w:lineRule="auto"/>
              <w:ind w:firstLine="105" w:firstLineChars="50"/>
              <w:rPr>
                <w:rFonts w:hint="eastAsia" w:ascii="宋体" w:hAnsi="宋体"/>
                <w:szCs w:val="21"/>
              </w:rPr>
            </w:pPr>
            <w:r>
              <w:rPr>
                <w:rFonts w:hint="eastAsia" w:ascii="宋体" w:hAnsi="宋体"/>
                <w:szCs w:val="21"/>
              </w:rPr>
              <w:t>0.008%</w:t>
            </w:r>
          </w:p>
        </w:tc>
      </w:tr>
      <w:tr w14:paraId="2F222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Pr>
          <w:p w14:paraId="201A5636">
            <w:pPr>
              <w:spacing w:line="360" w:lineRule="auto"/>
              <w:rPr>
                <w:rFonts w:hint="eastAsia" w:ascii="宋体" w:hAnsi="宋体"/>
                <w:szCs w:val="21"/>
              </w:rPr>
            </w:pPr>
            <w:r>
              <w:rPr>
                <w:rFonts w:hint="eastAsia" w:ascii="宋体" w:hAnsi="宋体"/>
                <w:szCs w:val="21"/>
              </w:rPr>
              <w:t>50亿元～100亿元</w:t>
            </w:r>
          </w:p>
        </w:tc>
        <w:tc>
          <w:tcPr>
            <w:tcW w:w="978" w:type="pct"/>
          </w:tcPr>
          <w:p w14:paraId="2D6A0918">
            <w:pPr>
              <w:spacing w:line="360" w:lineRule="auto"/>
              <w:rPr>
                <w:rFonts w:hint="eastAsia" w:ascii="宋体" w:hAnsi="宋体"/>
                <w:szCs w:val="21"/>
              </w:rPr>
            </w:pPr>
            <w:r>
              <w:rPr>
                <w:rFonts w:hint="eastAsia" w:ascii="宋体" w:hAnsi="宋体"/>
                <w:szCs w:val="21"/>
              </w:rPr>
              <w:t xml:space="preserve"> 0.006%</w:t>
            </w:r>
          </w:p>
        </w:tc>
        <w:tc>
          <w:tcPr>
            <w:tcW w:w="994" w:type="pct"/>
          </w:tcPr>
          <w:p w14:paraId="57EBAF64">
            <w:pPr>
              <w:spacing w:line="360" w:lineRule="auto"/>
              <w:ind w:firstLine="210" w:firstLineChars="100"/>
              <w:rPr>
                <w:rFonts w:hint="eastAsia" w:ascii="宋体" w:hAnsi="宋体"/>
                <w:szCs w:val="21"/>
              </w:rPr>
            </w:pPr>
            <w:r>
              <w:rPr>
                <w:rFonts w:hint="eastAsia" w:ascii="宋体" w:hAnsi="宋体"/>
                <w:szCs w:val="21"/>
              </w:rPr>
              <w:t>0.006%</w:t>
            </w:r>
          </w:p>
        </w:tc>
        <w:tc>
          <w:tcPr>
            <w:tcW w:w="978" w:type="pct"/>
          </w:tcPr>
          <w:p w14:paraId="07B468B9">
            <w:pPr>
              <w:spacing w:line="360" w:lineRule="auto"/>
              <w:ind w:firstLine="105" w:firstLineChars="50"/>
              <w:rPr>
                <w:rFonts w:hint="eastAsia" w:ascii="宋体" w:hAnsi="宋体"/>
                <w:szCs w:val="21"/>
              </w:rPr>
            </w:pPr>
            <w:r>
              <w:rPr>
                <w:rFonts w:hint="eastAsia" w:ascii="宋体" w:hAnsi="宋体"/>
                <w:szCs w:val="21"/>
              </w:rPr>
              <w:t>0.006%</w:t>
            </w:r>
          </w:p>
        </w:tc>
      </w:tr>
      <w:tr w14:paraId="06BE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7" w:type="pct"/>
          </w:tcPr>
          <w:p w14:paraId="4C8E634B">
            <w:pPr>
              <w:spacing w:line="360" w:lineRule="auto"/>
              <w:rPr>
                <w:rFonts w:hint="eastAsia" w:ascii="宋体" w:hAnsi="宋体"/>
                <w:szCs w:val="21"/>
              </w:rPr>
            </w:pPr>
            <w:r>
              <w:rPr>
                <w:rFonts w:hint="eastAsia" w:ascii="宋体" w:hAnsi="宋体"/>
                <w:szCs w:val="21"/>
              </w:rPr>
              <w:t>100亿以上</w:t>
            </w:r>
          </w:p>
        </w:tc>
        <w:tc>
          <w:tcPr>
            <w:tcW w:w="978" w:type="pct"/>
          </w:tcPr>
          <w:p w14:paraId="0D84003A">
            <w:pPr>
              <w:spacing w:line="360" w:lineRule="auto"/>
              <w:rPr>
                <w:rFonts w:hint="eastAsia" w:ascii="宋体" w:hAnsi="宋体"/>
                <w:szCs w:val="21"/>
              </w:rPr>
            </w:pPr>
            <w:r>
              <w:rPr>
                <w:rFonts w:hint="eastAsia" w:ascii="宋体" w:hAnsi="宋体"/>
                <w:szCs w:val="21"/>
              </w:rPr>
              <w:t xml:space="preserve"> 0.004%</w:t>
            </w:r>
          </w:p>
        </w:tc>
        <w:tc>
          <w:tcPr>
            <w:tcW w:w="994" w:type="pct"/>
          </w:tcPr>
          <w:p w14:paraId="1C096B98">
            <w:pPr>
              <w:spacing w:line="360" w:lineRule="auto"/>
              <w:ind w:firstLine="210" w:firstLineChars="100"/>
              <w:rPr>
                <w:rFonts w:hint="eastAsia" w:ascii="宋体" w:hAnsi="宋体"/>
                <w:szCs w:val="21"/>
              </w:rPr>
            </w:pPr>
            <w:r>
              <w:rPr>
                <w:rFonts w:hint="eastAsia" w:ascii="宋体" w:hAnsi="宋体"/>
                <w:szCs w:val="21"/>
              </w:rPr>
              <w:t>0.004%</w:t>
            </w:r>
          </w:p>
        </w:tc>
        <w:tc>
          <w:tcPr>
            <w:tcW w:w="978" w:type="pct"/>
          </w:tcPr>
          <w:p w14:paraId="30715460">
            <w:pPr>
              <w:spacing w:line="360" w:lineRule="auto"/>
              <w:ind w:firstLine="105" w:firstLineChars="50"/>
              <w:rPr>
                <w:rFonts w:hint="eastAsia" w:ascii="宋体" w:hAnsi="宋体"/>
                <w:szCs w:val="21"/>
              </w:rPr>
            </w:pPr>
            <w:r>
              <w:rPr>
                <w:rFonts w:hint="eastAsia" w:ascii="宋体" w:hAnsi="宋体"/>
                <w:szCs w:val="21"/>
              </w:rPr>
              <w:t>0.004%</w:t>
            </w:r>
          </w:p>
        </w:tc>
      </w:tr>
    </w:tbl>
    <w:p w14:paraId="5E530565">
      <w:pPr>
        <w:spacing w:line="360" w:lineRule="auto"/>
        <w:ind w:firstLine="420" w:firstLineChars="200"/>
        <w:rPr>
          <w:rFonts w:hint="eastAsia" w:ascii="宋体" w:hAnsi="宋体" w:cs="宋体"/>
          <w:szCs w:val="21"/>
        </w:rPr>
      </w:pPr>
      <w:r>
        <w:rPr>
          <w:rFonts w:hint="eastAsia" w:ascii="宋体" w:hAnsi="宋体"/>
          <w:szCs w:val="21"/>
        </w:rPr>
        <w:t>注：</w:t>
      </w:r>
      <w:r>
        <w:rPr>
          <w:rFonts w:ascii="宋体" w:hAnsi="宋体" w:cs="宋体"/>
          <w:szCs w:val="21"/>
        </w:rPr>
        <w:t xml:space="preserve"> </w:t>
      </w:r>
    </w:p>
    <w:p w14:paraId="3202CDAE">
      <w:pPr>
        <w:numPr>
          <w:ilvl w:val="0"/>
          <w:numId w:val="12"/>
        </w:numPr>
        <w:spacing w:line="360" w:lineRule="auto"/>
        <w:ind w:firstLine="420" w:firstLineChars="200"/>
        <w:rPr>
          <w:rFonts w:hint="eastAsia" w:ascii="宋体" w:hAnsi="宋体" w:cs="宋体"/>
          <w:szCs w:val="21"/>
        </w:rPr>
      </w:pPr>
      <w:r>
        <w:rPr>
          <w:rFonts w:hint="eastAsia" w:ascii="宋体" w:hAnsi="宋体" w:cs="宋体"/>
          <w:szCs w:val="21"/>
        </w:rPr>
        <w:t>按照代理服务费收费计算标准收取代理服务费；</w:t>
      </w:r>
    </w:p>
    <w:p w14:paraId="30996BD2">
      <w:pPr>
        <w:spacing w:line="360" w:lineRule="auto"/>
        <w:ind w:firstLine="420" w:firstLineChars="200"/>
      </w:pPr>
      <w:r>
        <w:rPr>
          <w:rFonts w:hint="eastAsia" w:ascii="宋体" w:hAnsi="宋体" w:cs="宋体"/>
        </w:rPr>
        <w:t>（2）按本表费率计算的收费为采购代理的收费基准价格；</w:t>
      </w:r>
    </w:p>
    <w:p w14:paraId="08CA2871">
      <w:pPr>
        <w:spacing w:line="360" w:lineRule="auto"/>
        <w:ind w:firstLine="420" w:firstLineChars="200"/>
        <w:rPr>
          <w:rFonts w:hint="eastAsia" w:ascii="宋体" w:hAnsi="宋体" w:cs="宋体"/>
          <w:szCs w:val="21"/>
        </w:rPr>
      </w:pPr>
      <w:r>
        <w:rPr>
          <w:rFonts w:hint="eastAsia" w:ascii="宋体" w:hAnsi="宋体" w:cs="宋体"/>
          <w:szCs w:val="21"/>
        </w:rPr>
        <w:t>（3）采购</w:t>
      </w:r>
      <w:r>
        <w:rPr>
          <w:rFonts w:ascii="宋体" w:hAnsi="宋体" w:cs="宋体"/>
          <w:szCs w:val="21"/>
        </w:rPr>
        <w:t>代理收费按差额定率累进法计算。</w:t>
      </w:r>
    </w:p>
    <w:p w14:paraId="4E7E1FA9">
      <w:pPr>
        <w:pStyle w:val="8"/>
        <w:keepNext w:val="0"/>
        <w:keepLines w:val="0"/>
        <w:spacing w:before="0" w:after="0" w:line="360" w:lineRule="auto"/>
        <w:ind w:left="420" w:leftChars="200"/>
        <w:rPr>
          <w:rFonts w:hint="eastAsia" w:ascii="黑体" w:hAnsi="黑体" w:eastAsia="黑体"/>
          <w:sz w:val="24"/>
        </w:rPr>
      </w:pPr>
      <w:r>
        <w:rPr>
          <w:rFonts w:ascii="黑体" w:hAnsi="黑体" w:eastAsia="黑体"/>
          <w:sz w:val="24"/>
        </w:rPr>
        <w:t>40. 需要补充的其他内容</w:t>
      </w:r>
    </w:p>
    <w:p w14:paraId="57918177">
      <w:pPr>
        <w:pStyle w:val="18"/>
        <w:spacing w:line="360" w:lineRule="auto"/>
        <w:ind w:firstLine="420" w:firstLineChars="200"/>
        <w:rPr>
          <w:rFonts w:hint="eastAsia" w:hAnsi="宋体" w:cs="宋体"/>
        </w:rPr>
      </w:pPr>
      <w:r>
        <w:rPr>
          <w:rFonts w:hint="eastAsia" w:hAnsi="宋体" w:cs="宋体"/>
        </w:rPr>
        <w:t>40.1本采购文件解释规则详见“投标人须知前附表”。</w:t>
      </w:r>
    </w:p>
    <w:p w14:paraId="0420A1BA">
      <w:pPr>
        <w:pStyle w:val="18"/>
        <w:spacing w:line="360" w:lineRule="auto"/>
        <w:ind w:firstLine="420" w:firstLineChars="200"/>
        <w:rPr>
          <w:rFonts w:hint="eastAsia" w:hAnsi="宋体" w:cs="宋体"/>
        </w:rPr>
      </w:pPr>
      <w:r>
        <w:rPr>
          <w:rFonts w:hint="eastAsia" w:hAnsi="宋体" w:cs="宋体"/>
        </w:rPr>
        <w:t>40.2 其他事项详见“投标人须知前附表”。</w:t>
      </w:r>
    </w:p>
    <w:p w14:paraId="72E91AD5">
      <w:pPr>
        <w:pStyle w:val="18"/>
        <w:spacing w:line="360" w:lineRule="auto"/>
        <w:ind w:firstLine="420" w:firstLineChars="200"/>
        <w:rPr>
          <w:rFonts w:hint="eastAsia" w:hAnsi="宋体" w:cs="宋体"/>
        </w:rPr>
      </w:pPr>
      <w:r>
        <w:rPr>
          <w:rFonts w:hint="eastAsia" w:hAnsi="宋体" w:cs="宋体"/>
        </w:rPr>
        <w:t>40.3本采购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采购文件规定的中小企业扶持政策：</w:t>
      </w:r>
    </w:p>
    <w:p w14:paraId="73B75B68">
      <w:pPr>
        <w:pStyle w:val="18"/>
        <w:spacing w:line="360" w:lineRule="auto"/>
        <w:ind w:firstLine="420" w:firstLineChars="200"/>
        <w:rPr>
          <w:rFonts w:hint="eastAsia" w:hAnsi="宋体" w:cs="宋体"/>
        </w:rPr>
      </w:pPr>
      <w:r>
        <w:rPr>
          <w:rFonts w:hint="eastAsia" w:hAnsi="宋体" w:cs="宋体"/>
        </w:rPr>
        <w:t>（1）在货物采购项目中，货物由中小企业制造，即货物由中小企业生产且使用该中小企业商号或者注册商标，不对其中涉及的工程承建商和服务的承接商作出要求；</w:t>
      </w:r>
    </w:p>
    <w:p w14:paraId="5C3A92B3">
      <w:pPr>
        <w:pStyle w:val="18"/>
        <w:spacing w:line="360" w:lineRule="auto"/>
        <w:ind w:firstLine="420" w:firstLineChars="200"/>
        <w:rPr>
          <w:rFonts w:hint="eastAsia" w:hAnsi="宋体" w:cs="宋体"/>
        </w:rPr>
      </w:pPr>
      <w:r>
        <w:rPr>
          <w:rFonts w:hint="eastAsia" w:hAnsi="宋体" w:cs="宋体"/>
        </w:rPr>
        <w:t>（2）在工程采购项目中，工程由中小企业承建，即工程施工单位为中小企业，不对其中涉及的货物的制造商和服务的承接商作出要求；</w:t>
      </w:r>
    </w:p>
    <w:p w14:paraId="4E1AC8D9">
      <w:pPr>
        <w:pStyle w:val="18"/>
        <w:spacing w:line="360" w:lineRule="auto"/>
        <w:ind w:firstLine="420" w:firstLineChars="200"/>
        <w:rPr>
          <w:rFonts w:hint="eastAsia" w:hAnsi="宋体" w:cs="宋体"/>
        </w:rPr>
      </w:pPr>
      <w:r>
        <w:rPr>
          <w:rFonts w:hint="eastAsia" w:hAnsi="宋体" w:cs="宋体"/>
        </w:rPr>
        <w:t>（3）在服务采购项目中，服务由中小企业承接，即提供服务的人员为中小企业依照《中华人民共和国劳动合同法》订立劳动合同的从业人员，不对其中涉及的货物的制造商和工程承建商作出要求。</w:t>
      </w:r>
    </w:p>
    <w:p w14:paraId="74981547">
      <w:pPr>
        <w:pStyle w:val="18"/>
        <w:spacing w:line="360" w:lineRule="auto"/>
        <w:ind w:firstLine="420" w:firstLineChars="200"/>
        <w:rPr>
          <w:rFonts w:hint="eastAsia" w:hAnsi="宋体" w:cs="宋体"/>
        </w:rPr>
      </w:pPr>
      <w:r>
        <w:rPr>
          <w:rFonts w:hint="eastAsia" w:hAnsi="宋体" w:cs="宋体"/>
        </w:rPr>
        <w:t>在货物采购项目中，供应商提供的货物既有中小企业制造货物，也有大型企业制造货物的，不享受本采购文件规定的中小企业扶持政策。以联合体形式参加政府采购活动，联合体各方均为中小企业的，联合体视同中小企业。其中，联合体各方均为小微企业的，联合体视同小微企业。</w:t>
      </w:r>
    </w:p>
    <w:p w14:paraId="09754CF1">
      <w:pPr>
        <w:pStyle w:val="18"/>
        <w:spacing w:line="360" w:lineRule="auto"/>
        <w:ind w:firstLine="420" w:firstLineChars="200"/>
        <w:rPr>
          <w:rFonts w:hint="eastAsia" w:hAnsi="宋体"/>
        </w:rPr>
      </w:pPr>
      <w:r>
        <w:rPr>
          <w:rFonts w:hint="eastAsia" w:hAnsi="宋体" w:cs="宋体"/>
        </w:rPr>
        <w:t>依据本采购文件规定享受扶持政策获得政府采购合同的，小微企业不得将合同分包给大中型企业，中型企业不得将合同分包给大型企业。</w:t>
      </w:r>
      <w:r>
        <w:rPr>
          <w:rFonts w:hAnsi="宋体"/>
        </w:rPr>
        <w:br w:type="page"/>
      </w:r>
    </w:p>
    <w:p w14:paraId="74156EAC">
      <w:pPr>
        <w:pStyle w:val="18"/>
        <w:snapToGrid w:val="0"/>
        <w:spacing w:before="120" w:after="120"/>
        <w:rPr>
          <w:rFonts w:hint="eastAsia" w:hAnsi="宋体"/>
        </w:rPr>
      </w:pPr>
    </w:p>
    <w:p w14:paraId="7543B45E">
      <w:pPr>
        <w:pStyle w:val="18"/>
        <w:snapToGrid w:val="0"/>
        <w:spacing w:before="120" w:after="120"/>
        <w:rPr>
          <w:rFonts w:hint="eastAsia" w:hAnsi="宋体"/>
        </w:rPr>
      </w:pPr>
    </w:p>
    <w:p w14:paraId="416B6BF7">
      <w:pPr>
        <w:pStyle w:val="18"/>
        <w:snapToGrid w:val="0"/>
        <w:spacing w:before="120" w:after="120"/>
        <w:rPr>
          <w:rFonts w:hint="eastAsia" w:hAnsi="宋体"/>
        </w:rPr>
      </w:pPr>
    </w:p>
    <w:p w14:paraId="5119B946">
      <w:pPr>
        <w:pStyle w:val="18"/>
        <w:snapToGrid w:val="0"/>
        <w:spacing w:before="120" w:after="120"/>
        <w:rPr>
          <w:rFonts w:hint="eastAsia" w:hAnsi="宋体"/>
        </w:rPr>
      </w:pPr>
    </w:p>
    <w:p w14:paraId="62E58466">
      <w:pPr>
        <w:pStyle w:val="18"/>
        <w:snapToGrid w:val="0"/>
        <w:spacing w:before="120" w:after="120"/>
        <w:rPr>
          <w:rFonts w:hint="eastAsia" w:hAnsi="宋体"/>
        </w:rPr>
      </w:pPr>
    </w:p>
    <w:p w14:paraId="1A153252">
      <w:pPr>
        <w:pStyle w:val="18"/>
        <w:snapToGrid w:val="0"/>
        <w:spacing w:before="120" w:after="120"/>
        <w:rPr>
          <w:rFonts w:hint="eastAsia" w:hAnsi="宋体"/>
        </w:rPr>
      </w:pPr>
    </w:p>
    <w:p w14:paraId="3A383188">
      <w:pPr>
        <w:pStyle w:val="18"/>
        <w:snapToGrid w:val="0"/>
        <w:spacing w:before="120" w:after="120"/>
        <w:rPr>
          <w:rFonts w:hint="eastAsia" w:hAnsi="宋体"/>
        </w:rPr>
      </w:pPr>
    </w:p>
    <w:p w14:paraId="18D0FBA9">
      <w:pPr>
        <w:pStyle w:val="18"/>
        <w:snapToGrid w:val="0"/>
        <w:spacing w:before="120" w:after="120"/>
        <w:rPr>
          <w:rFonts w:hint="eastAsia" w:hAnsi="宋体"/>
        </w:rPr>
      </w:pPr>
    </w:p>
    <w:p w14:paraId="2453404A">
      <w:pPr>
        <w:pStyle w:val="18"/>
        <w:snapToGrid w:val="0"/>
        <w:spacing w:before="120" w:after="120"/>
        <w:rPr>
          <w:rFonts w:hint="eastAsia" w:hAnsi="宋体"/>
        </w:rPr>
      </w:pPr>
    </w:p>
    <w:p w14:paraId="28D60BB6">
      <w:pPr>
        <w:pStyle w:val="18"/>
        <w:snapToGrid w:val="0"/>
        <w:spacing w:before="120" w:after="120"/>
        <w:rPr>
          <w:rFonts w:hint="eastAsia" w:hAnsi="宋体"/>
        </w:rPr>
      </w:pPr>
    </w:p>
    <w:p w14:paraId="368BFAC4">
      <w:pPr>
        <w:pStyle w:val="18"/>
        <w:snapToGrid w:val="0"/>
        <w:spacing w:before="120" w:after="120"/>
        <w:rPr>
          <w:rFonts w:hint="eastAsia" w:hAnsi="宋体"/>
        </w:rPr>
      </w:pPr>
    </w:p>
    <w:p w14:paraId="33200D24">
      <w:pPr>
        <w:pStyle w:val="18"/>
        <w:snapToGrid w:val="0"/>
        <w:spacing w:before="120" w:after="120"/>
        <w:rPr>
          <w:rFonts w:hint="eastAsia" w:hAnsi="宋体"/>
        </w:rPr>
      </w:pPr>
    </w:p>
    <w:p w14:paraId="6FA4F30B">
      <w:pPr>
        <w:pStyle w:val="18"/>
        <w:snapToGrid w:val="0"/>
        <w:spacing w:before="120" w:after="120"/>
        <w:rPr>
          <w:rFonts w:hint="eastAsia" w:hAnsi="宋体"/>
        </w:rPr>
      </w:pPr>
    </w:p>
    <w:p w14:paraId="260CEC73">
      <w:pPr>
        <w:pStyle w:val="4"/>
        <w:jc w:val="center"/>
      </w:pPr>
      <w:bookmarkStart w:id="131" w:name="_Toc330456896"/>
      <w:bookmarkStart w:id="132" w:name="_Toc187937696"/>
      <w:bookmarkStart w:id="133" w:name="_Toc254970548"/>
      <w:bookmarkStart w:id="134" w:name="_Toc254970689"/>
      <w:r>
        <w:rPr>
          <w:rFonts w:hint="eastAsia"/>
        </w:rPr>
        <w:t>第四章  评标方法及评标标准</w:t>
      </w:r>
      <w:bookmarkEnd w:id="131"/>
      <w:bookmarkEnd w:id="132"/>
      <w:bookmarkEnd w:id="133"/>
      <w:bookmarkEnd w:id="134"/>
    </w:p>
    <w:p w14:paraId="58D7D091">
      <w:bookmarkStart w:id="135" w:name="_Toc254970690"/>
      <w:bookmarkStart w:id="136" w:name="_Toc254970549"/>
    </w:p>
    <w:bookmarkEnd w:id="135"/>
    <w:bookmarkEnd w:id="136"/>
    <w:p w14:paraId="6A692DE1"/>
    <w:p w14:paraId="6011FD75"/>
    <w:p w14:paraId="2D3560D9"/>
    <w:p w14:paraId="73D13B85"/>
    <w:p w14:paraId="3CE56397"/>
    <w:p w14:paraId="472A5E83"/>
    <w:p w14:paraId="3F78AC72"/>
    <w:p w14:paraId="137C57A0"/>
    <w:p w14:paraId="243A502C">
      <w:pPr>
        <w:spacing w:before="120" w:beforeLines="50" w:after="120" w:afterLines="50" w:line="400" w:lineRule="exact"/>
        <w:rPr>
          <w:rFonts w:hint="eastAsia" w:ascii="宋体" w:hAnsi="宋体"/>
          <w:b/>
          <w:sz w:val="24"/>
        </w:rPr>
      </w:pPr>
    </w:p>
    <w:p w14:paraId="6C22608E">
      <w:pPr>
        <w:spacing w:before="120" w:beforeLines="50" w:after="120" w:afterLines="50" w:line="400" w:lineRule="exact"/>
        <w:rPr>
          <w:rFonts w:hint="eastAsia" w:ascii="宋体" w:hAnsi="宋体"/>
          <w:b/>
          <w:sz w:val="24"/>
        </w:rPr>
      </w:pPr>
    </w:p>
    <w:p w14:paraId="7DDF06BE">
      <w:pPr>
        <w:pStyle w:val="18"/>
        <w:spacing w:line="360" w:lineRule="exact"/>
        <w:rPr>
          <w:rFonts w:hint="eastAsia" w:hAnsi="宋体"/>
          <w:b/>
          <w:sz w:val="24"/>
        </w:rPr>
      </w:pPr>
    </w:p>
    <w:p w14:paraId="70129B3C">
      <w:pPr>
        <w:pStyle w:val="18"/>
        <w:spacing w:line="360" w:lineRule="exact"/>
        <w:rPr>
          <w:rFonts w:hint="eastAsia" w:hAnsi="宋体"/>
          <w:b/>
          <w:sz w:val="24"/>
        </w:rPr>
      </w:pPr>
    </w:p>
    <w:p w14:paraId="14DA4283">
      <w:pPr>
        <w:pStyle w:val="18"/>
        <w:spacing w:line="360" w:lineRule="exact"/>
        <w:rPr>
          <w:rFonts w:hint="eastAsia" w:hAnsi="宋体"/>
          <w:b/>
          <w:sz w:val="24"/>
        </w:rPr>
      </w:pPr>
    </w:p>
    <w:p w14:paraId="14365CDB">
      <w:pPr>
        <w:pStyle w:val="18"/>
        <w:spacing w:line="360" w:lineRule="exact"/>
        <w:rPr>
          <w:rFonts w:hint="eastAsia" w:hAnsi="宋体"/>
          <w:b/>
          <w:sz w:val="24"/>
        </w:rPr>
      </w:pPr>
    </w:p>
    <w:p w14:paraId="0494F90E">
      <w:pPr>
        <w:pStyle w:val="18"/>
        <w:spacing w:line="360" w:lineRule="exact"/>
        <w:rPr>
          <w:rFonts w:hint="eastAsia" w:hAnsi="宋体"/>
          <w:b/>
          <w:sz w:val="24"/>
        </w:rPr>
      </w:pPr>
    </w:p>
    <w:p w14:paraId="62234A1A">
      <w:pPr>
        <w:pStyle w:val="18"/>
        <w:spacing w:line="360" w:lineRule="exact"/>
        <w:rPr>
          <w:rFonts w:hint="eastAsia" w:hAnsi="宋体"/>
          <w:b/>
          <w:sz w:val="24"/>
        </w:rPr>
      </w:pPr>
    </w:p>
    <w:p w14:paraId="7EDEB43D">
      <w:pPr>
        <w:pStyle w:val="18"/>
        <w:spacing w:line="360" w:lineRule="exact"/>
        <w:rPr>
          <w:rFonts w:hint="eastAsia" w:hAnsi="宋体"/>
          <w:b/>
          <w:sz w:val="24"/>
        </w:rPr>
      </w:pPr>
    </w:p>
    <w:p w14:paraId="40B57E79">
      <w:pPr>
        <w:pStyle w:val="18"/>
        <w:spacing w:line="360" w:lineRule="exact"/>
        <w:rPr>
          <w:rFonts w:hint="eastAsia" w:hAnsi="宋体"/>
          <w:b/>
          <w:sz w:val="24"/>
        </w:rPr>
      </w:pPr>
    </w:p>
    <w:p w14:paraId="0DC1BA9B">
      <w:pPr>
        <w:pStyle w:val="6"/>
        <w:keepNext w:val="0"/>
        <w:keepLines w:val="0"/>
        <w:ind w:firstLine="602"/>
        <w:jc w:val="center"/>
        <w:rPr>
          <w:sz w:val="30"/>
          <w:szCs w:val="30"/>
        </w:rPr>
      </w:pPr>
      <w:r>
        <w:rPr>
          <w:rFonts w:hint="eastAsia"/>
          <w:sz w:val="30"/>
          <w:szCs w:val="30"/>
        </w:rPr>
        <w:t>一、评标方法</w:t>
      </w:r>
    </w:p>
    <w:p w14:paraId="5C208D32">
      <w:pPr>
        <w:pStyle w:val="18"/>
        <w:spacing w:line="360" w:lineRule="auto"/>
        <w:ind w:firstLine="420"/>
        <w:rPr>
          <w:rFonts w:hint="eastAsia" w:hAnsi="宋体"/>
        </w:rPr>
      </w:pPr>
      <w:r>
        <w:rPr>
          <w:rFonts w:hint="eastAsia" w:hAnsi="宋体"/>
        </w:rPr>
        <w:t>综合评分法，是指投标文件满足采购文件全部实质性要求，且按照评审因素的量化指标评审得分最高的投标人为中标候选人的评标方法。</w:t>
      </w:r>
    </w:p>
    <w:p w14:paraId="67D59C8A">
      <w:pPr>
        <w:pStyle w:val="18"/>
        <w:spacing w:line="360" w:lineRule="auto"/>
        <w:ind w:firstLine="420"/>
        <w:rPr>
          <w:rFonts w:hint="eastAsia" w:hAnsi="宋体"/>
        </w:rPr>
      </w:pPr>
      <w:r>
        <w:rPr>
          <w:rFonts w:hint="eastAsia" w:hAnsi="宋体"/>
        </w:rPr>
        <w:t>最低评标价法，是指投标文件满足采购文件全部实质性要求，且投标报价最低的投标人为中标候选人的评标方法。</w:t>
      </w:r>
    </w:p>
    <w:p w14:paraId="08E3511F">
      <w:pPr>
        <w:pStyle w:val="6"/>
        <w:keepNext w:val="0"/>
        <w:keepLines w:val="0"/>
        <w:ind w:firstLine="602"/>
        <w:jc w:val="center"/>
        <w:rPr>
          <w:sz w:val="30"/>
          <w:szCs w:val="30"/>
        </w:rPr>
      </w:pPr>
      <w:r>
        <w:rPr>
          <w:rFonts w:hint="eastAsia"/>
          <w:sz w:val="30"/>
          <w:szCs w:val="30"/>
        </w:rPr>
        <w:t>二、评标程序</w:t>
      </w:r>
    </w:p>
    <w:p w14:paraId="13ABD6D3">
      <w:pPr>
        <w:pStyle w:val="8"/>
        <w:keepNext w:val="0"/>
        <w:keepLines w:val="0"/>
        <w:spacing w:before="0" w:after="0" w:line="360" w:lineRule="auto"/>
        <w:ind w:left="420" w:leftChars="200"/>
        <w:rPr>
          <w:rFonts w:hint="eastAsia" w:ascii="宋体" w:hAnsi="宋体"/>
          <w:sz w:val="21"/>
          <w:szCs w:val="21"/>
        </w:rPr>
      </w:pPr>
      <w:r>
        <w:rPr>
          <w:rFonts w:hint="eastAsia" w:ascii="宋体" w:hAnsi="宋体"/>
          <w:sz w:val="21"/>
          <w:szCs w:val="21"/>
        </w:rPr>
        <w:t>1.符合性审查</w:t>
      </w:r>
    </w:p>
    <w:p w14:paraId="425D17D9">
      <w:pPr>
        <w:pStyle w:val="18"/>
        <w:snapToGrid w:val="0"/>
        <w:spacing w:line="360" w:lineRule="auto"/>
        <w:ind w:left="1" w:firstLine="420"/>
        <w:rPr>
          <w:rFonts w:hint="eastAsia" w:hAnsi="宋体"/>
          <w:b/>
        </w:rPr>
      </w:pPr>
      <w:r>
        <w:rPr>
          <w:rFonts w:hint="eastAsia" w:hAnsi="宋体"/>
          <w:b/>
        </w:rPr>
        <w:t>评标委员会应当对符合资格的投标人的投标文件进行投标报价、商务、技术等实质性内容符合性审查，以确定其是否满足采购文件的实质性要求。</w:t>
      </w:r>
    </w:p>
    <w:p w14:paraId="0868A658">
      <w:pPr>
        <w:pStyle w:val="8"/>
        <w:keepNext w:val="0"/>
        <w:keepLines w:val="0"/>
        <w:spacing w:before="0" w:after="0" w:line="360" w:lineRule="auto"/>
        <w:ind w:left="420" w:leftChars="200"/>
        <w:rPr>
          <w:rFonts w:hint="eastAsia" w:ascii="宋体" w:hAnsi="宋体"/>
          <w:sz w:val="21"/>
          <w:szCs w:val="21"/>
        </w:rPr>
      </w:pPr>
      <w:r>
        <w:rPr>
          <w:rFonts w:hint="eastAsia" w:ascii="宋体" w:hAnsi="宋体"/>
          <w:sz w:val="21"/>
          <w:szCs w:val="21"/>
        </w:rPr>
        <w:t>2</w:t>
      </w:r>
      <w:r>
        <w:rPr>
          <w:rFonts w:ascii="宋体" w:hAnsi="宋体"/>
          <w:sz w:val="21"/>
          <w:szCs w:val="21"/>
        </w:rPr>
        <w:t>.</w:t>
      </w:r>
      <w:r>
        <w:rPr>
          <w:rFonts w:hint="eastAsia" w:ascii="宋体" w:hAnsi="宋体"/>
          <w:sz w:val="21"/>
          <w:szCs w:val="21"/>
        </w:rPr>
        <w:t>符合性审查不通过而导致投标无效的情形</w:t>
      </w:r>
    </w:p>
    <w:p w14:paraId="31C22E86">
      <w:pPr>
        <w:snapToGrid w:val="0"/>
        <w:spacing w:line="360" w:lineRule="auto"/>
        <w:ind w:firstLine="422" w:firstLineChars="200"/>
        <w:rPr>
          <w:rFonts w:hint="eastAsia" w:ascii="宋体" w:hAnsi="宋体"/>
          <w:b/>
          <w:szCs w:val="21"/>
        </w:rPr>
      </w:pPr>
      <w:r>
        <w:rPr>
          <w:rFonts w:hint="eastAsia" w:ascii="宋体" w:hAnsi="宋体"/>
          <w:b/>
          <w:szCs w:val="21"/>
        </w:rPr>
        <w:t>投标人的投标文件中存在对采购文件的任何实质性要求和条件的负偏离，将被视为投标无效。</w:t>
      </w:r>
    </w:p>
    <w:p w14:paraId="017F9922">
      <w:pPr>
        <w:pStyle w:val="8"/>
        <w:keepNext w:val="0"/>
        <w:keepLines w:val="0"/>
        <w:spacing w:before="0" w:after="0" w:line="360" w:lineRule="auto"/>
        <w:ind w:left="420" w:leftChars="200"/>
        <w:rPr>
          <w:rFonts w:hint="eastAsia" w:ascii="宋体" w:hAnsi="宋体"/>
          <w:sz w:val="21"/>
          <w:szCs w:val="21"/>
        </w:rPr>
      </w:pPr>
      <w:r>
        <w:rPr>
          <w:rFonts w:hint="eastAsia" w:ascii="宋体" w:hAnsi="宋体"/>
          <w:sz w:val="21"/>
          <w:szCs w:val="21"/>
        </w:rPr>
        <w:t>2.1在报价评审时，如发现下列情形之一的，将被视为投标无效：</w:t>
      </w:r>
    </w:p>
    <w:p w14:paraId="172267A6">
      <w:pPr>
        <w:pStyle w:val="9"/>
        <w:numPr>
          <w:ilvl w:val="0"/>
          <w:numId w:val="13"/>
        </w:numPr>
        <w:spacing w:line="360" w:lineRule="auto"/>
        <w:ind w:left="-2" w:firstLine="422"/>
        <w:rPr>
          <w:rFonts w:hint="eastAsia" w:ascii="宋体" w:hAnsi="宋体"/>
          <w:b/>
          <w:szCs w:val="21"/>
        </w:rPr>
      </w:pPr>
      <w:r>
        <w:rPr>
          <w:rFonts w:hint="eastAsia" w:ascii="宋体" w:hAnsi="宋体"/>
          <w:b/>
          <w:spacing w:val="-6"/>
          <w:szCs w:val="21"/>
        </w:rPr>
        <w:t>报价文件未提供“投标人须知前附表”第13条“报价文件”规定中“必须提供”的文件资料的</w:t>
      </w:r>
      <w:r>
        <w:rPr>
          <w:rFonts w:hint="eastAsia" w:ascii="宋体" w:hAnsi="宋体"/>
          <w:b/>
          <w:szCs w:val="21"/>
        </w:rPr>
        <w:t>；</w:t>
      </w:r>
    </w:p>
    <w:p w14:paraId="1DEF0AEC">
      <w:pPr>
        <w:pStyle w:val="9"/>
        <w:numPr>
          <w:ilvl w:val="0"/>
          <w:numId w:val="13"/>
        </w:numPr>
        <w:spacing w:line="360" w:lineRule="auto"/>
        <w:ind w:left="-2" w:firstLine="422"/>
        <w:rPr>
          <w:rFonts w:hint="eastAsia" w:ascii="宋体" w:hAnsi="宋体"/>
          <w:b/>
          <w:szCs w:val="21"/>
        </w:rPr>
      </w:pPr>
      <w:r>
        <w:rPr>
          <w:rFonts w:hint="eastAsia" w:ascii="宋体" w:hAnsi="宋体"/>
          <w:b/>
          <w:szCs w:val="21"/>
        </w:rPr>
        <w:t>未采用人民币报价或者未按照采购文件标明的币种报价的；</w:t>
      </w:r>
    </w:p>
    <w:p w14:paraId="7682C6E0">
      <w:pPr>
        <w:pStyle w:val="9"/>
        <w:numPr>
          <w:ilvl w:val="0"/>
          <w:numId w:val="13"/>
        </w:numPr>
        <w:spacing w:line="360" w:lineRule="auto"/>
        <w:ind w:left="-2" w:firstLine="422"/>
        <w:rPr>
          <w:rFonts w:hint="eastAsia" w:ascii="宋体" w:hAnsi="宋体"/>
          <w:b/>
          <w:szCs w:val="21"/>
        </w:rPr>
      </w:pPr>
      <w:r>
        <w:rPr>
          <w:rFonts w:hint="eastAsia" w:ascii="宋体" w:hAnsi="宋体"/>
          <w:b/>
          <w:szCs w:val="21"/>
        </w:rPr>
        <w:t>各分标报价超出采购文件相应分标规定最高限价，或者超出相应分标采购预算金额的；</w:t>
      </w:r>
    </w:p>
    <w:p w14:paraId="12147E58">
      <w:pPr>
        <w:pStyle w:val="9"/>
        <w:numPr>
          <w:ilvl w:val="0"/>
          <w:numId w:val="13"/>
        </w:numPr>
        <w:spacing w:line="360" w:lineRule="auto"/>
        <w:ind w:left="-2" w:firstLine="422"/>
        <w:rPr>
          <w:rFonts w:hint="eastAsia" w:ascii="宋体" w:hAnsi="宋体"/>
          <w:b/>
          <w:szCs w:val="21"/>
        </w:rPr>
      </w:pPr>
      <w:r>
        <w:rPr>
          <w:rFonts w:hint="eastAsia" w:ascii="宋体" w:hAnsi="宋体"/>
          <w:b/>
          <w:szCs w:val="21"/>
        </w:rPr>
        <w:t>投标人未就所投分标进行报价或者存在漏项报价；投标人未就所投分标的单项内容作唯一报价；投标人未就所投分标的全部内容作完整唯一总价报价；存在有选择、有条件报价的（采购文件允许有备选方案或者其他约定的除外）；</w:t>
      </w:r>
    </w:p>
    <w:p w14:paraId="373FB4AF">
      <w:pPr>
        <w:pStyle w:val="9"/>
        <w:numPr>
          <w:ilvl w:val="0"/>
          <w:numId w:val="13"/>
        </w:numPr>
        <w:spacing w:line="360" w:lineRule="auto"/>
        <w:ind w:left="-2" w:firstLine="422"/>
        <w:rPr>
          <w:rFonts w:hint="eastAsia" w:ascii="宋体" w:hAnsi="宋体"/>
          <w:b/>
          <w:szCs w:val="21"/>
        </w:rPr>
      </w:pPr>
      <w:r>
        <w:rPr>
          <w:rFonts w:hint="eastAsia" w:ascii="宋体" w:hAnsi="宋体"/>
          <w:b/>
          <w:szCs w:val="21"/>
        </w:rPr>
        <w:t>修正后的报价，投标人不确认的；</w:t>
      </w:r>
    </w:p>
    <w:p w14:paraId="220378B0">
      <w:pPr>
        <w:pStyle w:val="9"/>
        <w:numPr>
          <w:ilvl w:val="0"/>
          <w:numId w:val="13"/>
        </w:numPr>
        <w:spacing w:line="360" w:lineRule="auto"/>
        <w:ind w:left="-2" w:firstLine="422"/>
        <w:rPr>
          <w:rFonts w:hint="eastAsia" w:ascii="宋体" w:hAnsi="宋体"/>
          <w:b/>
          <w:szCs w:val="21"/>
        </w:rPr>
      </w:pPr>
      <w:r>
        <w:rPr>
          <w:rFonts w:hint="eastAsia" w:ascii="宋体" w:hAnsi="宋体"/>
          <w:b/>
          <w:szCs w:val="21"/>
        </w:rPr>
        <w:t>投标人属于本章第</w:t>
      </w:r>
      <w:r>
        <w:rPr>
          <w:rFonts w:ascii="宋体" w:hAnsi="宋体"/>
          <w:b/>
          <w:szCs w:val="21"/>
        </w:rPr>
        <w:t>5.1</w:t>
      </w:r>
      <w:r>
        <w:rPr>
          <w:rFonts w:hint="eastAsia" w:ascii="宋体" w:hAnsi="宋体"/>
          <w:b/>
          <w:szCs w:val="21"/>
        </w:rPr>
        <w:t>条（2）情形的；</w:t>
      </w:r>
    </w:p>
    <w:p w14:paraId="7A39CCFA">
      <w:pPr>
        <w:pStyle w:val="9"/>
        <w:numPr>
          <w:ilvl w:val="0"/>
          <w:numId w:val="13"/>
        </w:numPr>
        <w:spacing w:line="360" w:lineRule="auto"/>
        <w:ind w:left="-2" w:firstLine="422"/>
        <w:rPr>
          <w:rFonts w:hint="eastAsia" w:ascii="宋体" w:hAnsi="宋体"/>
          <w:b/>
          <w:szCs w:val="21"/>
        </w:rPr>
      </w:pPr>
      <w:r>
        <w:rPr>
          <w:rFonts w:hint="eastAsia" w:ascii="宋体" w:hAnsi="宋体"/>
          <w:b/>
          <w:spacing w:val="-6"/>
          <w:szCs w:val="21"/>
        </w:rPr>
        <w:t>报价文件</w:t>
      </w:r>
      <w:r>
        <w:rPr>
          <w:rFonts w:hint="eastAsia" w:ascii="宋体" w:hAnsi="宋体"/>
          <w:b/>
          <w:szCs w:val="21"/>
        </w:rPr>
        <w:t>响应的标的数量及单位与采购文件要求实质性不一致的。</w:t>
      </w:r>
    </w:p>
    <w:p w14:paraId="1679993F">
      <w:pPr>
        <w:pStyle w:val="8"/>
        <w:keepNext w:val="0"/>
        <w:keepLines w:val="0"/>
        <w:spacing w:before="0" w:after="0" w:line="360" w:lineRule="auto"/>
        <w:ind w:left="420" w:leftChars="200"/>
        <w:rPr>
          <w:rFonts w:hint="eastAsia" w:ascii="宋体" w:hAnsi="宋体"/>
          <w:sz w:val="21"/>
          <w:szCs w:val="21"/>
        </w:rPr>
      </w:pPr>
      <w:r>
        <w:rPr>
          <w:rFonts w:hint="eastAsia" w:ascii="宋体" w:hAnsi="宋体"/>
          <w:sz w:val="21"/>
          <w:szCs w:val="21"/>
        </w:rPr>
        <w:t>2.2在商务及技术评审时，如发现下列情形之一的，将被视为投标无效：</w:t>
      </w:r>
    </w:p>
    <w:p w14:paraId="51F8B444">
      <w:pPr>
        <w:numPr>
          <w:ilvl w:val="0"/>
          <w:numId w:val="14"/>
        </w:numPr>
        <w:snapToGrid w:val="0"/>
        <w:spacing w:line="360" w:lineRule="auto"/>
        <w:ind w:firstLine="422" w:firstLineChars="200"/>
        <w:rPr>
          <w:rFonts w:hint="eastAsia" w:ascii="宋体" w:hAnsi="宋体"/>
          <w:b/>
          <w:szCs w:val="21"/>
        </w:rPr>
      </w:pPr>
      <w:r>
        <w:rPr>
          <w:rFonts w:hint="eastAsia" w:ascii="宋体" w:hAnsi="宋体"/>
          <w:b/>
          <w:szCs w:val="21"/>
        </w:rPr>
        <w:t>投标文件未按采购文件要求签署、盖章的；</w:t>
      </w:r>
    </w:p>
    <w:p w14:paraId="4D287F40">
      <w:pPr>
        <w:numPr>
          <w:ilvl w:val="0"/>
          <w:numId w:val="14"/>
        </w:numPr>
        <w:snapToGrid w:val="0"/>
        <w:spacing w:line="360" w:lineRule="auto"/>
        <w:ind w:firstLine="422" w:firstLineChars="200"/>
        <w:rPr>
          <w:rFonts w:hint="eastAsia" w:ascii="宋体" w:hAnsi="宋体"/>
          <w:b/>
          <w:szCs w:val="21"/>
        </w:rPr>
      </w:pPr>
      <w:r>
        <w:rPr>
          <w:rFonts w:hint="eastAsia" w:ascii="宋体" w:hAnsi="宋体"/>
          <w:b/>
          <w:szCs w:val="21"/>
        </w:rPr>
        <w:t>委托代理人未能出具有效身份证或者出具的身份证与授权委托书中的信息不符的；</w:t>
      </w:r>
    </w:p>
    <w:p w14:paraId="25A69F55">
      <w:pPr>
        <w:numPr>
          <w:ilvl w:val="0"/>
          <w:numId w:val="14"/>
        </w:numPr>
        <w:snapToGrid w:val="0"/>
        <w:spacing w:line="360" w:lineRule="auto"/>
        <w:ind w:firstLine="422" w:firstLineChars="200"/>
        <w:rPr>
          <w:rFonts w:hint="eastAsia" w:ascii="宋体" w:hAnsi="宋体"/>
          <w:b/>
          <w:szCs w:val="21"/>
        </w:rPr>
      </w:pPr>
      <w:r>
        <w:rPr>
          <w:rFonts w:hint="eastAsia" w:ascii="宋体" w:hAnsi="宋体"/>
          <w:b/>
          <w:szCs w:val="21"/>
        </w:rPr>
        <w:t>为无效投标保证金的或者未按照采购文件的规定提交投标保证金的；</w:t>
      </w:r>
    </w:p>
    <w:p w14:paraId="043B34A2">
      <w:pPr>
        <w:numPr>
          <w:ilvl w:val="0"/>
          <w:numId w:val="14"/>
        </w:numPr>
        <w:snapToGrid w:val="0"/>
        <w:spacing w:line="360" w:lineRule="auto"/>
        <w:ind w:firstLine="422" w:firstLineChars="200"/>
        <w:rPr>
          <w:rFonts w:hint="eastAsia" w:ascii="宋体" w:hAnsi="宋体"/>
          <w:b/>
          <w:szCs w:val="21"/>
        </w:rPr>
      </w:pPr>
      <w:r>
        <w:rPr>
          <w:rFonts w:hint="eastAsia" w:ascii="宋体" w:hAnsi="宋体"/>
          <w:b/>
          <w:szCs w:val="21"/>
        </w:rPr>
        <w:t>投标文件未提供“投标人须知前附表”第13条“商务及技术文件”规定中“必须提供”或者“委托时必须提供”的文件资料的；</w:t>
      </w:r>
    </w:p>
    <w:p w14:paraId="6E5ED988">
      <w:pPr>
        <w:numPr>
          <w:ilvl w:val="0"/>
          <w:numId w:val="14"/>
        </w:numPr>
        <w:snapToGrid w:val="0"/>
        <w:spacing w:line="360" w:lineRule="auto"/>
        <w:ind w:firstLine="422" w:firstLineChars="200"/>
        <w:rPr>
          <w:rFonts w:hint="eastAsia" w:ascii="宋体" w:hAnsi="宋体"/>
          <w:b/>
          <w:szCs w:val="21"/>
        </w:rPr>
      </w:pPr>
      <w:r>
        <w:rPr>
          <w:rFonts w:hint="eastAsia" w:ascii="宋体" w:hAnsi="宋体"/>
          <w:b/>
          <w:szCs w:val="21"/>
        </w:rPr>
        <w:t>允许负偏离的条款数超过“投标人须知前附表”规定项数的；</w:t>
      </w:r>
    </w:p>
    <w:p w14:paraId="47CC1677">
      <w:pPr>
        <w:numPr>
          <w:ilvl w:val="0"/>
          <w:numId w:val="14"/>
        </w:numPr>
        <w:snapToGrid w:val="0"/>
        <w:spacing w:line="360" w:lineRule="auto"/>
        <w:ind w:firstLine="422" w:firstLineChars="200"/>
        <w:rPr>
          <w:rFonts w:hint="eastAsia" w:ascii="宋体" w:hAnsi="宋体"/>
          <w:b/>
          <w:szCs w:val="21"/>
        </w:rPr>
      </w:pPr>
      <w:r>
        <w:rPr>
          <w:rFonts w:hint="eastAsia" w:ascii="宋体" w:hAnsi="宋体"/>
          <w:b/>
          <w:szCs w:val="21"/>
        </w:rPr>
        <w:t>投标文件的实质性内容未使用中文表述、使用计量单位不符合采购文件要求的；</w:t>
      </w:r>
    </w:p>
    <w:p w14:paraId="7B86A7F9">
      <w:pPr>
        <w:numPr>
          <w:ilvl w:val="0"/>
          <w:numId w:val="14"/>
        </w:numPr>
        <w:snapToGrid w:val="0"/>
        <w:spacing w:line="360" w:lineRule="auto"/>
        <w:ind w:firstLine="422" w:firstLineChars="200"/>
        <w:rPr>
          <w:rFonts w:hint="eastAsia" w:ascii="宋体" w:hAnsi="宋体"/>
          <w:b/>
          <w:szCs w:val="21"/>
        </w:rPr>
      </w:pPr>
      <w:r>
        <w:rPr>
          <w:rFonts w:hint="eastAsia" w:ascii="宋体" w:hAnsi="宋体"/>
          <w:b/>
          <w:szCs w:val="21"/>
        </w:rPr>
        <w:t>投标文件中的文件资料因填写不齐全或者内容虚假或者出现其他情形而导致被评标委员会认定无效的；</w:t>
      </w:r>
    </w:p>
    <w:p w14:paraId="77E6E601">
      <w:pPr>
        <w:numPr>
          <w:ilvl w:val="0"/>
          <w:numId w:val="14"/>
        </w:numPr>
        <w:snapToGrid w:val="0"/>
        <w:spacing w:line="360" w:lineRule="auto"/>
        <w:ind w:firstLine="422" w:firstLineChars="200"/>
        <w:rPr>
          <w:rFonts w:hint="eastAsia" w:ascii="宋体" w:hAnsi="宋体"/>
          <w:b/>
          <w:szCs w:val="21"/>
        </w:rPr>
      </w:pPr>
      <w:r>
        <w:rPr>
          <w:rFonts w:hint="eastAsia" w:ascii="宋体" w:hAnsi="宋体"/>
          <w:b/>
          <w:szCs w:val="21"/>
        </w:rPr>
        <w:t>投标文件含有采购人不能接受的附加条件的；</w:t>
      </w:r>
    </w:p>
    <w:p w14:paraId="70129997">
      <w:pPr>
        <w:numPr>
          <w:ilvl w:val="0"/>
          <w:numId w:val="14"/>
        </w:numPr>
        <w:snapToGrid w:val="0"/>
        <w:spacing w:line="360" w:lineRule="auto"/>
        <w:ind w:firstLine="422" w:firstLineChars="200"/>
        <w:rPr>
          <w:rFonts w:hint="eastAsia" w:ascii="宋体" w:hAnsi="宋体"/>
          <w:b/>
          <w:szCs w:val="21"/>
        </w:rPr>
      </w:pPr>
      <w:r>
        <w:rPr>
          <w:rFonts w:hint="eastAsia" w:ascii="宋体" w:hAnsi="宋体"/>
          <w:b/>
          <w:szCs w:val="21"/>
        </w:rPr>
        <w:t>属于投标人须知正文第</w:t>
      </w:r>
      <w:r>
        <w:rPr>
          <w:rFonts w:ascii="宋体" w:hAnsi="宋体"/>
          <w:b/>
          <w:szCs w:val="21"/>
        </w:rPr>
        <w:t>9.2</w:t>
      </w:r>
      <w:r>
        <w:rPr>
          <w:rFonts w:hint="eastAsia" w:ascii="宋体" w:hAnsi="宋体"/>
          <w:b/>
          <w:szCs w:val="21"/>
        </w:rPr>
        <w:t>条情形的；</w:t>
      </w:r>
    </w:p>
    <w:p w14:paraId="149B1EFC">
      <w:pPr>
        <w:numPr>
          <w:ilvl w:val="0"/>
          <w:numId w:val="14"/>
        </w:numPr>
        <w:snapToGrid w:val="0"/>
        <w:spacing w:line="360" w:lineRule="auto"/>
        <w:ind w:firstLine="422" w:firstLineChars="200"/>
        <w:rPr>
          <w:rFonts w:hint="eastAsia" w:ascii="宋体" w:hAnsi="宋体"/>
          <w:b/>
          <w:szCs w:val="21"/>
        </w:rPr>
      </w:pPr>
      <w:r>
        <w:rPr>
          <w:rFonts w:hint="eastAsia" w:ascii="宋体" w:hAnsi="宋体"/>
          <w:b/>
          <w:szCs w:val="21"/>
        </w:rPr>
        <w:t>投标文件标注的项目名称或者项目编号与采购文件标注的项目名称或者项目编号不一致的；</w:t>
      </w:r>
    </w:p>
    <w:p w14:paraId="1E005708">
      <w:pPr>
        <w:numPr>
          <w:ilvl w:val="0"/>
          <w:numId w:val="14"/>
        </w:numPr>
        <w:snapToGrid w:val="0"/>
        <w:spacing w:line="360" w:lineRule="auto"/>
        <w:ind w:firstLine="422" w:firstLineChars="200"/>
        <w:rPr>
          <w:rFonts w:hint="eastAsia" w:ascii="宋体" w:hAnsi="宋体"/>
          <w:b/>
          <w:szCs w:val="21"/>
        </w:rPr>
      </w:pPr>
      <w:r>
        <w:rPr>
          <w:rFonts w:hint="eastAsia" w:ascii="宋体" w:hAnsi="宋体"/>
          <w:b/>
          <w:szCs w:val="21"/>
        </w:rPr>
        <w:t>投标文件中承诺的投标有效期低于采购文件要求的期限的；</w:t>
      </w:r>
    </w:p>
    <w:p w14:paraId="0E178B33">
      <w:pPr>
        <w:numPr>
          <w:ilvl w:val="0"/>
          <w:numId w:val="14"/>
        </w:numPr>
        <w:snapToGrid w:val="0"/>
        <w:spacing w:line="360" w:lineRule="auto"/>
        <w:ind w:firstLine="422" w:firstLineChars="200"/>
        <w:rPr>
          <w:rFonts w:hint="eastAsia" w:ascii="宋体" w:hAnsi="宋体"/>
          <w:b/>
          <w:szCs w:val="21"/>
        </w:rPr>
      </w:pPr>
      <w:r>
        <w:rPr>
          <w:rFonts w:hint="eastAsia" w:ascii="宋体" w:hAnsi="宋体"/>
          <w:b/>
          <w:szCs w:val="21"/>
        </w:rPr>
        <w:t>采购文件明确不允许分包，投标文件拟分包的；</w:t>
      </w:r>
    </w:p>
    <w:p w14:paraId="3843ED55">
      <w:pPr>
        <w:pStyle w:val="15"/>
        <w:numPr>
          <w:ilvl w:val="0"/>
          <w:numId w:val="14"/>
        </w:numPr>
        <w:snapToGrid w:val="0"/>
        <w:spacing w:line="360" w:lineRule="auto"/>
        <w:ind w:firstLine="413"/>
        <w:rPr>
          <w:rFonts w:hint="eastAsia" w:hAnsi="宋体"/>
          <w:b/>
          <w:sz w:val="21"/>
          <w:szCs w:val="21"/>
        </w:rPr>
      </w:pPr>
      <w:r>
        <w:rPr>
          <w:rFonts w:hint="eastAsia" w:hAnsi="宋体"/>
          <w:b/>
          <w:sz w:val="21"/>
          <w:szCs w:val="21"/>
        </w:rPr>
        <w:t>虚假投标，或者出现其他情形而导致被评标委员会认定无效的；</w:t>
      </w:r>
    </w:p>
    <w:p w14:paraId="20F4AC80">
      <w:pPr>
        <w:pStyle w:val="15"/>
        <w:numPr>
          <w:ilvl w:val="0"/>
          <w:numId w:val="14"/>
        </w:numPr>
        <w:snapToGrid w:val="0"/>
        <w:spacing w:line="360" w:lineRule="auto"/>
        <w:ind w:firstLine="413"/>
        <w:rPr>
          <w:rFonts w:hint="eastAsia" w:hAnsi="宋体"/>
          <w:b/>
          <w:sz w:val="21"/>
          <w:szCs w:val="21"/>
        </w:rPr>
      </w:pPr>
      <w:r>
        <w:rPr>
          <w:rFonts w:hint="eastAsia" w:hAnsi="宋体"/>
          <w:b/>
          <w:sz w:val="21"/>
          <w:szCs w:val="21"/>
        </w:rPr>
        <w:t>采购文件未载明允许提供备选（替代）投标方案或明确不允许提供备选（替代）投标方案时，投标人提供了备选（替代）投标方案的；</w:t>
      </w:r>
    </w:p>
    <w:p w14:paraId="658A5D13">
      <w:pPr>
        <w:pStyle w:val="15"/>
        <w:numPr>
          <w:ilvl w:val="0"/>
          <w:numId w:val="14"/>
        </w:numPr>
        <w:snapToGrid w:val="0"/>
        <w:spacing w:line="360" w:lineRule="auto"/>
        <w:ind w:firstLine="413"/>
        <w:rPr>
          <w:rFonts w:hint="eastAsia" w:hAnsi="宋体"/>
          <w:b/>
          <w:sz w:val="21"/>
          <w:szCs w:val="21"/>
        </w:rPr>
      </w:pPr>
      <w:r>
        <w:rPr>
          <w:rFonts w:hint="eastAsia" w:hAnsi="宋体"/>
          <w:b/>
          <w:sz w:val="21"/>
          <w:szCs w:val="21"/>
        </w:rPr>
        <w:t>未响应采购文件实质性要求的。</w:t>
      </w:r>
    </w:p>
    <w:p w14:paraId="0821930C">
      <w:pPr>
        <w:numPr>
          <w:ilvl w:val="0"/>
          <w:numId w:val="14"/>
        </w:numPr>
        <w:snapToGrid w:val="0"/>
        <w:spacing w:line="360" w:lineRule="auto"/>
        <w:ind w:firstLine="422" w:firstLineChars="200"/>
        <w:rPr>
          <w:rFonts w:hint="eastAsia" w:ascii="宋体" w:hAnsi="宋体"/>
          <w:b/>
          <w:szCs w:val="21"/>
        </w:rPr>
      </w:pPr>
      <w:r>
        <w:rPr>
          <w:rFonts w:hint="eastAsia" w:ascii="宋体" w:hAnsi="宋体"/>
          <w:b/>
          <w:szCs w:val="21"/>
        </w:rPr>
        <w:t>法律、法规和采购文件规定的其他无效情形。</w:t>
      </w:r>
    </w:p>
    <w:p w14:paraId="0B12F17A">
      <w:pPr>
        <w:pStyle w:val="8"/>
        <w:keepNext w:val="0"/>
        <w:keepLines w:val="0"/>
        <w:spacing w:before="0" w:after="0" w:line="360" w:lineRule="auto"/>
        <w:ind w:left="420" w:leftChars="200"/>
        <w:rPr>
          <w:rFonts w:hint="eastAsia" w:ascii="宋体" w:hAnsi="宋体"/>
          <w:sz w:val="21"/>
          <w:szCs w:val="21"/>
        </w:rPr>
      </w:pPr>
      <w:r>
        <w:rPr>
          <w:rFonts w:hint="eastAsia" w:ascii="宋体" w:hAnsi="宋体"/>
          <w:sz w:val="21"/>
          <w:szCs w:val="21"/>
        </w:rPr>
        <w:t>2.3在技术评审时，如发现下列情形之一的，将被视为投标无效：</w:t>
      </w:r>
    </w:p>
    <w:p w14:paraId="70C69F0C">
      <w:pPr>
        <w:pStyle w:val="15"/>
        <w:snapToGrid w:val="0"/>
        <w:spacing w:line="360" w:lineRule="auto"/>
        <w:ind w:firstLine="398" w:firstLineChars="196"/>
        <w:rPr>
          <w:rFonts w:hint="eastAsia" w:hAnsi="宋体"/>
          <w:b/>
          <w:sz w:val="21"/>
          <w:szCs w:val="21"/>
        </w:rPr>
      </w:pPr>
      <w:r>
        <w:rPr>
          <w:rFonts w:hint="eastAsia" w:hAnsi="宋体"/>
          <w:b/>
          <w:sz w:val="21"/>
          <w:szCs w:val="21"/>
        </w:rPr>
        <w:t>（1）技术要求评审允许负偏离的条款数超过“投标人须知前附表”规定项数的；</w:t>
      </w:r>
    </w:p>
    <w:p w14:paraId="0ED08560">
      <w:pPr>
        <w:pStyle w:val="15"/>
        <w:snapToGrid w:val="0"/>
        <w:spacing w:line="360" w:lineRule="auto"/>
        <w:ind w:firstLine="398" w:firstLineChars="196"/>
        <w:rPr>
          <w:rFonts w:hint="eastAsia" w:hAnsi="宋体"/>
          <w:b/>
          <w:sz w:val="21"/>
          <w:szCs w:val="21"/>
        </w:rPr>
      </w:pPr>
      <w:r>
        <w:rPr>
          <w:rFonts w:hint="eastAsia" w:hAnsi="宋体"/>
          <w:b/>
          <w:sz w:val="21"/>
          <w:szCs w:val="21"/>
        </w:rPr>
        <w:t>（2）投标文件未提供“投标人须知前附表”第13.</w:t>
      </w:r>
      <w:r>
        <w:rPr>
          <w:rFonts w:hAnsi="宋体"/>
          <w:b/>
          <w:sz w:val="21"/>
          <w:szCs w:val="21"/>
        </w:rPr>
        <w:t>1</w:t>
      </w:r>
      <w:r>
        <w:rPr>
          <w:rFonts w:hint="eastAsia" w:hAnsi="宋体"/>
          <w:b/>
          <w:sz w:val="21"/>
          <w:szCs w:val="21"/>
        </w:rPr>
        <w:t>条规定中“必须提供”的文件资料的；</w:t>
      </w:r>
    </w:p>
    <w:p w14:paraId="70996AA5">
      <w:pPr>
        <w:pStyle w:val="15"/>
        <w:snapToGrid w:val="0"/>
        <w:spacing w:line="360" w:lineRule="auto"/>
        <w:ind w:firstLine="398" w:firstLineChars="196"/>
        <w:rPr>
          <w:rFonts w:hint="eastAsia" w:hAnsi="宋体"/>
          <w:b/>
          <w:sz w:val="21"/>
          <w:szCs w:val="21"/>
        </w:rPr>
      </w:pPr>
      <w:r>
        <w:rPr>
          <w:rFonts w:hint="eastAsia" w:hAnsi="宋体"/>
          <w:b/>
          <w:sz w:val="21"/>
          <w:szCs w:val="21"/>
        </w:rPr>
        <w:t>（3）虚假投标，或者出现其他情形而导致被评标委员会认定无效的；</w:t>
      </w:r>
    </w:p>
    <w:p w14:paraId="489D33AD">
      <w:pPr>
        <w:pStyle w:val="15"/>
        <w:snapToGrid w:val="0"/>
        <w:spacing w:line="360" w:lineRule="auto"/>
        <w:ind w:firstLine="398" w:firstLineChars="196"/>
        <w:rPr>
          <w:rFonts w:hint="eastAsia" w:hAnsi="宋体"/>
          <w:b/>
          <w:sz w:val="21"/>
          <w:szCs w:val="21"/>
        </w:rPr>
      </w:pPr>
      <w:r>
        <w:rPr>
          <w:rFonts w:hint="eastAsia" w:hAnsi="宋体"/>
          <w:b/>
          <w:sz w:val="21"/>
          <w:szCs w:val="21"/>
        </w:rPr>
        <w:t>（4）</w:t>
      </w:r>
      <w:bookmarkStart w:id="137" w:name="_Hlk71706244"/>
      <w:r>
        <w:rPr>
          <w:rFonts w:hint="eastAsia" w:hAnsi="宋体"/>
          <w:b/>
          <w:sz w:val="21"/>
          <w:szCs w:val="21"/>
        </w:rPr>
        <w:t>采购文件未载明允许提供备选（替代）投标方案或明确不允许提供备选（替代）投标方案时，投标人提供了备选（替代）投标方案的；</w:t>
      </w:r>
      <w:bookmarkEnd w:id="137"/>
    </w:p>
    <w:p w14:paraId="51D457E0">
      <w:pPr>
        <w:pStyle w:val="15"/>
        <w:snapToGrid w:val="0"/>
        <w:spacing w:line="360" w:lineRule="auto"/>
        <w:ind w:firstLine="398" w:firstLineChars="196"/>
        <w:rPr>
          <w:rFonts w:hint="eastAsia" w:hAnsi="宋体"/>
          <w:b/>
          <w:sz w:val="21"/>
          <w:szCs w:val="21"/>
        </w:rPr>
      </w:pPr>
      <w:r>
        <w:rPr>
          <w:rFonts w:hint="eastAsia" w:hAnsi="宋体"/>
          <w:b/>
          <w:sz w:val="21"/>
          <w:szCs w:val="21"/>
        </w:rPr>
        <w:t>（5）未响应采购文件实质性要求的。</w:t>
      </w:r>
    </w:p>
    <w:p w14:paraId="5A3C1905">
      <w:pPr>
        <w:pStyle w:val="8"/>
        <w:keepNext w:val="0"/>
        <w:keepLines w:val="0"/>
        <w:spacing w:before="0" w:after="0" w:line="360" w:lineRule="auto"/>
        <w:ind w:left="420" w:leftChars="200"/>
        <w:rPr>
          <w:rFonts w:hint="eastAsia" w:ascii="宋体" w:hAnsi="宋体"/>
          <w:sz w:val="21"/>
          <w:szCs w:val="21"/>
        </w:rPr>
      </w:pPr>
      <w:r>
        <w:rPr>
          <w:rFonts w:hint="eastAsia" w:ascii="宋体" w:hAnsi="宋体"/>
          <w:sz w:val="21"/>
          <w:szCs w:val="21"/>
        </w:rPr>
        <w:t>3</w:t>
      </w:r>
      <w:r>
        <w:rPr>
          <w:rFonts w:ascii="宋体" w:hAnsi="宋体"/>
          <w:sz w:val="21"/>
          <w:szCs w:val="21"/>
        </w:rPr>
        <w:t>.</w:t>
      </w:r>
      <w:r>
        <w:rPr>
          <w:rFonts w:hint="eastAsia" w:ascii="宋体" w:hAnsi="宋体"/>
          <w:sz w:val="21"/>
          <w:szCs w:val="21"/>
        </w:rPr>
        <w:t>澄清补正</w:t>
      </w:r>
    </w:p>
    <w:p w14:paraId="4E98BD31">
      <w:pPr>
        <w:spacing w:line="360" w:lineRule="auto"/>
        <w:ind w:firstLine="420" w:firstLineChars="200"/>
        <w:rPr>
          <w:rFonts w:hint="eastAsia" w:ascii="宋体" w:hAnsi="宋体" w:cs="Courier New"/>
          <w:b/>
          <w:szCs w:val="21"/>
        </w:rPr>
      </w:pPr>
      <w:r>
        <w:rPr>
          <w:rFonts w:hint="eastAsia" w:ascii="宋体" w:hAnsi="宋体" w:cs="Courier New"/>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549EDB9D">
      <w:pPr>
        <w:spacing w:line="360" w:lineRule="auto"/>
        <w:ind w:firstLine="420" w:firstLineChars="200"/>
        <w:rPr>
          <w:rFonts w:hint="eastAsia" w:ascii="宋体" w:hAnsi="宋体" w:cs="Courier New"/>
          <w:szCs w:val="21"/>
        </w:rPr>
      </w:pPr>
      <w:r>
        <w:rPr>
          <w:rFonts w:hint="eastAsia" w:ascii="宋体" w:hAnsi="宋体" w:cs="Courier New"/>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6D5BF591">
      <w:pPr>
        <w:spacing w:line="360" w:lineRule="auto"/>
        <w:ind w:firstLine="420" w:firstLineChars="200"/>
        <w:rPr>
          <w:rFonts w:hint="eastAsia" w:ascii="宋体" w:hAnsi="宋体" w:cs="Courier New"/>
          <w:szCs w:val="21"/>
        </w:rPr>
      </w:pPr>
      <w:r>
        <w:rPr>
          <w:rFonts w:hint="eastAsia" w:ascii="宋体" w:hAnsi="宋体" w:cs="Courier New"/>
          <w:szCs w:val="21"/>
        </w:rPr>
        <w:t>未按评标委员会的要求作出明确澄清、说明或者更正的投标人的投标文件将按照有利于采购人的原则由评标委员会进行判定。</w:t>
      </w:r>
    </w:p>
    <w:p w14:paraId="7BE8AC37">
      <w:pPr>
        <w:pStyle w:val="8"/>
        <w:keepNext w:val="0"/>
        <w:keepLines w:val="0"/>
        <w:spacing w:before="0" w:after="0" w:line="360" w:lineRule="auto"/>
        <w:ind w:left="420" w:leftChars="200"/>
        <w:rPr>
          <w:rFonts w:hint="eastAsia" w:ascii="宋体" w:hAnsi="宋体"/>
          <w:sz w:val="21"/>
          <w:szCs w:val="21"/>
        </w:rPr>
      </w:pPr>
      <w:r>
        <w:rPr>
          <w:rFonts w:ascii="宋体" w:hAnsi="宋体"/>
          <w:sz w:val="21"/>
          <w:szCs w:val="21"/>
        </w:rPr>
        <w:t>4.</w:t>
      </w:r>
      <w:r>
        <w:rPr>
          <w:rFonts w:hint="eastAsia" w:ascii="宋体" w:hAnsi="宋体"/>
          <w:sz w:val="21"/>
          <w:szCs w:val="21"/>
        </w:rPr>
        <w:t>投标文件修正</w:t>
      </w:r>
    </w:p>
    <w:p w14:paraId="2823B397">
      <w:pPr>
        <w:pStyle w:val="8"/>
        <w:keepNext w:val="0"/>
        <w:keepLines w:val="0"/>
        <w:spacing w:before="0" w:after="0" w:line="360" w:lineRule="auto"/>
        <w:ind w:left="420" w:leftChars="200"/>
        <w:rPr>
          <w:rFonts w:hint="eastAsia" w:ascii="宋体" w:hAnsi="宋体"/>
          <w:b w:val="0"/>
          <w:sz w:val="21"/>
          <w:szCs w:val="21"/>
        </w:rPr>
      </w:pPr>
      <w:r>
        <w:rPr>
          <w:rFonts w:ascii="宋体" w:hAnsi="宋体"/>
          <w:b w:val="0"/>
          <w:sz w:val="21"/>
          <w:szCs w:val="21"/>
        </w:rPr>
        <w:t>4</w:t>
      </w:r>
      <w:r>
        <w:rPr>
          <w:rFonts w:hint="eastAsia" w:ascii="宋体" w:hAnsi="宋体"/>
          <w:b w:val="0"/>
          <w:sz w:val="21"/>
          <w:szCs w:val="21"/>
        </w:rPr>
        <w:t xml:space="preserve">.1投标文件报价出现前后不一致的，除“投标文件前附表”另有规定的情形，按照下列规定修正： </w:t>
      </w:r>
    </w:p>
    <w:p w14:paraId="7CAD7A33">
      <w:pPr>
        <w:pStyle w:val="18"/>
        <w:snapToGrid w:val="0"/>
        <w:spacing w:line="360" w:lineRule="auto"/>
        <w:ind w:firstLine="420" w:firstLineChars="200"/>
        <w:rPr>
          <w:rFonts w:hint="eastAsia" w:hAnsi="宋体"/>
        </w:rPr>
      </w:pPr>
      <w:r>
        <w:rPr>
          <w:rFonts w:hint="eastAsia" w:hAnsi="宋体"/>
        </w:rPr>
        <w:t>（1）投标文件中开标一览表（报价表）内容与投标文件中相应内容不一致的，以开标一览表（报价表）为准；</w:t>
      </w:r>
    </w:p>
    <w:p w14:paraId="2635E845">
      <w:pPr>
        <w:pStyle w:val="18"/>
        <w:snapToGrid w:val="0"/>
        <w:spacing w:line="360" w:lineRule="auto"/>
        <w:ind w:firstLine="420" w:firstLineChars="200"/>
        <w:rPr>
          <w:rFonts w:hint="eastAsia" w:hAnsi="宋体"/>
        </w:rPr>
      </w:pPr>
      <w:r>
        <w:rPr>
          <w:rFonts w:hint="eastAsia" w:hAnsi="宋体"/>
        </w:rPr>
        <w:t>（2）大写金额和小写金额不一致的，以大写金额为准；</w:t>
      </w:r>
    </w:p>
    <w:p w14:paraId="7D1C6EB6">
      <w:pPr>
        <w:pStyle w:val="18"/>
        <w:snapToGrid w:val="0"/>
        <w:spacing w:line="360" w:lineRule="auto"/>
        <w:ind w:firstLine="420" w:firstLineChars="200"/>
        <w:rPr>
          <w:rFonts w:hint="eastAsia" w:hAnsi="宋体"/>
        </w:rPr>
      </w:pPr>
      <w:r>
        <w:rPr>
          <w:rFonts w:hint="eastAsia" w:hAnsi="宋体"/>
        </w:rPr>
        <w:t>（3）单价金额小数点或者百分比有明显错位的，以开标一览表的总价为准，并修改单价；</w:t>
      </w:r>
    </w:p>
    <w:p w14:paraId="46D03F8B">
      <w:pPr>
        <w:pStyle w:val="18"/>
        <w:snapToGrid w:val="0"/>
        <w:spacing w:line="360" w:lineRule="auto"/>
        <w:ind w:firstLine="420" w:firstLineChars="200"/>
        <w:rPr>
          <w:rFonts w:hint="eastAsia" w:hAnsi="宋体"/>
        </w:rPr>
      </w:pPr>
      <w:r>
        <w:rPr>
          <w:rFonts w:hint="eastAsia" w:hAnsi="宋体"/>
        </w:rPr>
        <w:t>（4）总价金额与按单价汇总金额不一致的，以单价金额计算结果为准。</w:t>
      </w:r>
    </w:p>
    <w:p w14:paraId="3E22820D">
      <w:pPr>
        <w:pStyle w:val="18"/>
        <w:snapToGrid w:val="0"/>
        <w:spacing w:line="360" w:lineRule="auto"/>
        <w:ind w:firstLine="420" w:firstLineChars="200"/>
        <w:rPr>
          <w:rFonts w:hint="eastAsia" w:hAnsi="宋体"/>
        </w:rPr>
      </w:pPr>
      <w:r>
        <w:rPr>
          <w:rFonts w:hint="eastAsia" w:hAnsi="宋体"/>
        </w:rPr>
        <w:t>同时出现两种以上不一致的，按照以上（1）-（4）规定的顺序修正。修正后的报价经投标人确认后产生约束力，投标人不确认的，</w:t>
      </w:r>
      <w:r>
        <w:rPr>
          <w:rFonts w:hint="eastAsia" w:hAnsi="宋体"/>
          <w:b/>
        </w:rPr>
        <w:t>其投标无效</w:t>
      </w:r>
      <w:r>
        <w:rPr>
          <w:rFonts w:hint="eastAsia" w:hAnsi="宋体"/>
        </w:rPr>
        <w:t>。</w:t>
      </w:r>
    </w:p>
    <w:p w14:paraId="4CE3FC4C">
      <w:pPr>
        <w:pStyle w:val="8"/>
        <w:keepNext w:val="0"/>
        <w:keepLines w:val="0"/>
        <w:spacing w:before="0" w:after="0" w:line="360" w:lineRule="auto"/>
        <w:rPr>
          <w:rFonts w:hint="eastAsia" w:ascii="宋体" w:hAnsi="宋体"/>
          <w:b w:val="0"/>
          <w:sz w:val="21"/>
          <w:szCs w:val="21"/>
        </w:rPr>
      </w:pPr>
      <w:r>
        <w:rPr>
          <w:rFonts w:ascii="宋体" w:hAnsi="宋体"/>
          <w:b w:val="0"/>
          <w:sz w:val="21"/>
          <w:szCs w:val="21"/>
        </w:rPr>
        <w:t xml:space="preserve">    4</w:t>
      </w:r>
      <w:r>
        <w:rPr>
          <w:rFonts w:hint="eastAsia" w:ascii="宋体" w:hAnsi="宋体"/>
          <w:b w:val="0"/>
          <w:sz w:val="21"/>
          <w:szCs w:val="21"/>
        </w:rPr>
        <w:t>.2经投标人确认修正后的报价若超过采购预算金额或者最高限价，</w:t>
      </w:r>
      <w:r>
        <w:rPr>
          <w:rFonts w:hint="eastAsia" w:ascii="宋体" w:hAnsi="宋体"/>
          <w:sz w:val="21"/>
          <w:szCs w:val="21"/>
        </w:rPr>
        <w:t>投标人的投标文件作无效投标处理</w:t>
      </w:r>
      <w:r>
        <w:rPr>
          <w:rFonts w:hint="eastAsia" w:ascii="宋体" w:hAnsi="宋体"/>
          <w:b w:val="0"/>
          <w:sz w:val="21"/>
          <w:szCs w:val="21"/>
        </w:rPr>
        <w:t>。</w:t>
      </w:r>
    </w:p>
    <w:p w14:paraId="6152C5B3">
      <w:pPr>
        <w:snapToGrid w:val="0"/>
        <w:spacing w:line="360" w:lineRule="auto"/>
        <w:ind w:firstLine="420" w:firstLineChars="200"/>
        <w:rPr>
          <w:rFonts w:hint="eastAsia" w:ascii="宋体" w:hAnsi="宋体"/>
          <w:szCs w:val="21"/>
        </w:rPr>
      </w:pPr>
      <w:r>
        <w:rPr>
          <w:rFonts w:ascii="宋体" w:hAnsi="宋体"/>
          <w:szCs w:val="21"/>
        </w:rPr>
        <w:t>4</w:t>
      </w:r>
      <w:r>
        <w:rPr>
          <w:rFonts w:hint="eastAsia" w:ascii="宋体" w:hAnsi="宋体"/>
          <w:szCs w:val="21"/>
        </w:rPr>
        <w:t>.3经投标人确认修正后的报价作为签订合同的依据，并以此报价计算价格分。</w:t>
      </w:r>
    </w:p>
    <w:p w14:paraId="3F7758EA">
      <w:pPr>
        <w:pStyle w:val="8"/>
        <w:keepNext w:val="0"/>
        <w:keepLines w:val="0"/>
        <w:spacing w:before="0" w:after="0" w:line="360" w:lineRule="auto"/>
        <w:ind w:left="420" w:leftChars="200"/>
        <w:rPr>
          <w:rFonts w:hint="eastAsia" w:ascii="宋体" w:hAnsi="宋体"/>
          <w:sz w:val="21"/>
          <w:szCs w:val="21"/>
        </w:rPr>
      </w:pPr>
      <w:r>
        <w:rPr>
          <w:rFonts w:ascii="宋体" w:hAnsi="宋体"/>
          <w:sz w:val="21"/>
          <w:szCs w:val="21"/>
        </w:rPr>
        <w:t>5.</w:t>
      </w:r>
      <w:r>
        <w:rPr>
          <w:rFonts w:hint="eastAsia" w:ascii="宋体" w:hAnsi="宋体"/>
          <w:sz w:val="21"/>
          <w:szCs w:val="21"/>
        </w:rPr>
        <w:t>比较与评价</w:t>
      </w:r>
    </w:p>
    <w:p w14:paraId="609AF0A2">
      <w:pPr>
        <w:snapToGrid w:val="0"/>
        <w:spacing w:line="360" w:lineRule="auto"/>
        <w:ind w:firstLine="420" w:firstLineChars="200"/>
        <w:rPr>
          <w:rFonts w:hint="eastAsia" w:ascii="宋体" w:hAnsi="宋体"/>
          <w:szCs w:val="21"/>
        </w:rPr>
      </w:pPr>
      <w:r>
        <w:rPr>
          <w:rFonts w:hint="eastAsia" w:ascii="宋体" w:hAnsi="宋体"/>
          <w:szCs w:val="21"/>
        </w:rPr>
        <w:t>5.1采用综合评分法的</w:t>
      </w:r>
    </w:p>
    <w:p w14:paraId="330E58B6">
      <w:pPr>
        <w:snapToGrid w:val="0"/>
        <w:spacing w:line="360" w:lineRule="auto"/>
        <w:ind w:firstLine="420" w:firstLineChars="200"/>
        <w:rPr>
          <w:rFonts w:hint="eastAsia" w:ascii="宋体" w:hAnsi="宋体"/>
          <w:szCs w:val="21"/>
        </w:rPr>
      </w:pPr>
      <w:r>
        <w:rPr>
          <w:rFonts w:hint="eastAsia" w:ascii="宋体" w:hAnsi="宋体"/>
          <w:szCs w:val="21"/>
        </w:rPr>
        <w:t>（1）评标委员会按照采购文件中规定的评标方法及评标标准，对符合性审查合格的投标文件进行商务和技术评估，综合比较与评价。</w:t>
      </w:r>
    </w:p>
    <w:p w14:paraId="486DFA22">
      <w:pPr>
        <w:snapToGrid w:val="0"/>
        <w:spacing w:line="360" w:lineRule="auto"/>
        <w:ind w:firstLine="420" w:firstLineChars="200"/>
        <w:rPr>
          <w:rFonts w:hint="eastAsia" w:ascii="宋体" w:hAnsi="宋体"/>
          <w:szCs w:val="21"/>
        </w:rPr>
      </w:pPr>
      <w:r>
        <w:rPr>
          <w:rFonts w:hint="eastAsia" w:ascii="宋体" w:hAnsi="宋体"/>
          <w:szCs w:val="21"/>
        </w:rPr>
        <w:t>（2）评标委员会独立对每个投标人的投标文件进行评价，并汇总每个投标人的得分。</w:t>
      </w:r>
    </w:p>
    <w:p w14:paraId="3E21D726">
      <w:pPr>
        <w:snapToGrid w:val="0"/>
        <w:spacing w:line="360" w:lineRule="auto"/>
        <w:ind w:firstLine="420" w:firstLineChars="200"/>
        <w:rPr>
          <w:rFonts w:hint="eastAsia" w:ascii="宋体" w:hAnsi="宋体"/>
          <w:szCs w:val="21"/>
        </w:rPr>
      </w:pPr>
      <w:r>
        <w:rPr>
          <w:rFonts w:hint="eastAsia" w:ascii="宋体" w:hAnsi="宋体"/>
          <w:szCs w:val="21"/>
        </w:rPr>
        <w:t>1）评标委员会在评审中发现下列情形之一的，应当启动异常低价投标审查程序：</w:t>
      </w:r>
    </w:p>
    <w:p w14:paraId="33479CC1">
      <w:pPr>
        <w:snapToGrid w:val="0"/>
        <w:spacing w:line="360" w:lineRule="auto"/>
        <w:ind w:firstLine="420" w:firstLineChars="200"/>
        <w:rPr>
          <w:rFonts w:hint="eastAsia" w:ascii="宋体" w:hAnsi="宋体"/>
          <w:szCs w:val="21"/>
        </w:rPr>
      </w:pPr>
      <w:r>
        <w:rPr>
          <w:rFonts w:hint="eastAsia" w:ascii="宋体" w:hAnsi="宋体"/>
          <w:szCs w:val="21"/>
        </w:rPr>
        <w:t>①投标报价低于全部通过符合性审查供应商投标报价平均值</w:t>
      </w:r>
      <w:r>
        <w:rPr>
          <w:rFonts w:ascii="宋体" w:hAnsi="宋体"/>
          <w:szCs w:val="21"/>
          <w:u w:val="single"/>
        </w:rPr>
        <w:t xml:space="preserve"> </w:t>
      </w:r>
      <w:r>
        <w:rPr>
          <w:rFonts w:hint="eastAsia" w:ascii="宋体" w:hAnsi="宋体"/>
          <w:szCs w:val="21"/>
          <w:u w:val="single"/>
        </w:rPr>
        <w:t>65%</w:t>
      </w:r>
      <w:r>
        <w:rPr>
          <w:rFonts w:ascii="宋体" w:hAnsi="宋体"/>
          <w:szCs w:val="21"/>
          <w:u w:val="single"/>
        </w:rPr>
        <w:t xml:space="preserve"> </w:t>
      </w:r>
      <w:r>
        <w:rPr>
          <w:rFonts w:hint="eastAsia" w:ascii="宋体" w:hAnsi="宋体"/>
          <w:szCs w:val="21"/>
        </w:rPr>
        <w:t>的，即投标报价＜全部通过符合性审查供应商投标报价平均值×</w:t>
      </w:r>
      <w:r>
        <w:rPr>
          <w:rFonts w:ascii="宋体" w:hAnsi="宋体"/>
          <w:szCs w:val="21"/>
          <w:u w:val="single"/>
        </w:rPr>
        <w:t xml:space="preserve">  </w:t>
      </w:r>
      <w:r>
        <w:rPr>
          <w:rFonts w:hint="eastAsia" w:ascii="宋体" w:hAnsi="宋体"/>
          <w:szCs w:val="21"/>
          <w:u w:val="single"/>
        </w:rPr>
        <w:t>65%</w:t>
      </w:r>
      <w:r>
        <w:rPr>
          <w:rFonts w:ascii="宋体" w:hAnsi="宋体"/>
          <w:szCs w:val="21"/>
          <w:u w:val="single"/>
        </w:rPr>
        <w:t xml:space="preserve">  </w:t>
      </w:r>
      <w:r>
        <w:rPr>
          <w:rFonts w:hint="eastAsia" w:ascii="宋体" w:hAnsi="宋体"/>
          <w:szCs w:val="21"/>
        </w:rPr>
        <w:t>；</w:t>
      </w:r>
    </w:p>
    <w:p w14:paraId="5D556AAF">
      <w:pPr>
        <w:snapToGrid w:val="0"/>
        <w:spacing w:line="360" w:lineRule="auto"/>
        <w:ind w:firstLine="420" w:firstLineChars="200"/>
        <w:rPr>
          <w:rFonts w:hint="eastAsia" w:ascii="宋体" w:hAnsi="宋体"/>
          <w:szCs w:val="21"/>
        </w:rPr>
      </w:pPr>
      <w:r>
        <w:rPr>
          <w:rFonts w:hint="eastAsia" w:ascii="宋体" w:hAnsi="宋体"/>
          <w:szCs w:val="21"/>
        </w:rPr>
        <w:t>②投标报价低于通过符合性审查的次低报价供应商投标报价</w:t>
      </w:r>
      <w:r>
        <w:rPr>
          <w:rFonts w:ascii="宋体" w:hAnsi="宋体"/>
          <w:szCs w:val="21"/>
          <w:u w:val="single"/>
        </w:rPr>
        <w:t xml:space="preserve"> </w:t>
      </w:r>
      <w:r>
        <w:rPr>
          <w:rFonts w:hint="eastAsia" w:ascii="宋体" w:hAnsi="宋体"/>
          <w:szCs w:val="21"/>
          <w:u w:val="single"/>
        </w:rPr>
        <w:t>65%</w:t>
      </w:r>
      <w:r>
        <w:rPr>
          <w:rFonts w:ascii="宋体" w:hAnsi="宋体"/>
          <w:szCs w:val="21"/>
          <w:u w:val="single"/>
        </w:rPr>
        <w:t xml:space="preserve"> </w:t>
      </w:r>
      <w:r>
        <w:rPr>
          <w:rFonts w:hint="eastAsia" w:ascii="宋体" w:hAnsi="宋体"/>
          <w:szCs w:val="21"/>
        </w:rPr>
        <w:t>的，即投标报价＜通过符合性审查的次低报价供应商投标报价×</w:t>
      </w:r>
      <w:r>
        <w:rPr>
          <w:rFonts w:ascii="宋体" w:hAnsi="宋体"/>
          <w:szCs w:val="21"/>
          <w:u w:val="single"/>
        </w:rPr>
        <w:t xml:space="preserve"> </w:t>
      </w:r>
      <w:r>
        <w:rPr>
          <w:rFonts w:hint="eastAsia" w:ascii="宋体" w:hAnsi="宋体"/>
          <w:szCs w:val="21"/>
          <w:u w:val="single"/>
        </w:rPr>
        <w:t>65%</w:t>
      </w:r>
      <w:r>
        <w:rPr>
          <w:rFonts w:ascii="宋体" w:hAnsi="宋体"/>
          <w:szCs w:val="21"/>
          <w:u w:val="single"/>
        </w:rPr>
        <w:t xml:space="preserve">  </w:t>
      </w:r>
      <w:r>
        <w:rPr>
          <w:rFonts w:hint="eastAsia" w:ascii="宋体" w:hAnsi="宋体"/>
          <w:szCs w:val="21"/>
        </w:rPr>
        <w:t>；</w:t>
      </w:r>
    </w:p>
    <w:p w14:paraId="30EA9BDC">
      <w:pPr>
        <w:snapToGrid w:val="0"/>
        <w:spacing w:line="360" w:lineRule="auto"/>
        <w:ind w:firstLine="420" w:firstLineChars="200"/>
        <w:rPr>
          <w:rFonts w:hint="eastAsia" w:ascii="宋体" w:hAnsi="宋体"/>
          <w:szCs w:val="21"/>
        </w:rPr>
      </w:pPr>
      <w:r>
        <w:rPr>
          <w:rFonts w:hint="eastAsia" w:ascii="宋体" w:hAnsi="宋体"/>
          <w:szCs w:val="21"/>
        </w:rPr>
        <w:t>③投标报价低于采购项目最高限价</w:t>
      </w:r>
      <w:r>
        <w:rPr>
          <w:rFonts w:ascii="宋体" w:hAnsi="宋体"/>
          <w:szCs w:val="21"/>
          <w:u w:val="single"/>
        </w:rPr>
        <w:t xml:space="preserve"> </w:t>
      </w:r>
      <w:r>
        <w:rPr>
          <w:rFonts w:hint="eastAsia" w:ascii="宋体" w:hAnsi="宋体"/>
          <w:szCs w:val="21"/>
          <w:u w:val="single"/>
        </w:rPr>
        <w:t>65%</w:t>
      </w:r>
      <w:r>
        <w:rPr>
          <w:rFonts w:ascii="宋体" w:hAnsi="宋体"/>
          <w:szCs w:val="21"/>
          <w:u w:val="single"/>
        </w:rPr>
        <w:t xml:space="preserve">  </w:t>
      </w:r>
      <w:r>
        <w:rPr>
          <w:rFonts w:hint="eastAsia" w:ascii="宋体" w:hAnsi="宋体"/>
          <w:szCs w:val="21"/>
        </w:rPr>
        <w:t>的，即投标报价＜采购项目最高限价×</w:t>
      </w:r>
      <w:r>
        <w:rPr>
          <w:rFonts w:ascii="宋体" w:hAnsi="宋体"/>
          <w:szCs w:val="21"/>
          <w:u w:val="single"/>
        </w:rPr>
        <w:t xml:space="preserve"> </w:t>
      </w:r>
      <w:r>
        <w:rPr>
          <w:rFonts w:hint="eastAsia" w:ascii="宋体" w:hAnsi="宋体"/>
          <w:szCs w:val="21"/>
          <w:u w:val="single"/>
        </w:rPr>
        <w:t>65%</w:t>
      </w:r>
      <w:r>
        <w:rPr>
          <w:rFonts w:ascii="宋体" w:hAnsi="宋体"/>
          <w:szCs w:val="21"/>
          <w:u w:val="single"/>
        </w:rPr>
        <w:t xml:space="preserve"> </w:t>
      </w:r>
      <w:r>
        <w:rPr>
          <w:rFonts w:hint="eastAsia" w:ascii="宋体" w:hAnsi="宋体"/>
          <w:szCs w:val="21"/>
        </w:rPr>
        <w:t>；</w:t>
      </w:r>
    </w:p>
    <w:p w14:paraId="336A0A0F">
      <w:pPr>
        <w:snapToGrid w:val="0"/>
        <w:spacing w:line="360" w:lineRule="auto"/>
        <w:ind w:firstLine="420" w:firstLineChars="200"/>
        <w:rPr>
          <w:rFonts w:hint="eastAsia" w:ascii="宋体" w:hAnsi="宋体"/>
          <w:szCs w:val="21"/>
        </w:rPr>
      </w:pPr>
      <w:r>
        <w:rPr>
          <w:rFonts w:hint="eastAsia" w:ascii="宋体" w:hAnsi="宋体"/>
          <w:szCs w:val="21"/>
        </w:rPr>
        <w:t>④评标委员会基于专业判断，认为供应商报价过低，有可能影响产品质量或者不能诚信履约的其他情形。</w:t>
      </w:r>
    </w:p>
    <w:p w14:paraId="0610B1B4">
      <w:pPr>
        <w:snapToGrid w:val="0"/>
        <w:spacing w:line="360" w:lineRule="auto"/>
        <w:ind w:firstLine="420" w:firstLineChars="200"/>
        <w:rPr>
          <w:rFonts w:hint="eastAsia" w:ascii="宋体" w:hAnsi="宋体"/>
          <w:szCs w:val="21"/>
        </w:rPr>
      </w:pPr>
      <w:r>
        <w:rPr>
          <w:rFonts w:ascii="宋体" w:hAnsi="宋体"/>
          <w:szCs w:val="21"/>
        </w:rPr>
        <w:t>2</w:t>
      </w:r>
      <w:r>
        <w:rPr>
          <w:rFonts w:hint="eastAsia" w:ascii="宋体" w:hAnsi="宋体"/>
          <w:szCs w:val="21"/>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497DE81C">
      <w:pPr>
        <w:snapToGrid w:val="0"/>
        <w:spacing w:line="360" w:lineRule="auto"/>
        <w:ind w:firstLine="420" w:firstLineChars="200"/>
        <w:rPr>
          <w:rFonts w:hint="eastAsia" w:ascii="宋体" w:hAnsi="宋体"/>
          <w:szCs w:val="21"/>
        </w:rPr>
      </w:pPr>
      <w:r>
        <w:rPr>
          <w:rFonts w:hint="eastAsia" w:ascii="宋体" w:hAnsi="宋体"/>
          <w:szCs w:val="21"/>
        </w:rPr>
        <w:t>评标委员会依据专业经验，参考同类项目中标（中标）价格、类似产品市场价格水平、行业人工费用标准、国家有关部门指导行业协会发布的行业平均成本等情况，对报价合理性进行判断。</w:t>
      </w:r>
      <w:r>
        <w:rPr>
          <w:rFonts w:hint="eastAsia" w:ascii="宋体" w:hAnsi="宋体"/>
          <w:b/>
          <w:szCs w:val="21"/>
        </w:rPr>
        <w:t>投标供应商不能提供书面说明、证明材料，或者提供的书面说明、证明材料不能证明其报价合理性的，评标委员会应当将其作为无效投标处理。</w:t>
      </w:r>
    </w:p>
    <w:p w14:paraId="7E3E49F8">
      <w:pPr>
        <w:snapToGrid w:val="0"/>
        <w:spacing w:line="360" w:lineRule="auto"/>
        <w:ind w:firstLine="420" w:firstLineChars="200"/>
        <w:rPr>
          <w:rFonts w:hint="eastAsia" w:ascii="宋体" w:hAnsi="宋体"/>
          <w:szCs w:val="21"/>
        </w:rPr>
      </w:pPr>
      <w:r>
        <w:rPr>
          <w:rFonts w:hint="eastAsia" w:ascii="宋体" w:hAnsi="宋体"/>
          <w:szCs w:val="21"/>
        </w:rPr>
        <w:t>采购人、采购代理机构应当为评标委员会在评审现场及时获取同类项目中标（中标）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6A89A18">
      <w:pPr>
        <w:snapToGrid w:val="0"/>
        <w:spacing w:line="360" w:lineRule="auto"/>
        <w:ind w:firstLine="420" w:firstLineChars="200"/>
        <w:rPr>
          <w:rFonts w:hint="eastAsia" w:ascii="宋体" w:hAnsi="宋体"/>
          <w:szCs w:val="21"/>
        </w:rPr>
      </w:pPr>
      <w:r>
        <w:rPr>
          <w:rFonts w:hint="eastAsia" w:ascii="宋体" w:hAnsi="宋体"/>
          <w:szCs w:val="21"/>
        </w:rPr>
        <w:t>异常低价投标审查的启动原因、审查意见和审查结果应当在评审报告中记录，并随供应商提供的相关书面说明及证明材料；如有，以及评标委员会有关互联网浏览、查询历史一并归档。</w:t>
      </w:r>
    </w:p>
    <w:p w14:paraId="7D2C4CE1">
      <w:pPr>
        <w:snapToGrid w:val="0"/>
        <w:spacing w:line="360" w:lineRule="auto"/>
        <w:ind w:firstLine="420" w:firstLineChars="200"/>
        <w:rPr>
          <w:rFonts w:hint="eastAsia" w:ascii="宋体" w:hAnsi="宋体"/>
          <w:szCs w:val="21"/>
        </w:rPr>
      </w:pPr>
      <w:r>
        <w:rPr>
          <w:rFonts w:hint="eastAsia" w:ascii="宋体" w:hAnsi="宋体"/>
          <w:szCs w:val="21"/>
        </w:rPr>
        <w:t>（3）评标委员会按照采购文件中规定的评标方法和标准计算各投标人的报价得分。在计算过程中，不得去掉最高报价或者最低报价。</w:t>
      </w:r>
    </w:p>
    <w:p w14:paraId="278E3C7D">
      <w:pPr>
        <w:snapToGrid w:val="0"/>
        <w:spacing w:line="360" w:lineRule="auto"/>
        <w:ind w:firstLine="420" w:firstLineChars="200"/>
        <w:rPr>
          <w:rFonts w:hint="eastAsia" w:ascii="宋体" w:hAnsi="宋体"/>
          <w:szCs w:val="21"/>
        </w:rPr>
      </w:pPr>
      <w:r>
        <w:rPr>
          <w:rFonts w:hint="eastAsia" w:ascii="宋体" w:hAnsi="宋体"/>
          <w:szCs w:val="21"/>
        </w:rPr>
        <w:t>（4）各投标人的得分为所有评委的有效评分的算术平均数。</w:t>
      </w:r>
    </w:p>
    <w:p w14:paraId="16B35EDB">
      <w:pPr>
        <w:snapToGrid w:val="0"/>
        <w:spacing w:line="360" w:lineRule="auto"/>
        <w:ind w:firstLine="420" w:firstLineChars="200"/>
        <w:rPr>
          <w:rFonts w:hint="eastAsia" w:ascii="宋体" w:hAnsi="宋体"/>
          <w:szCs w:val="21"/>
        </w:rPr>
      </w:pPr>
      <w:r>
        <w:rPr>
          <w:rFonts w:hint="eastAsia" w:ascii="宋体" w:hAnsi="宋体"/>
          <w:szCs w:val="21"/>
        </w:rPr>
        <w:t>（5）评标委员会按照采购文件中的规定推荐中标候选人。</w:t>
      </w:r>
    </w:p>
    <w:p w14:paraId="7A4AAA0F">
      <w:pPr>
        <w:snapToGrid w:val="0"/>
        <w:spacing w:line="360" w:lineRule="auto"/>
        <w:ind w:firstLine="420" w:firstLineChars="200"/>
        <w:rPr>
          <w:rFonts w:hint="eastAsia" w:ascii="宋体" w:hAnsi="宋体"/>
          <w:szCs w:val="21"/>
        </w:rPr>
      </w:pPr>
      <w:r>
        <w:rPr>
          <w:rFonts w:hint="eastAsia" w:ascii="宋体" w:hAnsi="宋体"/>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成员应当在评标报告上签署不同意见及理由，否则视为同意评标报告。</w:t>
      </w:r>
    </w:p>
    <w:p w14:paraId="1D6AEBA0">
      <w:pPr>
        <w:snapToGrid w:val="0"/>
        <w:spacing w:line="360" w:lineRule="auto"/>
      </w:pPr>
    </w:p>
    <w:p w14:paraId="29DE1B70">
      <w:pPr>
        <w:snapToGrid w:val="0"/>
        <w:spacing w:line="360" w:lineRule="exact"/>
        <w:ind w:firstLine="649" w:firstLineChars="202"/>
        <w:jc w:val="center"/>
        <w:rPr>
          <w:rFonts w:hint="eastAsia" w:ascii="宋体" w:hAnsi="宋体" w:cs="宋体"/>
          <w:b/>
          <w:bCs/>
          <w:sz w:val="32"/>
          <w:szCs w:val="32"/>
        </w:rPr>
      </w:pPr>
      <w:bookmarkStart w:id="138" w:name="_Hlk71707917"/>
    </w:p>
    <w:p w14:paraId="48CF6803">
      <w:pPr>
        <w:snapToGrid w:val="0"/>
        <w:spacing w:line="360" w:lineRule="exact"/>
        <w:ind w:firstLine="649" w:firstLineChars="202"/>
        <w:jc w:val="center"/>
        <w:rPr>
          <w:rFonts w:hint="eastAsia" w:ascii="宋体" w:hAnsi="宋体" w:cs="宋体"/>
          <w:b/>
          <w:bCs/>
          <w:sz w:val="32"/>
          <w:szCs w:val="32"/>
        </w:rPr>
      </w:pPr>
    </w:p>
    <w:p w14:paraId="57D60A23">
      <w:pPr>
        <w:snapToGrid w:val="0"/>
        <w:spacing w:line="360" w:lineRule="exact"/>
        <w:ind w:firstLine="649" w:firstLineChars="202"/>
        <w:jc w:val="center"/>
        <w:rPr>
          <w:rFonts w:hint="eastAsia" w:ascii="宋体" w:hAnsi="宋体" w:cs="宋体"/>
          <w:b/>
          <w:bCs/>
          <w:sz w:val="32"/>
          <w:szCs w:val="32"/>
        </w:rPr>
      </w:pPr>
    </w:p>
    <w:p w14:paraId="494FD2C1">
      <w:pPr>
        <w:snapToGrid w:val="0"/>
        <w:spacing w:line="360" w:lineRule="exact"/>
        <w:ind w:firstLine="649" w:firstLineChars="202"/>
        <w:jc w:val="center"/>
        <w:rPr>
          <w:rFonts w:hint="eastAsia" w:ascii="宋体" w:hAnsi="宋体" w:cs="宋体"/>
          <w:b/>
          <w:bCs/>
          <w:sz w:val="32"/>
          <w:szCs w:val="32"/>
        </w:rPr>
      </w:pPr>
    </w:p>
    <w:p w14:paraId="1655217D">
      <w:pPr>
        <w:snapToGrid w:val="0"/>
        <w:spacing w:line="360" w:lineRule="exact"/>
        <w:ind w:firstLine="649" w:firstLineChars="202"/>
        <w:jc w:val="center"/>
        <w:rPr>
          <w:rFonts w:hint="eastAsia" w:ascii="宋体" w:hAnsi="宋体" w:cs="宋体"/>
          <w:b/>
          <w:bCs/>
          <w:sz w:val="32"/>
          <w:szCs w:val="32"/>
        </w:rPr>
      </w:pPr>
    </w:p>
    <w:p w14:paraId="5AF2770D">
      <w:pPr>
        <w:snapToGrid w:val="0"/>
        <w:spacing w:line="360" w:lineRule="exact"/>
        <w:ind w:firstLine="649" w:firstLineChars="202"/>
        <w:jc w:val="center"/>
        <w:rPr>
          <w:rFonts w:hint="eastAsia" w:ascii="宋体" w:hAnsi="宋体" w:cs="宋体"/>
          <w:b/>
          <w:bCs/>
          <w:sz w:val="32"/>
          <w:szCs w:val="32"/>
        </w:rPr>
      </w:pPr>
    </w:p>
    <w:p w14:paraId="22CE01DF">
      <w:pPr>
        <w:snapToGrid w:val="0"/>
        <w:spacing w:line="360" w:lineRule="exact"/>
        <w:ind w:firstLine="649" w:firstLineChars="202"/>
        <w:jc w:val="center"/>
        <w:rPr>
          <w:rFonts w:hint="eastAsia" w:ascii="宋体" w:hAnsi="宋体" w:cs="宋体"/>
          <w:b/>
          <w:bCs/>
          <w:sz w:val="32"/>
          <w:szCs w:val="32"/>
        </w:rPr>
      </w:pPr>
    </w:p>
    <w:p w14:paraId="542A7AD0">
      <w:pPr>
        <w:snapToGrid w:val="0"/>
        <w:spacing w:line="360" w:lineRule="exact"/>
        <w:ind w:firstLine="649" w:firstLineChars="202"/>
        <w:jc w:val="center"/>
        <w:rPr>
          <w:rFonts w:hint="eastAsia" w:ascii="宋体" w:hAnsi="宋体" w:cs="宋体"/>
          <w:b/>
          <w:bCs/>
          <w:sz w:val="32"/>
          <w:szCs w:val="32"/>
        </w:rPr>
      </w:pPr>
    </w:p>
    <w:p w14:paraId="7CB65D3E">
      <w:pPr>
        <w:snapToGrid w:val="0"/>
        <w:spacing w:line="360" w:lineRule="exact"/>
        <w:ind w:firstLine="649" w:firstLineChars="202"/>
        <w:jc w:val="center"/>
        <w:rPr>
          <w:rFonts w:hint="eastAsia" w:ascii="宋体" w:hAnsi="宋体" w:cs="宋体"/>
          <w:b/>
          <w:bCs/>
          <w:sz w:val="32"/>
          <w:szCs w:val="32"/>
        </w:rPr>
      </w:pPr>
    </w:p>
    <w:p w14:paraId="7B241200">
      <w:pPr>
        <w:snapToGrid w:val="0"/>
        <w:spacing w:line="360" w:lineRule="exact"/>
        <w:ind w:firstLine="649" w:firstLineChars="202"/>
        <w:jc w:val="center"/>
        <w:rPr>
          <w:rFonts w:hint="eastAsia" w:ascii="宋体" w:hAnsi="宋体" w:cs="宋体"/>
          <w:b/>
          <w:bCs/>
          <w:sz w:val="32"/>
          <w:szCs w:val="32"/>
        </w:rPr>
      </w:pPr>
    </w:p>
    <w:p w14:paraId="31D37B38">
      <w:pPr>
        <w:snapToGrid w:val="0"/>
        <w:spacing w:line="360" w:lineRule="exact"/>
        <w:ind w:firstLine="649" w:firstLineChars="202"/>
        <w:jc w:val="center"/>
        <w:rPr>
          <w:rFonts w:hint="eastAsia" w:ascii="宋体" w:hAnsi="宋体" w:cs="宋体"/>
          <w:b/>
          <w:bCs/>
          <w:sz w:val="32"/>
          <w:szCs w:val="32"/>
        </w:rPr>
      </w:pPr>
    </w:p>
    <w:p w14:paraId="192AD881">
      <w:pPr>
        <w:snapToGrid w:val="0"/>
        <w:spacing w:line="360" w:lineRule="exact"/>
        <w:ind w:firstLine="649" w:firstLineChars="202"/>
        <w:jc w:val="center"/>
        <w:rPr>
          <w:rFonts w:hint="eastAsia" w:ascii="宋体" w:hAnsi="宋体" w:cs="宋体"/>
          <w:b/>
          <w:bCs/>
          <w:sz w:val="32"/>
          <w:szCs w:val="32"/>
        </w:rPr>
      </w:pPr>
    </w:p>
    <w:p w14:paraId="1BC09971">
      <w:pPr>
        <w:snapToGrid w:val="0"/>
        <w:spacing w:line="360" w:lineRule="exact"/>
        <w:ind w:firstLine="649" w:firstLineChars="202"/>
        <w:jc w:val="center"/>
        <w:rPr>
          <w:rFonts w:hint="eastAsia" w:ascii="宋体" w:hAnsi="宋体" w:cs="宋体"/>
          <w:b/>
          <w:bCs/>
          <w:sz w:val="32"/>
          <w:szCs w:val="32"/>
        </w:rPr>
      </w:pPr>
    </w:p>
    <w:p w14:paraId="46CB4FF4">
      <w:pPr>
        <w:snapToGrid w:val="0"/>
        <w:spacing w:line="360" w:lineRule="exact"/>
        <w:ind w:firstLine="649" w:firstLineChars="202"/>
        <w:jc w:val="center"/>
        <w:rPr>
          <w:rFonts w:hint="eastAsia" w:ascii="宋体" w:hAnsi="宋体" w:cs="宋体"/>
          <w:b/>
          <w:bCs/>
          <w:sz w:val="32"/>
          <w:szCs w:val="32"/>
        </w:rPr>
      </w:pPr>
    </w:p>
    <w:p w14:paraId="00C71D8F">
      <w:pPr>
        <w:snapToGrid w:val="0"/>
        <w:spacing w:line="360" w:lineRule="exact"/>
        <w:ind w:firstLine="649" w:firstLineChars="202"/>
        <w:jc w:val="center"/>
        <w:rPr>
          <w:rFonts w:hint="eastAsia" w:ascii="宋体" w:hAnsi="宋体" w:cs="宋体"/>
          <w:b/>
          <w:bCs/>
          <w:sz w:val="32"/>
          <w:szCs w:val="32"/>
        </w:rPr>
      </w:pPr>
    </w:p>
    <w:p w14:paraId="71C5A939">
      <w:pPr>
        <w:snapToGrid w:val="0"/>
        <w:spacing w:line="360" w:lineRule="exact"/>
        <w:ind w:firstLine="649" w:firstLineChars="202"/>
        <w:jc w:val="center"/>
        <w:rPr>
          <w:rFonts w:hint="eastAsia" w:ascii="宋体" w:hAnsi="宋体" w:cs="宋体"/>
          <w:b/>
          <w:bCs/>
          <w:sz w:val="32"/>
          <w:szCs w:val="32"/>
        </w:rPr>
      </w:pPr>
    </w:p>
    <w:p w14:paraId="46F9EB57">
      <w:pPr>
        <w:snapToGrid w:val="0"/>
        <w:spacing w:line="360" w:lineRule="exact"/>
        <w:ind w:firstLine="649" w:firstLineChars="202"/>
        <w:jc w:val="center"/>
        <w:rPr>
          <w:rFonts w:hint="eastAsia" w:ascii="宋体" w:hAnsi="宋体" w:cs="宋体"/>
          <w:b/>
          <w:bCs/>
          <w:sz w:val="32"/>
          <w:szCs w:val="32"/>
        </w:rPr>
      </w:pPr>
    </w:p>
    <w:p w14:paraId="7CC642BE">
      <w:pPr>
        <w:snapToGrid w:val="0"/>
        <w:spacing w:line="360" w:lineRule="exact"/>
        <w:ind w:firstLine="649" w:firstLineChars="202"/>
        <w:jc w:val="center"/>
      </w:pPr>
      <w:r>
        <w:rPr>
          <w:rFonts w:ascii="宋体" w:hAnsi="宋体" w:cs="宋体"/>
          <w:b/>
          <w:bCs/>
          <w:sz w:val="32"/>
          <w:szCs w:val="32"/>
        </w:rPr>
        <w:t>三</w:t>
      </w:r>
      <w:r>
        <w:rPr>
          <w:rFonts w:hint="eastAsia" w:ascii="宋体" w:hAnsi="宋体" w:cs="宋体"/>
          <w:b/>
          <w:bCs/>
          <w:sz w:val="32"/>
          <w:szCs w:val="32"/>
        </w:rPr>
        <w:t>、评标标准</w:t>
      </w:r>
    </w:p>
    <w:p w14:paraId="5CFB6091">
      <w:pPr>
        <w:pStyle w:val="6"/>
        <w:keepNext w:val="0"/>
        <w:keepLines w:val="0"/>
        <w:spacing w:line="360" w:lineRule="exact"/>
        <w:jc w:val="center"/>
      </w:pPr>
      <w:r>
        <w:rPr>
          <w:rFonts w:hint="eastAsia"/>
        </w:rPr>
        <w:t>综合评分法</w:t>
      </w:r>
    </w:p>
    <w:bookmarkEnd w:id="138"/>
    <w:tbl>
      <w:tblPr>
        <w:tblStyle w:val="36"/>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517"/>
        <w:gridCol w:w="1772"/>
        <w:gridCol w:w="5655"/>
      </w:tblGrid>
      <w:tr w14:paraId="3D60D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2" w:type="dxa"/>
            <w:gridSpan w:val="2"/>
            <w:tcBorders>
              <w:top w:val="single" w:color="auto" w:sz="4" w:space="0"/>
              <w:left w:val="single" w:color="auto" w:sz="4" w:space="0"/>
              <w:bottom w:val="single" w:color="auto" w:sz="4" w:space="0"/>
              <w:right w:val="single" w:color="auto" w:sz="4" w:space="0"/>
            </w:tcBorders>
            <w:vAlign w:val="center"/>
          </w:tcPr>
          <w:p w14:paraId="32B48A18">
            <w:pPr>
              <w:adjustRightInd w:val="0"/>
              <w:spacing w:line="360" w:lineRule="exact"/>
              <w:jc w:val="center"/>
              <w:textAlignment w:val="baseline"/>
              <w:rPr>
                <w:rFonts w:hint="eastAsia" w:ascii="宋体" w:hAnsi="宋体"/>
                <w:szCs w:val="21"/>
              </w:rPr>
            </w:pPr>
            <w:r>
              <w:rPr>
                <w:rFonts w:hint="eastAsia" w:ascii="宋体" w:hAnsi="宋体"/>
                <w:b/>
                <w:szCs w:val="21"/>
              </w:rPr>
              <w:t>序号</w:t>
            </w:r>
          </w:p>
        </w:tc>
        <w:tc>
          <w:tcPr>
            <w:tcW w:w="1772" w:type="dxa"/>
            <w:tcBorders>
              <w:top w:val="single" w:color="auto" w:sz="4" w:space="0"/>
              <w:left w:val="single" w:color="auto" w:sz="4" w:space="0"/>
              <w:bottom w:val="single" w:color="auto" w:sz="4" w:space="0"/>
              <w:right w:val="single" w:color="auto" w:sz="4" w:space="0"/>
            </w:tcBorders>
            <w:vAlign w:val="center"/>
          </w:tcPr>
          <w:p w14:paraId="53229861">
            <w:pPr>
              <w:adjustRightInd w:val="0"/>
              <w:spacing w:line="360" w:lineRule="exact"/>
              <w:jc w:val="center"/>
              <w:textAlignment w:val="baseline"/>
              <w:rPr>
                <w:rFonts w:hint="eastAsia" w:ascii="宋体" w:hAnsi="宋体"/>
                <w:szCs w:val="21"/>
              </w:rPr>
            </w:pPr>
            <w:r>
              <w:rPr>
                <w:rFonts w:hint="eastAsia" w:ascii="宋体" w:hAnsi="宋体"/>
                <w:b/>
                <w:szCs w:val="21"/>
              </w:rPr>
              <w:t>评审因素</w:t>
            </w:r>
          </w:p>
        </w:tc>
        <w:tc>
          <w:tcPr>
            <w:tcW w:w="5655" w:type="dxa"/>
            <w:tcBorders>
              <w:top w:val="single" w:color="auto" w:sz="4" w:space="0"/>
              <w:left w:val="single" w:color="auto" w:sz="4" w:space="0"/>
              <w:bottom w:val="single" w:color="auto" w:sz="4" w:space="0"/>
              <w:right w:val="single" w:color="auto" w:sz="4" w:space="0"/>
            </w:tcBorders>
            <w:vAlign w:val="center"/>
          </w:tcPr>
          <w:p w14:paraId="713C9D06">
            <w:pPr>
              <w:adjustRightInd w:val="0"/>
              <w:spacing w:line="360" w:lineRule="exact"/>
              <w:jc w:val="center"/>
              <w:textAlignment w:val="baseline"/>
              <w:rPr>
                <w:rFonts w:hint="eastAsia" w:ascii="宋体" w:hAnsi="宋体"/>
                <w:szCs w:val="21"/>
              </w:rPr>
            </w:pPr>
            <w:r>
              <w:rPr>
                <w:rFonts w:hint="eastAsia" w:ascii="宋体" w:hAnsi="宋体"/>
                <w:b/>
                <w:szCs w:val="21"/>
              </w:rPr>
              <w:t>评分标准</w:t>
            </w:r>
          </w:p>
        </w:tc>
      </w:tr>
      <w:tr w14:paraId="7046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14:paraId="47FAD4BC">
            <w:pPr>
              <w:adjustRightInd w:val="0"/>
              <w:spacing w:line="360" w:lineRule="exact"/>
              <w:jc w:val="center"/>
              <w:textAlignment w:val="baseline"/>
              <w:rPr>
                <w:rFonts w:hint="eastAsia" w:ascii="宋体" w:hAnsi="宋体"/>
                <w:b/>
                <w:szCs w:val="21"/>
              </w:rPr>
            </w:pPr>
            <w:r>
              <w:rPr>
                <w:rFonts w:hint="eastAsia" w:ascii="宋体" w:hAnsi="宋体"/>
                <w:b/>
                <w:szCs w:val="21"/>
              </w:rPr>
              <w:t>1</w:t>
            </w:r>
          </w:p>
        </w:tc>
        <w:tc>
          <w:tcPr>
            <w:tcW w:w="1517" w:type="dxa"/>
            <w:tcBorders>
              <w:top w:val="single" w:color="auto" w:sz="4" w:space="0"/>
              <w:left w:val="single" w:color="auto" w:sz="4" w:space="0"/>
              <w:bottom w:val="single" w:color="auto" w:sz="4" w:space="0"/>
              <w:right w:val="single" w:color="auto" w:sz="4" w:space="0"/>
            </w:tcBorders>
            <w:vAlign w:val="center"/>
          </w:tcPr>
          <w:p w14:paraId="7CC00842">
            <w:pPr>
              <w:adjustRightInd w:val="0"/>
              <w:spacing w:line="360" w:lineRule="exact"/>
              <w:jc w:val="center"/>
              <w:textAlignment w:val="baseline"/>
              <w:rPr>
                <w:rFonts w:hint="eastAsia" w:ascii="宋体" w:hAnsi="宋体"/>
                <w:b/>
                <w:szCs w:val="21"/>
              </w:rPr>
            </w:pPr>
            <w:r>
              <w:rPr>
                <w:rFonts w:hint="eastAsia" w:ascii="宋体" w:hAnsi="宋体"/>
                <w:b/>
                <w:szCs w:val="21"/>
              </w:rPr>
              <w:t>价格分</w:t>
            </w:r>
          </w:p>
          <w:p w14:paraId="6E09D59E">
            <w:pPr>
              <w:adjustRightInd w:val="0"/>
              <w:spacing w:line="360" w:lineRule="exact"/>
              <w:jc w:val="center"/>
              <w:textAlignment w:val="baseline"/>
              <w:rPr>
                <w:rFonts w:hint="eastAsia" w:ascii="宋体" w:hAnsi="宋体"/>
                <w:szCs w:val="21"/>
              </w:rPr>
            </w:pPr>
            <w:r>
              <w:rPr>
                <w:rFonts w:hint="eastAsia" w:ascii="宋体" w:hAnsi="宋体"/>
                <w:b/>
                <w:szCs w:val="21"/>
              </w:rPr>
              <w:t>（满分10分）</w:t>
            </w:r>
          </w:p>
        </w:tc>
        <w:tc>
          <w:tcPr>
            <w:tcW w:w="1772" w:type="dxa"/>
            <w:tcBorders>
              <w:top w:val="single" w:color="auto" w:sz="4" w:space="0"/>
              <w:left w:val="single" w:color="auto" w:sz="4" w:space="0"/>
              <w:bottom w:val="single" w:color="auto" w:sz="4" w:space="0"/>
              <w:right w:val="single" w:color="auto" w:sz="4" w:space="0"/>
            </w:tcBorders>
            <w:vAlign w:val="center"/>
          </w:tcPr>
          <w:p w14:paraId="0A55022B">
            <w:pPr>
              <w:adjustRightInd w:val="0"/>
              <w:spacing w:line="360" w:lineRule="exact"/>
              <w:jc w:val="center"/>
              <w:textAlignment w:val="baseline"/>
              <w:rPr>
                <w:rFonts w:hint="eastAsia" w:ascii="宋体" w:hAnsi="宋体"/>
                <w:szCs w:val="21"/>
              </w:rPr>
            </w:pPr>
            <w:r>
              <w:rPr>
                <w:rFonts w:hint="eastAsia" w:ascii="宋体" w:hAnsi="宋体" w:cs="宋体"/>
                <w:sz w:val="24"/>
              </w:rPr>
              <w:t>投标报价</w:t>
            </w:r>
            <w:r>
              <w:rPr>
                <w:rFonts w:hint="eastAsia" w:ascii="宋体" w:hAnsi="宋体"/>
                <w:szCs w:val="21"/>
              </w:rPr>
              <w:t>（满分10分）</w:t>
            </w:r>
          </w:p>
        </w:tc>
        <w:tc>
          <w:tcPr>
            <w:tcW w:w="5655" w:type="dxa"/>
            <w:tcBorders>
              <w:top w:val="single" w:color="auto" w:sz="4" w:space="0"/>
              <w:left w:val="single" w:color="auto" w:sz="4" w:space="0"/>
              <w:bottom w:val="single" w:color="auto" w:sz="4" w:space="0"/>
              <w:right w:val="single" w:color="auto" w:sz="4" w:space="0"/>
            </w:tcBorders>
            <w:vAlign w:val="center"/>
          </w:tcPr>
          <w:p w14:paraId="7A40D128">
            <w:pPr>
              <w:widowControl/>
              <w:spacing w:line="360" w:lineRule="auto"/>
              <w:ind w:firstLine="420" w:firstLineChars="200"/>
              <w:rPr>
                <w:rFonts w:hint="eastAsia" w:ascii="宋体" w:hAnsi="宋体" w:cs="宋体"/>
                <w:szCs w:val="21"/>
              </w:rPr>
            </w:pPr>
            <w:r>
              <w:rPr>
                <w:rFonts w:hint="eastAsia" w:ascii="宋体" w:hAnsi="宋体" w:cs="宋体"/>
                <w:szCs w:val="21"/>
              </w:rPr>
              <w:t>（1）评审价为供应商的投标报价进行政策性扣除后的价格，评审价只是作为评标时使用。最终中标供应商的中标金额等于投标报价。</w:t>
            </w:r>
          </w:p>
          <w:p w14:paraId="23A4EBCF">
            <w:pPr>
              <w:spacing w:line="360" w:lineRule="auto"/>
              <w:ind w:firstLine="420" w:firstLineChars="200"/>
              <w:rPr>
                <w:rFonts w:hint="eastAsia" w:ascii="宋体" w:hAnsi="宋体" w:cs="宋体"/>
                <w:szCs w:val="21"/>
              </w:rPr>
            </w:pPr>
            <w:r>
              <w:rPr>
                <w:rFonts w:hint="eastAsia" w:ascii="宋体" w:hAnsi="宋体" w:cs="宋体"/>
                <w:szCs w:val="21"/>
              </w:rPr>
              <w:t>（2）政府采购政策性扣除计算方法</w:t>
            </w:r>
          </w:p>
          <w:p w14:paraId="08F73CD8">
            <w:pPr>
              <w:spacing w:line="360" w:lineRule="auto"/>
              <w:ind w:firstLine="420" w:firstLineChars="200"/>
              <w:rPr>
                <w:rFonts w:hint="eastAsia" w:ascii="宋体" w:hAnsi="宋体" w:cs="宋体"/>
                <w:szCs w:val="21"/>
              </w:rPr>
            </w:pPr>
            <w:r>
              <w:rPr>
                <w:rFonts w:hint="eastAsia" w:ascii="宋体" w:hAnsi="宋体" w:cs="宋体"/>
                <w:szCs w:val="21"/>
              </w:rPr>
              <w:t>根据《政府采购促进中小企业发展管理办法》（财库〔2020〕46号）的规定，供应商在其响应文件中提供《中小企业声明函》，且服务全部由小微企业承接，对供应商的投标报价给予10%的扣除，扣除后的价格为评审价，即评审价=投标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审价，即评审价=投标报价×（1-4%）。除上述情况外，评审价=投标报价。</w:t>
            </w:r>
          </w:p>
          <w:p w14:paraId="0FE5D961">
            <w:pPr>
              <w:spacing w:line="360" w:lineRule="auto"/>
              <w:ind w:firstLine="420" w:firstLineChars="200"/>
              <w:rPr>
                <w:rFonts w:hint="eastAsia" w:ascii="宋体" w:hAnsi="宋体" w:cs="宋体"/>
                <w:szCs w:val="21"/>
              </w:rPr>
            </w:pPr>
            <w:r>
              <w:rPr>
                <w:rFonts w:hint="eastAsia" w:ascii="宋体" w:hAnsi="宋体" w:cs="宋体"/>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7FD10679">
            <w:pPr>
              <w:spacing w:line="360" w:lineRule="auto"/>
              <w:ind w:firstLine="420" w:firstLineChars="200"/>
              <w:rPr>
                <w:rFonts w:hint="eastAsia" w:ascii="宋体" w:hAnsi="宋体" w:cs="宋体"/>
                <w:szCs w:val="21"/>
              </w:rPr>
            </w:pPr>
            <w:r>
              <w:rPr>
                <w:rFonts w:hint="eastAsia" w:ascii="宋体" w:hAnsi="宋体" w:cs="宋体"/>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0F23E8E">
            <w:pPr>
              <w:spacing w:line="360" w:lineRule="auto"/>
              <w:ind w:firstLine="420" w:firstLineChars="200"/>
              <w:rPr>
                <w:rFonts w:hint="eastAsia" w:ascii="宋体" w:hAnsi="宋体" w:cs="宋体"/>
                <w:szCs w:val="21"/>
              </w:rPr>
            </w:pPr>
            <w:r>
              <w:rPr>
                <w:rFonts w:hint="eastAsia" w:ascii="宋体" w:hAnsi="宋体" w:cs="宋体"/>
                <w:szCs w:val="21"/>
              </w:rPr>
              <w:t>（5）以进入比较与评价环节的最低的评审价为基准价，基准价得分为10分。</w:t>
            </w:r>
          </w:p>
          <w:p w14:paraId="385684F5">
            <w:pPr>
              <w:spacing w:line="360" w:lineRule="auto"/>
              <w:ind w:firstLine="420" w:firstLineChars="200"/>
              <w:rPr>
                <w:rFonts w:hint="eastAsia" w:ascii="宋体" w:hAnsi="宋体" w:cs="宋体"/>
                <w:szCs w:val="21"/>
              </w:rPr>
            </w:pPr>
            <w:r>
              <w:rPr>
                <w:rFonts w:hint="eastAsia" w:ascii="宋体" w:hAnsi="宋体" w:cs="宋体"/>
                <w:szCs w:val="21"/>
              </w:rPr>
              <w:t>（6）价格分计算公式：</w:t>
            </w:r>
          </w:p>
          <w:p w14:paraId="6A378DC2">
            <w:pPr>
              <w:spacing w:line="360" w:lineRule="exact"/>
              <w:rPr>
                <w:rFonts w:hint="eastAsia" w:hAnsi="宋体" w:cs="Courier New"/>
                <w:bCs/>
                <w:u w:val="single"/>
              </w:rPr>
            </w:pPr>
            <w:r>
              <w:rPr>
                <w:rFonts w:hint="eastAsia" w:ascii="宋体" w:hAnsi="宋体" w:cs="宋体"/>
                <w:szCs w:val="21"/>
              </w:rPr>
              <w:t>报价得分=（基准价/评审价）×10分</w:t>
            </w:r>
          </w:p>
        </w:tc>
      </w:tr>
      <w:tr w14:paraId="35E20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restart"/>
            <w:tcBorders>
              <w:top w:val="single" w:color="auto" w:sz="4" w:space="0"/>
              <w:left w:val="single" w:color="auto" w:sz="4" w:space="0"/>
              <w:right w:val="single" w:color="auto" w:sz="4" w:space="0"/>
            </w:tcBorders>
            <w:vAlign w:val="center"/>
          </w:tcPr>
          <w:p w14:paraId="50628B75">
            <w:pPr>
              <w:adjustRightInd w:val="0"/>
              <w:spacing w:line="360" w:lineRule="exact"/>
              <w:jc w:val="center"/>
              <w:textAlignment w:val="baseline"/>
              <w:rPr>
                <w:rFonts w:hint="eastAsia" w:ascii="宋体" w:hAnsi="宋体"/>
                <w:b/>
                <w:szCs w:val="21"/>
              </w:rPr>
            </w:pPr>
            <w:r>
              <w:rPr>
                <w:rFonts w:hint="eastAsia" w:ascii="宋体" w:hAnsi="宋体"/>
                <w:b/>
                <w:szCs w:val="21"/>
              </w:rPr>
              <w:t>2</w:t>
            </w:r>
          </w:p>
        </w:tc>
        <w:tc>
          <w:tcPr>
            <w:tcW w:w="1517" w:type="dxa"/>
            <w:vMerge w:val="restart"/>
            <w:tcBorders>
              <w:top w:val="single" w:color="auto" w:sz="4" w:space="0"/>
              <w:left w:val="single" w:color="auto" w:sz="4" w:space="0"/>
              <w:right w:val="single" w:color="auto" w:sz="4" w:space="0"/>
            </w:tcBorders>
            <w:vAlign w:val="center"/>
          </w:tcPr>
          <w:p w14:paraId="6F8CDBF2">
            <w:pPr>
              <w:adjustRightInd w:val="0"/>
              <w:spacing w:line="360" w:lineRule="exact"/>
              <w:ind w:left="-105" w:leftChars="-50" w:right="-105" w:rightChars="-50"/>
              <w:jc w:val="center"/>
              <w:textAlignment w:val="baseline"/>
              <w:rPr>
                <w:rFonts w:hint="eastAsia" w:ascii="宋体" w:hAnsi="宋体"/>
                <w:b/>
                <w:bCs/>
                <w:szCs w:val="21"/>
              </w:rPr>
            </w:pPr>
            <w:r>
              <w:rPr>
                <w:rFonts w:hint="eastAsia" w:ascii="宋体" w:hAnsi="宋体"/>
                <w:b/>
                <w:bCs/>
                <w:szCs w:val="21"/>
              </w:rPr>
              <w:t>技术分</w:t>
            </w:r>
          </w:p>
          <w:p w14:paraId="09DEC7F5">
            <w:pPr>
              <w:adjustRightInd w:val="0"/>
              <w:spacing w:line="360" w:lineRule="exact"/>
              <w:ind w:left="-105" w:leftChars="-50" w:right="-105" w:rightChars="-50"/>
              <w:jc w:val="center"/>
              <w:textAlignment w:val="baseline"/>
              <w:rPr>
                <w:rFonts w:hint="eastAsia" w:ascii="宋体" w:hAnsi="宋体"/>
                <w:spacing w:val="-18"/>
                <w:szCs w:val="21"/>
              </w:rPr>
            </w:pPr>
            <w:r>
              <w:rPr>
                <w:rFonts w:hint="eastAsia" w:ascii="宋体" w:hAnsi="宋体"/>
                <w:b/>
                <w:bCs/>
                <w:szCs w:val="21"/>
              </w:rPr>
              <w:t>（</w:t>
            </w:r>
            <w:r>
              <w:rPr>
                <w:rFonts w:hint="eastAsia" w:ascii="宋体" w:hAnsi="宋体"/>
                <w:b/>
                <w:szCs w:val="21"/>
              </w:rPr>
              <w:t>满分60</w:t>
            </w:r>
            <w:r>
              <w:rPr>
                <w:rFonts w:hint="eastAsia" w:ascii="宋体" w:hAnsi="宋体"/>
                <w:b/>
                <w:bCs/>
                <w:szCs w:val="21"/>
              </w:rPr>
              <w:t>分）</w:t>
            </w:r>
          </w:p>
        </w:tc>
        <w:tc>
          <w:tcPr>
            <w:tcW w:w="1772" w:type="dxa"/>
            <w:tcBorders>
              <w:top w:val="single" w:color="auto" w:sz="4" w:space="0"/>
              <w:left w:val="single" w:color="auto" w:sz="4" w:space="0"/>
              <w:bottom w:val="single" w:color="auto" w:sz="4" w:space="0"/>
              <w:right w:val="single" w:color="auto" w:sz="4" w:space="0"/>
            </w:tcBorders>
            <w:vAlign w:val="center"/>
          </w:tcPr>
          <w:p w14:paraId="42A9AAFD">
            <w:pPr>
              <w:adjustRightInd w:val="0"/>
              <w:snapToGrid w:val="0"/>
              <w:spacing w:line="360" w:lineRule="atLeast"/>
              <w:jc w:val="center"/>
              <w:textAlignment w:val="baseline"/>
              <w:rPr>
                <w:rFonts w:hint="eastAsia" w:ascii="宋体" w:hAnsi="宋体"/>
                <w:szCs w:val="21"/>
              </w:rPr>
            </w:pPr>
            <w:r>
              <w:rPr>
                <w:rFonts w:hint="eastAsia" w:ascii="宋体" w:hAnsi="宋体"/>
                <w:szCs w:val="21"/>
              </w:rPr>
              <w:t>（1）运维现状分析(满分6分)</w:t>
            </w:r>
          </w:p>
        </w:tc>
        <w:tc>
          <w:tcPr>
            <w:tcW w:w="5655" w:type="dxa"/>
            <w:tcBorders>
              <w:top w:val="single" w:color="auto" w:sz="4" w:space="0"/>
              <w:left w:val="single" w:color="auto" w:sz="4" w:space="0"/>
              <w:bottom w:val="single" w:color="auto" w:sz="4" w:space="0"/>
              <w:right w:val="single" w:color="auto" w:sz="4" w:space="0"/>
            </w:tcBorders>
            <w:vAlign w:val="center"/>
          </w:tcPr>
          <w:p w14:paraId="02119377">
            <w:pPr>
              <w:widowControl/>
              <w:snapToGrid w:val="0"/>
              <w:spacing w:line="360" w:lineRule="auto"/>
              <w:rPr>
                <w:rFonts w:hint="eastAsia" w:ascii="宋体" w:hAnsi="宋体" w:cs="宋体"/>
                <w:spacing w:val="-3"/>
                <w:szCs w:val="21"/>
                <w:lang w:val="zh-TW"/>
              </w:rPr>
            </w:pPr>
            <w:r>
              <w:rPr>
                <w:rFonts w:hint="eastAsia" w:ascii="宋体" w:hAnsi="宋体" w:cs="宋体"/>
                <w:spacing w:val="-3"/>
                <w:szCs w:val="21"/>
                <w:lang w:val="zh-TW"/>
              </w:rPr>
              <w:t>第一档（2分）：对运维现状进行分析，包括网络现状、资源现状等方案。仅覆盖两项指定分析内容，仅满足本档最低内容要求。</w:t>
            </w:r>
          </w:p>
          <w:p w14:paraId="7752F0C1">
            <w:pPr>
              <w:widowControl/>
              <w:snapToGrid w:val="0"/>
              <w:spacing w:line="360" w:lineRule="auto"/>
              <w:rPr>
                <w:rFonts w:hint="eastAsia" w:ascii="宋体" w:hAnsi="宋体" w:cs="宋体"/>
                <w:spacing w:val="-3"/>
                <w:szCs w:val="21"/>
                <w:lang w:val="zh-TW"/>
              </w:rPr>
            </w:pPr>
            <w:r>
              <w:rPr>
                <w:rFonts w:hint="eastAsia" w:ascii="宋体" w:hAnsi="宋体" w:cs="宋体"/>
                <w:spacing w:val="-3"/>
                <w:szCs w:val="21"/>
                <w:lang w:val="zh-TW"/>
              </w:rPr>
              <w:t>第二档（4分）：对运维现状进行分析，包括设备状况、运行环境、网络现状、资源现状等方案。完整覆盖本档四项指定分析内容，满足本档全部内容要求。</w:t>
            </w:r>
          </w:p>
          <w:p w14:paraId="43EB029E">
            <w:pPr>
              <w:widowControl/>
              <w:snapToGrid w:val="0"/>
              <w:spacing w:line="360" w:lineRule="auto"/>
              <w:rPr>
                <w:rFonts w:hint="eastAsia" w:ascii="宋体" w:hAnsi="宋体" w:cs="宋体"/>
                <w:spacing w:val="-3"/>
                <w:szCs w:val="21"/>
                <w:lang w:val="zh-TW"/>
              </w:rPr>
            </w:pPr>
            <w:r>
              <w:rPr>
                <w:rFonts w:hint="eastAsia" w:ascii="宋体" w:hAnsi="宋体" w:cs="宋体"/>
                <w:spacing w:val="-3"/>
                <w:szCs w:val="21"/>
                <w:lang w:val="zh-TW"/>
              </w:rPr>
              <w:t>第三档（6分）：对运维现状进行分析，包括运维对象的部署架构、运行环境、系统性能、历史故障、网络现状、资源现状等。完整覆盖本档六项指定分析内容，列明运维现存痛点与瓶颈，贴合医保业务实际场景，满足本档全部内容要求。</w:t>
            </w:r>
          </w:p>
          <w:p w14:paraId="29D04489">
            <w:pPr>
              <w:widowControl/>
              <w:snapToGrid w:val="0"/>
              <w:spacing w:line="360" w:lineRule="auto"/>
              <w:rPr>
                <w:rFonts w:hint="eastAsia" w:ascii="宋体" w:hAnsi="宋体" w:cs="宋体"/>
                <w:kern w:val="0"/>
                <w:szCs w:val="21"/>
              </w:rPr>
            </w:pPr>
            <w:r>
              <w:rPr>
                <w:rFonts w:hint="eastAsia" w:ascii="宋体" w:hAnsi="宋体" w:cs="宋体"/>
                <w:spacing w:val="-3"/>
                <w:szCs w:val="21"/>
                <w:lang w:val="zh-TW"/>
              </w:rPr>
              <w:t>注：投标人未提供或提供的内容不符合要求的，不得分；不满足最低档次要求的不得分。</w:t>
            </w:r>
          </w:p>
        </w:tc>
      </w:tr>
      <w:tr w14:paraId="39B0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left w:val="single" w:color="auto" w:sz="4" w:space="0"/>
              <w:right w:val="single" w:color="auto" w:sz="4" w:space="0"/>
            </w:tcBorders>
            <w:vAlign w:val="center"/>
          </w:tcPr>
          <w:p w14:paraId="3C1F01F5">
            <w:pPr>
              <w:widowControl/>
              <w:jc w:val="left"/>
              <w:rPr>
                <w:rFonts w:hint="eastAsia" w:ascii="宋体" w:hAnsi="宋体"/>
                <w:b/>
                <w:szCs w:val="21"/>
              </w:rPr>
            </w:pPr>
          </w:p>
        </w:tc>
        <w:tc>
          <w:tcPr>
            <w:tcW w:w="1517" w:type="dxa"/>
            <w:vMerge w:val="continue"/>
            <w:tcBorders>
              <w:left w:val="single" w:color="auto" w:sz="4" w:space="0"/>
              <w:right w:val="single" w:color="auto" w:sz="4" w:space="0"/>
            </w:tcBorders>
            <w:vAlign w:val="center"/>
          </w:tcPr>
          <w:p w14:paraId="0C9AF2B7">
            <w:pPr>
              <w:widowControl/>
              <w:jc w:val="left"/>
              <w:rPr>
                <w:rFonts w:hint="eastAsia" w:ascii="宋体" w:hAnsi="宋体"/>
                <w:spacing w:val="-18"/>
                <w:szCs w:val="21"/>
              </w:rPr>
            </w:pPr>
          </w:p>
        </w:tc>
        <w:tc>
          <w:tcPr>
            <w:tcW w:w="1772" w:type="dxa"/>
            <w:tcBorders>
              <w:top w:val="single" w:color="auto" w:sz="4" w:space="0"/>
              <w:left w:val="single" w:color="auto" w:sz="4" w:space="0"/>
              <w:bottom w:val="single" w:color="auto" w:sz="4" w:space="0"/>
              <w:right w:val="single" w:color="auto" w:sz="4" w:space="0"/>
            </w:tcBorders>
            <w:vAlign w:val="center"/>
          </w:tcPr>
          <w:p w14:paraId="2F5E20BC">
            <w:pPr>
              <w:tabs>
                <w:tab w:val="center" w:pos="4153"/>
                <w:tab w:val="right" w:pos="8306"/>
              </w:tabs>
              <w:snapToGrid w:val="0"/>
              <w:jc w:val="left"/>
              <w:rPr>
                <w:sz w:val="18"/>
                <w:szCs w:val="18"/>
              </w:rPr>
            </w:pPr>
            <w:r>
              <w:rPr>
                <w:rFonts w:hint="eastAsia" w:ascii="宋体" w:hAnsi="宋体" w:cs="Courier New"/>
                <w:szCs w:val="21"/>
              </w:rPr>
              <w:t>（2）集成服务方案（满分6分）</w:t>
            </w:r>
          </w:p>
        </w:tc>
        <w:tc>
          <w:tcPr>
            <w:tcW w:w="5655" w:type="dxa"/>
            <w:tcBorders>
              <w:top w:val="single" w:color="auto" w:sz="4" w:space="0"/>
              <w:left w:val="single" w:color="auto" w:sz="4" w:space="0"/>
              <w:bottom w:val="single" w:color="auto" w:sz="4" w:space="0"/>
              <w:right w:val="single" w:color="auto" w:sz="4" w:space="0"/>
            </w:tcBorders>
            <w:vAlign w:val="center"/>
          </w:tcPr>
          <w:p w14:paraId="491AA65C">
            <w:pPr>
              <w:widowControl/>
              <w:snapToGrid w:val="0"/>
              <w:spacing w:line="360" w:lineRule="auto"/>
              <w:ind w:firstLine="420" w:firstLineChars="200"/>
              <w:rPr>
                <w:rFonts w:hint="eastAsia" w:ascii="宋体" w:hAnsi="宋体" w:cs="Courier New"/>
                <w:szCs w:val="21"/>
                <w:lang w:val="zh-CN"/>
              </w:rPr>
            </w:pPr>
            <w:r>
              <w:rPr>
                <w:rFonts w:hint="eastAsia" w:ascii="宋体" w:hAnsi="宋体" w:cs="Courier New"/>
                <w:szCs w:val="21"/>
              </w:rPr>
              <w:t>第一档（2分）：</w:t>
            </w:r>
            <w:r>
              <w:rPr>
                <w:rFonts w:hint="eastAsia" w:ascii="宋体" w:hAnsi="宋体" w:cs="Courier New"/>
                <w:szCs w:val="21"/>
                <w:lang w:val="zh-CN"/>
              </w:rPr>
              <w:t>集成</w:t>
            </w:r>
            <w:r>
              <w:rPr>
                <w:rFonts w:hint="eastAsia" w:ascii="宋体" w:hAnsi="宋体" w:cs="Courier New"/>
                <w:szCs w:val="21"/>
              </w:rPr>
              <w:t>服务</w:t>
            </w:r>
            <w:r>
              <w:rPr>
                <w:rFonts w:hint="eastAsia" w:ascii="宋体" w:hAnsi="宋体" w:cs="Courier New"/>
                <w:szCs w:val="21"/>
                <w:lang w:val="zh-CN"/>
              </w:rPr>
              <w:t>方案包含对进度控制、质量控制、变更控制等的方案。仅覆盖本档规定三项管控内容，达到本档内容标准。</w:t>
            </w:r>
          </w:p>
          <w:p w14:paraId="1E6CFE00">
            <w:pPr>
              <w:widowControl/>
              <w:snapToGrid w:val="0"/>
              <w:spacing w:line="360" w:lineRule="auto"/>
              <w:ind w:firstLine="420" w:firstLineChars="200"/>
              <w:rPr>
                <w:rFonts w:hint="eastAsia" w:ascii="宋体" w:hAnsi="宋体" w:cs="Courier New"/>
                <w:szCs w:val="21"/>
              </w:rPr>
            </w:pPr>
            <w:r>
              <w:rPr>
                <w:rFonts w:hint="eastAsia" w:ascii="宋体" w:hAnsi="宋体" w:cs="Courier New"/>
                <w:szCs w:val="21"/>
              </w:rPr>
              <w:t>第二档（4分）：集成方案包含对进度控制、质量控制、变更控制、信息管理、安全管理等的方案。完整覆盖本档规定五项管控内容，达到本档内容标准</w:t>
            </w:r>
            <w:r>
              <w:rPr>
                <w:rFonts w:hint="eastAsia" w:ascii="宋体" w:hAnsi="宋体" w:cs="Courier New"/>
                <w:szCs w:val="21"/>
                <w:lang w:val="zh-CN"/>
              </w:rPr>
              <w:t>。</w:t>
            </w:r>
          </w:p>
          <w:p w14:paraId="56591306">
            <w:pPr>
              <w:widowControl/>
              <w:snapToGrid w:val="0"/>
              <w:spacing w:line="360" w:lineRule="auto"/>
              <w:ind w:firstLine="420" w:firstLineChars="200"/>
              <w:rPr>
                <w:rFonts w:hint="eastAsia" w:ascii="宋体" w:hAnsi="宋体" w:cs="Courier New"/>
                <w:szCs w:val="21"/>
              </w:rPr>
            </w:pPr>
            <w:r>
              <w:rPr>
                <w:rFonts w:hint="eastAsia" w:ascii="宋体" w:hAnsi="宋体" w:cs="Courier New"/>
                <w:szCs w:val="21"/>
              </w:rPr>
              <w:t xml:space="preserve">第三档（6分）：集成方案包含对进度控制、质量控制、变更控制、信息管理、安全管理、沟通协调等的方案。完整覆盖本档规定六项管控内容，列明清晰工作目标、对应管控实施措施及可行管控手段，达到本档内容标准。 </w:t>
            </w:r>
          </w:p>
          <w:p w14:paraId="323BC2E5">
            <w:pPr>
              <w:adjustRightInd w:val="0"/>
              <w:snapToGrid w:val="0"/>
              <w:spacing w:line="360" w:lineRule="atLeast"/>
              <w:textAlignment w:val="baseline"/>
              <w:rPr>
                <w:rFonts w:hint="eastAsia" w:ascii="宋体" w:hAnsi="宋体" w:cs="宋体"/>
                <w:kern w:val="0"/>
                <w:szCs w:val="21"/>
              </w:rPr>
            </w:pPr>
            <w:r>
              <w:rPr>
                <w:rFonts w:hint="eastAsia" w:ascii="宋体" w:hAnsi="宋体" w:cs="宋体"/>
                <w:spacing w:val="-3"/>
                <w:szCs w:val="21"/>
                <w:lang w:val="zh-TW"/>
              </w:rPr>
              <w:t>注：投标人未提供或提供的内容不符合要求的，不得分；不满足最低档次要求的不得分。</w:t>
            </w:r>
          </w:p>
        </w:tc>
      </w:tr>
      <w:tr w14:paraId="49C5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left w:val="single" w:color="auto" w:sz="4" w:space="0"/>
              <w:right w:val="single" w:color="auto" w:sz="4" w:space="0"/>
            </w:tcBorders>
            <w:vAlign w:val="center"/>
          </w:tcPr>
          <w:p w14:paraId="45064020">
            <w:pPr>
              <w:widowControl/>
              <w:jc w:val="left"/>
              <w:rPr>
                <w:rFonts w:hint="eastAsia" w:ascii="宋体" w:hAnsi="宋体"/>
                <w:b/>
                <w:szCs w:val="21"/>
              </w:rPr>
            </w:pPr>
          </w:p>
        </w:tc>
        <w:tc>
          <w:tcPr>
            <w:tcW w:w="1517" w:type="dxa"/>
            <w:vMerge w:val="continue"/>
            <w:tcBorders>
              <w:left w:val="single" w:color="auto" w:sz="4" w:space="0"/>
              <w:right w:val="single" w:color="auto" w:sz="4" w:space="0"/>
            </w:tcBorders>
            <w:vAlign w:val="center"/>
          </w:tcPr>
          <w:p w14:paraId="1BD6F221">
            <w:pPr>
              <w:widowControl/>
              <w:jc w:val="left"/>
              <w:rPr>
                <w:rFonts w:hint="eastAsia" w:ascii="宋体" w:hAnsi="宋体"/>
                <w:spacing w:val="-18"/>
                <w:szCs w:val="21"/>
              </w:rPr>
            </w:pPr>
          </w:p>
        </w:tc>
        <w:tc>
          <w:tcPr>
            <w:tcW w:w="1772" w:type="dxa"/>
            <w:tcBorders>
              <w:top w:val="single" w:color="auto" w:sz="4" w:space="0"/>
              <w:left w:val="single" w:color="auto" w:sz="4" w:space="0"/>
              <w:bottom w:val="single" w:color="auto" w:sz="4" w:space="0"/>
              <w:right w:val="single" w:color="auto" w:sz="4" w:space="0"/>
            </w:tcBorders>
            <w:vAlign w:val="center"/>
          </w:tcPr>
          <w:p w14:paraId="2013A20C">
            <w:pPr>
              <w:widowControl/>
              <w:jc w:val="center"/>
              <w:rPr>
                <w:rFonts w:hint="eastAsia" w:ascii="宋体" w:hAnsi="宋体"/>
                <w:szCs w:val="21"/>
              </w:rPr>
            </w:pPr>
            <w:r>
              <w:rPr>
                <w:rFonts w:hint="eastAsia" w:ascii="宋体" w:hAnsi="宋体"/>
                <w:szCs w:val="21"/>
              </w:rPr>
              <w:t>（3）运维管理体系(满分3分)</w:t>
            </w:r>
          </w:p>
        </w:tc>
        <w:tc>
          <w:tcPr>
            <w:tcW w:w="5655" w:type="dxa"/>
            <w:tcBorders>
              <w:top w:val="single" w:color="auto" w:sz="4" w:space="0"/>
              <w:left w:val="single" w:color="auto" w:sz="4" w:space="0"/>
              <w:bottom w:val="single" w:color="auto" w:sz="4" w:space="0"/>
              <w:right w:val="single" w:color="auto" w:sz="4" w:space="0"/>
            </w:tcBorders>
            <w:vAlign w:val="center"/>
          </w:tcPr>
          <w:p w14:paraId="2C3C79D5">
            <w:pPr>
              <w:spacing w:line="400" w:lineRule="exact"/>
              <w:ind w:firstLine="408" w:firstLineChars="200"/>
              <w:rPr>
                <w:rFonts w:hint="eastAsia" w:ascii="宋体" w:hAnsi="宋体" w:cs="宋体"/>
                <w:spacing w:val="-3"/>
                <w:szCs w:val="21"/>
                <w:lang w:val="zh-TW"/>
              </w:rPr>
            </w:pPr>
            <w:r>
              <w:rPr>
                <w:rFonts w:hint="eastAsia" w:ascii="宋体" w:hAnsi="宋体" w:cs="宋体"/>
                <w:spacing w:val="-3"/>
                <w:szCs w:val="21"/>
                <w:lang w:val="zh-TW"/>
              </w:rPr>
              <w:t>第一档（1分）：提供运维管理体系方案，含项目管理、实施计划等。仅覆盖本档两项指定内容，未满足更高档位内容要求。</w:t>
            </w:r>
          </w:p>
          <w:p w14:paraId="271AA132">
            <w:pPr>
              <w:spacing w:line="400" w:lineRule="exact"/>
              <w:ind w:firstLine="408" w:firstLineChars="200"/>
              <w:rPr>
                <w:rFonts w:hint="eastAsia" w:ascii="宋体" w:hAnsi="宋体" w:cs="宋体"/>
                <w:spacing w:val="-3"/>
                <w:szCs w:val="21"/>
                <w:lang w:val="zh-TW"/>
              </w:rPr>
            </w:pPr>
            <w:r>
              <w:rPr>
                <w:rFonts w:hint="eastAsia" w:ascii="宋体" w:hAnsi="宋体" w:cs="宋体"/>
                <w:spacing w:val="-3"/>
                <w:szCs w:val="21"/>
                <w:lang w:val="zh-TW"/>
              </w:rPr>
              <w:t>第二档（2分）：根据项目特点提供运维管理体系方案，主要包含项目管理、实施计划、质量保障、安全保障、服务流程等。</w:t>
            </w:r>
            <w:r>
              <w:rPr>
                <w:rFonts w:hint="eastAsia"/>
              </w:rPr>
              <w:t>完整覆盖本档指定五项内容，满足本档全部内容要求。</w:t>
            </w:r>
          </w:p>
          <w:p w14:paraId="43A6B336">
            <w:pPr>
              <w:spacing w:line="400" w:lineRule="exact"/>
              <w:ind w:firstLine="408" w:firstLineChars="200"/>
              <w:rPr>
                <w:rFonts w:hint="eastAsia" w:ascii="宋体" w:hAnsi="宋体" w:cs="宋体"/>
                <w:spacing w:val="-3"/>
                <w:szCs w:val="21"/>
                <w:lang w:val="zh-TW"/>
              </w:rPr>
            </w:pPr>
            <w:r>
              <w:rPr>
                <w:rFonts w:hint="eastAsia" w:ascii="宋体" w:hAnsi="宋体" w:cs="宋体"/>
                <w:spacing w:val="-3"/>
                <w:szCs w:val="21"/>
                <w:lang w:val="zh-TW"/>
              </w:rPr>
              <w:t>第三档（3分）：根据本项目特点提供运维管理体系方案，包括但不限于项目管理、实施计划、质量保障、安全保障、服务渠道、服务方式、岗位设置、服务流程、响应级别、人员保障等。完整覆盖本档全部指定内容，满足本档全部内容要求。</w:t>
            </w:r>
          </w:p>
          <w:p w14:paraId="6D35F35C">
            <w:pPr>
              <w:spacing w:line="400" w:lineRule="exact"/>
              <w:ind w:firstLine="408" w:firstLineChars="200"/>
            </w:pPr>
            <w:r>
              <w:rPr>
                <w:rFonts w:hint="eastAsia" w:ascii="宋体" w:hAnsi="宋体" w:cs="宋体"/>
                <w:spacing w:val="-3"/>
                <w:szCs w:val="21"/>
                <w:lang w:val="zh-TW"/>
              </w:rPr>
              <w:t>注：投标人未提供或提供的内容不符合要求的，不得分；不满足最低档次要求的不得分。</w:t>
            </w:r>
          </w:p>
        </w:tc>
      </w:tr>
      <w:tr w14:paraId="1CC89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8" w:hRule="atLeast"/>
          <w:jc w:val="center"/>
        </w:trPr>
        <w:tc>
          <w:tcPr>
            <w:tcW w:w="525" w:type="dxa"/>
            <w:vMerge w:val="continue"/>
            <w:tcBorders>
              <w:left w:val="single" w:color="auto" w:sz="4" w:space="0"/>
              <w:right w:val="single" w:color="auto" w:sz="4" w:space="0"/>
            </w:tcBorders>
            <w:vAlign w:val="center"/>
          </w:tcPr>
          <w:p w14:paraId="4B39E152">
            <w:pPr>
              <w:widowControl/>
              <w:jc w:val="left"/>
              <w:rPr>
                <w:rFonts w:hint="eastAsia" w:ascii="宋体" w:hAnsi="宋体"/>
                <w:b/>
                <w:szCs w:val="21"/>
              </w:rPr>
            </w:pPr>
          </w:p>
        </w:tc>
        <w:tc>
          <w:tcPr>
            <w:tcW w:w="1517" w:type="dxa"/>
            <w:vMerge w:val="continue"/>
            <w:tcBorders>
              <w:left w:val="single" w:color="auto" w:sz="4" w:space="0"/>
              <w:right w:val="single" w:color="auto" w:sz="4" w:space="0"/>
            </w:tcBorders>
            <w:vAlign w:val="center"/>
          </w:tcPr>
          <w:p w14:paraId="0685EFD8">
            <w:pPr>
              <w:widowControl/>
              <w:jc w:val="left"/>
              <w:rPr>
                <w:rFonts w:hint="eastAsia" w:ascii="宋体" w:hAnsi="宋体"/>
                <w:spacing w:val="-18"/>
                <w:szCs w:val="21"/>
              </w:rPr>
            </w:pPr>
          </w:p>
        </w:tc>
        <w:tc>
          <w:tcPr>
            <w:tcW w:w="1772" w:type="dxa"/>
            <w:tcBorders>
              <w:top w:val="single" w:color="auto" w:sz="4" w:space="0"/>
              <w:left w:val="single" w:color="auto" w:sz="4" w:space="0"/>
              <w:bottom w:val="single" w:color="auto" w:sz="4" w:space="0"/>
              <w:right w:val="single" w:color="auto" w:sz="4" w:space="0"/>
            </w:tcBorders>
            <w:vAlign w:val="center"/>
          </w:tcPr>
          <w:p w14:paraId="5B4ED7E8">
            <w:pPr>
              <w:spacing w:line="360" w:lineRule="auto"/>
              <w:rPr>
                <w:rFonts w:hint="eastAsia" w:ascii="宋体" w:hAnsi="宋体" w:cs="Courier New"/>
                <w:bCs/>
                <w:szCs w:val="21"/>
              </w:rPr>
            </w:pPr>
            <w:r>
              <w:rPr>
                <w:rFonts w:hint="eastAsia" w:ascii="宋体" w:hAnsi="宋体" w:cs="Courier New"/>
                <w:bCs/>
                <w:szCs w:val="21"/>
              </w:rPr>
              <w:t>（4）运维服务方案（8分）</w:t>
            </w:r>
          </w:p>
        </w:tc>
        <w:tc>
          <w:tcPr>
            <w:tcW w:w="5655" w:type="dxa"/>
            <w:tcBorders>
              <w:top w:val="single" w:color="auto" w:sz="4" w:space="0"/>
              <w:left w:val="single" w:color="auto" w:sz="4" w:space="0"/>
              <w:right w:val="single" w:color="auto" w:sz="4" w:space="0"/>
            </w:tcBorders>
            <w:vAlign w:val="center"/>
          </w:tcPr>
          <w:p w14:paraId="7ABDC016">
            <w:pPr>
              <w:spacing w:line="360" w:lineRule="auto"/>
              <w:ind w:firstLine="408" w:firstLineChars="200"/>
              <w:jc w:val="left"/>
              <w:rPr>
                <w:rFonts w:hint="eastAsia" w:ascii="宋体" w:hAnsi="宋体" w:cs="宋体"/>
                <w:spacing w:val="-3"/>
                <w:szCs w:val="21"/>
              </w:rPr>
            </w:pPr>
            <w:r>
              <w:rPr>
                <w:rFonts w:hint="eastAsia" w:ascii="宋体" w:hAnsi="宋体" w:cs="宋体"/>
                <w:spacing w:val="-3"/>
                <w:szCs w:val="21"/>
              </w:rPr>
              <w:t>第一档（2分）：针对本期运维要求，提供详细的运维服务方案，方案覆盖日常巡检、监控值守、故障处理等。仅覆盖本档指定三项内容，满足本档全部内容要求。</w:t>
            </w:r>
          </w:p>
          <w:p w14:paraId="5C7EFFE8">
            <w:pPr>
              <w:spacing w:line="360" w:lineRule="auto"/>
              <w:ind w:firstLine="408" w:firstLineChars="200"/>
              <w:jc w:val="left"/>
              <w:rPr>
                <w:rFonts w:hint="eastAsia" w:ascii="宋体" w:hAnsi="宋体" w:cs="宋体"/>
                <w:spacing w:val="-3"/>
                <w:szCs w:val="21"/>
              </w:rPr>
            </w:pPr>
            <w:r>
              <w:rPr>
                <w:rFonts w:hint="eastAsia" w:ascii="宋体" w:hAnsi="宋体" w:cs="宋体"/>
                <w:spacing w:val="-3"/>
                <w:szCs w:val="21"/>
              </w:rPr>
              <w:t>第二档（5分）：针对本期运维要求，提供详细的运维服务方案，方案覆盖日常巡检、监控值守、故障处理、应急响应、变更管理、安全运维等。完整覆盖本档指定六项内容，满足本档全部内容要求。</w:t>
            </w:r>
          </w:p>
          <w:p w14:paraId="0F2C4120">
            <w:pPr>
              <w:spacing w:line="360" w:lineRule="auto"/>
              <w:ind w:firstLine="408" w:firstLineChars="200"/>
              <w:jc w:val="left"/>
              <w:rPr>
                <w:rFonts w:hint="eastAsia" w:ascii="宋体" w:hAnsi="宋体" w:cs="宋体"/>
                <w:spacing w:val="-3"/>
                <w:szCs w:val="21"/>
              </w:rPr>
            </w:pPr>
            <w:r>
              <w:rPr>
                <w:rFonts w:hint="eastAsia" w:ascii="宋体" w:hAnsi="宋体" w:cs="宋体"/>
                <w:spacing w:val="-3"/>
                <w:szCs w:val="21"/>
              </w:rPr>
              <w:t>第三档（8分）：针对本期运维要求，提供详细的运维服务方案，方案覆盖云平台运维、日常巡检、监控值守、故障处理、应急响应、变更管理、安全运维、运维流程管理等内容。完整覆盖本档全部指定内容，配套标准化运维流程，具备落地执行依据，满足本档全部内容要求。</w:t>
            </w:r>
          </w:p>
          <w:p w14:paraId="2FCB13EF">
            <w:pPr>
              <w:spacing w:line="360" w:lineRule="auto"/>
              <w:ind w:firstLine="408" w:firstLineChars="200"/>
              <w:jc w:val="left"/>
              <w:rPr>
                <w:rFonts w:hint="eastAsia" w:ascii="宋体" w:hAnsi="宋体" w:cs="Courier New"/>
                <w:szCs w:val="21"/>
              </w:rPr>
            </w:pPr>
            <w:r>
              <w:rPr>
                <w:rFonts w:hint="eastAsia" w:ascii="宋体" w:hAnsi="宋体" w:cs="宋体"/>
                <w:spacing w:val="-3"/>
                <w:szCs w:val="21"/>
              </w:rPr>
              <w:t>注：</w:t>
            </w:r>
            <w:r>
              <w:rPr>
                <w:rFonts w:hint="eastAsia" w:ascii="宋体" w:hAnsi="宋体" w:cs="宋体"/>
                <w:spacing w:val="-3"/>
                <w:szCs w:val="21"/>
                <w:lang w:val="zh-TW"/>
              </w:rPr>
              <w:t>未提供或提供的内容不符合要求的，不得分；不满足最低档次要求的不得分。</w:t>
            </w:r>
          </w:p>
        </w:tc>
      </w:tr>
      <w:tr w14:paraId="67FE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7" w:hRule="atLeast"/>
          <w:jc w:val="center"/>
        </w:trPr>
        <w:tc>
          <w:tcPr>
            <w:tcW w:w="525" w:type="dxa"/>
            <w:vMerge w:val="continue"/>
            <w:tcBorders>
              <w:left w:val="single" w:color="auto" w:sz="4" w:space="0"/>
              <w:right w:val="single" w:color="auto" w:sz="4" w:space="0"/>
            </w:tcBorders>
            <w:vAlign w:val="center"/>
          </w:tcPr>
          <w:p w14:paraId="5577B934">
            <w:pPr>
              <w:widowControl/>
              <w:jc w:val="left"/>
              <w:rPr>
                <w:rFonts w:hint="eastAsia" w:ascii="宋体" w:hAnsi="宋体"/>
                <w:b/>
                <w:szCs w:val="21"/>
              </w:rPr>
            </w:pPr>
          </w:p>
        </w:tc>
        <w:tc>
          <w:tcPr>
            <w:tcW w:w="1517" w:type="dxa"/>
            <w:vMerge w:val="continue"/>
            <w:tcBorders>
              <w:left w:val="single" w:color="auto" w:sz="4" w:space="0"/>
              <w:right w:val="single" w:color="auto" w:sz="4" w:space="0"/>
            </w:tcBorders>
            <w:vAlign w:val="center"/>
          </w:tcPr>
          <w:p w14:paraId="6D08F201">
            <w:pPr>
              <w:widowControl/>
              <w:jc w:val="left"/>
              <w:rPr>
                <w:rFonts w:hint="eastAsia" w:ascii="宋体" w:hAnsi="宋体"/>
                <w:spacing w:val="-18"/>
                <w:szCs w:val="21"/>
              </w:rPr>
            </w:pPr>
          </w:p>
        </w:tc>
        <w:tc>
          <w:tcPr>
            <w:tcW w:w="1772" w:type="dxa"/>
            <w:tcBorders>
              <w:top w:val="single" w:color="auto" w:sz="4" w:space="0"/>
              <w:left w:val="single" w:color="auto" w:sz="4" w:space="0"/>
              <w:bottom w:val="single" w:color="auto" w:sz="4" w:space="0"/>
              <w:right w:val="single" w:color="auto" w:sz="4" w:space="0"/>
            </w:tcBorders>
            <w:vAlign w:val="center"/>
          </w:tcPr>
          <w:p w14:paraId="0B3902B5">
            <w:pPr>
              <w:spacing w:line="360" w:lineRule="auto"/>
              <w:rPr>
                <w:rFonts w:hint="eastAsia" w:ascii="宋体" w:hAnsi="宋体" w:cs="Courier New"/>
                <w:bCs/>
                <w:szCs w:val="21"/>
              </w:rPr>
            </w:pPr>
            <w:r>
              <w:rPr>
                <w:rFonts w:hint="eastAsia" w:ascii="宋体" w:hAnsi="宋体" w:cs="Courier New"/>
                <w:bCs/>
                <w:szCs w:val="21"/>
              </w:rPr>
              <w:t>（5）应急处置方案(满分3分)</w:t>
            </w:r>
          </w:p>
          <w:p w14:paraId="2529946D">
            <w:pPr>
              <w:spacing w:line="360" w:lineRule="auto"/>
              <w:rPr>
                <w:rFonts w:hint="eastAsia" w:ascii="宋体" w:hAnsi="宋体" w:cs="Courier New"/>
                <w:bCs/>
                <w:szCs w:val="21"/>
              </w:rPr>
            </w:pPr>
          </w:p>
        </w:tc>
        <w:tc>
          <w:tcPr>
            <w:tcW w:w="5655" w:type="dxa"/>
            <w:tcBorders>
              <w:top w:val="single" w:color="auto" w:sz="4" w:space="0"/>
              <w:left w:val="single" w:color="auto" w:sz="4" w:space="0"/>
              <w:right w:val="single" w:color="auto" w:sz="4" w:space="0"/>
            </w:tcBorders>
            <w:vAlign w:val="center"/>
          </w:tcPr>
          <w:p w14:paraId="472FD5B1">
            <w:pPr>
              <w:spacing w:line="360" w:lineRule="auto"/>
              <w:ind w:firstLine="408" w:firstLineChars="200"/>
              <w:jc w:val="left"/>
              <w:rPr>
                <w:rFonts w:hint="eastAsia" w:ascii="宋体" w:hAnsi="宋体" w:cs="宋体"/>
                <w:spacing w:val="-3"/>
                <w:szCs w:val="21"/>
              </w:rPr>
            </w:pPr>
            <w:r>
              <w:rPr>
                <w:rFonts w:ascii="宋体" w:hAnsi="宋体" w:cs="宋体"/>
                <w:spacing w:val="-3"/>
                <w:szCs w:val="21"/>
              </w:rPr>
              <w:t>第一档（1分）：根据项目特点，提供应急处置方案，含应急演练等。仅覆盖本档指定一项内容，满足本档全部内容要求</w:t>
            </w:r>
            <w:r>
              <w:rPr>
                <w:rFonts w:hint="eastAsia" w:ascii="宋体" w:hAnsi="宋体" w:cs="宋体"/>
                <w:spacing w:val="-3"/>
                <w:szCs w:val="21"/>
              </w:rPr>
              <w:t>。</w:t>
            </w:r>
          </w:p>
          <w:p w14:paraId="1125B4B4">
            <w:pPr>
              <w:spacing w:line="360" w:lineRule="auto"/>
              <w:ind w:firstLine="408" w:firstLineChars="200"/>
              <w:jc w:val="left"/>
              <w:rPr>
                <w:rFonts w:hint="eastAsia" w:ascii="宋体" w:hAnsi="宋体" w:cs="宋体"/>
                <w:spacing w:val="-3"/>
                <w:szCs w:val="21"/>
              </w:rPr>
            </w:pPr>
            <w:r>
              <w:rPr>
                <w:rFonts w:ascii="宋体" w:hAnsi="宋体" w:cs="宋体"/>
                <w:spacing w:val="-3"/>
                <w:szCs w:val="21"/>
              </w:rPr>
              <w:t>第二档（2分）：根据项目特点，提供应急处置方案，含应急演练、应急预案、应急响应等。</w:t>
            </w:r>
            <w:r>
              <w:rPr>
                <w:rFonts w:ascii="宋体" w:hAnsi="宋体" w:cs="宋体"/>
                <w:spacing w:val="-3"/>
                <w:szCs w:val="21"/>
                <w:lang w:bidi="ar"/>
              </w:rPr>
              <w:t>完整覆盖本档指定三项内容，满足本档全部内容要求。</w:t>
            </w:r>
          </w:p>
          <w:p w14:paraId="6E922937">
            <w:pPr>
              <w:spacing w:line="360" w:lineRule="auto"/>
              <w:ind w:firstLine="408" w:firstLineChars="200"/>
              <w:jc w:val="left"/>
            </w:pPr>
            <w:r>
              <w:rPr>
                <w:rFonts w:ascii="宋体" w:hAnsi="宋体" w:cs="宋体"/>
                <w:spacing w:val="-3"/>
                <w:szCs w:val="21"/>
              </w:rPr>
              <w:t>第三档（3分）：根据项目特点，提供应急处置方案，包括但不限于应急演练、应急预案、应急响应团队、应急处理流程、应急资源调度等。</w:t>
            </w:r>
            <w:r>
              <w:rPr>
                <w:rFonts w:ascii="宋体" w:hAnsi="宋体" w:cs="宋体"/>
                <w:spacing w:val="-3"/>
                <w:szCs w:val="21"/>
                <w:lang w:bidi="ar"/>
              </w:rPr>
              <w:t>完整覆盖本档全部规定内容，满足本档全部内容要求</w:t>
            </w:r>
            <w:r>
              <w:rPr>
                <w:rFonts w:hint="eastAsia" w:ascii="宋体" w:hAnsi="宋体" w:cs="宋体"/>
                <w:spacing w:val="-3"/>
                <w:szCs w:val="21"/>
              </w:rPr>
              <w:t>。</w:t>
            </w:r>
          </w:p>
          <w:p w14:paraId="78441C49">
            <w:pPr>
              <w:spacing w:line="360" w:lineRule="auto"/>
              <w:ind w:firstLine="408" w:firstLineChars="200"/>
              <w:jc w:val="left"/>
            </w:pPr>
            <w:r>
              <w:rPr>
                <w:rFonts w:hint="eastAsia" w:ascii="宋体" w:hAnsi="宋体" w:cs="宋体"/>
                <w:spacing w:val="-3"/>
                <w:szCs w:val="21"/>
              </w:rPr>
              <w:t>注：</w:t>
            </w:r>
            <w:r>
              <w:rPr>
                <w:rFonts w:hint="eastAsia" w:ascii="宋体" w:hAnsi="宋体" w:cs="宋体"/>
                <w:spacing w:val="-3"/>
                <w:szCs w:val="21"/>
                <w:lang w:val="zh-TW"/>
              </w:rPr>
              <w:t>未提供或提供的内容不符合要求的，不得分；不满足最低档次要求的不得分。</w:t>
            </w:r>
          </w:p>
        </w:tc>
      </w:tr>
      <w:tr w14:paraId="00A8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1" w:hRule="atLeast"/>
          <w:jc w:val="center"/>
        </w:trPr>
        <w:tc>
          <w:tcPr>
            <w:tcW w:w="525" w:type="dxa"/>
            <w:vMerge w:val="continue"/>
            <w:tcBorders>
              <w:left w:val="single" w:color="auto" w:sz="4" w:space="0"/>
              <w:right w:val="single" w:color="auto" w:sz="4" w:space="0"/>
            </w:tcBorders>
            <w:vAlign w:val="center"/>
          </w:tcPr>
          <w:p w14:paraId="1B13B1C9">
            <w:pPr>
              <w:widowControl/>
              <w:jc w:val="left"/>
              <w:rPr>
                <w:rFonts w:hint="eastAsia" w:ascii="宋体" w:hAnsi="宋体"/>
                <w:b/>
                <w:szCs w:val="21"/>
              </w:rPr>
            </w:pPr>
          </w:p>
        </w:tc>
        <w:tc>
          <w:tcPr>
            <w:tcW w:w="1517" w:type="dxa"/>
            <w:vMerge w:val="continue"/>
            <w:tcBorders>
              <w:left w:val="single" w:color="auto" w:sz="4" w:space="0"/>
              <w:right w:val="single" w:color="auto" w:sz="4" w:space="0"/>
            </w:tcBorders>
            <w:vAlign w:val="center"/>
          </w:tcPr>
          <w:p w14:paraId="5D981AA0">
            <w:pPr>
              <w:widowControl/>
              <w:jc w:val="left"/>
              <w:rPr>
                <w:rFonts w:hint="eastAsia" w:ascii="宋体" w:hAnsi="宋体"/>
                <w:spacing w:val="-18"/>
                <w:szCs w:val="21"/>
              </w:rPr>
            </w:pPr>
          </w:p>
        </w:tc>
        <w:tc>
          <w:tcPr>
            <w:tcW w:w="1772" w:type="dxa"/>
            <w:tcBorders>
              <w:top w:val="single" w:color="auto" w:sz="4" w:space="0"/>
              <w:left w:val="single" w:color="auto" w:sz="4" w:space="0"/>
              <w:bottom w:val="single" w:color="auto" w:sz="4" w:space="0"/>
              <w:right w:val="single" w:color="auto" w:sz="4" w:space="0"/>
            </w:tcBorders>
            <w:vAlign w:val="center"/>
          </w:tcPr>
          <w:p w14:paraId="2F424537">
            <w:pPr>
              <w:spacing w:line="360" w:lineRule="auto"/>
              <w:rPr>
                <w:rFonts w:hint="eastAsia" w:ascii="宋体" w:hAnsi="宋体" w:cs="Courier New"/>
                <w:bCs/>
                <w:szCs w:val="21"/>
              </w:rPr>
            </w:pPr>
            <w:r>
              <w:rPr>
                <w:rFonts w:hint="eastAsia" w:ascii="宋体" w:hAnsi="宋体" w:cs="Courier New"/>
                <w:bCs/>
                <w:szCs w:val="21"/>
              </w:rPr>
              <w:t>（6）数字证书运维服务方案（满分8分）</w:t>
            </w:r>
          </w:p>
        </w:tc>
        <w:tc>
          <w:tcPr>
            <w:tcW w:w="5655" w:type="dxa"/>
            <w:tcBorders>
              <w:top w:val="single" w:color="auto" w:sz="4" w:space="0"/>
              <w:left w:val="single" w:color="auto" w:sz="4" w:space="0"/>
              <w:right w:val="single" w:color="auto" w:sz="4" w:space="0"/>
            </w:tcBorders>
            <w:vAlign w:val="center"/>
          </w:tcPr>
          <w:p w14:paraId="1C6627B3">
            <w:pPr>
              <w:spacing w:line="360" w:lineRule="auto"/>
              <w:ind w:firstLine="408" w:firstLineChars="200"/>
              <w:rPr>
                <w:rFonts w:hint="eastAsia" w:ascii="宋体" w:hAnsi="宋体" w:cs="宋体"/>
                <w:spacing w:val="-3"/>
                <w:szCs w:val="21"/>
              </w:rPr>
            </w:pPr>
            <w:r>
              <w:rPr>
                <w:rFonts w:ascii="宋体" w:hAnsi="宋体" w:cs="宋体"/>
                <w:spacing w:val="-3"/>
                <w:szCs w:val="21"/>
              </w:rPr>
              <w:t>一档（2 分）：针对本项目密码设备编制售后服务方案，包含故障处理流程、维护保障流程、服务响应、服务效率、服务质量承诺基础内容；仅覆盖本档规定基础内容，满足本档全部内容要求。</w:t>
            </w:r>
          </w:p>
          <w:p w14:paraId="160DB3E7">
            <w:pPr>
              <w:spacing w:line="360" w:lineRule="auto"/>
              <w:ind w:firstLine="408" w:firstLineChars="200"/>
            </w:pPr>
            <w:r>
              <w:rPr>
                <w:rFonts w:ascii="宋体" w:hAnsi="宋体" w:cs="宋体"/>
                <w:spacing w:val="-3"/>
                <w:szCs w:val="21"/>
              </w:rPr>
              <w:t xml:space="preserve"> 二档(5 分)：针对本项目密码设备编制售后服务方案，完整包含故障处理流程、维护保障流程，配套完整服务响应、服务效率、服务质量承诺相关内容；完整覆盖本档规定内容，满足本档全部内容要求。</w:t>
            </w:r>
          </w:p>
          <w:p w14:paraId="26BB6F66">
            <w:pPr>
              <w:spacing w:line="360" w:lineRule="auto"/>
              <w:ind w:firstLine="408" w:firstLineChars="200"/>
              <w:jc w:val="left"/>
              <w:rPr>
                <w:rFonts w:hint="eastAsia" w:ascii="宋体" w:hAnsi="宋体" w:cs="宋体"/>
                <w:spacing w:val="-3"/>
                <w:szCs w:val="21"/>
              </w:rPr>
            </w:pPr>
          </w:p>
          <w:p w14:paraId="7FAD64A8">
            <w:pPr>
              <w:spacing w:line="360" w:lineRule="auto"/>
              <w:ind w:firstLine="408" w:firstLineChars="200"/>
              <w:jc w:val="left"/>
              <w:rPr>
                <w:rFonts w:hint="eastAsia" w:ascii="宋体" w:hAnsi="宋体" w:cs="宋体"/>
                <w:spacing w:val="-3"/>
                <w:szCs w:val="21"/>
              </w:rPr>
            </w:pPr>
            <w:r>
              <w:rPr>
                <w:rFonts w:ascii="宋体" w:hAnsi="宋体" w:cs="宋体"/>
                <w:spacing w:val="-3"/>
                <w:szCs w:val="21"/>
              </w:rPr>
              <w:t>三档(8分)：针对此次涉及的密码设备提供详细的故障处理流程和维护保障流程的售后服务方案，具有完善的售后服务流程、应急预案；提供的服务态度、服务效率、服务质量承诺内容齐全，陈述详细，承诺具体明确，服务措施具体，针对性强，服务支撑能力强。</w:t>
            </w:r>
            <w:r>
              <w:rPr>
                <w:rFonts w:ascii="宋体" w:hAnsi="宋体" w:cs="宋体"/>
                <w:spacing w:val="-3"/>
                <w:szCs w:val="21"/>
                <w:lang w:bidi="ar"/>
              </w:rPr>
              <w:t>完整覆盖本档全部规定内容，满足本档全部内容要求</w:t>
            </w:r>
            <w:r>
              <w:rPr>
                <w:rFonts w:hint="eastAsia" w:ascii="宋体" w:hAnsi="宋体" w:cs="宋体"/>
                <w:spacing w:val="-3"/>
                <w:szCs w:val="21"/>
                <w:lang w:bidi="ar"/>
              </w:rPr>
              <w:t>。</w:t>
            </w:r>
          </w:p>
          <w:p w14:paraId="39FB819C">
            <w:pPr>
              <w:spacing w:line="360" w:lineRule="auto"/>
              <w:ind w:firstLine="408" w:firstLineChars="200"/>
              <w:jc w:val="left"/>
              <w:rPr>
                <w:rFonts w:hint="eastAsia" w:ascii="宋体" w:hAnsi="宋体" w:cs="宋体"/>
                <w:spacing w:val="-3"/>
                <w:szCs w:val="21"/>
              </w:rPr>
            </w:pPr>
            <w:r>
              <w:rPr>
                <w:rFonts w:hint="eastAsia" w:ascii="宋体" w:hAnsi="宋体" w:cs="宋体"/>
                <w:spacing w:val="-3"/>
                <w:szCs w:val="21"/>
              </w:rPr>
              <w:t>注：</w:t>
            </w:r>
            <w:r>
              <w:rPr>
                <w:rFonts w:hint="eastAsia" w:ascii="宋体" w:hAnsi="宋体" w:cs="宋体"/>
                <w:spacing w:val="-3"/>
                <w:szCs w:val="21"/>
                <w:lang w:val="zh-TW"/>
              </w:rPr>
              <w:t>未提供或提供的内容不符合要求的，不得分；不满足最低档次要求的不得分。</w:t>
            </w:r>
          </w:p>
        </w:tc>
      </w:tr>
      <w:tr w14:paraId="21AA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525" w:type="dxa"/>
            <w:vMerge w:val="continue"/>
            <w:tcBorders>
              <w:left w:val="single" w:color="auto" w:sz="4" w:space="0"/>
              <w:right w:val="single" w:color="auto" w:sz="4" w:space="0"/>
            </w:tcBorders>
            <w:vAlign w:val="center"/>
          </w:tcPr>
          <w:p w14:paraId="49DA6270">
            <w:pPr>
              <w:widowControl/>
              <w:jc w:val="left"/>
              <w:rPr>
                <w:rFonts w:hint="eastAsia" w:ascii="宋体" w:hAnsi="宋体"/>
                <w:b/>
                <w:szCs w:val="21"/>
              </w:rPr>
            </w:pPr>
          </w:p>
        </w:tc>
        <w:tc>
          <w:tcPr>
            <w:tcW w:w="1517" w:type="dxa"/>
            <w:vMerge w:val="continue"/>
            <w:tcBorders>
              <w:left w:val="single" w:color="auto" w:sz="4" w:space="0"/>
              <w:right w:val="single" w:color="auto" w:sz="4" w:space="0"/>
            </w:tcBorders>
            <w:vAlign w:val="center"/>
          </w:tcPr>
          <w:p w14:paraId="59FF32C9">
            <w:pPr>
              <w:widowControl/>
              <w:jc w:val="left"/>
              <w:rPr>
                <w:rFonts w:hint="eastAsia" w:ascii="宋体" w:hAnsi="宋体"/>
                <w:spacing w:val="-18"/>
                <w:szCs w:val="21"/>
              </w:rPr>
            </w:pPr>
          </w:p>
        </w:tc>
        <w:tc>
          <w:tcPr>
            <w:tcW w:w="1772" w:type="dxa"/>
            <w:tcBorders>
              <w:top w:val="single" w:color="auto" w:sz="4" w:space="0"/>
              <w:left w:val="single" w:color="auto" w:sz="4" w:space="0"/>
              <w:bottom w:val="single" w:color="auto" w:sz="4" w:space="0"/>
              <w:right w:val="single" w:color="auto" w:sz="4" w:space="0"/>
            </w:tcBorders>
            <w:vAlign w:val="center"/>
          </w:tcPr>
          <w:p w14:paraId="2E4C34FE">
            <w:pPr>
              <w:spacing w:line="360" w:lineRule="auto"/>
              <w:rPr>
                <w:rFonts w:hint="eastAsia" w:ascii="宋体" w:hAnsi="宋体" w:cs="Courier New"/>
                <w:bCs/>
                <w:szCs w:val="21"/>
              </w:rPr>
            </w:pPr>
            <w:r>
              <w:rPr>
                <w:rFonts w:hint="eastAsia" w:ascii="宋体" w:hAnsi="宋体" w:cs="Courier New"/>
                <w:bCs/>
                <w:szCs w:val="21"/>
              </w:rPr>
              <w:t>（7）硬件设备维保服务方案（满分8分）</w:t>
            </w:r>
          </w:p>
        </w:tc>
        <w:tc>
          <w:tcPr>
            <w:tcW w:w="5655" w:type="dxa"/>
            <w:tcBorders>
              <w:top w:val="single" w:color="auto" w:sz="4" w:space="0"/>
              <w:left w:val="single" w:color="auto" w:sz="4" w:space="0"/>
              <w:right w:val="single" w:color="auto" w:sz="4" w:space="0"/>
            </w:tcBorders>
            <w:vAlign w:val="center"/>
          </w:tcPr>
          <w:p w14:paraId="3C99C44C">
            <w:pPr>
              <w:spacing w:line="360" w:lineRule="auto"/>
              <w:ind w:firstLine="408" w:firstLineChars="200"/>
              <w:jc w:val="left"/>
              <w:rPr>
                <w:rFonts w:hint="eastAsia" w:ascii="宋体" w:hAnsi="宋体" w:cs="宋体"/>
                <w:spacing w:val="-3"/>
                <w:szCs w:val="21"/>
              </w:rPr>
            </w:pPr>
            <w:r>
              <w:rPr>
                <w:rFonts w:ascii="宋体" w:hAnsi="宋体" w:cs="宋体"/>
                <w:spacing w:val="-3"/>
                <w:szCs w:val="21"/>
              </w:rPr>
              <w:t>第一档（2分）：方案覆盖定期巡检、预防性维护、故障维修、固件升级、服务报告等。提供明确的服务响应与时效承诺，且明确承诺电话响应≤10分钟、远程接入诊断≤30分钟；现场到场时间：同城≤1小时；故障修复时间：普通故障≤4小时、严重故障≤12小时等模块。仅覆盖本档规定内容，满足本档全部内容要求</w:t>
            </w:r>
            <w:r>
              <w:rPr>
                <w:rFonts w:hint="eastAsia" w:ascii="宋体" w:hAnsi="宋体" w:cs="宋体"/>
                <w:spacing w:val="-3"/>
                <w:szCs w:val="21"/>
              </w:rPr>
              <w:t>。</w:t>
            </w:r>
          </w:p>
          <w:p w14:paraId="720C7125">
            <w:pPr>
              <w:spacing w:line="360" w:lineRule="auto"/>
              <w:ind w:firstLine="408" w:firstLineChars="200"/>
              <w:jc w:val="left"/>
              <w:rPr>
                <w:rFonts w:hint="eastAsia" w:ascii="宋体" w:hAnsi="宋体" w:cs="宋体"/>
                <w:spacing w:val="-3"/>
                <w:szCs w:val="21"/>
              </w:rPr>
            </w:pPr>
            <w:r>
              <w:rPr>
                <w:rFonts w:ascii="宋体" w:hAnsi="宋体" w:cs="宋体"/>
                <w:spacing w:val="-3"/>
                <w:szCs w:val="21"/>
              </w:rPr>
              <w:t>第二档（5分）：方案覆盖定期巡检、预防性维护、故障维修、固件升级、服务报告等。提供明确的服务响应与时效承诺，且明确承诺电话响应≤5分钟、远程接入诊断≤20分钟；现场到场时间：同城≤1小时；故障修复时间：普通故障≤2小时、严重故障≤8小时等。提供完整的备品备件保障能力、备件更换与测试等。</w:t>
            </w:r>
            <w:r>
              <w:rPr>
                <w:rFonts w:ascii="宋体" w:hAnsi="宋体" w:cs="宋体"/>
                <w:spacing w:val="-3"/>
                <w:szCs w:val="21"/>
                <w:lang w:bidi="ar"/>
              </w:rPr>
              <w:t>完整覆盖本档全部规定内容，满足本档全部内容要求</w:t>
            </w:r>
            <w:r>
              <w:rPr>
                <w:rFonts w:hint="eastAsia" w:ascii="宋体" w:hAnsi="宋体" w:cs="宋体"/>
                <w:spacing w:val="-3"/>
                <w:szCs w:val="21"/>
                <w:lang w:bidi="ar"/>
              </w:rPr>
              <w:t>。</w:t>
            </w:r>
          </w:p>
          <w:p w14:paraId="625D9AF7">
            <w:pPr>
              <w:spacing w:line="360" w:lineRule="auto"/>
              <w:ind w:firstLine="408" w:firstLineChars="200"/>
              <w:jc w:val="left"/>
              <w:rPr>
                <w:rFonts w:hint="eastAsia" w:ascii="宋体" w:hAnsi="宋体" w:cs="宋体"/>
                <w:spacing w:val="-3"/>
                <w:szCs w:val="21"/>
              </w:rPr>
            </w:pPr>
            <w:r>
              <w:rPr>
                <w:rFonts w:ascii="宋体" w:hAnsi="宋体" w:cs="宋体"/>
                <w:spacing w:val="-3"/>
                <w:szCs w:val="21"/>
              </w:rPr>
              <w:t>第三档（8分）：方案覆盖定期巡检、预防性维护、故障维修、固件升级、服务报告等。提供明确的服务响应与时效承诺，且明确承诺电话响应≤5分钟、远程接入诊断≤20分钟；现场到场时间：同城≤1小时；故障修复时间：普通故障≤2小时、严重故障≤8小时等。提供完整的备品备件保障能力、备件更换与测试等。提供完整的维保管理体系，建立完善的标准化运维流程，覆盖事件管理、问题管理、变更管理、配置管理及发布管理五大核心领域。</w:t>
            </w:r>
            <w:r>
              <w:rPr>
                <w:rFonts w:ascii="宋体" w:hAnsi="宋体" w:cs="宋体"/>
                <w:spacing w:val="-3"/>
                <w:szCs w:val="21"/>
                <w:lang w:bidi="ar"/>
              </w:rPr>
              <w:t>完整覆盖本档全部规定内容，满足本档全部内容要求</w:t>
            </w:r>
            <w:r>
              <w:rPr>
                <w:rFonts w:hint="eastAsia" w:ascii="宋体" w:hAnsi="宋体" w:cs="宋体"/>
                <w:spacing w:val="-3"/>
                <w:szCs w:val="21"/>
                <w:lang w:bidi="ar"/>
              </w:rPr>
              <w:t>。</w:t>
            </w:r>
          </w:p>
          <w:p w14:paraId="3C0EDFC1">
            <w:pPr>
              <w:spacing w:line="360" w:lineRule="auto"/>
              <w:ind w:firstLine="408" w:firstLineChars="200"/>
              <w:jc w:val="left"/>
              <w:rPr>
                <w:rFonts w:hint="eastAsia" w:ascii="宋体" w:hAnsi="宋体" w:cs="宋体"/>
                <w:spacing w:val="-3"/>
                <w:szCs w:val="21"/>
              </w:rPr>
            </w:pPr>
            <w:r>
              <w:rPr>
                <w:rFonts w:hint="eastAsia" w:ascii="宋体" w:hAnsi="宋体" w:cs="宋体"/>
                <w:spacing w:val="-3"/>
                <w:szCs w:val="21"/>
              </w:rPr>
              <w:t>注：</w:t>
            </w:r>
            <w:r>
              <w:rPr>
                <w:rFonts w:hint="eastAsia" w:ascii="宋体" w:hAnsi="宋体" w:cs="宋体"/>
                <w:spacing w:val="-3"/>
                <w:szCs w:val="21"/>
                <w:lang w:val="zh-TW"/>
              </w:rPr>
              <w:t>未提供或提供的内容不符合要求的，不得分；不满足最低档次要求的不得分。</w:t>
            </w:r>
          </w:p>
        </w:tc>
      </w:tr>
      <w:tr w14:paraId="28D2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3" w:hRule="atLeast"/>
          <w:jc w:val="center"/>
        </w:trPr>
        <w:tc>
          <w:tcPr>
            <w:tcW w:w="525" w:type="dxa"/>
            <w:vMerge w:val="continue"/>
            <w:tcBorders>
              <w:left w:val="single" w:color="auto" w:sz="4" w:space="0"/>
              <w:right w:val="single" w:color="auto" w:sz="4" w:space="0"/>
            </w:tcBorders>
            <w:vAlign w:val="center"/>
          </w:tcPr>
          <w:p w14:paraId="300BA8E4">
            <w:pPr>
              <w:widowControl/>
              <w:jc w:val="left"/>
              <w:rPr>
                <w:rFonts w:hint="eastAsia" w:ascii="宋体" w:hAnsi="宋体"/>
                <w:b/>
                <w:szCs w:val="21"/>
              </w:rPr>
            </w:pPr>
          </w:p>
        </w:tc>
        <w:tc>
          <w:tcPr>
            <w:tcW w:w="1517" w:type="dxa"/>
            <w:vMerge w:val="continue"/>
            <w:tcBorders>
              <w:left w:val="single" w:color="auto" w:sz="4" w:space="0"/>
              <w:right w:val="single" w:color="auto" w:sz="4" w:space="0"/>
            </w:tcBorders>
            <w:vAlign w:val="center"/>
          </w:tcPr>
          <w:p w14:paraId="4A5B0540">
            <w:pPr>
              <w:widowControl/>
              <w:jc w:val="left"/>
              <w:rPr>
                <w:rFonts w:hint="eastAsia" w:ascii="宋体" w:hAnsi="宋体"/>
                <w:spacing w:val="-18"/>
                <w:szCs w:val="21"/>
              </w:rPr>
            </w:pPr>
          </w:p>
        </w:tc>
        <w:tc>
          <w:tcPr>
            <w:tcW w:w="1772" w:type="dxa"/>
            <w:tcBorders>
              <w:top w:val="single" w:color="auto" w:sz="4" w:space="0"/>
              <w:left w:val="single" w:color="auto" w:sz="4" w:space="0"/>
              <w:bottom w:val="single" w:color="auto" w:sz="4" w:space="0"/>
              <w:right w:val="single" w:color="auto" w:sz="4" w:space="0"/>
            </w:tcBorders>
            <w:vAlign w:val="center"/>
          </w:tcPr>
          <w:p w14:paraId="20E53A99">
            <w:pPr>
              <w:spacing w:line="360" w:lineRule="auto"/>
              <w:rPr>
                <w:rFonts w:hint="eastAsia" w:ascii="宋体" w:hAnsi="宋体" w:cs="Courier New"/>
                <w:bCs/>
                <w:szCs w:val="21"/>
              </w:rPr>
            </w:pPr>
            <w:r>
              <w:rPr>
                <w:rFonts w:hint="eastAsia" w:ascii="宋体" w:hAnsi="宋体" w:cs="Courier New"/>
                <w:bCs/>
                <w:szCs w:val="21"/>
              </w:rPr>
              <w:t>（8）云平台资源优化方案（满分8分）</w:t>
            </w:r>
          </w:p>
        </w:tc>
        <w:tc>
          <w:tcPr>
            <w:tcW w:w="5655" w:type="dxa"/>
            <w:tcBorders>
              <w:top w:val="single" w:color="auto" w:sz="4" w:space="0"/>
              <w:left w:val="single" w:color="auto" w:sz="4" w:space="0"/>
              <w:right w:val="single" w:color="auto" w:sz="4" w:space="0"/>
            </w:tcBorders>
            <w:vAlign w:val="center"/>
          </w:tcPr>
          <w:p w14:paraId="1505CAF6">
            <w:pPr>
              <w:spacing w:line="360" w:lineRule="auto"/>
              <w:ind w:firstLine="408" w:firstLineChars="200"/>
              <w:jc w:val="left"/>
              <w:rPr>
                <w:rFonts w:hint="eastAsia" w:ascii="宋体" w:hAnsi="宋体" w:cs="宋体"/>
                <w:spacing w:val="-3"/>
                <w:szCs w:val="21"/>
              </w:rPr>
            </w:pPr>
            <w:r>
              <w:rPr>
                <w:rFonts w:ascii="宋体" w:hAnsi="宋体" w:cs="宋体"/>
                <w:spacing w:val="-3"/>
                <w:szCs w:val="21"/>
              </w:rPr>
              <w:t>第一档（2分）：针对本期项目，分析现有云平台资源现状、提出优化方案。方案可行，但有较明显缺陷，待完善；</w:t>
            </w:r>
          </w:p>
          <w:p w14:paraId="1A480EDE">
            <w:pPr>
              <w:spacing w:line="360" w:lineRule="auto"/>
              <w:ind w:firstLine="408" w:firstLineChars="200"/>
              <w:jc w:val="left"/>
              <w:rPr>
                <w:rFonts w:hint="eastAsia" w:ascii="宋体" w:hAnsi="宋体" w:cs="宋体"/>
                <w:spacing w:val="-3"/>
                <w:szCs w:val="21"/>
              </w:rPr>
            </w:pPr>
            <w:r>
              <w:rPr>
                <w:rFonts w:ascii="宋体" w:hAnsi="宋体" w:cs="宋体"/>
                <w:spacing w:val="-3"/>
                <w:szCs w:val="21"/>
              </w:rPr>
              <w:t>第二档（5分）：针对本期项目，分析现有云平台资源现状、提出优化方案，方案含计算资源、存储资源、数据库资源等。仅覆盖本档规定内容，满足本档全部内容要求</w:t>
            </w:r>
            <w:r>
              <w:rPr>
                <w:rFonts w:hint="eastAsia" w:ascii="宋体" w:hAnsi="宋体" w:cs="宋体"/>
                <w:spacing w:val="-3"/>
                <w:szCs w:val="21"/>
              </w:rPr>
              <w:t>。</w:t>
            </w:r>
          </w:p>
          <w:p w14:paraId="596F29C6">
            <w:pPr>
              <w:spacing w:line="360" w:lineRule="auto"/>
              <w:ind w:firstLine="408" w:firstLineChars="200"/>
              <w:jc w:val="left"/>
              <w:rPr>
                <w:rFonts w:hint="eastAsia" w:ascii="宋体" w:hAnsi="宋体" w:cs="宋体"/>
                <w:spacing w:val="-3"/>
                <w:szCs w:val="21"/>
              </w:rPr>
            </w:pPr>
            <w:r>
              <w:rPr>
                <w:rFonts w:ascii="宋体" w:hAnsi="宋体" w:cs="宋体"/>
                <w:spacing w:val="-3"/>
                <w:szCs w:val="21"/>
              </w:rPr>
              <w:t>第三档（8分）：针对本期项目，分析现有云平台资源现状，能对现有云资源进行全量盘点，出具完整的资源清单（计算实例、存储卷、数据库、镜像等），标注当前配置规格、容量及所属业务系统。能结合现状提出优化方案，方案含计算资源、存储资源、数据库资源等。能绘制业务流量拓扑图，标注关键链路的传输瓶颈。</w:t>
            </w:r>
            <w:r>
              <w:rPr>
                <w:rFonts w:ascii="宋体" w:hAnsi="宋体" w:cs="宋体"/>
                <w:spacing w:val="-3"/>
                <w:szCs w:val="21"/>
                <w:lang w:bidi="ar"/>
              </w:rPr>
              <w:t>完整覆盖本档全部规定内容，满足本档全部内容要求</w:t>
            </w:r>
            <w:r>
              <w:rPr>
                <w:rFonts w:ascii="宋体" w:hAnsi="宋体" w:cs="宋体"/>
                <w:spacing w:val="-3"/>
                <w:szCs w:val="21"/>
              </w:rPr>
              <w:t>。</w:t>
            </w:r>
          </w:p>
          <w:p w14:paraId="18A26394">
            <w:pPr>
              <w:spacing w:line="360" w:lineRule="auto"/>
              <w:ind w:firstLine="408" w:firstLineChars="200"/>
              <w:jc w:val="left"/>
              <w:rPr>
                <w:rFonts w:hint="eastAsia" w:ascii="宋体" w:hAnsi="宋体" w:cs="宋体"/>
                <w:spacing w:val="-3"/>
                <w:szCs w:val="21"/>
              </w:rPr>
            </w:pPr>
            <w:r>
              <w:rPr>
                <w:rFonts w:hint="eastAsia" w:ascii="宋体" w:hAnsi="宋体" w:cs="宋体"/>
                <w:spacing w:val="-3"/>
                <w:szCs w:val="21"/>
              </w:rPr>
              <w:t>注：</w:t>
            </w:r>
            <w:r>
              <w:rPr>
                <w:rFonts w:hint="eastAsia" w:ascii="宋体" w:hAnsi="宋体" w:cs="宋体"/>
                <w:spacing w:val="-3"/>
                <w:szCs w:val="21"/>
                <w:lang w:val="zh-TW"/>
              </w:rPr>
              <w:t>未提供或提供的内容不符合要求的，不得分；不满足最低档次要求的不得分。</w:t>
            </w:r>
          </w:p>
        </w:tc>
      </w:tr>
      <w:tr w14:paraId="2750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jc w:val="center"/>
        </w:trPr>
        <w:tc>
          <w:tcPr>
            <w:tcW w:w="525" w:type="dxa"/>
            <w:vMerge w:val="continue"/>
            <w:tcBorders>
              <w:left w:val="single" w:color="auto" w:sz="4" w:space="0"/>
              <w:right w:val="single" w:color="auto" w:sz="4" w:space="0"/>
            </w:tcBorders>
            <w:vAlign w:val="center"/>
          </w:tcPr>
          <w:p w14:paraId="3DC11D0C">
            <w:pPr>
              <w:widowControl/>
              <w:jc w:val="left"/>
              <w:rPr>
                <w:rFonts w:hint="eastAsia" w:ascii="宋体" w:hAnsi="宋体"/>
                <w:b/>
                <w:szCs w:val="21"/>
              </w:rPr>
            </w:pPr>
          </w:p>
        </w:tc>
        <w:tc>
          <w:tcPr>
            <w:tcW w:w="1517" w:type="dxa"/>
            <w:vMerge w:val="continue"/>
            <w:tcBorders>
              <w:left w:val="single" w:color="auto" w:sz="4" w:space="0"/>
              <w:right w:val="single" w:color="auto" w:sz="4" w:space="0"/>
            </w:tcBorders>
            <w:vAlign w:val="center"/>
          </w:tcPr>
          <w:p w14:paraId="348425FC">
            <w:pPr>
              <w:widowControl/>
              <w:jc w:val="left"/>
              <w:rPr>
                <w:rFonts w:hint="eastAsia" w:ascii="宋体" w:hAnsi="宋体"/>
                <w:spacing w:val="-18"/>
                <w:szCs w:val="21"/>
              </w:rPr>
            </w:pPr>
          </w:p>
        </w:tc>
        <w:tc>
          <w:tcPr>
            <w:tcW w:w="1772" w:type="dxa"/>
            <w:tcBorders>
              <w:top w:val="single" w:color="auto" w:sz="4" w:space="0"/>
              <w:left w:val="single" w:color="auto" w:sz="4" w:space="0"/>
              <w:bottom w:val="single" w:color="auto" w:sz="4" w:space="0"/>
              <w:right w:val="single" w:color="auto" w:sz="4" w:space="0"/>
            </w:tcBorders>
            <w:vAlign w:val="center"/>
          </w:tcPr>
          <w:p w14:paraId="4CB1F91B">
            <w:pPr>
              <w:spacing w:line="360" w:lineRule="auto"/>
              <w:rPr>
                <w:rFonts w:hint="eastAsia" w:ascii="宋体" w:hAnsi="宋体" w:cs="Courier New"/>
                <w:bCs/>
                <w:szCs w:val="21"/>
              </w:rPr>
            </w:pPr>
            <w:r>
              <w:rPr>
                <w:rFonts w:hint="eastAsia" w:ascii="宋体" w:hAnsi="宋体" w:cs="Courier New"/>
                <w:bCs/>
                <w:szCs w:val="21"/>
              </w:rPr>
              <w:t>（9）网络运维服务方案(满分10分)</w:t>
            </w:r>
          </w:p>
          <w:p w14:paraId="62AE625D">
            <w:pPr>
              <w:spacing w:line="360" w:lineRule="auto"/>
              <w:rPr>
                <w:rFonts w:hint="eastAsia" w:ascii="宋体" w:hAnsi="宋体" w:cs="Courier New"/>
                <w:bCs/>
                <w:szCs w:val="21"/>
              </w:rPr>
            </w:pPr>
          </w:p>
        </w:tc>
        <w:tc>
          <w:tcPr>
            <w:tcW w:w="5655" w:type="dxa"/>
            <w:tcBorders>
              <w:top w:val="single" w:color="auto" w:sz="4" w:space="0"/>
              <w:left w:val="single" w:color="auto" w:sz="4" w:space="0"/>
              <w:right w:val="single" w:color="auto" w:sz="4" w:space="0"/>
            </w:tcBorders>
            <w:vAlign w:val="center"/>
          </w:tcPr>
          <w:p w14:paraId="570076A8">
            <w:pPr>
              <w:spacing w:line="360" w:lineRule="auto"/>
              <w:ind w:firstLine="408" w:firstLineChars="200"/>
              <w:jc w:val="left"/>
              <w:rPr>
                <w:rFonts w:hint="eastAsia" w:ascii="宋体" w:hAnsi="宋体" w:cs="宋体"/>
                <w:spacing w:val="-3"/>
                <w:szCs w:val="21"/>
              </w:rPr>
            </w:pPr>
            <w:r>
              <w:rPr>
                <w:rFonts w:ascii="宋体" w:hAnsi="宋体" w:cs="宋体"/>
                <w:spacing w:val="-3"/>
                <w:szCs w:val="21"/>
              </w:rPr>
              <w:t>第一档（3分）：结合医保网络设备现状，绘制详细的二层/三层网络拓扑，提出网络优化方案。梳理现有网络链路，识别拥塞链路并分析成因。识别网络设备安全配置基线进行全面检查（SNMP版本、Telnet/SSH协议、ACL策略合理性、端口安全、ARP防护等）。仅覆盖本档规定内容，满足本档全部内容要求。</w:t>
            </w:r>
          </w:p>
          <w:p w14:paraId="47D4E1F3">
            <w:pPr>
              <w:spacing w:line="360" w:lineRule="auto"/>
              <w:ind w:firstLine="408" w:firstLineChars="200"/>
              <w:jc w:val="left"/>
              <w:rPr>
                <w:rFonts w:hint="eastAsia" w:ascii="宋体" w:hAnsi="宋体" w:cs="宋体"/>
                <w:spacing w:val="-3"/>
                <w:szCs w:val="21"/>
              </w:rPr>
            </w:pPr>
            <w:r>
              <w:rPr>
                <w:rFonts w:ascii="宋体" w:hAnsi="宋体" w:cs="宋体"/>
                <w:spacing w:val="-3"/>
                <w:szCs w:val="21"/>
              </w:rPr>
              <w:t>第二档（6分）：结合医保网络设备现状，绘制详细的二层/三层网络拓扑，提出网络优化方案。梳理现有网络链路，识别拥塞链路并分析成因。识别网络设备安全配置基线进行全面检查（SNMP版本、Telnet/SSH协议、ACL策略合理性、端口安全、ARP防护等）。提供网络运维服务方案，覆盖日常运维与巡检、网络监控与告警处理、网络变更管理与风险控制等。完整覆盖本档规定内容，满足本档全部内容要求</w:t>
            </w:r>
            <w:r>
              <w:rPr>
                <w:rFonts w:hint="eastAsia" w:ascii="宋体" w:hAnsi="宋体" w:cs="宋体"/>
                <w:spacing w:val="-3"/>
                <w:szCs w:val="21"/>
              </w:rPr>
              <w:t>。</w:t>
            </w:r>
          </w:p>
          <w:p w14:paraId="4CECF5BA">
            <w:pPr>
              <w:spacing w:line="360" w:lineRule="auto"/>
              <w:ind w:firstLine="408" w:firstLineChars="200"/>
              <w:jc w:val="left"/>
              <w:rPr>
                <w:rFonts w:hint="eastAsia" w:ascii="宋体" w:hAnsi="宋体" w:cs="宋体"/>
                <w:spacing w:val="-3"/>
                <w:szCs w:val="21"/>
              </w:rPr>
            </w:pPr>
            <w:r>
              <w:rPr>
                <w:rFonts w:ascii="宋体" w:hAnsi="宋体" w:cs="宋体"/>
                <w:spacing w:val="-3"/>
                <w:szCs w:val="21"/>
              </w:rPr>
              <w:t>第三档（10分）：结合医保网络设备现状，绘制详细的二层/三层网络拓扑，提出网络优化方案。梳理现有网络链路，识别拥塞链路并分析成因。识别网络设备安全配置基线进行全面检查（SNMP版本、Telnet/SSH协议、ACL策略合理性、端口安全、ARP防护等）。提供网络运维服务方案，覆盖日常运维与巡检、网络监控与告警处理、网络变更管理与风险控制。提供完善的终端接入（GRE）服务方案，包含：GRE现状分析、优化方案。</w:t>
            </w:r>
            <w:r>
              <w:rPr>
                <w:rFonts w:ascii="宋体" w:hAnsi="宋体" w:cs="宋体"/>
                <w:spacing w:val="-3"/>
                <w:szCs w:val="21"/>
                <w:lang w:bidi="ar"/>
              </w:rPr>
              <w:t>完整覆盖本档全部规定内容，满足本档全部内容要求</w:t>
            </w:r>
            <w:r>
              <w:rPr>
                <w:rFonts w:ascii="宋体" w:hAnsi="宋体" w:cs="宋体"/>
                <w:spacing w:val="-3"/>
                <w:szCs w:val="21"/>
              </w:rPr>
              <w:t>。</w:t>
            </w:r>
          </w:p>
          <w:p w14:paraId="399BC13B">
            <w:pPr>
              <w:spacing w:line="360" w:lineRule="auto"/>
              <w:ind w:firstLine="408" w:firstLineChars="200"/>
              <w:jc w:val="left"/>
              <w:rPr>
                <w:rFonts w:hint="eastAsia" w:ascii="宋体" w:hAnsi="宋体" w:cs="宋体"/>
                <w:spacing w:val="-3"/>
                <w:szCs w:val="21"/>
              </w:rPr>
            </w:pPr>
            <w:r>
              <w:rPr>
                <w:rFonts w:hint="eastAsia" w:ascii="宋体" w:hAnsi="宋体" w:cs="宋体"/>
                <w:spacing w:val="-3"/>
                <w:szCs w:val="21"/>
              </w:rPr>
              <w:t>注：</w:t>
            </w:r>
            <w:r>
              <w:rPr>
                <w:rFonts w:hint="eastAsia" w:ascii="宋体" w:hAnsi="宋体" w:cs="宋体"/>
                <w:spacing w:val="-3"/>
                <w:szCs w:val="21"/>
                <w:lang w:val="zh-TW"/>
              </w:rPr>
              <w:t>未提供或提供的内容不符合要求的，不得分；不满足最低档次要求的不得分。</w:t>
            </w:r>
          </w:p>
        </w:tc>
      </w:tr>
      <w:tr w14:paraId="6BE4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5" w:type="dxa"/>
            <w:tcBorders>
              <w:left w:val="single" w:color="auto" w:sz="4" w:space="0"/>
              <w:right w:val="single" w:color="auto" w:sz="4" w:space="0"/>
            </w:tcBorders>
            <w:vAlign w:val="center"/>
          </w:tcPr>
          <w:p w14:paraId="5E18125D">
            <w:pPr>
              <w:adjustRightInd w:val="0"/>
              <w:spacing w:line="360" w:lineRule="exact"/>
              <w:jc w:val="center"/>
              <w:textAlignment w:val="baseline"/>
              <w:rPr>
                <w:rFonts w:hint="eastAsia" w:ascii="宋体" w:hAnsi="宋体"/>
                <w:b/>
                <w:szCs w:val="21"/>
              </w:rPr>
            </w:pPr>
            <w:r>
              <w:rPr>
                <w:rFonts w:hint="eastAsia" w:ascii="宋体" w:hAnsi="宋体"/>
                <w:b/>
                <w:szCs w:val="21"/>
              </w:rPr>
              <w:t>3</w:t>
            </w:r>
          </w:p>
        </w:tc>
        <w:tc>
          <w:tcPr>
            <w:tcW w:w="1517" w:type="dxa"/>
            <w:tcBorders>
              <w:left w:val="single" w:color="auto" w:sz="4" w:space="0"/>
              <w:right w:val="single" w:color="auto" w:sz="4" w:space="0"/>
            </w:tcBorders>
            <w:vAlign w:val="center"/>
          </w:tcPr>
          <w:p w14:paraId="5C856A1A">
            <w:pPr>
              <w:spacing w:line="360" w:lineRule="exact"/>
              <w:jc w:val="center"/>
              <w:rPr>
                <w:rFonts w:hint="eastAsia" w:ascii="宋体" w:hAnsi="宋体"/>
                <w:b/>
                <w:bCs/>
                <w:szCs w:val="21"/>
              </w:rPr>
            </w:pPr>
            <w:r>
              <w:rPr>
                <w:rFonts w:hint="eastAsia" w:ascii="宋体" w:hAnsi="宋体"/>
                <w:b/>
                <w:bCs/>
                <w:szCs w:val="21"/>
              </w:rPr>
              <w:t>商务分</w:t>
            </w:r>
          </w:p>
          <w:p w14:paraId="05444C01">
            <w:pPr>
              <w:spacing w:line="360" w:lineRule="exact"/>
              <w:jc w:val="center"/>
              <w:rPr>
                <w:rFonts w:hint="eastAsia" w:ascii="宋体" w:hAnsi="宋体"/>
                <w:b/>
                <w:bCs/>
                <w:szCs w:val="21"/>
              </w:rPr>
            </w:pPr>
            <w:r>
              <w:rPr>
                <w:rFonts w:hint="eastAsia" w:ascii="宋体" w:hAnsi="宋体"/>
                <w:b/>
                <w:bCs/>
                <w:szCs w:val="21"/>
              </w:rPr>
              <w:t>（满分30分）</w:t>
            </w:r>
          </w:p>
        </w:tc>
        <w:tc>
          <w:tcPr>
            <w:tcW w:w="1772" w:type="dxa"/>
            <w:tcBorders>
              <w:top w:val="single" w:color="auto" w:sz="4" w:space="0"/>
              <w:left w:val="single" w:color="auto" w:sz="4" w:space="0"/>
              <w:right w:val="single" w:color="auto" w:sz="4" w:space="0"/>
            </w:tcBorders>
            <w:vAlign w:val="center"/>
          </w:tcPr>
          <w:p w14:paraId="28246CB3">
            <w:pPr>
              <w:adjustRightInd w:val="0"/>
              <w:spacing w:line="360" w:lineRule="exact"/>
              <w:jc w:val="center"/>
              <w:textAlignment w:val="baseline"/>
              <w:rPr>
                <w:rFonts w:hint="eastAsia" w:ascii="宋体" w:hAnsi="宋体"/>
                <w:szCs w:val="21"/>
              </w:rPr>
            </w:pPr>
          </w:p>
          <w:p w14:paraId="186ADA8F">
            <w:pPr>
              <w:adjustRightInd w:val="0"/>
              <w:spacing w:line="360" w:lineRule="exact"/>
              <w:jc w:val="center"/>
              <w:textAlignment w:val="baseline"/>
              <w:rPr>
                <w:rFonts w:hint="eastAsia" w:ascii="宋体" w:hAnsi="宋体"/>
                <w:szCs w:val="21"/>
              </w:rPr>
            </w:pPr>
            <w:r>
              <w:rPr>
                <w:rFonts w:hint="eastAsia" w:ascii="宋体" w:hAnsi="宋体"/>
                <w:szCs w:val="21"/>
              </w:rPr>
              <w:t>（1）团队服务能力分（满分18分）</w:t>
            </w:r>
          </w:p>
          <w:p w14:paraId="564F5705">
            <w:pPr>
              <w:adjustRightInd w:val="0"/>
              <w:spacing w:line="360" w:lineRule="exact"/>
              <w:jc w:val="center"/>
              <w:textAlignment w:val="baseline"/>
              <w:rPr>
                <w:rFonts w:hint="eastAsia" w:ascii="宋体" w:hAnsi="宋体"/>
                <w:szCs w:val="21"/>
              </w:rPr>
            </w:pPr>
          </w:p>
        </w:tc>
        <w:tc>
          <w:tcPr>
            <w:tcW w:w="5655" w:type="dxa"/>
            <w:tcBorders>
              <w:top w:val="single" w:color="auto" w:sz="4" w:space="0"/>
              <w:left w:val="single" w:color="auto" w:sz="4" w:space="0"/>
              <w:bottom w:val="single" w:color="auto" w:sz="4" w:space="0"/>
              <w:right w:val="single" w:color="auto" w:sz="4" w:space="0"/>
            </w:tcBorders>
            <w:vAlign w:val="center"/>
          </w:tcPr>
          <w:p w14:paraId="3CCA4810">
            <w:pPr>
              <w:spacing w:line="360" w:lineRule="auto"/>
              <w:rPr>
                <w:rFonts w:hint="eastAsia" w:ascii="宋体" w:hAnsi="宋体" w:cs="Courier New"/>
                <w:b/>
                <w:szCs w:val="21"/>
              </w:rPr>
            </w:pPr>
          </w:p>
          <w:p w14:paraId="373B6135">
            <w:pPr>
              <w:spacing w:line="360" w:lineRule="auto"/>
              <w:rPr>
                <w:rFonts w:hint="eastAsia" w:ascii="宋体" w:hAnsi="宋体" w:cs="Courier New"/>
                <w:bCs/>
                <w:szCs w:val="21"/>
              </w:rPr>
            </w:pPr>
            <w:r>
              <w:rPr>
                <w:rFonts w:hint="eastAsia" w:ascii="宋体" w:hAnsi="宋体" w:cs="Courier New"/>
                <w:bCs/>
                <w:szCs w:val="21"/>
              </w:rPr>
              <w:t>1）项目经理1人（满分5分）</w:t>
            </w:r>
          </w:p>
          <w:p w14:paraId="7C0D0E75">
            <w:pPr>
              <w:spacing w:line="360" w:lineRule="auto"/>
              <w:rPr>
                <w:rFonts w:hint="eastAsia" w:ascii="宋体" w:hAnsi="宋体" w:cs="Courier New"/>
                <w:bCs/>
                <w:szCs w:val="21"/>
              </w:rPr>
            </w:pPr>
            <w:r>
              <w:rPr>
                <w:rFonts w:hint="eastAsia" w:ascii="宋体" w:hAnsi="宋体" w:cs="Courier New"/>
                <w:bCs/>
                <w:szCs w:val="21"/>
              </w:rPr>
              <w:t>项目经理具有以下证书：</w:t>
            </w:r>
          </w:p>
          <w:p w14:paraId="1BF0A767">
            <w:pPr>
              <w:spacing w:line="360" w:lineRule="auto"/>
              <w:rPr>
                <w:rFonts w:hint="eastAsia" w:ascii="宋体" w:hAnsi="宋体" w:cs="Courier New"/>
                <w:bCs/>
                <w:szCs w:val="21"/>
              </w:rPr>
            </w:pPr>
            <w:r>
              <w:rPr>
                <w:rFonts w:hint="eastAsia" w:ascii="宋体" w:hAnsi="宋体" w:cs="Courier New"/>
                <w:bCs/>
                <w:szCs w:val="21"/>
              </w:rPr>
              <w:t xml:space="preserve">①具有信息系统项目管理师证书得2分； </w:t>
            </w:r>
          </w:p>
          <w:p w14:paraId="7A52C87F">
            <w:pPr>
              <w:spacing w:line="360" w:lineRule="auto"/>
              <w:rPr>
                <w:rFonts w:hint="eastAsia" w:ascii="宋体" w:hAnsi="宋体" w:cs="Courier New"/>
                <w:bCs/>
                <w:szCs w:val="21"/>
              </w:rPr>
            </w:pPr>
            <w:r>
              <w:rPr>
                <w:rFonts w:hint="eastAsia" w:ascii="宋体" w:hAnsi="宋体" w:cs="Courier New"/>
                <w:bCs/>
                <w:szCs w:val="21"/>
              </w:rPr>
              <w:t>②具有系统规划与管理师证书或系统架构设计师得2分；</w:t>
            </w:r>
          </w:p>
          <w:p w14:paraId="54E2A52C">
            <w:pPr>
              <w:spacing w:line="360" w:lineRule="auto"/>
              <w:rPr>
                <w:rFonts w:hint="eastAsia" w:ascii="宋体" w:hAnsi="宋体" w:cs="Courier New"/>
                <w:bCs/>
                <w:szCs w:val="21"/>
              </w:rPr>
            </w:pPr>
            <w:r>
              <w:rPr>
                <w:rFonts w:hint="eastAsia" w:ascii="宋体" w:hAnsi="宋体" w:cs="Courier New"/>
                <w:bCs/>
                <w:szCs w:val="21"/>
              </w:rPr>
              <w:t>③具有通信相关专业高级工程师及以上职称证书得1分。</w:t>
            </w:r>
          </w:p>
          <w:p w14:paraId="15E77EB3">
            <w:pPr>
              <w:spacing w:line="360" w:lineRule="auto"/>
              <w:rPr>
                <w:rFonts w:hint="eastAsia" w:ascii="宋体" w:hAnsi="宋体" w:cs="Courier New"/>
                <w:bCs/>
                <w:szCs w:val="21"/>
              </w:rPr>
            </w:pPr>
            <w:r>
              <w:rPr>
                <w:rFonts w:hint="eastAsia" w:ascii="宋体" w:hAnsi="宋体" w:cs="Courier New"/>
                <w:bCs/>
                <w:szCs w:val="21"/>
              </w:rPr>
              <w:t>2）技术负责人1人（满分7分）</w:t>
            </w:r>
          </w:p>
          <w:p w14:paraId="6CF45A36">
            <w:pPr>
              <w:spacing w:line="360" w:lineRule="auto"/>
              <w:rPr>
                <w:rFonts w:hint="eastAsia" w:ascii="宋体" w:hAnsi="宋体" w:cs="Courier New"/>
                <w:bCs/>
                <w:szCs w:val="21"/>
              </w:rPr>
            </w:pPr>
            <w:r>
              <w:rPr>
                <w:rFonts w:hint="eastAsia" w:ascii="宋体" w:hAnsi="宋体" w:cs="Courier New"/>
                <w:bCs/>
                <w:szCs w:val="21"/>
              </w:rPr>
              <w:t>技术负责人有以下证书的：</w:t>
            </w:r>
          </w:p>
          <w:p w14:paraId="7535CADE">
            <w:pPr>
              <w:spacing w:line="360" w:lineRule="auto"/>
              <w:rPr>
                <w:rFonts w:hint="eastAsia" w:ascii="宋体" w:hAnsi="宋体" w:cs="Courier New"/>
                <w:bCs/>
                <w:szCs w:val="21"/>
              </w:rPr>
            </w:pPr>
            <w:r>
              <w:rPr>
                <w:rFonts w:hint="eastAsia" w:ascii="宋体" w:hAnsi="宋体" w:cs="Courier New"/>
                <w:bCs/>
                <w:szCs w:val="21"/>
              </w:rPr>
              <w:t xml:space="preserve">①具有信息系统项目管理师证书得2分； </w:t>
            </w:r>
          </w:p>
          <w:p w14:paraId="2BB48D3A">
            <w:pPr>
              <w:spacing w:line="360" w:lineRule="auto"/>
              <w:rPr>
                <w:rFonts w:hint="eastAsia" w:ascii="宋体" w:hAnsi="宋体" w:cs="Courier New"/>
                <w:bCs/>
                <w:szCs w:val="21"/>
              </w:rPr>
            </w:pPr>
            <w:r>
              <w:rPr>
                <w:rFonts w:hint="eastAsia" w:ascii="宋体" w:hAnsi="宋体" w:cs="Courier New"/>
                <w:bCs/>
                <w:szCs w:val="21"/>
              </w:rPr>
              <w:t>②具有系统架构设计师证书得2分；</w:t>
            </w:r>
          </w:p>
          <w:p w14:paraId="489AB72C">
            <w:pPr>
              <w:spacing w:line="360" w:lineRule="auto"/>
              <w:rPr>
                <w:rFonts w:hint="eastAsia" w:ascii="宋体" w:hAnsi="宋体" w:cs="Courier New"/>
                <w:bCs/>
                <w:szCs w:val="21"/>
              </w:rPr>
            </w:pPr>
            <w:r>
              <w:rPr>
                <w:rFonts w:hint="eastAsia" w:ascii="宋体" w:hAnsi="宋体" w:cs="Courier New"/>
                <w:bCs/>
                <w:szCs w:val="21"/>
              </w:rPr>
              <w:t>③具有系统分析师证书得2分；</w:t>
            </w:r>
          </w:p>
          <w:p w14:paraId="7271E94D">
            <w:pPr>
              <w:spacing w:line="360" w:lineRule="auto"/>
              <w:rPr>
                <w:rFonts w:hint="eastAsia" w:ascii="宋体" w:hAnsi="宋体" w:cs="Courier New"/>
                <w:bCs/>
                <w:szCs w:val="21"/>
              </w:rPr>
            </w:pPr>
            <w:r>
              <w:rPr>
                <w:rFonts w:hint="eastAsia" w:ascii="宋体" w:hAnsi="宋体" w:cs="Courier New"/>
                <w:bCs/>
                <w:szCs w:val="21"/>
              </w:rPr>
              <w:t>④具有通信相关专业高级工程师及以上职称证书或注册信息安全专业人员(CISP)得1分。</w:t>
            </w:r>
          </w:p>
          <w:p w14:paraId="17101268">
            <w:pPr>
              <w:spacing w:line="360" w:lineRule="auto"/>
              <w:rPr>
                <w:rFonts w:hint="eastAsia" w:ascii="宋体" w:hAnsi="宋体" w:cs="Courier New"/>
                <w:bCs/>
                <w:szCs w:val="21"/>
              </w:rPr>
            </w:pPr>
            <w:r>
              <w:rPr>
                <w:rFonts w:hint="eastAsia" w:ascii="宋体" w:hAnsi="宋体" w:cs="Courier New"/>
                <w:bCs/>
                <w:szCs w:val="21"/>
              </w:rPr>
              <w:t>3）团队成员（满分6分）</w:t>
            </w:r>
          </w:p>
          <w:p w14:paraId="5E9ED4C1">
            <w:pPr>
              <w:spacing w:line="360" w:lineRule="auto"/>
              <w:rPr>
                <w:rFonts w:hint="eastAsia" w:ascii="宋体" w:hAnsi="宋体" w:cs="Courier New"/>
                <w:bCs/>
                <w:szCs w:val="21"/>
              </w:rPr>
            </w:pPr>
            <w:r>
              <w:rPr>
                <w:rFonts w:hint="eastAsia" w:ascii="宋体" w:hAnsi="宋体" w:cs="Courier New"/>
                <w:bCs/>
                <w:szCs w:val="21"/>
              </w:rPr>
              <w:t>团队成员（不含项目经理、技术负责人）具有以下资格的：</w:t>
            </w:r>
          </w:p>
          <w:p w14:paraId="0E54DA11">
            <w:pPr>
              <w:spacing w:line="360" w:lineRule="auto"/>
              <w:rPr>
                <w:rFonts w:hint="eastAsia" w:ascii="宋体" w:hAnsi="宋体" w:cs="Courier New"/>
                <w:bCs/>
                <w:szCs w:val="21"/>
              </w:rPr>
            </w:pPr>
            <w:r>
              <w:rPr>
                <w:rFonts w:hint="eastAsia" w:ascii="宋体" w:hAnsi="宋体" w:cs="Courier New"/>
                <w:bCs/>
                <w:szCs w:val="21"/>
              </w:rPr>
              <w:t>①具有系统架构设计师证书的，每个得1分，满分1分；</w:t>
            </w:r>
          </w:p>
          <w:p w14:paraId="683E6B81">
            <w:pPr>
              <w:spacing w:line="360" w:lineRule="auto"/>
              <w:rPr>
                <w:rFonts w:hint="eastAsia" w:ascii="宋体" w:hAnsi="宋体" w:cs="Courier New"/>
                <w:bCs/>
                <w:szCs w:val="21"/>
              </w:rPr>
            </w:pPr>
            <w:r>
              <w:rPr>
                <w:rFonts w:hint="eastAsia" w:ascii="宋体" w:hAnsi="宋体" w:cs="Courier New"/>
                <w:bCs/>
                <w:szCs w:val="21"/>
              </w:rPr>
              <w:t>②具有注册信息安全专业人员(CISP)</w:t>
            </w:r>
            <w:r>
              <w:rPr>
                <w:rFonts w:hint="eastAsia" w:ascii="宋体" w:hAnsi="宋体" w:cs="Courier New"/>
                <w:bCs/>
                <w:szCs w:val="21"/>
                <w:lang w:val="en-US" w:eastAsia="zh-CN"/>
              </w:rPr>
              <w:t>或</w:t>
            </w:r>
            <w:r>
              <w:rPr>
                <w:rFonts w:hint="eastAsia" w:ascii="宋体" w:hAnsi="宋体" w:cs="Courier New"/>
                <w:bCs/>
                <w:szCs w:val="21"/>
              </w:rPr>
              <w:t>网络规划设计师证书的，每个得1分，满分1分；</w:t>
            </w:r>
          </w:p>
          <w:p w14:paraId="3DAF2FF2">
            <w:pPr>
              <w:spacing w:line="360" w:lineRule="auto"/>
              <w:rPr>
                <w:rFonts w:hint="eastAsia" w:ascii="宋体" w:hAnsi="宋体" w:cs="Courier New"/>
                <w:bCs/>
                <w:szCs w:val="21"/>
              </w:rPr>
            </w:pPr>
            <w:r>
              <w:rPr>
                <w:rFonts w:hint="eastAsia" w:ascii="宋体" w:hAnsi="宋体" w:cs="Courier New"/>
                <w:bCs/>
                <w:szCs w:val="21"/>
              </w:rPr>
              <w:t>③具有信息系统项目管理师证书的，每个得1分，满分2分；</w:t>
            </w:r>
          </w:p>
          <w:p w14:paraId="04CF28F7">
            <w:pPr>
              <w:spacing w:line="360" w:lineRule="auto"/>
              <w:rPr>
                <w:rFonts w:hint="eastAsia" w:ascii="宋体" w:hAnsi="宋体" w:cs="Courier New"/>
                <w:bCs/>
                <w:szCs w:val="21"/>
              </w:rPr>
            </w:pPr>
            <w:r>
              <w:rPr>
                <w:rFonts w:hint="eastAsia" w:ascii="宋体" w:hAnsi="宋体" w:cs="Courier New"/>
                <w:bCs/>
                <w:szCs w:val="21"/>
              </w:rPr>
              <w:t>④具有通信相关专业高级工程师及以上职称证书的，每个得1分，满分2分。</w:t>
            </w:r>
          </w:p>
          <w:p w14:paraId="1A633B3D">
            <w:pPr>
              <w:spacing w:line="360" w:lineRule="auto"/>
              <w:rPr>
                <w:rFonts w:hint="eastAsia" w:ascii="宋体" w:hAnsi="宋体" w:cs="Courier New"/>
                <w:bCs/>
                <w:szCs w:val="21"/>
              </w:rPr>
            </w:pPr>
            <w:r>
              <w:rPr>
                <w:rFonts w:hint="eastAsia" w:ascii="宋体" w:hAnsi="宋体" w:cs="Courier New"/>
                <w:bCs/>
                <w:szCs w:val="21"/>
              </w:rPr>
              <w:t>以上评分项不累计，每人最多评其中</w:t>
            </w:r>
            <w:bookmarkStart w:id="162" w:name="_GoBack"/>
            <w:bookmarkEnd w:id="162"/>
            <w:r>
              <w:rPr>
                <w:rFonts w:hint="eastAsia" w:ascii="宋体" w:hAnsi="宋体" w:cs="Courier New"/>
                <w:bCs/>
                <w:szCs w:val="21"/>
              </w:rPr>
              <w:t>一项。拟投入人员必须为本公司职员或分公司职员。投标文件提供拟投入人员相关资格（职称）证书及</w:t>
            </w:r>
            <w:r>
              <w:rPr>
                <w:rFonts w:hint="eastAsia"/>
                <w:color w:val="auto"/>
                <w:szCs w:val="21"/>
              </w:rPr>
              <w:t>投标截止时间前半年内任意1个月投标人为其缴纳个人社保证明复印件（原件或复印件）扫描件或劳动合同或工资支付记录亦可。</w:t>
            </w:r>
            <w:r>
              <w:rPr>
                <w:rFonts w:hint="eastAsia" w:ascii="宋体" w:hAnsi="宋体" w:cs="Courier New"/>
                <w:bCs/>
                <w:color w:val="auto"/>
                <w:szCs w:val="21"/>
              </w:rPr>
              <w:t>（并加</w:t>
            </w:r>
            <w:r>
              <w:rPr>
                <w:rFonts w:hint="eastAsia" w:ascii="宋体" w:hAnsi="宋体" w:cs="Courier New"/>
                <w:bCs/>
                <w:szCs w:val="21"/>
              </w:rPr>
              <w:t>投标人公章）。</w:t>
            </w:r>
          </w:p>
        </w:tc>
      </w:tr>
      <w:tr w14:paraId="1F74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525" w:type="dxa"/>
            <w:tcBorders>
              <w:left w:val="single" w:color="auto" w:sz="4" w:space="0"/>
              <w:right w:val="single" w:color="auto" w:sz="4" w:space="0"/>
            </w:tcBorders>
            <w:vAlign w:val="center"/>
          </w:tcPr>
          <w:p w14:paraId="30626249">
            <w:pPr>
              <w:adjustRightInd w:val="0"/>
              <w:spacing w:line="360" w:lineRule="exact"/>
              <w:jc w:val="center"/>
              <w:textAlignment w:val="baseline"/>
              <w:rPr>
                <w:rFonts w:hint="eastAsia" w:ascii="宋体" w:hAnsi="宋体"/>
                <w:b/>
                <w:szCs w:val="21"/>
              </w:rPr>
            </w:pPr>
          </w:p>
        </w:tc>
        <w:tc>
          <w:tcPr>
            <w:tcW w:w="1517" w:type="dxa"/>
            <w:tcBorders>
              <w:left w:val="single" w:color="auto" w:sz="4" w:space="0"/>
              <w:right w:val="single" w:color="auto" w:sz="4" w:space="0"/>
            </w:tcBorders>
            <w:vAlign w:val="center"/>
          </w:tcPr>
          <w:p w14:paraId="496144E3">
            <w:pPr>
              <w:spacing w:line="360" w:lineRule="exact"/>
              <w:jc w:val="center"/>
              <w:rPr>
                <w:rFonts w:hint="eastAsia" w:ascii="宋体" w:hAnsi="宋体"/>
                <w:b/>
                <w:bCs/>
                <w:szCs w:val="21"/>
              </w:rPr>
            </w:pPr>
          </w:p>
        </w:tc>
        <w:tc>
          <w:tcPr>
            <w:tcW w:w="1772" w:type="dxa"/>
            <w:tcBorders>
              <w:top w:val="single" w:color="auto" w:sz="4" w:space="0"/>
              <w:left w:val="single" w:color="auto" w:sz="4" w:space="0"/>
              <w:right w:val="single" w:color="auto" w:sz="4" w:space="0"/>
            </w:tcBorders>
            <w:vAlign w:val="center"/>
          </w:tcPr>
          <w:p w14:paraId="339CA569">
            <w:pPr>
              <w:adjustRightInd w:val="0"/>
              <w:spacing w:line="360" w:lineRule="exact"/>
              <w:jc w:val="center"/>
              <w:textAlignment w:val="baseline"/>
              <w:rPr>
                <w:rFonts w:hint="eastAsia" w:ascii="宋体" w:hAnsi="宋体"/>
                <w:szCs w:val="21"/>
              </w:rPr>
            </w:pPr>
            <w:r>
              <w:rPr>
                <w:rFonts w:hint="eastAsia" w:ascii="宋体" w:hAnsi="宋体"/>
                <w:szCs w:val="21"/>
              </w:rPr>
              <w:t xml:space="preserve">（2）信誉分（满分7分） </w:t>
            </w:r>
          </w:p>
        </w:tc>
        <w:tc>
          <w:tcPr>
            <w:tcW w:w="5655" w:type="dxa"/>
            <w:tcBorders>
              <w:top w:val="single" w:color="auto" w:sz="4" w:space="0"/>
              <w:left w:val="single" w:color="auto" w:sz="4" w:space="0"/>
              <w:bottom w:val="single" w:color="auto" w:sz="4" w:space="0"/>
              <w:right w:val="single" w:color="auto" w:sz="4" w:space="0"/>
            </w:tcBorders>
            <w:vAlign w:val="center"/>
          </w:tcPr>
          <w:p w14:paraId="1B828B08">
            <w:pPr>
              <w:spacing w:line="360" w:lineRule="auto"/>
              <w:rPr>
                <w:rFonts w:hint="eastAsia" w:ascii="宋体" w:hAnsi="宋体" w:cs="Courier New"/>
                <w:bCs/>
                <w:szCs w:val="21"/>
              </w:rPr>
            </w:pPr>
            <w:r>
              <w:rPr>
                <w:rFonts w:hint="eastAsia" w:ascii="宋体" w:hAnsi="宋体" w:cs="Courier New"/>
                <w:bCs/>
                <w:szCs w:val="21"/>
              </w:rPr>
              <w:t>①投标人具有ISO9001质量管理体系认证、ISO20000信息技术服务管理体系认证、ISO27001信息安全管理体系认证、ISO27017云服务信息安全管理体系认证、ISO27701隐私信息管理体系认证，提供相关证明复印件并加盖单位印章，每个得1分，满分5分。</w:t>
            </w:r>
          </w:p>
          <w:p w14:paraId="7A1C7C3B">
            <w:pPr>
              <w:spacing w:line="360" w:lineRule="auto"/>
              <w:rPr>
                <w:rFonts w:hint="eastAsia" w:ascii="宋体" w:hAnsi="宋体" w:cs="Courier New"/>
                <w:bCs/>
                <w:szCs w:val="21"/>
              </w:rPr>
            </w:pPr>
            <w:r>
              <w:rPr>
                <w:rFonts w:hint="eastAsia" w:ascii="宋体" w:hAnsi="宋体" w:cs="Courier New"/>
                <w:bCs/>
                <w:szCs w:val="21"/>
              </w:rPr>
              <w:t>②供应商具备ITSS信息技术服务标准认证(运行维护服务)一级或二级证书得1分，三级或四级证书得0.5分，提供相关证明复印件并加盖单位印章，</w:t>
            </w:r>
            <w:r>
              <w:rPr>
                <w:rFonts w:hint="eastAsia" w:ascii="宋体" w:hAnsi="宋体" w:cs="Courier New"/>
                <w:bCs/>
                <w:szCs w:val="21"/>
                <w:lang w:val="en-US" w:eastAsia="zh-CN"/>
              </w:rPr>
              <w:t>满分</w:t>
            </w:r>
            <w:r>
              <w:rPr>
                <w:rFonts w:hint="eastAsia" w:ascii="宋体" w:hAnsi="宋体" w:cs="Courier New"/>
                <w:bCs/>
                <w:szCs w:val="21"/>
              </w:rPr>
              <w:t>1分，否则不得分。</w:t>
            </w:r>
          </w:p>
          <w:p w14:paraId="31D6EAD5">
            <w:pPr>
              <w:spacing w:line="360" w:lineRule="auto"/>
              <w:rPr>
                <w:rFonts w:hint="eastAsia" w:ascii="宋体" w:hAnsi="宋体" w:cs="Courier New"/>
                <w:bCs/>
                <w:szCs w:val="21"/>
              </w:rPr>
            </w:pPr>
            <w:r>
              <w:rPr>
                <w:rFonts w:hint="eastAsia" w:ascii="宋体" w:hAnsi="宋体" w:cs="Courier New"/>
                <w:bCs/>
                <w:szCs w:val="21"/>
              </w:rPr>
              <w:t>③供应商具备CCRC信息安全服务资质认证（信息系统安全运维）一级证书</w:t>
            </w:r>
            <w:r>
              <w:rPr>
                <w:rFonts w:hint="eastAsia"/>
              </w:rPr>
              <w:t>得1分，二级证书得0.5分，三级证书得0.2分</w:t>
            </w:r>
            <w:r>
              <w:rPr>
                <w:rFonts w:hint="eastAsia" w:ascii="宋体" w:hAnsi="宋体" w:cs="Courier New"/>
                <w:bCs/>
                <w:szCs w:val="21"/>
              </w:rPr>
              <w:t>，提供相关证明复印件并加盖单位印章，</w:t>
            </w:r>
            <w:r>
              <w:rPr>
                <w:rFonts w:hint="eastAsia" w:ascii="宋体" w:hAnsi="宋体" w:cs="Courier New"/>
                <w:bCs/>
                <w:szCs w:val="21"/>
                <w:lang w:val="en-US" w:eastAsia="zh-CN"/>
              </w:rPr>
              <w:t>满分</w:t>
            </w:r>
            <w:r>
              <w:rPr>
                <w:rFonts w:hint="eastAsia" w:ascii="宋体" w:hAnsi="宋体" w:cs="Courier New"/>
                <w:bCs/>
                <w:szCs w:val="21"/>
              </w:rPr>
              <w:t>1分，否则不得分。</w:t>
            </w:r>
          </w:p>
          <w:p w14:paraId="1CFBA98C">
            <w:pPr>
              <w:spacing w:line="360" w:lineRule="auto"/>
              <w:rPr>
                <w:rFonts w:hint="eastAsia" w:ascii="宋体" w:hAnsi="宋体" w:cs="Courier New"/>
                <w:bCs/>
                <w:szCs w:val="21"/>
              </w:rPr>
            </w:pPr>
            <w:r>
              <w:rPr>
                <w:rFonts w:hint="eastAsia" w:ascii="宋体" w:hAnsi="宋体" w:cs="Courier New"/>
                <w:bCs/>
                <w:szCs w:val="21"/>
              </w:rPr>
              <w:t>（以上所需认证证书，均需提供证明材料复印件并加盖公章，否则不得分）</w:t>
            </w:r>
          </w:p>
          <w:p w14:paraId="7DA4343A">
            <w:pPr>
              <w:spacing w:line="360" w:lineRule="auto"/>
              <w:rPr>
                <w:rFonts w:hint="eastAsia" w:ascii="宋体" w:hAnsi="宋体" w:cs="Courier New"/>
                <w:bCs/>
                <w:szCs w:val="21"/>
              </w:rPr>
            </w:pPr>
          </w:p>
        </w:tc>
      </w:tr>
      <w:tr w14:paraId="6B73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525" w:type="dxa"/>
            <w:tcBorders>
              <w:left w:val="single" w:color="auto" w:sz="4" w:space="0"/>
              <w:right w:val="single" w:color="auto" w:sz="4" w:space="0"/>
            </w:tcBorders>
            <w:vAlign w:val="center"/>
          </w:tcPr>
          <w:p w14:paraId="53D7CF79">
            <w:pPr>
              <w:adjustRightInd w:val="0"/>
              <w:spacing w:line="360" w:lineRule="exact"/>
              <w:jc w:val="center"/>
              <w:textAlignment w:val="baseline"/>
              <w:rPr>
                <w:rFonts w:hint="eastAsia" w:ascii="宋体" w:hAnsi="宋体"/>
                <w:b/>
                <w:szCs w:val="21"/>
              </w:rPr>
            </w:pPr>
          </w:p>
        </w:tc>
        <w:tc>
          <w:tcPr>
            <w:tcW w:w="1517" w:type="dxa"/>
            <w:tcBorders>
              <w:left w:val="single" w:color="auto" w:sz="4" w:space="0"/>
              <w:right w:val="single" w:color="auto" w:sz="4" w:space="0"/>
            </w:tcBorders>
            <w:vAlign w:val="center"/>
          </w:tcPr>
          <w:p w14:paraId="193F352B">
            <w:pPr>
              <w:spacing w:line="360" w:lineRule="exact"/>
              <w:jc w:val="center"/>
              <w:rPr>
                <w:rFonts w:hint="eastAsia" w:ascii="宋体" w:hAnsi="宋体"/>
                <w:b/>
                <w:bCs/>
                <w:szCs w:val="21"/>
              </w:rPr>
            </w:pPr>
          </w:p>
        </w:tc>
        <w:tc>
          <w:tcPr>
            <w:tcW w:w="1772" w:type="dxa"/>
            <w:tcBorders>
              <w:top w:val="single" w:color="auto" w:sz="4" w:space="0"/>
              <w:left w:val="single" w:color="auto" w:sz="4" w:space="0"/>
              <w:right w:val="single" w:color="auto" w:sz="4" w:space="0"/>
            </w:tcBorders>
            <w:vAlign w:val="center"/>
          </w:tcPr>
          <w:p w14:paraId="28E76ECA">
            <w:pPr>
              <w:adjustRightInd w:val="0"/>
              <w:spacing w:line="360" w:lineRule="exact"/>
              <w:jc w:val="center"/>
              <w:textAlignment w:val="baseline"/>
              <w:rPr>
                <w:rFonts w:hint="eastAsia" w:ascii="宋体" w:hAnsi="宋体"/>
                <w:szCs w:val="21"/>
              </w:rPr>
            </w:pPr>
            <w:r>
              <w:rPr>
                <w:rFonts w:hint="eastAsia" w:ascii="宋体" w:hAnsi="宋体"/>
                <w:szCs w:val="21"/>
              </w:rPr>
              <w:t>（3）业绩案例（满分5分）</w:t>
            </w:r>
          </w:p>
        </w:tc>
        <w:tc>
          <w:tcPr>
            <w:tcW w:w="5655" w:type="dxa"/>
            <w:tcBorders>
              <w:top w:val="single" w:color="auto" w:sz="4" w:space="0"/>
              <w:left w:val="single" w:color="auto" w:sz="4" w:space="0"/>
              <w:bottom w:val="single" w:color="auto" w:sz="4" w:space="0"/>
              <w:right w:val="single" w:color="auto" w:sz="4" w:space="0"/>
            </w:tcBorders>
            <w:vAlign w:val="center"/>
          </w:tcPr>
          <w:p w14:paraId="51920FC0">
            <w:pPr>
              <w:spacing w:line="360" w:lineRule="auto"/>
              <w:rPr>
                <w:rFonts w:hint="eastAsia" w:ascii="宋体" w:hAnsi="宋体" w:cs="Courier New"/>
                <w:bCs/>
                <w:szCs w:val="21"/>
              </w:rPr>
            </w:pPr>
            <w:r>
              <w:rPr>
                <w:rFonts w:hint="eastAsia" w:ascii="宋体" w:hAnsi="宋体" w:cs="Courier New"/>
                <w:bCs/>
                <w:szCs w:val="21"/>
              </w:rPr>
              <w:t>供应商自2023年1月1日以来类似项目业绩证明每提供一项得1分，满分5分（提供合同复印件并加盖投标人公章，时间以合同签订时间为准，否则不得分）</w:t>
            </w:r>
          </w:p>
        </w:tc>
      </w:tr>
      <w:tr w14:paraId="47D44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469" w:type="dxa"/>
            <w:gridSpan w:val="4"/>
            <w:tcBorders>
              <w:left w:val="single" w:color="auto" w:sz="4" w:space="0"/>
              <w:right w:val="single" w:color="auto" w:sz="4" w:space="0"/>
            </w:tcBorders>
            <w:vAlign w:val="center"/>
          </w:tcPr>
          <w:p w14:paraId="3BA5199C">
            <w:pPr>
              <w:spacing w:line="360" w:lineRule="exact"/>
            </w:pPr>
            <w:r>
              <w:rPr>
                <w:rFonts w:hint="eastAsia"/>
              </w:rPr>
              <w:t>总得分=1+2+3</w:t>
            </w:r>
          </w:p>
        </w:tc>
      </w:tr>
    </w:tbl>
    <w:p w14:paraId="36E4274C"/>
    <w:p w14:paraId="69C4629A"/>
    <w:p w14:paraId="2E079F8A"/>
    <w:p w14:paraId="758032B1"/>
    <w:p w14:paraId="5225AE08"/>
    <w:p w14:paraId="0A923AF5">
      <w:pPr>
        <w:pStyle w:val="35"/>
      </w:pPr>
    </w:p>
    <w:p w14:paraId="26EC7883">
      <w:pPr>
        <w:pStyle w:val="35"/>
      </w:pPr>
    </w:p>
    <w:p w14:paraId="58D7F335">
      <w:pPr>
        <w:pStyle w:val="35"/>
      </w:pPr>
    </w:p>
    <w:p w14:paraId="6F9A2C3E">
      <w:pPr>
        <w:pStyle w:val="6"/>
        <w:keepNext w:val="0"/>
        <w:keepLines w:val="0"/>
        <w:ind w:firstLine="602"/>
        <w:jc w:val="center"/>
        <w:rPr>
          <w:sz w:val="30"/>
          <w:szCs w:val="30"/>
        </w:rPr>
      </w:pPr>
      <w:r>
        <w:rPr>
          <w:rFonts w:hint="eastAsia"/>
          <w:sz w:val="30"/>
          <w:szCs w:val="30"/>
        </w:rPr>
        <w:t>四、中标候选人推荐原则</w:t>
      </w:r>
    </w:p>
    <w:p w14:paraId="08A02742">
      <w:pPr>
        <w:pStyle w:val="18"/>
        <w:spacing w:line="360" w:lineRule="auto"/>
        <w:contextualSpacing/>
        <w:rPr>
          <w:rFonts w:hint="eastAsia" w:hAnsi="宋体"/>
          <w:b/>
          <w:bCs/>
          <w:sz w:val="24"/>
          <w:szCs w:val="24"/>
        </w:rPr>
      </w:pPr>
      <w:r>
        <w:rPr>
          <w:rFonts w:hint="eastAsia" w:hAnsi="宋体"/>
          <w:b/>
          <w:bCs/>
          <w:sz w:val="24"/>
          <w:szCs w:val="24"/>
        </w:rPr>
        <w:t>（一）综合评分法</w:t>
      </w:r>
    </w:p>
    <w:p w14:paraId="030ED5A3">
      <w:pPr>
        <w:pStyle w:val="18"/>
        <w:spacing w:line="360" w:lineRule="auto"/>
        <w:ind w:firstLine="420" w:firstLineChars="200"/>
        <w:contextualSpacing/>
        <w:rPr>
          <w:rFonts w:hint="eastAsia" w:hAnsi="宋体"/>
        </w:rPr>
      </w:pPr>
      <w:r>
        <w:rPr>
          <w:rFonts w:hint="eastAsia" w:hAnsi="宋体"/>
        </w:rPr>
        <w:t>1</w:t>
      </w:r>
      <w:r>
        <w:rPr>
          <w:rFonts w:hAnsi="宋体"/>
        </w:rPr>
        <w:t>.</w:t>
      </w:r>
      <w:r>
        <w:rPr>
          <w:rFonts w:hint="eastAsia" w:hAnsi="宋体"/>
        </w:rPr>
        <w:t>评标委员会根据原始评标记录和评标结果编写评标报告，并通过电子交易平台向采购人、采购代理机构提交。</w:t>
      </w:r>
    </w:p>
    <w:p w14:paraId="6B268CB4">
      <w:pPr>
        <w:pStyle w:val="18"/>
        <w:spacing w:line="360" w:lineRule="auto"/>
        <w:ind w:firstLine="420" w:firstLineChars="200"/>
        <w:contextualSpacing/>
        <w:rPr>
          <w:rFonts w:hint="eastAsia" w:hAnsi="宋体"/>
        </w:rPr>
      </w:pPr>
      <w:r>
        <w:rPr>
          <w:rFonts w:hint="eastAsia" w:hAnsi="宋体"/>
        </w:rPr>
        <w:t>2</w:t>
      </w:r>
      <w:r>
        <w:rPr>
          <w:rFonts w:hAnsi="宋体"/>
        </w:rPr>
        <w:t>.</w:t>
      </w:r>
      <w:r>
        <w:rPr>
          <w:rFonts w:hint="eastAsia" w:hAnsi="宋体"/>
        </w:rPr>
        <w:t>评标委员会将根据总得分由高到低排列次序并推荐中标候选人。得分相同的，以投标报价由低到高顺序排列。得分相同且投标报价相同的并列，投标文件满足采购文件全部实质性要求，且按照评审因素的量化指标评审得分最高的投标人为排名第一的中标候选人。</w:t>
      </w:r>
    </w:p>
    <w:p w14:paraId="40F0C1F7">
      <w:pPr>
        <w:spacing w:before="120" w:beforeLines="50" w:after="120" w:afterLines="50" w:line="400" w:lineRule="exact"/>
        <w:rPr>
          <w:rFonts w:hint="eastAsia" w:ascii="宋体" w:hAnsi="宋体"/>
          <w:b/>
          <w:sz w:val="24"/>
        </w:rPr>
      </w:pPr>
      <w:r>
        <w:rPr>
          <w:rFonts w:hAnsi="宋体"/>
          <w:sz w:val="24"/>
        </w:rPr>
        <w:br w:type="page"/>
      </w:r>
    </w:p>
    <w:p w14:paraId="6F4DF2C6">
      <w:pPr>
        <w:pStyle w:val="4"/>
        <w:jc w:val="center"/>
      </w:pPr>
      <w:bookmarkStart w:id="139" w:name="_Toc187937697"/>
      <w:r>
        <w:rPr>
          <w:rFonts w:hint="eastAsia"/>
        </w:rPr>
        <w:t>第五章  拟签订的合同文本</w:t>
      </w:r>
      <w:bookmarkEnd w:id="139"/>
    </w:p>
    <w:p w14:paraId="1C67922A">
      <w:pPr>
        <w:spacing w:line="360" w:lineRule="auto"/>
        <w:jc w:val="center"/>
        <w:rPr>
          <w:rFonts w:hint="eastAsia" w:ascii="仿宋" w:hAnsi="仿宋" w:eastAsia="仿宋" w:cs="仿宋"/>
          <w:b/>
          <w:bCs/>
          <w:sz w:val="24"/>
        </w:rPr>
      </w:pPr>
      <w:bookmarkStart w:id="140" w:name="_Toc23453"/>
      <w:bookmarkStart w:id="141" w:name="_Toc112162292"/>
      <w:bookmarkStart w:id="142" w:name="_Toc24876"/>
      <w:bookmarkStart w:id="143" w:name="_Toc70522891"/>
      <w:bookmarkStart w:id="144" w:name="_Toc30565"/>
      <w:bookmarkStart w:id="145" w:name="_Toc19174"/>
      <w:bookmarkStart w:id="146" w:name="_Toc100146600"/>
      <w:bookmarkStart w:id="147" w:name="_Toc68708931"/>
      <w:r>
        <w:rPr>
          <w:rFonts w:hint="eastAsia" w:ascii="仿宋" w:hAnsi="仿宋" w:eastAsia="仿宋" w:cs="仿宋"/>
          <w:b/>
          <w:bCs/>
          <w:sz w:val="24"/>
        </w:rPr>
        <w:t>（本合同仅为参考样本，具体内容以采购人与中标供应商签订的内容为准）</w:t>
      </w:r>
      <w:bookmarkEnd w:id="140"/>
      <w:bookmarkEnd w:id="141"/>
      <w:bookmarkEnd w:id="142"/>
      <w:bookmarkEnd w:id="143"/>
      <w:bookmarkEnd w:id="144"/>
      <w:bookmarkEnd w:id="145"/>
      <w:bookmarkEnd w:id="146"/>
      <w:bookmarkEnd w:id="147"/>
    </w:p>
    <w:p w14:paraId="4C5F0F07"/>
    <w:p w14:paraId="75D05B1A">
      <w:pPr>
        <w:snapToGrid w:val="0"/>
        <w:jc w:val="center"/>
        <w:rPr>
          <w:rFonts w:hint="eastAsia" w:ascii="宋体" w:hAnsi="宋体"/>
          <w:bCs/>
          <w:sz w:val="32"/>
          <w:szCs w:val="32"/>
        </w:rPr>
      </w:pPr>
    </w:p>
    <w:p w14:paraId="5543F34C">
      <w:pPr>
        <w:snapToGrid w:val="0"/>
        <w:jc w:val="center"/>
        <w:rPr>
          <w:rFonts w:hint="eastAsia" w:ascii="宋体" w:hAnsi="宋体"/>
          <w:bCs/>
          <w:sz w:val="32"/>
          <w:szCs w:val="32"/>
        </w:rPr>
      </w:pPr>
    </w:p>
    <w:p w14:paraId="2AD99862">
      <w:pPr>
        <w:snapToGrid w:val="0"/>
        <w:jc w:val="center"/>
        <w:rPr>
          <w:rFonts w:hint="eastAsia" w:ascii="宋体" w:hAnsi="宋体"/>
          <w:bCs/>
          <w:sz w:val="32"/>
          <w:szCs w:val="32"/>
        </w:rPr>
      </w:pPr>
    </w:p>
    <w:p w14:paraId="78B79F0C">
      <w:pPr>
        <w:snapToGrid w:val="0"/>
        <w:jc w:val="center"/>
        <w:rPr>
          <w:rFonts w:hint="eastAsia" w:ascii="宋体" w:hAnsi="宋体"/>
          <w:bCs/>
          <w:sz w:val="32"/>
          <w:szCs w:val="32"/>
        </w:rPr>
      </w:pPr>
    </w:p>
    <w:p w14:paraId="375D7916">
      <w:pPr>
        <w:snapToGrid w:val="0"/>
        <w:jc w:val="center"/>
        <w:rPr>
          <w:rFonts w:hint="eastAsia" w:ascii="宋体" w:hAnsi="宋体"/>
          <w:bCs/>
          <w:sz w:val="32"/>
          <w:szCs w:val="32"/>
        </w:rPr>
      </w:pPr>
    </w:p>
    <w:p w14:paraId="17FAFFDC">
      <w:pPr>
        <w:snapToGrid w:val="0"/>
        <w:jc w:val="center"/>
        <w:rPr>
          <w:rFonts w:hint="eastAsia" w:ascii="宋体" w:hAnsi="宋体"/>
          <w:bCs/>
          <w:sz w:val="32"/>
          <w:szCs w:val="32"/>
        </w:rPr>
      </w:pPr>
    </w:p>
    <w:p w14:paraId="13365D9C">
      <w:pPr>
        <w:snapToGrid w:val="0"/>
        <w:jc w:val="center"/>
        <w:rPr>
          <w:rFonts w:hint="eastAsia" w:ascii="宋体" w:hAnsi="宋体"/>
          <w:bCs/>
          <w:sz w:val="32"/>
          <w:szCs w:val="32"/>
        </w:rPr>
      </w:pPr>
    </w:p>
    <w:p w14:paraId="27B1F67A">
      <w:pPr>
        <w:snapToGrid w:val="0"/>
        <w:jc w:val="center"/>
        <w:rPr>
          <w:rFonts w:hint="eastAsia" w:ascii="宋体" w:hAnsi="宋体"/>
          <w:bCs/>
          <w:sz w:val="32"/>
          <w:szCs w:val="32"/>
        </w:rPr>
        <w:sectPr>
          <w:footerReference r:id="rId9" w:type="first"/>
          <w:headerReference r:id="rId6" w:type="default"/>
          <w:footerReference r:id="rId7" w:type="default"/>
          <w:footerReference r:id="rId8" w:type="even"/>
          <w:pgSz w:w="11906" w:h="16838"/>
          <w:pgMar w:top="1701" w:right="1701" w:bottom="1701" w:left="1701" w:header="851" w:footer="992" w:gutter="0"/>
          <w:pgNumType w:fmt="decimal"/>
          <w:cols w:space="720" w:num="1"/>
          <w:titlePg/>
          <w:docGrid w:linePitch="312" w:charSpace="0"/>
        </w:sectPr>
      </w:pPr>
    </w:p>
    <w:p w14:paraId="714960C3">
      <w:pPr>
        <w:jc w:val="center"/>
        <w:rPr>
          <w:rFonts w:hint="eastAsia" w:ascii="黑体" w:hAnsi="黑体" w:eastAsia="黑体"/>
          <w:sz w:val="32"/>
          <w:szCs w:val="32"/>
        </w:rPr>
      </w:pPr>
      <w:r>
        <w:rPr>
          <w:rFonts w:hint="eastAsia"/>
          <w:b/>
          <w:bCs/>
          <w:kern w:val="44"/>
          <w:sz w:val="44"/>
          <w:szCs w:val="44"/>
        </w:rPr>
        <w:t>合同文本</w:t>
      </w:r>
    </w:p>
    <w:p w14:paraId="27120CC1">
      <w:pPr>
        <w:spacing w:line="520" w:lineRule="exact"/>
        <w:rPr>
          <w:rFonts w:hint="eastAsia" w:ascii="宋体" w:hAnsi="宋体" w:cs="Courier New"/>
          <w:b/>
          <w:color w:val="000000"/>
          <w:sz w:val="32"/>
          <w:szCs w:val="32"/>
        </w:rPr>
      </w:pPr>
    </w:p>
    <w:p w14:paraId="7A8021F3">
      <w:pPr>
        <w:snapToGrid w:val="0"/>
        <w:spacing w:line="360" w:lineRule="auto"/>
        <w:ind w:firstLine="480" w:firstLineChars="200"/>
        <w:rPr>
          <w:rFonts w:hint="eastAsia" w:hAnsi="宋体" w:eastAsia="宋体" w:cs="宋体"/>
          <w:sz w:val="24"/>
          <w:u w:val="single"/>
          <w:lang w:eastAsia="zh-CN"/>
        </w:rPr>
      </w:pPr>
      <w:r>
        <w:rPr>
          <w:rFonts w:hint="eastAsia" w:hAnsi="宋体" w:cs="宋体"/>
          <w:sz w:val="24"/>
        </w:rPr>
        <w:t>项目名称：</w:t>
      </w:r>
      <w:r>
        <w:rPr>
          <w:rFonts w:hint="eastAsia" w:hAnsi="宋体" w:cs="宋体"/>
          <w:sz w:val="24"/>
          <w:u w:val="single"/>
          <w:lang w:eastAsia="zh-CN"/>
        </w:rPr>
        <w:t>2026年云平台基础设施运维服务项目（核心区云平台设备运维、软件运维、数字证书系统运维）</w:t>
      </w:r>
    </w:p>
    <w:p w14:paraId="20A35F51">
      <w:pPr>
        <w:snapToGrid w:val="0"/>
        <w:spacing w:line="360" w:lineRule="auto"/>
        <w:ind w:firstLine="480" w:firstLineChars="200"/>
        <w:rPr>
          <w:rFonts w:hint="eastAsia" w:hAnsi="宋体" w:cs="宋体"/>
          <w:sz w:val="24"/>
        </w:rPr>
      </w:pPr>
      <w:r>
        <w:rPr>
          <w:rFonts w:hint="eastAsia" w:hAnsi="宋体" w:cs="宋体"/>
          <w:sz w:val="24"/>
        </w:rPr>
        <w:t>项目编号：</w:t>
      </w:r>
    </w:p>
    <w:p w14:paraId="368C599A">
      <w:pPr>
        <w:snapToGrid w:val="0"/>
        <w:spacing w:line="360" w:lineRule="auto"/>
        <w:ind w:firstLine="480" w:firstLineChars="200"/>
        <w:rPr>
          <w:rFonts w:hint="eastAsia" w:hAnsi="宋体" w:cs="宋体"/>
          <w:sz w:val="24"/>
        </w:rPr>
      </w:pPr>
      <w:r>
        <w:rPr>
          <w:rFonts w:hint="eastAsia" w:hAnsi="宋体" w:cs="宋体"/>
          <w:sz w:val="24"/>
        </w:rPr>
        <w:t>甲方：（买方）</w:t>
      </w:r>
      <w:r>
        <w:rPr>
          <w:rFonts w:hint="eastAsia" w:hAnsi="宋体" w:cs="宋体"/>
          <w:sz w:val="24"/>
          <w:u w:val="single"/>
        </w:rPr>
        <w:t>广西壮族自治区医疗保障局</w:t>
      </w:r>
    </w:p>
    <w:p w14:paraId="4156451B">
      <w:pPr>
        <w:snapToGrid w:val="0"/>
        <w:spacing w:line="360" w:lineRule="auto"/>
        <w:ind w:firstLine="480" w:firstLineChars="200"/>
        <w:rPr>
          <w:rFonts w:hint="eastAsia" w:hAnsi="宋体" w:cs="宋体"/>
          <w:sz w:val="24"/>
        </w:rPr>
      </w:pPr>
      <w:r>
        <w:rPr>
          <w:rFonts w:hint="eastAsia" w:hAnsi="宋体" w:cs="宋体"/>
          <w:sz w:val="24"/>
        </w:rPr>
        <w:t>乙方：（卖方）</w:t>
      </w:r>
      <w:r>
        <w:rPr>
          <w:rFonts w:hint="eastAsia" w:hAnsi="宋体" w:cs="宋体"/>
          <w:sz w:val="24"/>
          <w:u w:val="single"/>
        </w:rPr>
        <w:t xml:space="preserve">                        </w:t>
      </w:r>
    </w:p>
    <w:p w14:paraId="25A606AF">
      <w:pPr>
        <w:snapToGrid w:val="0"/>
        <w:spacing w:line="360" w:lineRule="auto"/>
        <w:ind w:firstLine="480" w:firstLineChars="200"/>
        <w:jc w:val="left"/>
        <w:rPr>
          <w:rFonts w:hint="eastAsia" w:hAnsi="宋体" w:cs="宋体"/>
          <w:sz w:val="24"/>
        </w:rPr>
      </w:pPr>
      <w:r>
        <w:rPr>
          <w:rFonts w:hint="eastAsia" w:hAnsi="宋体" w:cs="宋体"/>
          <w:sz w:val="24"/>
        </w:rPr>
        <w:t>甲、乙双方根据广西壮族自治区医疗保障局组织的项目采购的结果，签署本合同。</w:t>
      </w:r>
    </w:p>
    <w:p w14:paraId="6D5B344C">
      <w:pPr>
        <w:snapToGrid w:val="0"/>
        <w:spacing w:line="360" w:lineRule="auto"/>
        <w:ind w:firstLine="482" w:firstLineChars="200"/>
        <w:rPr>
          <w:rFonts w:hint="eastAsia" w:hAnsi="宋体" w:cs="宋体"/>
          <w:b/>
          <w:sz w:val="24"/>
        </w:rPr>
      </w:pPr>
      <w:r>
        <w:rPr>
          <w:rFonts w:hint="eastAsia" w:hAnsi="宋体" w:cs="宋体"/>
          <w:b/>
          <w:sz w:val="24"/>
        </w:rPr>
        <w:t>一、购买服务内容</w:t>
      </w:r>
    </w:p>
    <w:p w14:paraId="5EF247CF">
      <w:pPr>
        <w:snapToGrid w:val="0"/>
        <w:spacing w:line="360" w:lineRule="auto"/>
        <w:ind w:firstLine="480" w:firstLineChars="200"/>
        <w:rPr>
          <w:rFonts w:hint="eastAsia" w:hAnsi="宋体" w:cs="宋体"/>
          <w:sz w:val="24"/>
        </w:rPr>
      </w:pPr>
      <w:r>
        <w:rPr>
          <w:rFonts w:hint="eastAsia" w:hAnsi="宋体" w:cs="宋体"/>
          <w:sz w:val="24"/>
        </w:rPr>
        <w:t>服务期内，乙方派驻</w:t>
      </w:r>
      <w:r>
        <w:rPr>
          <w:rFonts w:hint="eastAsia" w:hAnsi="宋体" w:cs="宋体"/>
          <w:sz w:val="24"/>
          <w:u w:val="single"/>
        </w:rPr>
        <w:t xml:space="preserve">   </w:t>
      </w:r>
      <w:r>
        <w:rPr>
          <w:rFonts w:hint="eastAsia" w:hAnsi="宋体" w:cs="宋体"/>
          <w:sz w:val="24"/>
        </w:rPr>
        <w:t>名专职运维人员，全程为本项目提供现场运维服务，服务内容具体如下：</w:t>
      </w:r>
    </w:p>
    <w:p w14:paraId="0FB9C850">
      <w:pPr>
        <w:snapToGrid w:val="0"/>
        <w:spacing w:line="360" w:lineRule="auto"/>
        <w:ind w:firstLine="480" w:firstLineChars="200"/>
        <w:rPr>
          <w:rFonts w:hint="eastAsia" w:hAnsi="宋体" w:cs="宋体"/>
          <w:sz w:val="24"/>
        </w:rPr>
      </w:pPr>
      <w:r>
        <w:rPr>
          <w:rFonts w:hint="eastAsia" w:hAnsi="宋体" w:cs="宋体"/>
          <w:sz w:val="24"/>
        </w:rPr>
        <w:t>（一）</w:t>
      </w:r>
      <w:r>
        <w:rPr>
          <w:rFonts w:hint="eastAsia" w:hAnsi="宋体" w:cs="宋体"/>
          <w:sz w:val="24"/>
          <w:u w:val="single"/>
        </w:rPr>
        <w:t>日常检查维护、安全监控服务、安全通告服务、安全风险评估、安全配置与加固、配合等保测评等运维服务（具体服务内容和要求按照采购需求所列内容）。</w:t>
      </w:r>
    </w:p>
    <w:p w14:paraId="65465F0E">
      <w:pPr>
        <w:snapToGrid w:val="0"/>
        <w:spacing w:line="360" w:lineRule="auto"/>
        <w:ind w:firstLine="480" w:firstLineChars="200"/>
        <w:rPr>
          <w:rFonts w:hint="eastAsia" w:hAnsi="宋体" w:cs="宋体"/>
          <w:sz w:val="24"/>
        </w:rPr>
      </w:pPr>
      <w:r>
        <w:rPr>
          <w:rFonts w:hint="eastAsia" w:hAnsi="宋体" w:cs="宋体"/>
          <w:sz w:val="24"/>
        </w:rPr>
        <w:t>（二）</w:t>
      </w:r>
      <w:r>
        <w:rPr>
          <w:rFonts w:hint="eastAsia" w:hAnsi="宋体" w:cs="宋体"/>
          <w:sz w:val="24"/>
          <w:u w:val="single"/>
        </w:rPr>
        <w:t>严格执行国家医保局和广西壮族自治区医保局印发的关于医保信息平台运维相关规范和指导文件，在不同时间周期（每月、每季度、每半年、每年）出具交付成果，制定成果文件质量保障措施，确保交付物符合实际需要，文字严谨，数据真实可靠，内容详实，工作成果物包含但不限于以下文件：</w:t>
      </w:r>
    </w:p>
    <w:tbl>
      <w:tblPr>
        <w:tblStyle w:val="36"/>
        <w:tblW w:w="511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726"/>
        <w:gridCol w:w="1330"/>
        <w:gridCol w:w="2264"/>
        <w:gridCol w:w="1011"/>
        <w:gridCol w:w="2906"/>
      </w:tblGrid>
      <w:tr w14:paraId="3F5BC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blHeader/>
        </w:trPr>
        <w:tc>
          <w:tcPr>
            <w:tcW w:w="379" w:type="pct"/>
            <w:noWrap/>
            <w:vAlign w:val="center"/>
          </w:tcPr>
          <w:p w14:paraId="57B98C8D">
            <w:pPr>
              <w:widowControl/>
              <w:jc w:val="center"/>
              <w:textAlignment w:val="center"/>
              <w:rPr>
                <w:rFonts w:hint="eastAsia" w:hAnsi="宋体" w:cs="宋体"/>
                <w:b/>
                <w:bCs/>
                <w:color w:val="000000"/>
                <w:sz w:val="24"/>
              </w:rPr>
            </w:pPr>
            <w:r>
              <w:rPr>
                <w:rFonts w:hint="eastAsia" w:hAnsi="宋体" w:cs="宋体"/>
                <w:b/>
                <w:bCs/>
                <w:color w:val="000000"/>
                <w:sz w:val="24"/>
                <w:lang w:bidi="ar"/>
              </w:rPr>
              <w:t>序号</w:t>
            </w:r>
          </w:p>
        </w:tc>
        <w:tc>
          <w:tcPr>
            <w:tcW w:w="407" w:type="pct"/>
            <w:noWrap/>
            <w:vAlign w:val="center"/>
          </w:tcPr>
          <w:p w14:paraId="0451EFB8">
            <w:pPr>
              <w:widowControl/>
              <w:jc w:val="center"/>
              <w:textAlignment w:val="center"/>
              <w:rPr>
                <w:rFonts w:hint="eastAsia" w:hAnsi="宋体" w:cs="宋体"/>
                <w:b/>
                <w:bCs/>
                <w:color w:val="000000"/>
                <w:sz w:val="24"/>
              </w:rPr>
            </w:pPr>
            <w:r>
              <w:rPr>
                <w:rFonts w:hint="eastAsia" w:hAnsi="宋体" w:cs="宋体"/>
                <w:b/>
                <w:bCs/>
                <w:color w:val="000000"/>
                <w:sz w:val="24"/>
                <w:lang w:bidi="ar"/>
              </w:rPr>
              <w:t>类别</w:t>
            </w:r>
          </w:p>
        </w:tc>
        <w:tc>
          <w:tcPr>
            <w:tcW w:w="746" w:type="pct"/>
            <w:noWrap/>
            <w:vAlign w:val="center"/>
          </w:tcPr>
          <w:p w14:paraId="566607EF">
            <w:pPr>
              <w:widowControl/>
              <w:jc w:val="center"/>
              <w:textAlignment w:val="center"/>
              <w:rPr>
                <w:rFonts w:hint="eastAsia" w:hAnsi="宋体" w:cs="宋体"/>
                <w:b/>
                <w:bCs/>
                <w:color w:val="000000"/>
                <w:sz w:val="24"/>
              </w:rPr>
            </w:pPr>
            <w:r>
              <w:rPr>
                <w:rFonts w:hint="eastAsia" w:hAnsi="宋体" w:cs="宋体"/>
                <w:b/>
                <w:bCs/>
                <w:color w:val="000000"/>
                <w:sz w:val="24"/>
                <w:lang w:bidi="ar"/>
              </w:rPr>
              <w:t>服务分类</w:t>
            </w:r>
          </w:p>
        </w:tc>
        <w:tc>
          <w:tcPr>
            <w:tcW w:w="1270" w:type="pct"/>
            <w:noWrap/>
            <w:vAlign w:val="center"/>
          </w:tcPr>
          <w:p w14:paraId="234B4E77">
            <w:pPr>
              <w:widowControl/>
              <w:jc w:val="center"/>
              <w:textAlignment w:val="center"/>
              <w:rPr>
                <w:rFonts w:hint="eastAsia" w:hAnsi="宋体" w:cs="宋体"/>
                <w:b/>
                <w:bCs/>
                <w:color w:val="000000"/>
                <w:sz w:val="24"/>
              </w:rPr>
            </w:pPr>
            <w:r>
              <w:rPr>
                <w:rFonts w:hint="eastAsia" w:hAnsi="宋体" w:cs="宋体"/>
                <w:b/>
                <w:bCs/>
                <w:color w:val="000000"/>
                <w:sz w:val="24"/>
                <w:lang w:bidi="ar"/>
              </w:rPr>
              <w:t>服务内容</w:t>
            </w:r>
          </w:p>
        </w:tc>
        <w:tc>
          <w:tcPr>
            <w:tcW w:w="567" w:type="pct"/>
            <w:noWrap/>
            <w:vAlign w:val="center"/>
          </w:tcPr>
          <w:p w14:paraId="1B0E01A0">
            <w:pPr>
              <w:widowControl/>
              <w:jc w:val="center"/>
              <w:textAlignment w:val="center"/>
              <w:rPr>
                <w:rFonts w:hint="eastAsia" w:hAnsi="宋体" w:cs="宋体"/>
                <w:b/>
                <w:bCs/>
                <w:color w:val="000000"/>
                <w:sz w:val="24"/>
              </w:rPr>
            </w:pPr>
            <w:r>
              <w:rPr>
                <w:rFonts w:hint="eastAsia" w:hAnsi="宋体" w:cs="宋体"/>
                <w:b/>
                <w:bCs/>
                <w:color w:val="000000"/>
                <w:sz w:val="24"/>
                <w:lang w:bidi="ar"/>
              </w:rPr>
              <w:t>频次</w:t>
            </w:r>
          </w:p>
        </w:tc>
        <w:tc>
          <w:tcPr>
            <w:tcW w:w="1630" w:type="pct"/>
            <w:noWrap/>
            <w:vAlign w:val="center"/>
          </w:tcPr>
          <w:p w14:paraId="03611B2A">
            <w:pPr>
              <w:widowControl/>
              <w:jc w:val="center"/>
              <w:textAlignment w:val="center"/>
              <w:rPr>
                <w:rFonts w:hint="eastAsia" w:hAnsi="宋体" w:cs="宋体"/>
                <w:b/>
                <w:bCs/>
                <w:color w:val="000000"/>
                <w:sz w:val="24"/>
              </w:rPr>
            </w:pPr>
            <w:r>
              <w:rPr>
                <w:rFonts w:hint="eastAsia" w:hAnsi="宋体" w:cs="宋体"/>
                <w:b/>
                <w:bCs/>
                <w:color w:val="000000"/>
                <w:sz w:val="24"/>
                <w:lang w:bidi="ar"/>
              </w:rPr>
              <w:t>工作交付物</w:t>
            </w:r>
          </w:p>
        </w:tc>
      </w:tr>
      <w:tr w14:paraId="4CC0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79" w:type="pct"/>
            <w:vAlign w:val="center"/>
          </w:tcPr>
          <w:p w14:paraId="3F88FBA0">
            <w:pPr>
              <w:widowControl/>
              <w:jc w:val="center"/>
              <w:textAlignment w:val="center"/>
              <w:rPr>
                <w:rFonts w:hint="eastAsia" w:hAnsi="宋体" w:cs="宋体"/>
                <w:color w:val="000000"/>
                <w:sz w:val="24"/>
              </w:rPr>
            </w:pPr>
            <w:r>
              <w:rPr>
                <w:rFonts w:hint="eastAsia" w:hAnsi="宋体" w:cs="宋体"/>
                <w:color w:val="000000"/>
                <w:sz w:val="24"/>
                <w:lang w:bidi="ar"/>
              </w:rPr>
              <w:t>1</w:t>
            </w:r>
          </w:p>
        </w:tc>
        <w:tc>
          <w:tcPr>
            <w:tcW w:w="407" w:type="pct"/>
            <w:vMerge w:val="restart"/>
            <w:vAlign w:val="center"/>
          </w:tcPr>
          <w:p w14:paraId="0529FD6C">
            <w:pPr>
              <w:widowControl/>
              <w:jc w:val="center"/>
              <w:textAlignment w:val="center"/>
              <w:rPr>
                <w:rFonts w:hint="eastAsia" w:hAnsi="宋体" w:cs="宋体"/>
                <w:color w:val="000000"/>
                <w:sz w:val="24"/>
              </w:rPr>
            </w:pPr>
            <w:r>
              <w:rPr>
                <w:rFonts w:hint="eastAsia" w:hAnsi="宋体" w:cs="宋体"/>
                <w:color w:val="000000"/>
                <w:sz w:val="24"/>
                <w:lang w:bidi="ar"/>
              </w:rPr>
              <w:t>服务成果</w:t>
            </w:r>
          </w:p>
        </w:tc>
        <w:tc>
          <w:tcPr>
            <w:tcW w:w="746" w:type="pct"/>
            <w:vAlign w:val="center"/>
          </w:tcPr>
          <w:p w14:paraId="36EBD8F9">
            <w:pPr>
              <w:widowControl/>
              <w:jc w:val="center"/>
              <w:textAlignment w:val="center"/>
              <w:rPr>
                <w:rFonts w:hint="eastAsia" w:hAnsi="宋体" w:cs="宋体"/>
                <w:color w:val="000000"/>
                <w:sz w:val="24"/>
                <w:lang w:bidi="ar"/>
              </w:rPr>
            </w:pPr>
            <w:r>
              <w:rPr>
                <w:rFonts w:hint="eastAsia" w:hAnsi="宋体" w:cs="宋体"/>
                <w:color w:val="000000"/>
                <w:sz w:val="24"/>
                <w:lang w:bidi="ar"/>
              </w:rPr>
              <w:t>组织管理</w:t>
            </w:r>
          </w:p>
        </w:tc>
        <w:tc>
          <w:tcPr>
            <w:tcW w:w="1270" w:type="pct"/>
            <w:vAlign w:val="center"/>
          </w:tcPr>
          <w:p w14:paraId="10EF9FE7">
            <w:pPr>
              <w:widowControl/>
              <w:jc w:val="center"/>
              <w:textAlignment w:val="center"/>
              <w:rPr>
                <w:rFonts w:hint="eastAsia" w:hAnsi="宋体" w:cs="宋体"/>
                <w:color w:val="000000"/>
                <w:sz w:val="24"/>
                <w:lang w:bidi="ar"/>
              </w:rPr>
            </w:pPr>
            <w:r>
              <w:rPr>
                <w:rFonts w:hint="eastAsia" w:hAnsi="宋体" w:cs="宋体"/>
                <w:color w:val="000000"/>
                <w:sz w:val="24"/>
                <w:lang w:bidi="ar"/>
              </w:rPr>
              <w:t>运维实施方案</w:t>
            </w:r>
          </w:p>
        </w:tc>
        <w:tc>
          <w:tcPr>
            <w:tcW w:w="567" w:type="pct"/>
            <w:vAlign w:val="center"/>
          </w:tcPr>
          <w:p w14:paraId="53D6136B">
            <w:pPr>
              <w:widowControl/>
              <w:jc w:val="center"/>
              <w:textAlignment w:val="center"/>
              <w:rPr>
                <w:rFonts w:hint="eastAsia" w:hAnsi="宋体" w:cs="宋体"/>
                <w:color w:val="000000"/>
                <w:sz w:val="24"/>
                <w:lang w:bidi="ar"/>
              </w:rPr>
            </w:pPr>
            <w:r>
              <w:rPr>
                <w:rFonts w:hint="eastAsia" w:hAnsi="宋体" w:cs="宋体"/>
                <w:color w:val="000000"/>
                <w:sz w:val="24"/>
                <w:lang w:bidi="ar"/>
              </w:rPr>
              <w:t>一次性</w:t>
            </w:r>
          </w:p>
        </w:tc>
        <w:tc>
          <w:tcPr>
            <w:tcW w:w="1630" w:type="pct"/>
            <w:vAlign w:val="center"/>
          </w:tcPr>
          <w:p w14:paraId="56B3DA0B">
            <w:pPr>
              <w:widowControl/>
              <w:jc w:val="center"/>
              <w:textAlignment w:val="center"/>
              <w:rPr>
                <w:rFonts w:hint="eastAsia" w:hAnsi="宋体" w:cs="宋体"/>
                <w:color w:val="000000"/>
                <w:sz w:val="24"/>
                <w:lang w:bidi="ar"/>
              </w:rPr>
            </w:pPr>
            <w:r>
              <w:rPr>
                <w:rFonts w:hint="eastAsia" w:hAnsi="宋体" w:cs="宋体"/>
                <w:color w:val="000000"/>
                <w:sz w:val="24"/>
                <w:lang w:bidi="ar"/>
              </w:rPr>
              <w:t>《安全系统运维实施方案》</w:t>
            </w:r>
          </w:p>
        </w:tc>
      </w:tr>
      <w:tr w14:paraId="10AFD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79" w:type="pct"/>
            <w:vAlign w:val="center"/>
          </w:tcPr>
          <w:p w14:paraId="19A976F1">
            <w:pPr>
              <w:widowControl/>
              <w:jc w:val="center"/>
              <w:textAlignment w:val="center"/>
              <w:rPr>
                <w:rFonts w:hint="eastAsia" w:hAnsi="宋体" w:cs="宋体"/>
                <w:color w:val="000000"/>
                <w:sz w:val="24"/>
                <w:lang w:bidi="ar"/>
              </w:rPr>
            </w:pPr>
            <w:r>
              <w:rPr>
                <w:rFonts w:hint="eastAsia" w:hAnsi="宋体" w:cs="宋体"/>
                <w:color w:val="000000"/>
                <w:sz w:val="24"/>
                <w:lang w:bidi="ar"/>
              </w:rPr>
              <w:t>2</w:t>
            </w:r>
          </w:p>
        </w:tc>
        <w:tc>
          <w:tcPr>
            <w:tcW w:w="407" w:type="pct"/>
            <w:vMerge w:val="continue"/>
            <w:vAlign w:val="center"/>
          </w:tcPr>
          <w:p w14:paraId="1544A85C">
            <w:pPr>
              <w:widowControl/>
              <w:jc w:val="center"/>
              <w:textAlignment w:val="center"/>
              <w:rPr>
                <w:rFonts w:hint="eastAsia" w:hAnsi="宋体" w:cs="宋体"/>
                <w:color w:val="000000"/>
                <w:sz w:val="24"/>
                <w:lang w:bidi="ar"/>
              </w:rPr>
            </w:pPr>
          </w:p>
        </w:tc>
        <w:tc>
          <w:tcPr>
            <w:tcW w:w="746" w:type="pct"/>
            <w:vAlign w:val="center"/>
          </w:tcPr>
          <w:p w14:paraId="05FB9CBB">
            <w:pPr>
              <w:widowControl/>
              <w:jc w:val="center"/>
              <w:textAlignment w:val="center"/>
              <w:rPr>
                <w:rFonts w:hint="eastAsia" w:hAnsi="宋体" w:cs="宋体"/>
                <w:color w:val="000000"/>
                <w:sz w:val="24"/>
                <w:lang w:bidi="ar"/>
              </w:rPr>
            </w:pPr>
            <w:r>
              <w:rPr>
                <w:rFonts w:hint="eastAsia" w:hAnsi="宋体" w:cs="宋体"/>
                <w:color w:val="000000"/>
                <w:sz w:val="24"/>
                <w:lang w:bidi="ar"/>
              </w:rPr>
              <w:t>组织管理</w:t>
            </w:r>
          </w:p>
        </w:tc>
        <w:tc>
          <w:tcPr>
            <w:tcW w:w="1270" w:type="pct"/>
            <w:vAlign w:val="center"/>
          </w:tcPr>
          <w:p w14:paraId="20B8541A">
            <w:pPr>
              <w:widowControl/>
              <w:jc w:val="center"/>
              <w:textAlignment w:val="center"/>
              <w:rPr>
                <w:rFonts w:hint="eastAsia" w:hAnsi="宋体" w:cs="宋体"/>
                <w:color w:val="000000"/>
                <w:sz w:val="24"/>
                <w:lang w:bidi="ar"/>
              </w:rPr>
            </w:pPr>
            <w:r>
              <w:rPr>
                <w:rFonts w:hint="eastAsia" w:hAnsi="宋体" w:cs="宋体"/>
                <w:color w:val="000000"/>
                <w:sz w:val="24"/>
                <w:lang w:bidi="ar"/>
              </w:rPr>
              <w:t>运维人员分工</w:t>
            </w:r>
          </w:p>
        </w:tc>
        <w:tc>
          <w:tcPr>
            <w:tcW w:w="567" w:type="pct"/>
            <w:vAlign w:val="center"/>
          </w:tcPr>
          <w:p w14:paraId="5A7F3CB0">
            <w:pPr>
              <w:widowControl/>
              <w:jc w:val="center"/>
              <w:textAlignment w:val="center"/>
              <w:rPr>
                <w:rFonts w:hint="eastAsia" w:hAnsi="宋体" w:cs="宋体"/>
                <w:color w:val="000000"/>
                <w:sz w:val="24"/>
                <w:lang w:bidi="ar"/>
              </w:rPr>
            </w:pPr>
            <w:r>
              <w:rPr>
                <w:rFonts w:hint="eastAsia" w:hAnsi="宋体" w:cs="宋体"/>
                <w:color w:val="000000"/>
                <w:sz w:val="24"/>
                <w:lang w:bidi="ar"/>
              </w:rPr>
              <w:t>一次性</w:t>
            </w:r>
          </w:p>
        </w:tc>
        <w:tc>
          <w:tcPr>
            <w:tcW w:w="1630" w:type="pct"/>
            <w:vAlign w:val="center"/>
          </w:tcPr>
          <w:p w14:paraId="5E482492">
            <w:pPr>
              <w:widowControl/>
              <w:jc w:val="center"/>
              <w:textAlignment w:val="center"/>
              <w:rPr>
                <w:rFonts w:hint="eastAsia" w:hAnsi="宋体" w:cs="宋体"/>
                <w:color w:val="000000"/>
                <w:sz w:val="24"/>
                <w:lang w:bidi="ar"/>
              </w:rPr>
            </w:pPr>
            <w:r>
              <w:rPr>
                <w:rFonts w:hint="eastAsia" w:hAnsi="宋体" w:cs="宋体"/>
                <w:color w:val="000000"/>
                <w:sz w:val="24"/>
                <w:lang w:bidi="ar"/>
              </w:rPr>
              <w:t>《运维团队职责分工表》</w:t>
            </w:r>
          </w:p>
        </w:tc>
      </w:tr>
      <w:tr w14:paraId="24D0A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79" w:type="pct"/>
            <w:vAlign w:val="center"/>
          </w:tcPr>
          <w:p w14:paraId="462A022F">
            <w:pPr>
              <w:widowControl/>
              <w:jc w:val="center"/>
              <w:textAlignment w:val="center"/>
              <w:rPr>
                <w:rFonts w:hint="eastAsia" w:hAnsi="宋体" w:cs="宋体"/>
                <w:color w:val="000000"/>
                <w:sz w:val="24"/>
              </w:rPr>
            </w:pPr>
            <w:r>
              <w:rPr>
                <w:rFonts w:hint="eastAsia" w:hAnsi="宋体" w:cs="宋体"/>
                <w:color w:val="000000"/>
                <w:sz w:val="24"/>
              </w:rPr>
              <w:t>3</w:t>
            </w:r>
          </w:p>
        </w:tc>
        <w:tc>
          <w:tcPr>
            <w:tcW w:w="407" w:type="pct"/>
            <w:vMerge w:val="continue"/>
            <w:vAlign w:val="center"/>
          </w:tcPr>
          <w:p w14:paraId="54A293D3">
            <w:pPr>
              <w:jc w:val="center"/>
              <w:rPr>
                <w:rFonts w:hint="eastAsia" w:hAnsi="宋体" w:cs="宋体"/>
                <w:color w:val="000000"/>
                <w:sz w:val="24"/>
              </w:rPr>
            </w:pPr>
          </w:p>
        </w:tc>
        <w:tc>
          <w:tcPr>
            <w:tcW w:w="746" w:type="pct"/>
            <w:vAlign w:val="center"/>
          </w:tcPr>
          <w:p w14:paraId="7C0DDBD1">
            <w:pPr>
              <w:widowControl/>
              <w:jc w:val="center"/>
              <w:textAlignment w:val="center"/>
              <w:rPr>
                <w:rFonts w:hint="eastAsia" w:hAnsi="宋体" w:cs="宋体"/>
                <w:color w:val="000000"/>
                <w:sz w:val="24"/>
              </w:rPr>
            </w:pPr>
            <w:r>
              <w:rPr>
                <w:rFonts w:hint="eastAsia" w:hAnsi="宋体" w:cs="宋体"/>
                <w:color w:val="000000"/>
                <w:sz w:val="24"/>
              </w:rPr>
              <w:t>运行测试</w:t>
            </w:r>
          </w:p>
        </w:tc>
        <w:tc>
          <w:tcPr>
            <w:tcW w:w="1270" w:type="pct"/>
            <w:vAlign w:val="center"/>
          </w:tcPr>
          <w:p w14:paraId="3AB6DCC8">
            <w:pPr>
              <w:widowControl/>
              <w:jc w:val="center"/>
              <w:textAlignment w:val="center"/>
              <w:rPr>
                <w:rFonts w:hint="eastAsia" w:hAnsi="宋体" w:cs="宋体"/>
                <w:color w:val="000000"/>
                <w:sz w:val="24"/>
              </w:rPr>
            </w:pPr>
            <w:r>
              <w:rPr>
                <w:rFonts w:hint="eastAsia" w:hAnsi="宋体" w:cs="宋体"/>
                <w:color w:val="000000"/>
                <w:sz w:val="24"/>
              </w:rPr>
              <w:t>安全系统运行分析</w:t>
            </w:r>
          </w:p>
        </w:tc>
        <w:tc>
          <w:tcPr>
            <w:tcW w:w="567" w:type="pct"/>
            <w:vAlign w:val="center"/>
          </w:tcPr>
          <w:p w14:paraId="1440C83D">
            <w:pPr>
              <w:widowControl/>
              <w:jc w:val="center"/>
              <w:textAlignment w:val="center"/>
              <w:rPr>
                <w:rFonts w:hint="eastAsia" w:hAnsi="宋体" w:cs="宋体"/>
                <w:color w:val="000000"/>
                <w:sz w:val="24"/>
              </w:rPr>
            </w:pPr>
            <w:r>
              <w:rPr>
                <w:rFonts w:hint="eastAsia" w:hAnsi="宋体" w:cs="宋体"/>
                <w:color w:val="000000"/>
                <w:sz w:val="24"/>
              </w:rPr>
              <w:t>每季度</w:t>
            </w:r>
          </w:p>
        </w:tc>
        <w:tc>
          <w:tcPr>
            <w:tcW w:w="1630" w:type="pct"/>
            <w:vAlign w:val="center"/>
          </w:tcPr>
          <w:p w14:paraId="144E8F00">
            <w:pPr>
              <w:widowControl/>
              <w:jc w:val="center"/>
              <w:textAlignment w:val="center"/>
              <w:rPr>
                <w:rFonts w:hint="eastAsia" w:hAnsi="宋体" w:cs="宋体"/>
                <w:color w:val="000000"/>
                <w:sz w:val="24"/>
                <w:lang w:bidi="ar"/>
              </w:rPr>
            </w:pPr>
            <w:r>
              <w:rPr>
                <w:rFonts w:hint="eastAsia" w:hAnsi="宋体" w:cs="宋体"/>
                <w:color w:val="000000"/>
                <w:sz w:val="24"/>
                <w:lang w:bidi="ar"/>
              </w:rPr>
              <w:t>《安全系统运行分析报告》</w:t>
            </w:r>
          </w:p>
        </w:tc>
      </w:tr>
      <w:tr w14:paraId="14CD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79" w:type="pct"/>
            <w:vAlign w:val="center"/>
          </w:tcPr>
          <w:p w14:paraId="73B1E670">
            <w:pPr>
              <w:widowControl/>
              <w:jc w:val="center"/>
              <w:textAlignment w:val="center"/>
              <w:rPr>
                <w:rFonts w:hint="eastAsia" w:hAnsi="宋体" w:cs="宋体"/>
                <w:color w:val="000000"/>
                <w:sz w:val="24"/>
              </w:rPr>
            </w:pPr>
            <w:r>
              <w:rPr>
                <w:rFonts w:hint="eastAsia" w:hAnsi="宋体" w:cs="宋体"/>
                <w:color w:val="000000"/>
                <w:sz w:val="24"/>
              </w:rPr>
              <w:t>4</w:t>
            </w:r>
          </w:p>
        </w:tc>
        <w:tc>
          <w:tcPr>
            <w:tcW w:w="407" w:type="pct"/>
            <w:vMerge w:val="continue"/>
            <w:vAlign w:val="center"/>
          </w:tcPr>
          <w:p w14:paraId="0AE24B5B">
            <w:pPr>
              <w:jc w:val="center"/>
              <w:rPr>
                <w:rFonts w:hint="eastAsia" w:hAnsi="宋体" w:cs="宋体"/>
                <w:color w:val="000000"/>
                <w:sz w:val="24"/>
              </w:rPr>
            </w:pPr>
          </w:p>
        </w:tc>
        <w:tc>
          <w:tcPr>
            <w:tcW w:w="746" w:type="pct"/>
            <w:vAlign w:val="center"/>
          </w:tcPr>
          <w:p w14:paraId="26718E7E">
            <w:pPr>
              <w:widowControl/>
              <w:jc w:val="center"/>
              <w:textAlignment w:val="center"/>
              <w:rPr>
                <w:rFonts w:hint="eastAsia" w:hAnsi="宋体" w:cs="宋体"/>
                <w:color w:val="000000"/>
                <w:sz w:val="24"/>
              </w:rPr>
            </w:pPr>
            <w:r>
              <w:rPr>
                <w:rFonts w:hint="eastAsia" w:hAnsi="宋体" w:cs="宋体"/>
                <w:color w:val="000000"/>
                <w:sz w:val="24"/>
                <w:lang w:bidi="ar"/>
              </w:rPr>
              <w:t>系统运维</w:t>
            </w:r>
          </w:p>
        </w:tc>
        <w:tc>
          <w:tcPr>
            <w:tcW w:w="1270" w:type="pct"/>
            <w:vAlign w:val="center"/>
          </w:tcPr>
          <w:p w14:paraId="6D744698">
            <w:pPr>
              <w:widowControl/>
              <w:jc w:val="center"/>
              <w:textAlignment w:val="center"/>
              <w:rPr>
                <w:rFonts w:hint="eastAsia" w:hAnsi="宋体" w:cs="宋体"/>
                <w:color w:val="000000"/>
                <w:sz w:val="24"/>
              </w:rPr>
            </w:pPr>
            <w:r>
              <w:rPr>
                <w:rFonts w:hint="eastAsia" w:hAnsi="宋体" w:cs="宋体"/>
                <w:color w:val="000000"/>
                <w:sz w:val="24"/>
                <w:lang w:bidi="ar"/>
              </w:rPr>
              <w:t>日常巡检与监控</w:t>
            </w:r>
          </w:p>
        </w:tc>
        <w:tc>
          <w:tcPr>
            <w:tcW w:w="567" w:type="pct"/>
            <w:vAlign w:val="center"/>
          </w:tcPr>
          <w:p w14:paraId="20C538B8">
            <w:pPr>
              <w:widowControl/>
              <w:jc w:val="center"/>
              <w:textAlignment w:val="center"/>
              <w:rPr>
                <w:rFonts w:hint="eastAsia" w:hAnsi="宋体" w:cs="宋体"/>
                <w:color w:val="000000"/>
                <w:sz w:val="24"/>
              </w:rPr>
            </w:pPr>
            <w:r>
              <w:rPr>
                <w:rFonts w:hint="eastAsia" w:hAnsi="宋体" w:cs="宋体"/>
                <w:color w:val="000000"/>
                <w:sz w:val="24"/>
                <w:lang w:bidi="ar"/>
              </w:rPr>
              <w:t>每周/次</w:t>
            </w:r>
          </w:p>
        </w:tc>
        <w:tc>
          <w:tcPr>
            <w:tcW w:w="1630" w:type="pct"/>
            <w:vAlign w:val="center"/>
          </w:tcPr>
          <w:p w14:paraId="491DBC4A">
            <w:pPr>
              <w:widowControl/>
              <w:jc w:val="center"/>
              <w:textAlignment w:val="center"/>
              <w:rPr>
                <w:rFonts w:hint="eastAsia" w:hAnsi="宋体" w:cs="宋体"/>
                <w:color w:val="000000"/>
                <w:sz w:val="24"/>
                <w:lang w:bidi="ar"/>
              </w:rPr>
            </w:pPr>
            <w:r>
              <w:rPr>
                <w:rFonts w:hint="eastAsia" w:hAnsi="宋体" w:cs="宋体"/>
                <w:color w:val="000000"/>
                <w:sz w:val="24"/>
                <w:lang w:bidi="ar"/>
              </w:rPr>
              <w:t>《系统运维巡检报告》</w:t>
            </w:r>
          </w:p>
        </w:tc>
      </w:tr>
      <w:tr w14:paraId="70E9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79" w:type="pct"/>
            <w:vAlign w:val="center"/>
          </w:tcPr>
          <w:p w14:paraId="232BD986">
            <w:pPr>
              <w:widowControl/>
              <w:jc w:val="center"/>
              <w:textAlignment w:val="center"/>
              <w:rPr>
                <w:rFonts w:hint="eastAsia" w:hAnsi="宋体" w:cs="宋体"/>
                <w:color w:val="000000"/>
                <w:sz w:val="24"/>
              </w:rPr>
            </w:pPr>
            <w:r>
              <w:rPr>
                <w:rFonts w:hint="eastAsia" w:hAnsi="宋体" w:cs="宋体"/>
                <w:color w:val="000000"/>
                <w:sz w:val="24"/>
              </w:rPr>
              <w:t>5</w:t>
            </w:r>
          </w:p>
        </w:tc>
        <w:tc>
          <w:tcPr>
            <w:tcW w:w="407" w:type="pct"/>
            <w:vMerge w:val="continue"/>
            <w:vAlign w:val="center"/>
          </w:tcPr>
          <w:p w14:paraId="6444B44E">
            <w:pPr>
              <w:jc w:val="center"/>
              <w:rPr>
                <w:rFonts w:hint="eastAsia" w:hAnsi="宋体" w:cs="宋体"/>
                <w:color w:val="000000"/>
                <w:sz w:val="24"/>
              </w:rPr>
            </w:pPr>
          </w:p>
        </w:tc>
        <w:tc>
          <w:tcPr>
            <w:tcW w:w="746" w:type="pct"/>
            <w:vAlign w:val="center"/>
          </w:tcPr>
          <w:p w14:paraId="3AC6113E">
            <w:pPr>
              <w:widowControl/>
              <w:jc w:val="center"/>
              <w:textAlignment w:val="center"/>
              <w:rPr>
                <w:rFonts w:hint="eastAsia" w:hAnsi="宋体" w:cs="宋体"/>
                <w:color w:val="000000"/>
                <w:sz w:val="24"/>
              </w:rPr>
            </w:pPr>
            <w:r>
              <w:rPr>
                <w:rFonts w:hint="eastAsia" w:hAnsi="宋体" w:cs="宋体"/>
                <w:color w:val="000000"/>
                <w:sz w:val="24"/>
                <w:lang w:bidi="ar"/>
              </w:rPr>
              <w:t>质量保障</w:t>
            </w:r>
          </w:p>
        </w:tc>
        <w:tc>
          <w:tcPr>
            <w:tcW w:w="1270" w:type="pct"/>
            <w:vAlign w:val="center"/>
          </w:tcPr>
          <w:p w14:paraId="5B90497E">
            <w:pPr>
              <w:widowControl/>
              <w:jc w:val="center"/>
              <w:textAlignment w:val="center"/>
              <w:rPr>
                <w:rFonts w:hint="eastAsia" w:hAnsi="宋体" w:cs="宋体"/>
                <w:color w:val="000000"/>
                <w:sz w:val="24"/>
              </w:rPr>
            </w:pPr>
            <w:r>
              <w:rPr>
                <w:rFonts w:hint="eastAsia" w:hAnsi="宋体" w:cs="宋体"/>
                <w:color w:val="000000"/>
                <w:sz w:val="24"/>
                <w:lang w:bidi="ar"/>
              </w:rPr>
              <w:t>运维质量分析</w:t>
            </w:r>
          </w:p>
        </w:tc>
        <w:tc>
          <w:tcPr>
            <w:tcW w:w="567" w:type="pct"/>
            <w:vAlign w:val="center"/>
          </w:tcPr>
          <w:p w14:paraId="49605C09">
            <w:pPr>
              <w:widowControl/>
              <w:jc w:val="center"/>
              <w:textAlignment w:val="center"/>
              <w:rPr>
                <w:rFonts w:hint="eastAsia" w:hAnsi="宋体" w:cs="宋体"/>
                <w:color w:val="000000"/>
                <w:sz w:val="24"/>
              </w:rPr>
            </w:pPr>
            <w:r>
              <w:rPr>
                <w:rFonts w:hint="eastAsia" w:hAnsi="宋体" w:cs="宋体"/>
                <w:color w:val="000000"/>
                <w:sz w:val="24"/>
                <w:lang w:bidi="ar"/>
              </w:rPr>
              <w:t>季度/次</w:t>
            </w:r>
          </w:p>
        </w:tc>
        <w:tc>
          <w:tcPr>
            <w:tcW w:w="1630" w:type="pct"/>
            <w:vAlign w:val="center"/>
          </w:tcPr>
          <w:p w14:paraId="10B7A960">
            <w:pPr>
              <w:widowControl/>
              <w:jc w:val="center"/>
              <w:textAlignment w:val="center"/>
              <w:rPr>
                <w:rFonts w:hint="eastAsia" w:hAnsi="宋体" w:cs="宋体"/>
                <w:color w:val="000000"/>
                <w:sz w:val="24"/>
                <w:lang w:bidi="ar"/>
              </w:rPr>
            </w:pPr>
            <w:r>
              <w:rPr>
                <w:rFonts w:hint="eastAsia" w:hAnsi="宋体" w:cs="宋体"/>
                <w:color w:val="000000"/>
                <w:sz w:val="24"/>
                <w:lang w:bidi="ar"/>
              </w:rPr>
              <w:t>《运维质量分析报告》</w:t>
            </w:r>
          </w:p>
        </w:tc>
      </w:tr>
      <w:tr w14:paraId="2F04F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79" w:type="pct"/>
            <w:vAlign w:val="center"/>
          </w:tcPr>
          <w:p w14:paraId="4C0AD0E1">
            <w:pPr>
              <w:widowControl/>
              <w:jc w:val="center"/>
              <w:textAlignment w:val="center"/>
              <w:rPr>
                <w:rFonts w:hint="eastAsia" w:hAnsi="宋体" w:cs="宋体"/>
                <w:color w:val="000000"/>
                <w:sz w:val="24"/>
              </w:rPr>
            </w:pPr>
            <w:r>
              <w:rPr>
                <w:rFonts w:hint="eastAsia" w:hAnsi="宋体" w:cs="宋体"/>
                <w:color w:val="000000"/>
                <w:sz w:val="24"/>
              </w:rPr>
              <w:t>6</w:t>
            </w:r>
          </w:p>
        </w:tc>
        <w:tc>
          <w:tcPr>
            <w:tcW w:w="407" w:type="pct"/>
            <w:vMerge w:val="continue"/>
            <w:vAlign w:val="center"/>
          </w:tcPr>
          <w:p w14:paraId="55FC2313">
            <w:pPr>
              <w:jc w:val="center"/>
              <w:rPr>
                <w:rFonts w:hint="eastAsia" w:hAnsi="宋体" w:cs="宋体"/>
                <w:color w:val="000000"/>
                <w:sz w:val="24"/>
              </w:rPr>
            </w:pPr>
          </w:p>
        </w:tc>
        <w:tc>
          <w:tcPr>
            <w:tcW w:w="746" w:type="pct"/>
            <w:vAlign w:val="center"/>
          </w:tcPr>
          <w:p w14:paraId="44DA79DA">
            <w:pPr>
              <w:widowControl/>
              <w:jc w:val="center"/>
              <w:textAlignment w:val="center"/>
              <w:rPr>
                <w:rFonts w:hint="eastAsia" w:hAnsi="宋体" w:cs="宋体"/>
                <w:color w:val="000000"/>
                <w:sz w:val="24"/>
                <w:lang w:bidi="ar"/>
              </w:rPr>
            </w:pPr>
            <w:r>
              <w:rPr>
                <w:rFonts w:hint="eastAsia" w:hAnsi="宋体" w:cs="宋体"/>
                <w:color w:val="000000"/>
                <w:sz w:val="24"/>
                <w:lang w:bidi="ar"/>
              </w:rPr>
              <w:t>故障处理报告</w:t>
            </w:r>
          </w:p>
        </w:tc>
        <w:tc>
          <w:tcPr>
            <w:tcW w:w="1270" w:type="pct"/>
            <w:vAlign w:val="center"/>
          </w:tcPr>
          <w:p w14:paraId="0C8173E5">
            <w:pPr>
              <w:widowControl/>
              <w:jc w:val="center"/>
              <w:textAlignment w:val="center"/>
              <w:rPr>
                <w:rFonts w:hint="eastAsia" w:hAnsi="宋体" w:cs="宋体"/>
                <w:color w:val="000000"/>
                <w:sz w:val="24"/>
                <w:lang w:bidi="ar"/>
              </w:rPr>
            </w:pPr>
            <w:r>
              <w:rPr>
                <w:rFonts w:hint="eastAsia" w:hAnsi="宋体" w:cs="宋体"/>
                <w:color w:val="000000"/>
                <w:sz w:val="24"/>
                <w:lang w:bidi="ar"/>
              </w:rPr>
              <w:t>故障处理报告</w:t>
            </w:r>
          </w:p>
        </w:tc>
        <w:tc>
          <w:tcPr>
            <w:tcW w:w="567" w:type="pct"/>
            <w:vAlign w:val="center"/>
          </w:tcPr>
          <w:p w14:paraId="5D47C78B">
            <w:pPr>
              <w:widowControl/>
              <w:jc w:val="center"/>
              <w:textAlignment w:val="center"/>
              <w:rPr>
                <w:rFonts w:hint="eastAsia" w:hAnsi="宋体" w:cs="宋体"/>
                <w:color w:val="000000"/>
                <w:sz w:val="24"/>
                <w:lang w:bidi="ar"/>
              </w:rPr>
            </w:pPr>
            <w:r>
              <w:rPr>
                <w:rFonts w:hint="eastAsia" w:hAnsi="宋体" w:cs="宋体"/>
                <w:color w:val="000000"/>
                <w:sz w:val="24"/>
                <w:lang w:bidi="ar"/>
              </w:rPr>
              <w:t>月/次</w:t>
            </w:r>
          </w:p>
        </w:tc>
        <w:tc>
          <w:tcPr>
            <w:tcW w:w="1630" w:type="pct"/>
            <w:vAlign w:val="center"/>
          </w:tcPr>
          <w:p w14:paraId="25BF17E8">
            <w:pPr>
              <w:widowControl/>
              <w:jc w:val="center"/>
              <w:textAlignment w:val="center"/>
              <w:rPr>
                <w:rFonts w:hint="eastAsia" w:hAnsi="宋体" w:cs="宋体"/>
                <w:color w:val="000000"/>
                <w:sz w:val="24"/>
                <w:lang w:bidi="ar"/>
              </w:rPr>
            </w:pPr>
            <w:r>
              <w:rPr>
                <w:rFonts w:hint="eastAsia" w:hAnsi="宋体" w:cs="宋体"/>
                <w:color w:val="000000"/>
                <w:sz w:val="24"/>
                <w:lang w:bidi="ar"/>
              </w:rPr>
              <w:t>《安全系统运维故障处理报告》</w:t>
            </w:r>
          </w:p>
        </w:tc>
      </w:tr>
      <w:tr w14:paraId="3A7A6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79" w:type="pct"/>
            <w:vAlign w:val="center"/>
          </w:tcPr>
          <w:p w14:paraId="6C3D92C9">
            <w:pPr>
              <w:widowControl/>
              <w:jc w:val="center"/>
              <w:textAlignment w:val="center"/>
              <w:rPr>
                <w:rFonts w:hint="eastAsia" w:hAnsi="宋体" w:cs="宋体"/>
                <w:color w:val="000000"/>
                <w:sz w:val="24"/>
                <w:lang w:bidi="ar"/>
              </w:rPr>
            </w:pPr>
            <w:r>
              <w:rPr>
                <w:rFonts w:hint="eastAsia" w:hAnsi="宋体" w:cs="宋体"/>
                <w:color w:val="000000"/>
                <w:sz w:val="24"/>
                <w:lang w:bidi="ar"/>
              </w:rPr>
              <w:t>7</w:t>
            </w:r>
          </w:p>
        </w:tc>
        <w:tc>
          <w:tcPr>
            <w:tcW w:w="407" w:type="pct"/>
            <w:vMerge w:val="continue"/>
            <w:vAlign w:val="center"/>
          </w:tcPr>
          <w:p w14:paraId="11351D03">
            <w:pPr>
              <w:jc w:val="center"/>
              <w:rPr>
                <w:rFonts w:hint="eastAsia" w:hAnsi="宋体" w:cs="宋体"/>
                <w:color w:val="000000"/>
                <w:sz w:val="24"/>
              </w:rPr>
            </w:pPr>
          </w:p>
        </w:tc>
        <w:tc>
          <w:tcPr>
            <w:tcW w:w="746" w:type="pct"/>
            <w:vAlign w:val="center"/>
          </w:tcPr>
          <w:p w14:paraId="3DA6B676">
            <w:pPr>
              <w:widowControl/>
              <w:jc w:val="center"/>
              <w:textAlignment w:val="center"/>
              <w:rPr>
                <w:rFonts w:hint="eastAsia" w:hAnsi="宋体" w:cs="宋体"/>
                <w:color w:val="000000"/>
                <w:sz w:val="24"/>
                <w:lang w:bidi="ar"/>
              </w:rPr>
            </w:pPr>
            <w:r>
              <w:rPr>
                <w:rFonts w:hint="eastAsia" w:hAnsi="宋体" w:cs="宋体"/>
                <w:color w:val="000000"/>
                <w:sz w:val="24"/>
                <w:lang w:bidi="ar"/>
              </w:rPr>
              <w:t>安全策略管理</w:t>
            </w:r>
          </w:p>
        </w:tc>
        <w:tc>
          <w:tcPr>
            <w:tcW w:w="1270" w:type="pct"/>
            <w:vAlign w:val="center"/>
          </w:tcPr>
          <w:p w14:paraId="3FB29373">
            <w:pPr>
              <w:widowControl/>
              <w:jc w:val="center"/>
              <w:textAlignment w:val="center"/>
              <w:rPr>
                <w:rFonts w:hint="eastAsia" w:hAnsi="宋体" w:cs="宋体"/>
                <w:color w:val="000000"/>
                <w:sz w:val="24"/>
                <w:lang w:bidi="ar"/>
              </w:rPr>
            </w:pPr>
            <w:r>
              <w:rPr>
                <w:rFonts w:hint="eastAsia" w:hAnsi="宋体" w:cs="宋体"/>
                <w:color w:val="000000"/>
                <w:sz w:val="24"/>
                <w:lang w:bidi="ar"/>
              </w:rPr>
              <w:t>安全策略配置方案</w:t>
            </w:r>
          </w:p>
        </w:tc>
        <w:tc>
          <w:tcPr>
            <w:tcW w:w="567" w:type="pct"/>
            <w:vAlign w:val="center"/>
          </w:tcPr>
          <w:p w14:paraId="40CF80AA">
            <w:pPr>
              <w:widowControl/>
              <w:jc w:val="center"/>
              <w:textAlignment w:val="center"/>
              <w:rPr>
                <w:rFonts w:hint="eastAsia" w:hAnsi="宋体" w:cs="宋体"/>
                <w:color w:val="000000"/>
                <w:sz w:val="24"/>
                <w:lang w:bidi="ar"/>
              </w:rPr>
            </w:pPr>
            <w:r>
              <w:rPr>
                <w:rFonts w:hint="eastAsia" w:hAnsi="宋体" w:cs="宋体"/>
                <w:color w:val="000000"/>
                <w:sz w:val="24"/>
                <w:lang w:bidi="ar"/>
              </w:rPr>
              <w:t>季度/次</w:t>
            </w:r>
          </w:p>
        </w:tc>
        <w:tc>
          <w:tcPr>
            <w:tcW w:w="1630" w:type="pct"/>
            <w:vAlign w:val="center"/>
          </w:tcPr>
          <w:p w14:paraId="7387C415">
            <w:pPr>
              <w:widowControl/>
              <w:jc w:val="center"/>
              <w:textAlignment w:val="center"/>
              <w:rPr>
                <w:rFonts w:hint="eastAsia" w:hAnsi="宋体" w:cs="宋体"/>
                <w:color w:val="000000"/>
                <w:sz w:val="24"/>
                <w:lang w:bidi="ar"/>
              </w:rPr>
            </w:pPr>
            <w:r>
              <w:rPr>
                <w:rFonts w:hint="eastAsia" w:hAnsi="宋体" w:cs="宋体"/>
                <w:color w:val="000000"/>
                <w:sz w:val="24"/>
                <w:lang w:bidi="ar"/>
              </w:rPr>
              <w:t>《安全策略配置方案》</w:t>
            </w:r>
          </w:p>
        </w:tc>
      </w:tr>
    </w:tbl>
    <w:p w14:paraId="03E905B7">
      <w:pPr>
        <w:snapToGrid w:val="0"/>
        <w:spacing w:line="360" w:lineRule="auto"/>
        <w:rPr>
          <w:rFonts w:hint="eastAsia" w:hAnsi="宋体" w:cs="宋体"/>
          <w:sz w:val="24"/>
        </w:rPr>
      </w:pPr>
    </w:p>
    <w:p w14:paraId="1D8CEB7D">
      <w:pPr>
        <w:snapToGrid w:val="0"/>
        <w:spacing w:line="360" w:lineRule="auto"/>
        <w:ind w:firstLine="482" w:firstLineChars="200"/>
        <w:rPr>
          <w:rFonts w:hint="eastAsia" w:hAnsi="宋体" w:cs="宋体"/>
          <w:b/>
          <w:sz w:val="24"/>
        </w:rPr>
      </w:pPr>
      <w:r>
        <w:rPr>
          <w:rFonts w:hint="eastAsia" w:hAnsi="宋体" w:cs="宋体"/>
          <w:b/>
          <w:sz w:val="24"/>
        </w:rPr>
        <w:t>二、项目联系人、职责范围及乙方实施团队约定</w:t>
      </w:r>
    </w:p>
    <w:p w14:paraId="4232E21E">
      <w:pPr>
        <w:snapToGrid w:val="0"/>
        <w:spacing w:line="360" w:lineRule="auto"/>
        <w:ind w:firstLine="480" w:firstLineChars="200"/>
        <w:rPr>
          <w:rFonts w:hint="eastAsia" w:hAnsi="宋体" w:cs="宋体"/>
          <w:sz w:val="24"/>
        </w:rPr>
      </w:pPr>
      <w:r>
        <w:rPr>
          <w:rFonts w:hint="eastAsia" w:hAnsi="宋体" w:cs="宋体"/>
          <w:sz w:val="24"/>
        </w:rPr>
        <w:t>为保障该项目顺利完成，根据项目要求，乙方需确定项目联系人，便于项目实施过程中日常沟通协调、过程性联络和工作确认、项目沟通函收发等必要的协调配合。乙方联系人负责统筹成员承担的工作，包括项目参与人员分工、培训，项目进度、项目质量和项目内部审核，确保项目按甲方要求按时、保质保量完成。</w:t>
      </w:r>
    </w:p>
    <w:p w14:paraId="35196C38">
      <w:pPr>
        <w:snapToGrid w:val="0"/>
        <w:spacing w:line="360" w:lineRule="auto"/>
        <w:ind w:firstLine="480" w:firstLineChars="200"/>
        <w:rPr>
          <w:rFonts w:hint="eastAsia" w:hAnsi="宋体" w:cs="宋体"/>
          <w:sz w:val="24"/>
        </w:rPr>
      </w:pPr>
      <w:r>
        <w:rPr>
          <w:rFonts w:hint="eastAsia" w:hAnsi="宋体" w:cs="宋体"/>
          <w:sz w:val="24"/>
        </w:rPr>
        <w:t>乙方联系人员若有变化，须提前3个工作日以书面方式正式通知对方。乙方更换项目负责人的，需事先经甲方书面同意，并保证新的项目负责人具备实施本项目的工作能力及团队管理能力，同时不得因项目负责人变化影响项目工作质量及进度。但是乙方人员正常离职或者调岗不受到甲方限制及约束，无需甲方同意，需告知甲方并提供符合甲方要求的替换人员。</w:t>
      </w:r>
    </w:p>
    <w:p w14:paraId="2B597996">
      <w:pPr>
        <w:snapToGrid w:val="0"/>
        <w:spacing w:line="360" w:lineRule="auto"/>
        <w:ind w:firstLine="480" w:firstLineChars="200"/>
        <w:rPr>
          <w:rFonts w:hint="eastAsia" w:hAnsi="宋体" w:cs="宋体"/>
          <w:sz w:val="24"/>
        </w:rPr>
      </w:pPr>
      <w:r>
        <w:rPr>
          <w:rFonts w:hint="eastAsia" w:hAnsi="宋体" w:cs="宋体"/>
          <w:sz w:val="24"/>
        </w:rPr>
        <w:t>双方明确，乙方应当对项目团队成员开展必要的安全生产教育培训。乙方团队成员履行本合同期间，发生的安全生产、意外等全部事故，由乙方自行妥善处理，给甲方或者其他第三方造成损失的，由乙方承担损失赔偿责任。</w:t>
      </w:r>
    </w:p>
    <w:p w14:paraId="229A2FC8">
      <w:pPr>
        <w:snapToGrid w:val="0"/>
        <w:spacing w:line="360" w:lineRule="auto"/>
        <w:ind w:firstLine="482" w:firstLineChars="200"/>
        <w:rPr>
          <w:rFonts w:hint="eastAsia" w:hAnsi="宋体" w:cs="宋体"/>
          <w:b/>
          <w:sz w:val="24"/>
        </w:rPr>
      </w:pPr>
      <w:r>
        <w:rPr>
          <w:rFonts w:hint="eastAsia" w:hAnsi="宋体" w:cs="宋体"/>
          <w:b/>
          <w:sz w:val="24"/>
        </w:rPr>
        <w:t>三、项目实施、服务期限及地点</w:t>
      </w:r>
    </w:p>
    <w:p w14:paraId="1027DFA7">
      <w:pPr>
        <w:snapToGrid w:val="0"/>
        <w:spacing w:line="360" w:lineRule="auto"/>
        <w:ind w:firstLine="480" w:firstLineChars="200"/>
        <w:rPr>
          <w:rFonts w:hint="eastAsia" w:hAnsi="宋体" w:cs="宋体"/>
          <w:sz w:val="24"/>
        </w:rPr>
      </w:pPr>
      <w:r>
        <w:rPr>
          <w:rFonts w:hint="eastAsia" w:hAnsi="宋体" w:cs="宋体"/>
          <w:sz w:val="24"/>
        </w:rPr>
        <w:t>（一）本项目服务期为合同签订后</w:t>
      </w:r>
      <w:r>
        <w:rPr>
          <w:rFonts w:hint="eastAsia" w:hAnsi="宋体" w:cs="宋体"/>
          <w:sz w:val="24"/>
          <w:u w:val="single"/>
        </w:rPr>
        <w:t xml:space="preserve"> 1 </w:t>
      </w:r>
      <w:r>
        <w:rPr>
          <w:rFonts w:hint="eastAsia" w:hAnsi="宋体" w:cs="宋体"/>
          <w:sz w:val="24"/>
        </w:rPr>
        <w:t>年，乙方应在项目服务期限内完成服务，并在服务期内为本服务提供可靠的运行保障。甲乙双方明确，项目具体实施周期可根据甲方工作要求进行适当调整，以甲乙双方协定完成日期和期限为准。</w:t>
      </w:r>
    </w:p>
    <w:p w14:paraId="64BBD4E5">
      <w:pPr>
        <w:snapToGrid w:val="0"/>
        <w:spacing w:line="360" w:lineRule="auto"/>
        <w:ind w:firstLine="480" w:firstLineChars="200"/>
        <w:rPr>
          <w:rFonts w:hint="eastAsia" w:hAnsi="宋体" w:cs="宋体"/>
          <w:sz w:val="24"/>
        </w:rPr>
      </w:pPr>
      <w:r>
        <w:rPr>
          <w:rFonts w:hint="eastAsia" w:hAnsi="宋体" w:cs="宋体"/>
          <w:sz w:val="24"/>
        </w:rPr>
        <w:t>（二）服务地点：</w:t>
      </w:r>
      <w:r>
        <w:rPr>
          <w:rFonts w:hint="eastAsia" w:hAnsi="宋体" w:cs="宋体"/>
          <w:sz w:val="24"/>
          <w:u w:val="single"/>
        </w:rPr>
        <w:t>南宁市</w:t>
      </w:r>
      <w:r>
        <w:rPr>
          <w:rFonts w:hint="eastAsia" w:hAnsi="宋体" w:cs="宋体"/>
          <w:sz w:val="24"/>
        </w:rPr>
        <w:t>，具体地点根据实施项目任务需要，由甲方确定，具体地点不限于上述地点范围。</w:t>
      </w:r>
    </w:p>
    <w:p w14:paraId="14E33D1F">
      <w:pPr>
        <w:snapToGrid w:val="0"/>
        <w:spacing w:line="360" w:lineRule="auto"/>
        <w:ind w:firstLine="482" w:firstLineChars="200"/>
        <w:rPr>
          <w:rFonts w:hint="eastAsia" w:hAnsi="宋体" w:cs="宋体"/>
          <w:b/>
          <w:sz w:val="24"/>
        </w:rPr>
      </w:pPr>
      <w:r>
        <w:rPr>
          <w:rFonts w:hint="eastAsia" w:hAnsi="宋体" w:cs="宋体"/>
          <w:b/>
          <w:sz w:val="24"/>
        </w:rPr>
        <w:t>四、双方权利和义务</w:t>
      </w:r>
    </w:p>
    <w:p w14:paraId="6CAC7F43">
      <w:pPr>
        <w:snapToGrid w:val="0"/>
        <w:spacing w:line="360" w:lineRule="auto"/>
        <w:ind w:firstLine="482" w:firstLineChars="200"/>
        <w:rPr>
          <w:rFonts w:hint="eastAsia" w:hAnsi="宋体" w:cs="宋体"/>
          <w:sz w:val="24"/>
        </w:rPr>
      </w:pPr>
      <w:r>
        <w:rPr>
          <w:rFonts w:hint="eastAsia" w:hAnsi="宋体" w:cs="宋体"/>
          <w:b/>
          <w:bCs/>
          <w:sz w:val="24"/>
        </w:rPr>
        <w:t>（一）甲方权利和义务</w:t>
      </w:r>
    </w:p>
    <w:p w14:paraId="309B259A">
      <w:pPr>
        <w:snapToGrid w:val="0"/>
        <w:spacing w:line="360" w:lineRule="auto"/>
        <w:ind w:firstLine="480" w:firstLineChars="200"/>
        <w:rPr>
          <w:rFonts w:hint="eastAsia" w:hAnsi="宋体" w:cs="宋体"/>
          <w:sz w:val="24"/>
        </w:rPr>
      </w:pPr>
      <w:r>
        <w:rPr>
          <w:rFonts w:hint="eastAsia" w:hAnsi="宋体" w:cs="宋体"/>
          <w:sz w:val="24"/>
        </w:rPr>
        <w:t>1、甲方应在职权及法律法规、规章许可的范围内，加强相互沟通合作。做好与各处室、各关联单位的沟通协调工作，确保各项服务工作顺利开展。</w:t>
      </w:r>
    </w:p>
    <w:p w14:paraId="4AFE4CF3">
      <w:pPr>
        <w:snapToGrid w:val="0"/>
        <w:spacing w:line="360" w:lineRule="auto"/>
        <w:ind w:firstLine="480" w:firstLineChars="200"/>
        <w:rPr>
          <w:rFonts w:hint="eastAsia" w:hAnsi="宋体" w:cs="宋体"/>
          <w:sz w:val="24"/>
        </w:rPr>
      </w:pPr>
      <w:r>
        <w:rPr>
          <w:rFonts w:hint="eastAsia" w:hAnsi="宋体" w:cs="宋体"/>
          <w:sz w:val="24"/>
        </w:rPr>
        <w:t>2、甲方负责按照乙方的工作统筹建议，组织相关调度推进工作会议、培训活动等，协调相关公文的印发，检查监督乙方项目的实施情况，对项目实施工作过程进行确认，期间发生的各项费用，由乙方承担。</w:t>
      </w:r>
    </w:p>
    <w:p w14:paraId="18DAF579">
      <w:pPr>
        <w:snapToGrid w:val="0"/>
        <w:spacing w:line="360" w:lineRule="auto"/>
        <w:ind w:firstLine="480" w:firstLineChars="200"/>
        <w:rPr>
          <w:rFonts w:hint="eastAsia" w:hAnsi="宋体" w:cs="宋体"/>
          <w:sz w:val="24"/>
        </w:rPr>
      </w:pPr>
      <w:r>
        <w:rPr>
          <w:rFonts w:hint="eastAsia" w:hAnsi="宋体" w:cs="宋体"/>
          <w:sz w:val="24"/>
        </w:rPr>
        <w:t>3、甲方应按照合同约定及时间向乙方支付合同款。</w:t>
      </w:r>
    </w:p>
    <w:p w14:paraId="2307EBB7">
      <w:pPr>
        <w:snapToGrid w:val="0"/>
        <w:spacing w:line="360" w:lineRule="auto"/>
        <w:ind w:firstLine="480" w:firstLineChars="200"/>
        <w:rPr>
          <w:rFonts w:hint="eastAsia" w:hAnsi="宋体" w:cs="宋体"/>
          <w:sz w:val="24"/>
        </w:rPr>
      </w:pPr>
      <w:r>
        <w:rPr>
          <w:rFonts w:hint="eastAsia" w:hAnsi="宋体" w:cs="宋体"/>
          <w:sz w:val="24"/>
        </w:rPr>
        <w:t>4、项目实施和服务期限内，因国家政策变动、自然灾害、数据变化、不可抗力、技术变更等因素造成项目需要变更、完善的，甲方有权要求乙方配合成果修改。</w:t>
      </w:r>
    </w:p>
    <w:p w14:paraId="01EA8D46">
      <w:pPr>
        <w:snapToGrid w:val="0"/>
        <w:spacing w:line="360" w:lineRule="auto"/>
        <w:ind w:firstLine="480" w:firstLineChars="200"/>
        <w:rPr>
          <w:rFonts w:hint="eastAsia" w:hAnsi="宋体" w:cs="宋体"/>
          <w:sz w:val="24"/>
        </w:rPr>
      </w:pPr>
      <w:r>
        <w:rPr>
          <w:rFonts w:hint="eastAsia" w:hAnsi="宋体" w:cs="宋体"/>
          <w:sz w:val="24"/>
        </w:rPr>
        <w:t>5、国家法律、法规所规定由甲方承担的其它责任。</w:t>
      </w:r>
    </w:p>
    <w:p w14:paraId="1E3A55FA">
      <w:pPr>
        <w:snapToGrid w:val="0"/>
        <w:spacing w:line="360" w:lineRule="auto"/>
        <w:ind w:firstLine="480" w:firstLineChars="200"/>
        <w:rPr>
          <w:rFonts w:hint="eastAsia" w:hAnsi="宋体" w:cs="宋体"/>
          <w:sz w:val="24"/>
        </w:rPr>
      </w:pPr>
      <w:r>
        <w:rPr>
          <w:rFonts w:hint="eastAsia" w:hAnsi="宋体" w:cs="宋体"/>
          <w:sz w:val="24"/>
        </w:rPr>
        <w:t>（二）乙方的权利和义务</w:t>
      </w:r>
    </w:p>
    <w:p w14:paraId="3F011D5B">
      <w:pPr>
        <w:snapToGrid w:val="0"/>
        <w:spacing w:line="360" w:lineRule="auto"/>
        <w:ind w:firstLine="480" w:firstLineChars="200"/>
        <w:rPr>
          <w:rFonts w:hint="eastAsia" w:hAnsi="宋体" w:cs="宋体"/>
          <w:sz w:val="24"/>
        </w:rPr>
      </w:pPr>
      <w:r>
        <w:rPr>
          <w:rFonts w:hint="eastAsia" w:hAnsi="宋体" w:cs="宋体"/>
          <w:sz w:val="24"/>
        </w:rPr>
        <w:t>1、乙方应保质、保量完成项目合同约定的服务内容，根据工作进度需要，选派具有相应技术能力、业务能力的人员入驻甲方，为项目全过程提供技术支撑。</w:t>
      </w:r>
    </w:p>
    <w:p w14:paraId="28D00C1E">
      <w:pPr>
        <w:snapToGrid w:val="0"/>
        <w:spacing w:line="360" w:lineRule="auto"/>
        <w:ind w:firstLine="480" w:firstLineChars="200"/>
        <w:rPr>
          <w:rFonts w:hint="eastAsia" w:hAnsi="宋体" w:cs="宋体"/>
          <w:sz w:val="24"/>
        </w:rPr>
      </w:pPr>
      <w:r>
        <w:rPr>
          <w:rFonts w:hint="eastAsia" w:hAnsi="宋体" w:cs="宋体"/>
          <w:sz w:val="24"/>
        </w:rPr>
        <w:t>2、乙方根据工作需要接受甲方及政府有关部门的指导，接受甲方的过程监督，有权要求甲方提供合同约定的甲方职责范围内的必要的配合和帮助。</w:t>
      </w:r>
    </w:p>
    <w:p w14:paraId="506DAF7E">
      <w:pPr>
        <w:snapToGrid w:val="0"/>
        <w:spacing w:line="360" w:lineRule="auto"/>
        <w:ind w:firstLine="480" w:firstLineChars="200"/>
        <w:rPr>
          <w:rFonts w:hint="eastAsia" w:hAnsi="宋体" w:cs="宋体"/>
          <w:sz w:val="24"/>
        </w:rPr>
      </w:pPr>
      <w:r>
        <w:rPr>
          <w:rFonts w:hint="eastAsia" w:hAnsi="宋体" w:cs="宋体"/>
          <w:sz w:val="24"/>
        </w:rPr>
        <w:t>3、乙方应确保项目实施过程严格遵守国家有关法律、法规和规章制度。遵循中华人民共和国公布的现行有关法律、法令、法规、政策和标准、国家医疗保障局制定的医保行业有关规范和标准以及与本项目相关的其他规范和标准的最新版本执行。</w:t>
      </w:r>
    </w:p>
    <w:p w14:paraId="1AF25163">
      <w:pPr>
        <w:snapToGrid w:val="0"/>
        <w:spacing w:line="360" w:lineRule="auto"/>
        <w:ind w:firstLine="480" w:firstLineChars="200"/>
        <w:rPr>
          <w:rFonts w:hint="eastAsia" w:hAnsi="宋体" w:cs="宋体"/>
          <w:sz w:val="24"/>
        </w:rPr>
      </w:pPr>
      <w:r>
        <w:rPr>
          <w:rFonts w:hint="eastAsia" w:hAnsi="宋体" w:cs="宋体"/>
          <w:sz w:val="24"/>
        </w:rPr>
        <w:t>4、乙方不得以任何名义向甲方关联单位及系统对接第三方收取接口开发、对接、调试相关的额外费用，所有接口相关服务均已包含在合同总价款中。</w:t>
      </w:r>
    </w:p>
    <w:p w14:paraId="5D2909EC">
      <w:pPr>
        <w:snapToGrid w:val="0"/>
        <w:spacing w:line="360" w:lineRule="auto"/>
        <w:ind w:firstLine="480" w:firstLineChars="200"/>
        <w:rPr>
          <w:rFonts w:hint="eastAsia" w:hAnsi="宋体" w:cs="宋体"/>
          <w:sz w:val="24"/>
        </w:rPr>
      </w:pPr>
      <w:r>
        <w:rPr>
          <w:rFonts w:hint="eastAsia" w:hAnsi="宋体" w:cs="宋体"/>
          <w:sz w:val="24"/>
        </w:rPr>
        <w:t>5、乙方各单位负责各自项目验收所需的相关资料的准备及整理归档，并配合甲方完成项目验收。</w:t>
      </w:r>
    </w:p>
    <w:p w14:paraId="0A6E7D1A">
      <w:pPr>
        <w:snapToGrid w:val="0"/>
        <w:spacing w:line="360" w:lineRule="auto"/>
        <w:ind w:firstLine="480" w:firstLineChars="200"/>
        <w:rPr>
          <w:rFonts w:hint="eastAsia" w:hAnsi="宋体" w:cs="宋体"/>
          <w:sz w:val="24"/>
        </w:rPr>
      </w:pPr>
      <w:r>
        <w:rPr>
          <w:rFonts w:hint="eastAsia" w:hAnsi="宋体" w:cs="宋体"/>
          <w:sz w:val="24"/>
        </w:rPr>
        <w:t>6、乙方在项目实施过程中应严格遵守法律、法规和规章制度。遵守甲方相关标准规范要求，加强对派驻专业技术人员的安全管理和技术统筹，确保工作阳光操作、安全运行。</w:t>
      </w:r>
    </w:p>
    <w:p w14:paraId="4BC2042B">
      <w:pPr>
        <w:snapToGrid w:val="0"/>
        <w:spacing w:line="360" w:lineRule="auto"/>
        <w:ind w:firstLine="480" w:firstLineChars="200"/>
        <w:rPr>
          <w:rFonts w:hint="eastAsia" w:hAnsi="宋体" w:cs="宋体"/>
          <w:sz w:val="24"/>
        </w:rPr>
      </w:pPr>
      <w:r>
        <w:rPr>
          <w:rFonts w:hint="eastAsia" w:hAnsi="宋体" w:cs="宋体"/>
          <w:sz w:val="24"/>
        </w:rPr>
        <w:t>7、项目实施和服务期限内，因国家政策变动、自然灾害数据变化、不可抗力、技术变更等因素造成项目需要变更、完善的，乙方有权要求甲方提供以上变动所必需的相关政策、文件、数据及完成修改工作所必要的其他条件。</w:t>
      </w:r>
    </w:p>
    <w:p w14:paraId="6D26C886">
      <w:pPr>
        <w:snapToGrid w:val="0"/>
        <w:spacing w:line="360" w:lineRule="auto"/>
        <w:ind w:firstLine="480" w:firstLineChars="200"/>
        <w:rPr>
          <w:rFonts w:hint="eastAsia" w:hAnsi="宋体" w:cs="宋体"/>
          <w:sz w:val="24"/>
        </w:rPr>
      </w:pPr>
      <w:r>
        <w:rPr>
          <w:rFonts w:hint="eastAsia" w:hAnsi="宋体" w:cs="宋体"/>
          <w:sz w:val="24"/>
        </w:rPr>
        <w:t>8、国家法律、法规所规定由乙方承担的其它责任。</w:t>
      </w:r>
    </w:p>
    <w:p w14:paraId="03E7B3E5">
      <w:pPr>
        <w:snapToGrid w:val="0"/>
        <w:spacing w:line="360" w:lineRule="auto"/>
        <w:ind w:firstLine="482" w:firstLineChars="200"/>
        <w:rPr>
          <w:rFonts w:hint="eastAsia" w:hAnsi="宋体" w:cs="宋体"/>
          <w:sz w:val="24"/>
          <w:u w:val="single"/>
        </w:rPr>
      </w:pPr>
      <w:r>
        <w:rPr>
          <w:rFonts w:hint="eastAsia" w:hAnsi="宋体" w:cs="宋体"/>
          <w:b/>
          <w:sz w:val="24"/>
        </w:rPr>
        <w:t>五、项目验收</w:t>
      </w:r>
    </w:p>
    <w:p w14:paraId="6AED0B5D">
      <w:pPr>
        <w:snapToGrid w:val="0"/>
        <w:spacing w:line="360" w:lineRule="auto"/>
        <w:ind w:firstLine="480" w:firstLineChars="200"/>
        <w:rPr>
          <w:rFonts w:hint="eastAsia" w:hAnsi="宋体" w:cs="宋体"/>
          <w:sz w:val="24"/>
        </w:rPr>
      </w:pPr>
      <w:r>
        <w:rPr>
          <w:rFonts w:hint="eastAsia" w:hAnsi="宋体" w:cs="宋体"/>
          <w:sz w:val="24"/>
        </w:rPr>
        <w:t>以甲方验收要求为准，并对验收标准拥有解释权。</w:t>
      </w:r>
    </w:p>
    <w:p w14:paraId="22D9F150">
      <w:pPr>
        <w:snapToGrid w:val="0"/>
        <w:spacing w:line="360" w:lineRule="auto"/>
        <w:ind w:firstLine="480" w:firstLineChars="200"/>
        <w:rPr>
          <w:rFonts w:hint="eastAsia" w:hAnsi="宋体" w:cs="宋体"/>
          <w:sz w:val="24"/>
        </w:rPr>
      </w:pPr>
      <w:r>
        <w:rPr>
          <w:rFonts w:hint="eastAsia" w:hAnsi="宋体" w:cs="宋体"/>
          <w:sz w:val="24"/>
        </w:rPr>
        <w:t>（一）乙方按完成和服务期限要求，对提供的服务内容和成果做出全面自查和整理，并列出清单，做好相关资料的整理和归档，作为甲方验收的依据；</w:t>
      </w:r>
    </w:p>
    <w:p w14:paraId="1E0B4DBA">
      <w:pPr>
        <w:snapToGrid w:val="0"/>
        <w:spacing w:line="360" w:lineRule="auto"/>
        <w:ind w:firstLine="480" w:firstLineChars="200"/>
        <w:rPr>
          <w:rFonts w:hint="eastAsia" w:hAnsi="宋体" w:cs="宋体"/>
          <w:sz w:val="24"/>
        </w:rPr>
      </w:pPr>
      <w:r>
        <w:rPr>
          <w:rFonts w:hint="eastAsia" w:hAnsi="宋体" w:cs="宋体"/>
          <w:sz w:val="24"/>
        </w:rPr>
        <w:t>（二）甲方依据乙方提交的各类成果资料，组织开展项目验收，通过验收后由甲方出具项目验收报告。若项目经甲方或相关单位验收未通过，乙方应及时整改，直至通过甲方及相关单位的验收时止，因此产生的费用由乙方全部承担。</w:t>
      </w:r>
    </w:p>
    <w:p w14:paraId="32B18CDF">
      <w:pPr>
        <w:pStyle w:val="2"/>
        <w:spacing w:line="360" w:lineRule="auto"/>
        <w:ind w:firstLine="240"/>
      </w:pPr>
      <w:r>
        <w:rPr>
          <w:rFonts w:hint="eastAsia" w:hAnsi="宋体" w:cs="宋体"/>
          <w:sz w:val="24"/>
        </w:rPr>
        <w:t>（三）双方约定本项目运维服务实行绩效考核制度，考核周期为半年一次，具体考核规则、评分标准按照《广西壮族自治区医疗保障信息平台运维服务考核管理办法》执行。甲方依该办法实施考核管理，乙方自愿接受考核约束，考核结果作为验收依据。</w:t>
      </w:r>
    </w:p>
    <w:p w14:paraId="6076189B">
      <w:pPr>
        <w:snapToGrid w:val="0"/>
        <w:spacing w:line="360" w:lineRule="auto"/>
        <w:ind w:firstLine="482" w:firstLineChars="200"/>
        <w:rPr>
          <w:rFonts w:hint="eastAsia" w:hAnsi="宋体" w:cs="宋体"/>
          <w:b/>
          <w:sz w:val="24"/>
        </w:rPr>
      </w:pPr>
      <w:r>
        <w:rPr>
          <w:rFonts w:hint="eastAsia" w:hAnsi="宋体" w:cs="宋体"/>
          <w:b/>
          <w:sz w:val="24"/>
        </w:rPr>
        <w:t>六、合同金额及付款方式</w:t>
      </w:r>
    </w:p>
    <w:p w14:paraId="2D9AEB18">
      <w:pPr>
        <w:snapToGrid w:val="0"/>
        <w:spacing w:line="360" w:lineRule="auto"/>
        <w:ind w:firstLine="482" w:firstLineChars="200"/>
        <w:rPr>
          <w:rFonts w:hint="eastAsia" w:hAnsi="宋体" w:cs="宋体"/>
          <w:b/>
          <w:bCs/>
          <w:sz w:val="24"/>
        </w:rPr>
      </w:pPr>
      <w:r>
        <w:rPr>
          <w:rFonts w:hint="eastAsia" w:hAnsi="宋体" w:cs="宋体"/>
          <w:b/>
          <w:bCs/>
          <w:sz w:val="24"/>
        </w:rPr>
        <w:t>（一）本合同总金额：大写人民币</w:t>
      </w:r>
      <w:r>
        <w:rPr>
          <w:rFonts w:hint="eastAsia" w:hAnsi="宋体" w:cs="宋体"/>
          <w:b/>
          <w:bCs/>
          <w:sz w:val="24"/>
          <w:u w:val="single"/>
        </w:rPr>
        <w:t xml:space="preserve">        </w:t>
      </w:r>
      <w:r>
        <w:rPr>
          <w:rFonts w:hint="eastAsia" w:hAnsi="宋体" w:cs="宋体"/>
          <w:b/>
          <w:bCs/>
          <w:sz w:val="24"/>
        </w:rPr>
        <w:t>元,小写（¥</w:t>
      </w:r>
      <w:r>
        <w:rPr>
          <w:rFonts w:hint="eastAsia" w:hAnsi="宋体" w:cs="宋体"/>
          <w:b/>
          <w:bCs/>
          <w:sz w:val="24"/>
          <w:u w:val="single"/>
        </w:rPr>
        <w:t xml:space="preserve">            </w:t>
      </w:r>
      <w:r>
        <w:rPr>
          <w:rFonts w:hint="eastAsia" w:hAnsi="宋体" w:cs="宋体"/>
          <w:b/>
          <w:bCs/>
          <w:sz w:val="24"/>
        </w:rPr>
        <w:t>）。</w:t>
      </w:r>
    </w:p>
    <w:p w14:paraId="2B39CA11">
      <w:pPr>
        <w:snapToGrid w:val="0"/>
        <w:spacing w:line="360" w:lineRule="auto"/>
        <w:ind w:firstLine="480" w:firstLineChars="200"/>
        <w:rPr>
          <w:rFonts w:hint="eastAsia" w:hAnsi="宋体" w:cs="宋体"/>
          <w:sz w:val="24"/>
        </w:rPr>
      </w:pPr>
      <w:r>
        <w:rPr>
          <w:rFonts w:hint="eastAsia" w:hAnsi="宋体" w:cs="宋体"/>
          <w:sz w:val="24"/>
        </w:rPr>
        <w:t>甲乙双方明确，上述合同价款为乙方实施本合同约定服务事项，并达到甲方验收合格标准，合同履行过程中，采购人不再支付任何费用。包括但不限于：</w:t>
      </w:r>
    </w:p>
    <w:p w14:paraId="6309B98D">
      <w:pPr>
        <w:snapToGrid w:val="0"/>
        <w:spacing w:line="360" w:lineRule="auto"/>
        <w:ind w:firstLine="480" w:firstLineChars="200"/>
        <w:rPr>
          <w:rFonts w:hint="eastAsia" w:hAnsi="宋体" w:cs="宋体"/>
          <w:sz w:val="24"/>
        </w:rPr>
      </w:pPr>
      <w:r>
        <w:rPr>
          <w:rFonts w:hint="eastAsia" w:hAnsi="宋体" w:cs="宋体"/>
          <w:sz w:val="24"/>
        </w:rPr>
        <w:t>1.服务的费用，包括技术支持、培训、运维服务、驻场服务（如有）、交通费、差旅费、住宿费、伙食费、通讯费等；</w:t>
      </w:r>
    </w:p>
    <w:p w14:paraId="07204C17">
      <w:pPr>
        <w:snapToGrid w:val="0"/>
        <w:spacing w:line="360" w:lineRule="auto"/>
        <w:ind w:firstLine="480" w:firstLineChars="200"/>
        <w:rPr>
          <w:rFonts w:hint="eastAsia" w:hAnsi="宋体" w:cs="宋体"/>
          <w:sz w:val="24"/>
        </w:rPr>
      </w:pPr>
      <w:r>
        <w:rPr>
          <w:rFonts w:hint="eastAsia" w:hAnsi="宋体" w:cs="宋体"/>
          <w:sz w:val="24"/>
        </w:rPr>
        <w:t>2.必要的代理服务费、保险费用和各项税金；</w:t>
      </w:r>
    </w:p>
    <w:p w14:paraId="7D13B71D">
      <w:pPr>
        <w:snapToGrid w:val="0"/>
        <w:spacing w:line="360" w:lineRule="auto"/>
        <w:ind w:firstLine="480" w:firstLineChars="200"/>
        <w:rPr>
          <w:rFonts w:hint="eastAsia" w:hAnsi="宋体" w:cs="宋体"/>
          <w:sz w:val="24"/>
        </w:rPr>
      </w:pPr>
      <w:r>
        <w:rPr>
          <w:rFonts w:hint="eastAsia" w:hAnsi="宋体" w:cs="宋体"/>
          <w:sz w:val="24"/>
        </w:rPr>
        <w:t>3.服务时所需的备品和备件的费用；</w:t>
      </w:r>
    </w:p>
    <w:p w14:paraId="7864CC8B">
      <w:pPr>
        <w:snapToGrid w:val="0"/>
        <w:spacing w:line="360" w:lineRule="auto"/>
        <w:ind w:firstLine="480" w:firstLineChars="200"/>
        <w:rPr>
          <w:rFonts w:hint="eastAsia" w:hAnsi="宋体" w:cs="宋体"/>
          <w:sz w:val="24"/>
        </w:rPr>
      </w:pPr>
      <w:r>
        <w:rPr>
          <w:rFonts w:hint="eastAsia" w:hAnsi="宋体" w:cs="宋体"/>
          <w:sz w:val="24"/>
        </w:rPr>
        <w:t>4.根据合同规定，履行合同可能产生的其他费用。</w:t>
      </w:r>
    </w:p>
    <w:p w14:paraId="4E07D7D2">
      <w:pPr>
        <w:snapToGrid w:val="0"/>
        <w:spacing w:line="360" w:lineRule="auto"/>
        <w:ind w:firstLine="482" w:firstLineChars="200"/>
        <w:rPr>
          <w:rFonts w:hint="eastAsia" w:hAnsi="宋体" w:cs="宋体"/>
          <w:b/>
          <w:bCs/>
          <w:sz w:val="24"/>
        </w:rPr>
      </w:pPr>
      <w:r>
        <w:rPr>
          <w:rFonts w:hint="eastAsia" w:hAnsi="宋体" w:cs="宋体"/>
          <w:b/>
          <w:bCs/>
          <w:sz w:val="24"/>
        </w:rPr>
        <w:t>（二）付款方式：</w:t>
      </w:r>
    </w:p>
    <w:p w14:paraId="1DEF7FB6">
      <w:pPr>
        <w:snapToGrid w:val="0"/>
        <w:spacing w:line="360" w:lineRule="auto"/>
        <w:ind w:firstLine="482" w:firstLineChars="200"/>
        <w:rPr>
          <w:rFonts w:hint="eastAsia" w:hAnsi="宋体" w:cs="宋体"/>
          <w:sz w:val="24"/>
        </w:rPr>
      </w:pPr>
      <w:r>
        <w:rPr>
          <w:rFonts w:hint="eastAsia" w:hAnsi="宋体" w:cs="宋体"/>
          <w:b/>
          <w:bCs/>
          <w:sz w:val="24"/>
        </w:rPr>
        <w:t>货款支付</w:t>
      </w:r>
    </w:p>
    <w:p w14:paraId="08033C97">
      <w:pPr>
        <w:snapToGrid w:val="0"/>
        <w:spacing w:line="360" w:lineRule="auto"/>
        <w:ind w:firstLine="480" w:firstLineChars="200"/>
        <w:rPr>
          <w:rFonts w:hint="eastAsia" w:hAnsi="宋体" w:cs="宋体"/>
          <w:sz w:val="24"/>
        </w:rPr>
      </w:pPr>
      <w:r>
        <w:rPr>
          <w:rFonts w:hint="eastAsia" w:hAnsi="宋体" w:cs="宋体"/>
          <w:sz w:val="24"/>
        </w:rPr>
        <w:t>第一次付款：</w:t>
      </w:r>
      <w:r>
        <w:rPr>
          <w:rFonts w:hint="eastAsia" w:hAnsi="宋体" w:cs="宋体"/>
          <w:sz w:val="24"/>
          <w:u w:val="single"/>
        </w:rPr>
        <w:t>完成合同签订后，甲方自收到乙方提供的相应金额发票后</w:t>
      </w:r>
      <w:r>
        <w:rPr>
          <w:rFonts w:hint="eastAsia" w:hAnsi="宋体" w:cs="宋体"/>
          <w:sz w:val="24"/>
        </w:rPr>
        <w:t>15个工作日内，甲方向乙方支付合同总额的30%；</w:t>
      </w:r>
    </w:p>
    <w:p w14:paraId="7F382DAA">
      <w:pPr>
        <w:snapToGrid w:val="0"/>
        <w:spacing w:line="360" w:lineRule="auto"/>
        <w:ind w:firstLine="480" w:firstLineChars="200"/>
        <w:rPr>
          <w:rFonts w:hint="eastAsia" w:hAnsi="宋体" w:cs="宋体"/>
          <w:sz w:val="24"/>
        </w:rPr>
      </w:pPr>
      <w:r>
        <w:rPr>
          <w:rFonts w:hint="eastAsia" w:hAnsi="宋体" w:cs="宋体"/>
          <w:sz w:val="24"/>
        </w:rPr>
        <w:t>第二次付款：</w:t>
      </w:r>
      <w:r>
        <w:rPr>
          <w:rFonts w:hint="eastAsia" w:hAnsi="宋体" w:cs="宋体"/>
          <w:sz w:val="24"/>
          <w:u w:val="single"/>
        </w:rPr>
        <w:t>服务期满50%周期后，甲方自收到乙方提供的相应金额发票后</w:t>
      </w:r>
      <w:r>
        <w:rPr>
          <w:rFonts w:hint="eastAsia" w:hAnsi="宋体" w:cs="宋体"/>
          <w:sz w:val="24"/>
        </w:rPr>
        <w:t>15个工作日内，甲方向乙方支付合同总额的50%；</w:t>
      </w:r>
    </w:p>
    <w:p w14:paraId="293CD788">
      <w:pPr>
        <w:snapToGrid w:val="0"/>
        <w:spacing w:line="360" w:lineRule="auto"/>
        <w:ind w:firstLine="480" w:firstLineChars="200"/>
        <w:rPr>
          <w:rFonts w:hint="eastAsia" w:hAnsi="宋体" w:cs="宋体"/>
          <w:sz w:val="24"/>
        </w:rPr>
      </w:pPr>
      <w:r>
        <w:rPr>
          <w:rFonts w:hint="eastAsia" w:hAnsi="宋体" w:cs="宋体"/>
          <w:sz w:val="24"/>
        </w:rPr>
        <w:t>第三次付款：</w:t>
      </w:r>
      <w:r>
        <w:rPr>
          <w:rFonts w:hint="eastAsia" w:hAnsi="宋体" w:cs="宋体"/>
          <w:sz w:val="24"/>
          <w:u w:val="single"/>
        </w:rPr>
        <w:t>完成项目验收后，甲方自收到乙方提供的相应金额发票后</w:t>
      </w:r>
      <w:r>
        <w:rPr>
          <w:rFonts w:hint="eastAsia" w:hAnsi="宋体" w:cs="宋体"/>
          <w:sz w:val="24"/>
        </w:rPr>
        <w:t>15个工作日内，甲方向乙方支付合同总额的20%；</w:t>
      </w:r>
    </w:p>
    <w:p w14:paraId="1E255127">
      <w:pPr>
        <w:snapToGrid w:val="0"/>
        <w:spacing w:line="360" w:lineRule="auto"/>
        <w:ind w:firstLine="482" w:firstLineChars="200"/>
        <w:rPr>
          <w:rFonts w:hint="eastAsia" w:hAnsi="宋体" w:cs="宋体"/>
          <w:sz w:val="24"/>
        </w:rPr>
      </w:pPr>
      <w:r>
        <w:rPr>
          <w:rFonts w:hint="eastAsia" w:hAnsi="宋体" w:cs="宋体"/>
          <w:b/>
          <w:bCs/>
          <w:sz w:val="24"/>
        </w:rPr>
        <w:t>（三）乙方单位开户银行名称和账号为：</w:t>
      </w:r>
    </w:p>
    <w:p w14:paraId="18A7095B">
      <w:pPr>
        <w:snapToGrid w:val="0"/>
        <w:spacing w:line="360" w:lineRule="auto"/>
        <w:ind w:firstLine="480" w:firstLineChars="200"/>
        <w:rPr>
          <w:rFonts w:hint="eastAsia" w:hAnsi="宋体" w:cs="宋体"/>
          <w:sz w:val="24"/>
        </w:rPr>
      </w:pPr>
      <w:r>
        <w:rPr>
          <w:rFonts w:hint="eastAsia" w:hAnsi="宋体" w:cs="宋体"/>
          <w:sz w:val="24"/>
        </w:rPr>
        <w:t>账户名称：</w:t>
      </w:r>
      <w:r>
        <w:rPr>
          <w:rFonts w:hint="eastAsia" w:hAnsi="宋体" w:cs="宋体"/>
          <w:sz w:val="24"/>
          <w:u w:val="single"/>
        </w:rPr>
        <w:t xml:space="preserve">                </w:t>
      </w:r>
    </w:p>
    <w:p w14:paraId="5B1EA6C6">
      <w:pPr>
        <w:snapToGrid w:val="0"/>
        <w:spacing w:line="360" w:lineRule="auto"/>
        <w:ind w:firstLine="480" w:firstLineChars="200"/>
        <w:rPr>
          <w:rFonts w:hint="eastAsia" w:hAnsi="宋体" w:cs="宋体"/>
          <w:sz w:val="24"/>
        </w:rPr>
      </w:pPr>
      <w:r>
        <w:rPr>
          <w:rFonts w:hint="eastAsia" w:hAnsi="宋体" w:cs="宋体"/>
          <w:sz w:val="24"/>
        </w:rPr>
        <w:t>开户银行：</w:t>
      </w:r>
      <w:r>
        <w:rPr>
          <w:rFonts w:hint="eastAsia" w:hAnsi="宋体" w:cs="宋体"/>
          <w:sz w:val="24"/>
          <w:u w:val="single"/>
        </w:rPr>
        <w:t xml:space="preserve">                </w:t>
      </w:r>
    </w:p>
    <w:p w14:paraId="41F0D50B">
      <w:pPr>
        <w:snapToGrid w:val="0"/>
        <w:spacing w:line="360" w:lineRule="auto"/>
        <w:ind w:firstLine="480" w:firstLineChars="200"/>
        <w:rPr>
          <w:rFonts w:hint="eastAsia" w:hAnsi="宋体" w:cs="宋体"/>
          <w:sz w:val="24"/>
        </w:rPr>
      </w:pPr>
      <w:r>
        <w:rPr>
          <w:rFonts w:hint="eastAsia" w:hAnsi="宋体" w:cs="宋体"/>
          <w:sz w:val="24"/>
        </w:rPr>
        <w:t>账号：</w:t>
      </w:r>
      <w:r>
        <w:rPr>
          <w:rFonts w:hint="eastAsia" w:hAnsi="宋体" w:cs="宋体"/>
          <w:sz w:val="24"/>
          <w:u w:val="single"/>
        </w:rPr>
        <w:t xml:space="preserve">                 </w:t>
      </w:r>
    </w:p>
    <w:p w14:paraId="4F29DC0A">
      <w:pPr>
        <w:snapToGrid w:val="0"/>
        <w:spacing w:line="360" w:lineRule="auto"/>
        <w:ind w:firstLine="482" w:firstLineChars="200"/>
        <w:rPr>
          <w:rFonts w:hint="eastAsia" w:hAnsi="宋体" w:cs="宋体"/>
          <w:sz w:val="24"/>
        </w:rPr>
      </w:pPr>
      <w:r>
        <w:rPr>
          <w:rFonts w:hint="eastAsia" w:hAnsi="宋体" w:cs="宋体"/>
          <w:b/>
          <w:sz w:val="24"/>
        </w:rPr>
        <w:t>七、知识产权和保密管理</w:t>
      </w:r>
    </w:p>
    <w:p w14:paraId="13EB4BB2">
      <w:pPr>
        <w:snapToGrid w:val="0"/>
        <w:spacing w:line="360" w:lineRule="auto"/>
        <w:ind w:firstLine="480" w:firstLineChars="200"/>
        <w:rPr>
          <w:rFonts w:hint="eastAsia" w:hAnsi="宋体" w:cs="宋体"/>
          <w:sz w:val="24"/>
        </w:rPr>
      </w:pPr>
      <w:r>
        <w:rPr>
          <w:rFonts w:hint="eastAsia" w:hAnsi="宋体" w:cs="宋体"/>
          <w:sz w:val="24"/>
        </w:rPr>
        <w:t>（一）乙方保证其合同履行过程及其向甲方提供的工作成果不侵犯任何第三方的合法权利，包括但不限于专利权、商标权、著作权及其邻接权和其他权利。乙方在本次服务过程中收集、整理及生成的资料数据、项目源代码及相关成果的知识产权归甲方所有。乙方违反本协议知识产权约定，给甲方造成损失的，由乙方各单位根据违约情况分别承担损失赔偿责任，乙方各单位责任无法区分的，由乙方单位共同连带承担。</w:t>
      </w:r>
    </w:p>
    <w:p w14:paraId="44C399E5">
      <w:pPr>
        <w:snapToGrid w:val="0"/>
        <w:spacing w:line="360" w:lineRule="auto"/>
        <w:ind w:firstLine="480" w:firstLineChars="200"/>
        <w:rPr>
          <w:rFonts w:hint="eastAsia" w:hAnsi="宋体" w:cs="宋体"/>
          <w:sz w:val="24"/>
        </w:rPr>
      </w:pPr>
      <w:r>
        <w:rPr>
          <w:rFonts w:hint="eastAsia" w:hAnsi="宋体" w:cs="宋体"/>
          <w:sz w:val="24"/>
        </w:rPr>
        <w:t>（二）乙方不得向任何第三方（甲方指定的协作单位或审查同意的除外）披露所接触到的或以其他任何方式获知的医保数据和保密资料，也不得为其他目的而引用。未经甲方书面同意，乙方不得将本合同及其成果用于其他用途或泄露给第三方。乙方完成本项目实施后，应及时将所有资料移交甲方。</w:t>
      </w:r>
    </w:p>
    <w:p w14:paraId="1EF3C2CE">
      <w:pPr>
        <w:snapToGrid w:val="0"/>
        <w:spacing w:line="360" w:lineRule="auto"/>
        <w:ind w:firstLine="480" w:firstLineChars="200"/>
        <w:rPr>
          <w:rFonts w:hint="eastAsia" w:hAnsi="宋体" w:cs="宋体"/>
          <w:sz w:val="24"/>
        </w:rPr>
      </w:pPr>
      <w:r>
        <w:rPr>
          <w:rFonts w:hint="eastAsia" w:hAnsi="宋体" w:cs="宋体"/>
          <w:sz w:val="24"/>
        </w:rPr>
        <w:t>（三）对医保数据、保密资料承担责任的范围包括乙方以及乙方的工作人员。乙方员工因违反本合同中的保密信息而给对方造成损失的，该员工所在单位应承担相应的责任。</w:t>
      </w:r>
    </w:p>
    <w:p w14:paraId="08851FCC">
      <w:pPr>
        <w:snapToGrid w:val="0"/>
        <w:spacing w:line="360" w:lineRule="auto"/>
        <w:ind w:firstLine="480" w:firstLineChars="200"/>
        <w:rPr>
          <w:rFonts w:hint="eastAsia" w:hAnsi="宋体" w:cs="宋体"/>
          <w:sz w:val="24"/>
        </w:rPr>
      </w:pPr>
      <w:r>
        <w:rPr>
          <w:rFonts w:hint="eastAsia" w:hAnsi="宋体" w:cs="宋体"/>
          <w:sz w:val="24"/>
        </w:rPr>
        <w:t>（四）乙方若出现违反本条第一至三款约定的情形，</w:t>
      </w:r>
      <w:bookmarkStart w:id="148" w:name="_Hlk230029060"/>
      <w:r>
        <w:rPr>
          <w:rFonts w:hint="eastAsia" w:hAnsi="宋体" w:cs="宋体"/>
          <w:sz w:val="24"/>
        </w:rPr>
        <w:t>赔偿甲方因此遭受的全部损失</w:t>
      </w:r>
      <w:bookmarkEnd w:id="148"/>
      <w:r>
        <w:rPr>
          <w:rFonts w:hint="eastAsia" w:hAnsi="宋体" w:cs="宋体"/>
          <w:sz w:val="24"/>
        </w:rPr>
        <w:t>。</w:t>
      </w:r>
    </w:p>
    <w:p w14:paraId="7621891B">
      <w:pPr>
        <w:snapToGrid w:val="0"/>
        <w:spacing w:line="360" w:lineRule="auto"/>
        <w:ind w:firstLine="482" w:firstLineChars="200"/>
        <w:rPr>
          <w:rFonts w:hint="eastAsia" w:hAnsi="宋体" w:cs="宋体"/>
          <w:b/>
          <w:sz w:val="24"/>
        </w:rPr>
      </w:pPr>
      <w:r>
        <w:rPr>
          <w:rFonts w:hint="eastAsia" w:hAnsi="宋体" w:cs="宋体"/>
          <w:b/>
          <w:sz w:val="24"/>
        </w:rPr>
        <w:t>八、违约责任</w:t>
      </w:r>
    </w:p>
    <w:p w14:paraId="7F95D341">
      <w:pPr>
        <w:snapToGrid w:val="0"/>
        <w:spacing w:line="360" w:lineRule="auto"/>
        <w:ind w:firstLine="480" w:firstLineChars="200"/>
        <w:rPr>
          <w:rFonts w:hint="eastAsia" w:hAnsi="宋体" w:cs="宋体"/>
          <w:bCs/>
          <w:sz w:val="24"/>
        </w:rPr>
      </w:pPr>
      <w:r>
        <w:rPr>
          <w:rFonts w:hint="eastAsia" w:hAnsi="宋体" w:cs="宋体"/>
          <w:bCs/>
          <w:sz w:val="24"/>
        </w:rPr>
        <w:t>（一）乙方各单位提供的服务存在以下情况的属于重大违约，除应赔偿甲方因此遭受的全部损失，甲方有权解除合同：</w:t>
      </w:r>
    </w:p>
    <w:p w14:paraId="31D66DF5">
      <w:pPr>
        <w:snapToGrid w:val="0"/>
        <w:spacing w:line="360" w:lineRule="auto"/>
        <w:ind w:firstLine="480" w:firstLineChars="200"/>
        <w:rPr>
          <w:rFonts w:hint="eastAsia" w:hAnsi="宋体" w:cs="宋体"/>
          <w:bCs/>
          <w:sz w:val="24"/>
        </w:rPr>
      </w:pPr>
      <w:r>
        <w:rPr>
          <w:rFonts w:hint="eastAsia" w:hAnsi="宋体" w:cs="宋体"/>
          <w:bCs/>
          <w:sz w:val="24"/>
        </w:rPr>
        <w:t>1.</w:t>
      </w:r>
      <w:r>
        <w:rPr>
          <w:rFonts w:hint="eastAsia" w:hAnsi="宋体" w:cs="宋体"/>
          <w:bCs/>
          <w:sz w:val="24"/>
        </w:rPr>
        <w:tab/>
      </w:r>
      <w:r>
        <w:rPr>
          <w:rFonts w:hint="eastAsia" w:hAnsi="宋体" w:cs="宋体"/>
          <w:bCs/>
          <w:sz w:val="24"/>
        </w:rPr>
        <w:t>因运维失职或操作不当造成医保平台长时间大范围瘫痪，影响全区医保业务正常办理的；</w:t>
      </w:r>
    </w:p>
    <w:p w14:paraId="0A4527E6">
      <w:pPr>
        <w:snapToGrid w:val="0"/>
        <w:spacing w:line="360" w:lineRule="auto"/>
        <w:ind w:firstLine="480" w:firstLineChars="200"/>
        <w:rPr>
          <w:rFonts w:hint="eastAsia" w:hAnsi="宋体" w:cs="宋体"/>
          <w:bCs/>
          <w:sz w:val="24"/>
        </w:rPr>
      </w:pPr>
      <w:r>
        <w:rPr>
          <w:rFonts w:hint="eastAsia" w:hAnsi="宋体" w:cs="宋体"/>
          <w:bCs/>
          <w:sz w:val="24"/>
        </w:rPr>
        <w:t>2.</w:t>
      </w:r>
      <w:r>
        <w:rPr>
          <w:rFonts w:hint="eastAsia" w:hAnsi="宋体" w:cs="宋体"/>
          <w:bCs/>
          <w:sz w:val="24"/>
        </w:rPr>
        <w:tab/>
      </w:r>
      <w:r>
        <w:rPr>
          <w:rFonts w:hint="eastAsia" w:hAnsi="宋体" w:cs="宋体"/>
          <w:bCs/>
          <w:sz w:val="24"/>
        </w:rPr>
        <w:t>因运维操作不当发生医保数据泄露、数据篡改等重大安全事故的；</w:t>
      </w:r>
    </w:p>
    <w:p w14:paraId="1A185881">
      <w:pPr>
        <w:snapToGrid w:val="0"/>
        <w:spacing w:line="360" w:lineRule="auto"/>
        <w:ind w:firstLine="480" w:firstLineChars="200"/>
        <w:rPr>
          <w:rFonts w:hint="eastAsia" w:hAnsi="宋体" w:cs="宋体"/>
          <w:bCs/>
          <w:sz w:val="24"/>
        </w:rPr>
      </w:pPr>
      <w:r>
        <w:rPr>
          <w:rFonts w:hint="eastAsia" w:hAnsi="宋体" w:cs="宋体"/>
          <w:bCs/>
          <w:sz w:val="24"/>
        </w:rPr>
        <w:t>3.</w:t>
      </w:r>
      <w:r>
        <w:rPr>
          <w:rFonts w:hint="eastAsia" w:hAnsi="宋体" w:cs="宋体"/>
          <w:bCs/>
          <w:sz w:val="24"/>
        </w:rPr>
        <w:tab/>
      </w:r>
      <w:r>
        <w:rPr>
          <w:rFonts w:hint="eastAsia" w:hAnsi="宋体" w:cs="宋体"/>
          <w:bCs/>
          <w:sz w:val="24"/>
        </w:rPr>
        <w:t>擅自更改医保系统参数、违规操作造成重大业务差错、基金风险的；</w:t>
      </w:r>
    </w:p>
    <w:p w14:paraId="33081E50">
      <w:pPr>
        <w:snapToGrid w:val="0"/>
        <w:spacing w:line="360" w:lineRule="auto"/>
        <w:ind w:firstLine="480" w:firstLineChars="200"/>
        <w:rPr>
          <w:rFonts w:hint="eastAsia" w:hAnsi="宋体" w:cs="宋体"/>
          <w:bCs/>
          <w:sz w:val="24"/>
        </w:rPr>
      </w:pPr>
      <w:r>
        <w:rPr>
          <w:rFonts w:hint="eastAsia" w:hAnsi="宋体" w:cs="宋体"/>
          <w:bCs/>
          <w:sz w:val="24"/>
        </w:rPr>
        <w:t>4. 将云资源擅自用于其他用途、私开其他业务、违规使用运维线路等影响医保平台正常业务的。</w:t>
      </w:r>
    </w:p>
    <w:p w14:paraId="597FA78C">
      <w:pPr>
        <w:snapToGrid w:val="0"/>
        <w:spacing w:line="360" w:lineRule="auto"/>
        <w:ind w:firstLine="480" w:firstLineChars="200"/>
        <w:rPr>
          <w:rFonts w:hint="eastAsia" w:hAnsi="宋体" w:cs="宋体"/>
          <w:bCs/>
          <w:sz w:val="24"/>
        </w:rPr>
      </w:pPr>
      <w:r>
        <w:rPr>
          <w:rFonts w:hint="eastAsia" w:hAnsi="宋体" w:cs="宋体"/>
          <w:bCs/>
          <w:sz w:val="24"/>
        </w:rPr>
        <w:t>（二）乙方各单位提供的服务不符合本合同及附件、招标文件</w:t>
      </w:r>
    </w:p>
    <w:p w14:paraId="114B8073">
      <w:pPr>
        <w:snapToGrid w:val="0"/>
        <w:spacing w:line="360" w:lineRule="auto"/>
        <w:ind w:firstLine="480" w:firstLineChars="200"/>
        <w:rPr>
          <w:rFonts w:hint="eastAsia" w:hAnsi="宋体" w:cs="宋体"/>
          <w:bCs/>
          <w:sz w:val="24"/>
        </w:rPr>
      </w:pPr>
      <w:r>
        <w:rPr>
          <w:rFonts w:hint="eastAsia" w:hAnsi="宋体" w:cs="宋体"/>
          <w:bCs/>
          <w:sz w:val="24"/>
        </w:rPr>
        <w:t>投标文件或乙方相关承诺的约定的，乙方各单位应当按照甲方要求及时更正或修改，直至通过验收，并承担由此产生的全部费用。</w:t>
      </w:r>
    </w:p>
    <w:p w14:paraId="188B8669">
      <w:pPr>
        <w:snapToGrid w:val="0"/>
        <w:spacing w:line="360" w:lineRule="auto"/>
        <w:ind w:firstLine="480" w:firstLineChars="200"/>
        <w:rPr>
          <w:rFonts w:hint="eastAsia" w:hAnsi="宋体" w:cs="宋体"/>
          <w:bCs/>
          <w:sz w:val="24"/>
        </w:rPr>
      </w:pPr>
      <w:r>
        <w:rPr>
          <w:rFonts w:hint="eastAsia" w:hAnsi="宋体" w:cs="宋体"/>
          <w:bCs/>
          <w:sz w:val="24"/>
        </w:rPr>
        <w:t>（三）乙方各单位未能按本合同约定提供运维服务的，甲方提出整改要求后三十天仍不能满足要求的，乙方应按照合同总金额的10%向甲方支付违约金；如出现连续两个月未满足整改要求的，乙方应按该子项目预算的30%向甲方支付违约金，甲方有权单方解除合同。</w:t>
      </w:r>
    </w:p>
    <w:p w14:paraId="3BB01A53">
      <w:pPr>
        <w:snapToGrid w:val="0"/>
        <w:spacing w:line="360" w:lineRule="auto"/>
        <w:ind w:firstLine="480" w:firstLineChars="200"/>
        <w:rPr>
          <w:rFonts w:hint="eastAsia" w:hAnsi="宋体" w:cs="宋体"/>
          <w:bCs/>
          <w:sz w:val="24"/>
        </w:rPr>
      </w:pPr>
      <w:r>
        <w:rPr>
          <w:rFonts w:hint="eastAsia" w:hAnsi="宋体" w:cs="宋体"/>
          <w:bCs/>
          <w:sz w:val="24"/>
        </w:rPr>
        <w:t>（四）本合同因国家政策或者甲方原因，未完全履约而终止的，乙方有权就已经履约产生的成果向甲方收取相应的经济利益，具体标准由甲乙双方协商确定，甲方支付成果对价后，乙方将成果交付甲方。</w:t>
      </w:r>
    </w:p>
    <w:p w14:paraId="6DEEB41F">
      <w:pPr>
        <w:snapToGrid w:val="0"/>
        <w:spacing w:line="360" w:lineRule="auto"/>
        <w:ind w:firstLine="480" w:firstLineChars="200"/>
        <w:rPr>
          <w:rFonts w:hint="eastAsia" w:hAnsi="宋体" w:cs="宋体"/>
          <w:bCs/>
          <w:sz w:val="24"/>
        </w:rPr>
      </w:pPr>
      <w:r>
        <w:rPr>
          <w:rFonts w:hint="eastAsia" w:hAnsi="宋体" w:cs="宋体"/>
          <w:bCs/>
          <w:sz w:val="24"/>
        </w:rPr>
        <w:t>（五）乙方各单位向甲方提交的所有数据资料和成果必须保证真实可靠，发现存在弄虚作假行为的，甲方有权要求弄虚作假的乙方单位赔偿甲方损失。</w:t>
      </w:r>
    </w:p>
    <w:p w14:paraId="7980FE85">
      <w:pPr>
        <w:snapToGrid w:val="0"/>
        <w:spacing w:line="360" w:lineRule="auto"/>
        <w:ind w:firstLine="480" w:firstLineChars="200"/>
        <w:rPr>
          <w:rFonts w:hint="eastAsia" w:hAnsi="宋体" w:cs="宋体"/>
          <w:bCs/>
          <w:sz w:val="24"/>
        </w:rPr>
      </w:pPr>
      <w:r>
        <w:rPr>
          <w:rFonts w:hint="eastAsia" w:hAnsi="宋体" w:cs="宋体"/>
          <w:bCs/>
          <w:sz w:val="24"/>
        </w:rPr>
        <w:t>（六）达到付款条件后，甲方应按时支付服务款项的。</w:t>
      </w:r>
    </w:p>
    <w:p w14:paraId="64B13EDB">
      <w:pPr>
        <w:snapToGrid w:val="0"/>
        <w:spacing w:line="360" w:lineRule="auto"/>
        <w:ind w:firstLine="480" w:firstLineChars="200"/>
        <w:rPr>
          <w:rFonts w:hint="eastAsia" w:hAnsi="宋体" w:cs="宋体"/>
          <w:bCs/>
          <w:sz w:val="24"/>
        </w:rPr>
      </w:pPr>
      <w:r>
        <w:rPr>
          <w:rFonts w:hint="eastAsia" w:hAnsi="宋体" w:cs="宋体"/>
          <w:bCs/>
          <w:sz w:val="24"/>
        </w:rPr>
        <w:t>（七）一方违约，除按本合同约定，承担相应违约责任，赔偿守约方损失，还应当承担守约方为主张合法权益，发生的诉讼费、律师费、保全费、保全担保费、邮寄费、执行费、鉴定费、公证费等全部费用支出。</w:t>
      </w:r>
    </w:p>
    <w:p w14:paraId="7EC55236">
      <w:pPr>
        <w:snapToGrid w:val="0"/>
        <w:spacing w:line="360" w:lineRule="auto"/>
        <w:ind w:firstLine="480" w:firstLineChars="200"/>
        <w:rPr>
          <w:rFonts w:hint="eastAsia" w:hAnsi="宋体" w:cs="宋体"/>
          <w:b/>
          <w:sz w:val="24"/>
        </w:rPr>
      </w:pPr>
      <w:r>
        <w:rPr>
          <w:rFonts w:hint="eastAsia" w:hAnsi="宋体" w:cs="宋体"/>
          <w:bCs/>
          <w:sz w:val="24"/>
        </w:rPr>
        <w:t>（八）其它违约责任按《中华人民共和国民法典》处理。</w:t>
      </w:r>
    </w:p>
    <w:p w14:paraId="72EFEF14">
      <w:pPr>
        <w:snapToGrid w:val="0"/>
        <w:spacing w:line="360" w:lineRule="auto"/>
        <w:ind w:firstLine="482" w:firstLineChars="200"/>
        <w:rPr>
          <w:rFonts w:hint="eastAsia" w:hAnsi="宋体" w:cs="宋体"/>
          <w:bCs/>
          <w:sz w:val="24"/>
        </w:rPr>
      </w:pPr>
      <w:r>
        <w:rPr>
          <w:rFonts w:hint="eastAsia" w:hAnsi="宋体" w:cs="宋体"/>
          <w:b/>
          <w:sz w:val="24"/>
        </w:rPr>
        <w:t>九、不可抗力</w:t>
      </w:r>
    </w:p>
    <w:p w14:paraId="79B3D011">
      <w:pPr>
        <w:snapToGrid w:val="0"/>
        <w:spacing w:line="360" w:lineRule="auto"/>
        <w:ind w:firstLine="480" w:firstLineChars="200"/>
        <w:rPr>
          <w:rFonts w:hint="eastAsia" w:hAnsi="宋体" w:cs="宋体"/>
          <w:bCs/>
          <w:sz w:val="24"/>
        </w:rPr>
      </w:pPr>
      <w:r>
        <w:rPr>
          <w:rFonts w:hint="eastAsia" w:hAnsi="宋体" w:cs="宋体"/>
          <w:bCs/>
          <w:sz w:val="24"/>
        </w:rPr>
        <w:t>在合同有效期内，任何一方由于不可抗力原因（指不能预见、不能避免、不能克服的客观情况，如地震、台风、洪水、战争、疫情等）不能履行合同时，不可抗力原因发生时应及时通知对方，乙方在不可抗力发生期间应采取必要措施减少甲方损失，不可抗力原因消失后，乙方应继续履行合同，并应根据甲方项目工作需要保质保量完成任务。</w:t>
      </w:r>
    </w:p>
    <w:p w14:paraId="02421B7C">
      <w:pPr>
        <w:snapToGrid w:val="0"/>
        <w:spacing w:line="360" w:lineRule="auto"/>
        <w:ind w:firstLine="482" w:firstLineChars="200"/>
        <w:rPr>
          <w:rFonts w:hint="eastAsia" w:hAnsi="宋体" w:cs="宋体"/>
          <w:b/>
          <w:sz w:val="24"/>
        </w:rPr>
      </w:pPr>
      <w:r>
        <w:rPr>
          <w:rFonts w:hint="eastAsia" w:hAnsi="宋体" w:cs="宋体"/>
          <w:b/>
          <w:sz w:val="24"/>
        </w:rPr>
        <w:t>十.通知送达</w:t>
      </w:r>
    </w:p>
    <w:p w14:paraId="3D25088A">
      <w:pPr>
        <w:snapToGrid w:val="0"/>
        <w:spacing w:line="360" w:lineRule="auto"/>
        <w:ind w:firstLine="480" w:firstLineChars="200"/>
        <w:rPr>
          <w:rFonts w:hint="eastAsia" w:hAnsi="宋体" w:cs="宋体"/>
          <w:sz w:val="24"/>
        </w:rPr>
      </w:pPr>
      <w:r>
        <w:rPr>
          <w:rFonts w:hint="eastAsia" w:hAnsi="宋体" w:cs="宋体"/>
          <w:sz w:val="24"/>
        </w:rPr>
        <w:t>本合同载明的双方地址、电话、邮箱等联系方式，系双方的有效联系方式，如发生变更，应提前3日书面告知对方。否则一方按照本合同约定联系方式或双方工商登记备案的地址、邮箱等任一联系方式给另一方发出相关文书（包括诉讼、仲裁各阶段相关法律文书）的，邮政信函于投寄之日起第三日或退回之日即视为已送达；派人专程递送的，签收日视为送达；以邮箱、彩信、短信及其他方式发出的，发出之日即视为送达。</w:t>
      </w:r>
    </w:p>
    <w:p w14:paraId="50C55B38">
      <w:pPr>
        <w:numPr>
          <w:ilvl w:val="0"/>
          <w:numId w:val="15"/>
        </w:numPr>
        <w:snapToGrid w:val="0"/>
        <w:spacing w:line="360" w:lineRule="auto"/>
        <w:ind w:firstLine="482" w:firstLineChars="200"/>
        <w:rPr>
          <w:rFonts w:hint="eastAsia" w:hAnsi="宋体" w:cs="宋体"/>
          <w:b/>
          <w:sz w:val="24"/>
        </w:rPr>
      </w:pPr>
      <w:r>
        <w:rPr>
          <w:rFonts w:hint="eastAsia" w:hAnsi="宋体" w:cs="宋体"/>
          <w:b/>
          <w:sz w:val="24"/>
        </w:rPr>
        <w:t>争议解决</w:t>
      </w:r>
    </w:p>
    <w:p w14:paraId="3E494FF5">
      <w:pPr>
        <w:snapToGrid w:val="0"/>
        <w:spacing w:line="360" w:lineRule="auto"/>
        <w:ind w:firstLine="482" w:firstLineChars="200"/>
        <w:rPr>
          <w:rFonts w:hint="eastAsia" w:hAnsi="宋体" w:cs="宋体"/>
          <w:b/>
          <w:sz w:val="24"/>
        </w:rPr>
      </w:pPr>
      <w:r>
        <w:rPr>
          <w:rFonts w:hint="eastAsia" w:hAnsi="宋体" w:cs="宋体"/>
          <w:b/>
          <w:sz w:val="24"/>
        </w:rPr>
        <w:t>双方因履行本合同而发生的争议，应协商、调解解决。协商、调解不成的，确定按以下方式处理：依法向甲方所在地有管辖权的人民法院起诉。</w:t>
      </w:r>
    </w:p>
    <w:p w14:paraId="1D8D30F7">
      <w:pPr>
        <w:snapToGrid w:val="0"/>
        <w:spacing w:line="360" w:lineRule="auto"/>
        <w:ind w:firstLine="482" w:firstLineChars="200"/>
        <w:rPr>
          <w:rFonts w:hint="eastAsia" w:hAnsi="宋体" w:cs="宋体"/>
          <w:b/>
          <w:sz w:val="24"/>
        </w:rPr>
      </w:pPr>
      <w:r>
        <w:rPr>
          <w:rFonts w:hint="eastAsia" w:hAnsi="宋体" w:cs="宋体"/>
          <w:b/>
          <w:sz w:val="24"/>
        </w:rPr>
        <w:t>十二、其它</w:t>
      </w:r>
    </w:p>
    <w:p w14:paraId="4C9C27BB">
      <w:pPr>
        <w:snapToGrid w:val="0"/>
        <w:spacing w:line="360" w:lineRule="auto"/>
        <w:ind w:firstLine="480" w:firstLineChars="200"/>
        <w:rPr>
          <w:rFonts w:hint="eastAsia" w:hAnsi="宋体" w:cs="宋体"/>
          <w:sz w:val="24"/>
        </w:rPr>
      </w:pPr>
      <w:r>
        <w:rPr>
          <w:rFonts w:hint="eastAsia" w:hAnsi="宋体" w:cs="宋体"/>
          <w:sz w:val="24"/>
        </w:rPr>
        <w:t>（一）本合同在甲乙双方法定代表人或其授权代表签字及加盖单位公章后生效。</w:t>
      </w:r>
    </w:p>
    <w:p w14:paraId="1DAD0D06">
      <w:pPr>
        <w:snapToGrid w:val="0"/>
        <w:spacing w:line="360" w:lineRule="auto"/>
        <w:ind w:firstLine="480" w:firstLineChars="200"/>
        <w:rPr>
          <w:rFonts w:hint="eastAsia" w:hAnsi="宋体" w:cs="宋体"/>
          <w:sz w:val="24"/>
        </w:rPr>
      </w:pPr>
      <w:r>
        <w:rPr>
          <w:rFonts w:hint="eastAsia" w:hAnsi="宋体" w:cs="宋体"/>
          <w:sz w:val="24"/>
        </w:rPr>
        <w:t>（二）本合同不涉及其他关联交易。</w:t>
      </w:r>
    </w:p>
    <w:p w14:paraId="12D95BBA">
      <w:pPr>
        <w:snapToGrid w:val="0"/>
        <w:spacing w:line="360" w:lineRule="auto"/>
        <w:ind w:firstLine="480" w:firstLineChars="200"/>
        <w:rPr>
          <w:rFonts w:hint="eastAsia" w:hAnsi="宋体" w:cs="宋体"/>
          <w:sz w:val="24"/>
        </w:rPr>
      </w:pPr>
      <w:r>
        <w:rPr>
          <w:rFonts w:hint="eastAsia" w:hAnsi="宋体" w:cs="宋体"/>
          <w:sz w:val="24"/>
        </w:rPr>
        <w:t>（三）本合同</w:t>
      </w:r>
      <w:r>
        <w:rPr>
          <w:rFonts w:hint="eastAsia" w:hAnsi="宋体" w:cs="宋体"/>
          <w:sz w:val="24"/>
          <w:u w:val="single"/>
        </w:rPr>
        <w:t xml:space="preserve"> 肆</w:t>
      </w:r>
      <w:r>
        <w:rPr>
          <w:sz w:val="24"/>
          <w:u w:val="single"/>
        </w:rPr>
        <w:t>‌</w:t>
      </w:r>
      <w:r>
        <w:rPr>
          <w:rFonts w:hint="eastAsia" w:hAnsi="宋体" w:cs="宋体"/>
          <w:sz w:val="24"/>
          <w:u w:val="single"/>
        </w:rPr>
        <w:t xml:space="preserve"> </w:t>
      </w:r>
      <w:r>
        <w:rPr>
          <w:rFonts w:hint="eastAsia" w:hAnsi="宋体" w:cs="宋体"/>
          <w:sz w:val="24"/>
        </w:rPr>
        <w:t>份，甲方</w:t>
      </w:r>
      <w:r>
        <w:rPr>
          <w:rFonts w:hint="eastAsia" w:hAnsi="宋体" w:cs="宋体"/>
          <w:sz w:val="24"/>
          <w:u w:val="single"/>
        </w:rPr>
        <w:t xml:space="preserve"> 贰</w:t>
      </w:r>
      <w:r>
        <w:rPr>
          <w:sz w:val="24"/>
          <w:u w:val="single"/>
        </w:rPr>
        <w:t>‌</w:t>
      </w:r>
      <w:r>
        <w:rPr>
          <w:rFonts w:hint="eastAsia" w:hAnsi="宋体" w:cs="宋体"/>
          <w:sz w:val="24"/>
          <w:u w:val="single"/>
        </w:rPr>
        <w:t xml:space="preserve"> </w:t>
      </w:r>
      <w:r>
        <w:rPr>
          <w:rFonts w:hint="eastAsia" w:hAnsi="宋体" w:cs="宋体"/>
          <w:sz w:val="24"/>
        </w:rPr>
        <w:t>份，乙方</w:t>
      </w:r>
      <w:r>
        <w:rPr>
          <w:rFonts w:hint="eastAsia" w:hAnsi="宋体" w:cs="宋体"/>
          <w:sz w:val="24"/>
          <w:u w:val="single"/>
        </w:rPr>
        <w:t xml:space="preserve"> 贰</w:t>
      </w:r>
      <w:r>
        <w:rPr>
          <w:sz w:val="24"/>
          <w:u w:val="single"/>
        </w:rPr>
        <w:t>‌</w:t>
      </w:r>
      <w:r>
        <w:rPr>
          <w:rFonts w:hint="eastAsia" w:hAnsi="宋体" w:cs="宋体"/>
          <w:sz w:val="24"/>
          <w:u w:val="single"/>
        </w:rPr>
        <w:t xml:space="preserve"> </w:t>
      </w:r>
      <w:r>
        <w:rPr>
          <w:rFonts w:hint="eastAsia" w:hAnsi="宋体" w:cs="宋体"/>
          <w:sz w:val="24"/>
        </w:rPr>
        <w:t>份，经双方法定代表人或其授权代表签字并加盖单位公章之日起生效，均具有同等法律效力。</w:t>
      </w:r>
    </w:p>
    <w:p w14:paraId="37A0990E">
      <w:pPr>
        <w:snapToGrid w:val="0"/>
        <w:ind w:firstLine="480" w:firstLineChars="200"/>
        <w:rPr>
          <w:rFonts w:hint="eastAsia" w:hAnsi="宋体" w:cs="宋体"/>
          <w:sz w:val="24"/>
        </w:rPr>
      </w:pPr>
      <w:r>
        <w:rPr>
          <w:rFonts w:hint="eastAsia" w:hAnsi="宋体" w:cs="宋体"/>
          <w:sz w:val="24"/>
        </w:rPr>
        <w:t>（四）本合同附件与本合同具有同等法律效力。</w:t>
      </w:r>
    </w:p>
    <w:p w14:paraId="271C878D">
      <w:pPr>
        <w:snapToGrid w:val="0"/>
        <w:ind w:firstLine="480" w:firstLineChars="200"/>
        <w:rPr>
          <w:rFonts w:hint="eastAsia" w:hAnsi="宋体" w:cs="宋体"/>
          <w:sz w:val="24"/>
        </w:rPr>
      </w:pPr>
    </w:p>
    <w:p w14:paraId="0C89016B">
      <w:pPr>
        <w:pStyle w:val="18"/>
        <w:snapToGrid w:val="0"/>
        <w:spacing w:before="120" w:after="120" w:line="0" w:lineRule="atLeast"/>
        <w:ind w:left="480" w:hanging="480" w:hangingChars="200"/>
        <w:rPr>
          <w:rFonts w:hint="eastAsia" w:hAnsi="宋体" w:cs="宋体"/>
          <w:sz w:val="24"/>
          <w:szCs w:val="24"/>
        </w:rPr>
      </w:pPr>
      <w:r>
        <w:rPr>
          <w:rFonts w:hint="eastAsia" w:hAnsi="宋体" w:cs="宋体"/>
          <w:sz w:val="24"/>
          <w:szCs w:val="24"/>
        </w:rPr>
        <w:t xml:space="preserve">  甲方：                       乙方： </w:t>
      </w:r>
    </w:p>
    <w:p w14:paraId="7F082D80">
      <w:pPr>
        <w:pStyle w:val="18"/>
        <w:snapToGrid w:val="0"/>
        <w:spacing w:before="120" w:after="120" w:line="0" w:lineRule="atLeast"/>
        <w:rPr>
          <w:rFonts w:hint="eastAsia" w:hAnsi="宋体" w:cs="宋体"/>
          <w:sz w:val="24"/>
          <w:szCs w:val="24"/>
        </w:rPr>
      </w:pPr>
      <w:r>
        <w:rPr>
          <w:rFonts w:hint="eastAsia" w:hAnsi="宋体" w:cs="宋体"/>
          <w:sz w:val="24"/>
          <w:szCs w:val="24"/>
        </w:rPr>
        <w:t xml:space="preserve">  地址：                       地址：</w:t>
      </w:r>
    </w:p>
    <w:p w14:paraId="77C67A36">
      <w:pPr>
        <w:pStyle w:val="18"/>
        <w:snapToGrid w:val="0"/>
        <w:spacing w:before="120" w:after="120" w:line="0" w:lineRule="atLeast"/>
        <w:rPr>
          <w:rFonts w:hint="eastAsia" w:hAnsi="宋体" w:cs="宋体"/>
          <w:sz w:val="24"/>
          <w:szCs w:val="24"/>
        </w:rPr>
      </w:pPr>
      <w:r>
        <w:rPr>
          <w:rFonts w:hint="eastAsia" w:hAnsi="宋体" w:cs="宋体"/>
          <w:sz w:val="24"/>
          <w:szCs w:val="24"/>
        </w:rPr>
        <w:t xml:space="preserve">  法定代表人或授权代表：       法定代表人或授权代表：</w:t>
      </w:r>
    </w:p>
    <w:p w14:paraId="144B6D6B">
      <w:pPr>
        <w:pStyle w:val="18"/>
        <w:snapToGrid w:val="0"/>
        <w:spacing w:before="120" w:after="120" w:line="0" w:lineRule="atLeast"/>
        <w:rPr>
          <w:rFonts w:hint="eastAsia" w:hAnsi="宋体" w:cs="宋体"/>
          <w:sz w:val="24"/>
          <w:szCs w:val="24"/>
        </w:rPr>
      </w:pPr>
      <w:r>
        <w:rPr>
          <w:rFonts w:hint="eastAsia" w:hAnsi="宋体" w:cs="宋体"/>
          <w:sz w:val="24"/>
          <w:szCs w:val="24"/>
        </w:rPr>
        <w:t xml:space="preserve">  联系电话：                   联系电话：</w:t>
      </w:r>
    </w:p>
    <w:p w14:paraId="2CB168D4">
      <w:pPr>
        <w:pStyle w:val="18"/>
        <w:snapToGrid w:val="0"/>
        <w:spacing w:before="120" w:after="120" w:line="0" w:lineRule="atLeast"/>
        <w:jc w:val="center"/>
        <w:rPr>
          <w:rFonts w:hint="eastAsia" w:hAnsi="宋体" w:cs="宋体"/>
          <w:sz w:val="24"/>
          <w:szCs w:val="24"/>
        </w:rPr>
      </w:pPr>
    </w:p>
    <w:p w14:paraId="2D0F6761">
      <w:pPr>
        <w:pStyle w:val="18"/>
        <w:snapToGrid w:val="0"/>
        <w:spacing w:before="120" w:after="120" w:line="0" w:lineRule="atLeast"/>
        <w:ind w:firstLine="3840" w:firstLineChars="1600"/>
        <w:rPr>
          <w:rFonts w:hint="eastAsia" w:hAnsi="宋体" w:cs="宋体"/>
          <w:sz w:val="24"/>
          <w:szCs w:val="24"/>
        </w:rPr>
      </w:pPr>
      <w:r>
        <w:rPr>
          <w:rFonts w:hint="eastAsia" w:hAnsi="宋体" w:cs="宋体"/>
          <w:sz w:val="24"/>
          <w:szCs w:val="24"/>
        </w:rPr>
        <w:t>签订日期：  年   月   日</w:t>
      </w:r>
      <w:bookmarkStart w:id="149" w:name="_Hlt16619369"/>
      <w:bookmarkEnd w:id="149"/>
    </w:p>
    <w:p w14:paraId="42FDD053">
      <w:r>
        <w:br w:type="page"/>
      </w:r>
    </w:p>
    <w:p w14:paraId="1E2DE30F">
      <w:pPr>
        <w:pStyle w:val="33"/>
        <w:jc w:val="left"/>
      </w:pPr>
      <w:r>
        <w:t>附件一</w:t>
      </w:r>
    </w:p>
    <w:p w14:paraId="616C874C">
      <w:pPr>
        <w:pStyle w:val="4"/>
        <w:jc w:val="center"/>
      </w:pPr>
      <w:r>
        <w:rPr>
          <w:rFonts w:hint="eastAsia"/>
        </w:rPr>
        <w:t>采购</w:t>
      </w:r>
      <w:r>
        <w:t>需求</w:t>
      </w:r>
    </w:p>
    <w:p w14:paraId="1B8F4814">
      <w:pPr>
        <w:pStyle w:val="33"/>
        <w:jc w:val="left"/>
      </w:pPr>
      <w:r>
        <w:t>附件二</w:t>
      </w:r>
    </w:p>
    <w:p w14:paraId="62CCD618">
      <w:pPr>
        <w:pStyle w:val="4"/>
        <w:jc w:val="center"/>
      </w:pPr>
      <w:r>
        <w:rPr>
          <w:rFonts w:hint="eastAsia"/>
        </w:rPr>
        <w:t>运维服务质量考核标准</w:t>
      </w:r>
    </w:p>
    <w:tbl>
      <w:tblPr>
        <w:tblStyle w:val="36"/>
        <w:tblW w:w="0" w:type="auto"/>
        <w:jc w:val="center"/>
        <w:tblLayout w:type="fixed"/>
        <w:tblCellMar>
          <w:top w:w="0" w:type="dxa"/>
          <w:left w:w="108" w:type="dxa"/>
          <w:bottom w:w="0" w:type="dxa"/>
          <w:right w:w="108" w:type="dxa"/>
        </w:tblCellMar>
      </w:tblPr>
      <w:tblGrid>
        <w:gridCol w:w="638"/>
        <w:gridCol w:w="661"/>
        <w:gridCol w:w="762"/>
        <w:gridCol w:w="5774"/>
        <w:gridCol w:w="461"/>
      </w:tblGrid>
      <w:tr w14:paraId="013E3B3A">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673E44B6">
            <w:pPr>
              <w:pStyle w:val="2"/>
              <w:adjustRightInd w:val="0"/>
              <w:snapToGrid w:val="0"/>
              <w:spacing w:after="0"/>
              <w:ind w:firstLine="0" w:firstLineChars="0"/>
              <w:rPr>
                <w:rFonts w:hint="eastAsia" w:hAnsi="宋体"/>
                <w:b/>
                <w:bCs/>
                <w:szCs w:val="21"/>
              </w:rPr>
            </w:pPr>
            <w:r>
              <w:rPr>
                <w:rFonts w:hAnsi="宋体"/>
                <w:b/>
                <w:bCs/>
                <w:szCs w:val="21"/>
              </w:rPr>
              <w:t>序号</w:t>
            </w:r>
          </w:p>
        </w:tc>
        <w:tc>
          <w:tcPr>
            <w:tcW w:w="661" w:type="dxa"/>
            <w:tcBorders>
              <w:top w:val="single" w:color="000000" w:sz="4" w:space="0"/>
              <w:left w:val="single" w:color="000000" w:sz="4" w:space="0"/>
              <w:bottom w:val="single" w:color="000000" w:sz="4" w:space="0"/>
              <w:right w:val="single" w:color="000000" w:sz="4" w:space="0"/>
            </w:tcBorders>
            <w:vAlign w:val="center"/>
          </w:tcPr>
          <w:p w14:paraId="5ADEECD5">
            <w:pPr>
              <w:pStyle w:val="2"/>
              <w:adjustRightInd w:val="0"/>
              <w:snapToGrid w:val="0"/>
              <w:spacing w:after="0"/>
              <w:ind w:firstLine="0" w:firstLineChars="0"/>
              <w:rPr>
                <w:rFonts w:hint="eastAsia" w:hAnsi="宋体"/>
                <w:b/>
                <w:bCs/>
                <w:szCs w:val="21"/>
              </w:rPr>
            </w:pPr>
            <w:r>
              <w:rPr>
                <w:rFonts w:hAnsi="宋体"/>
                <w:b/>
                <w:bCs/>
                <w:szCs w:val="21"/>
              </w:rPr>
              <w:t>考核类别</w:t>
            </w:r>
          </w:p>
        </w:tc>
        <w:tc>
          <w:tcPr>
            <w:tcW w:w="762" w:type="dxa"/>
            <w:tcBorders>
              <w:top w:val="single" w:color="000000" w:sz="4" w:space="0"/>
              <w:left w:val="single" w:color="000000" w:sz="4" w:space="0"/>
              <w:bottom w:val="single" w:color="000000" w:sz="4" w:space="0"/>
              <w:right w:val="single" w:color="000000" w:sz="4" w:space="0"/>
            </w:tcBorders>
            <w:vAlign w:val="center"/>
          </w:tcPr>
          <w:p w14:paraId="353084BE">
            <w:pPr>
              <w:pStyle w:val="2"/>
              <w:adjustRightInd w:val="0"/>
              <w:snapToGrid w:val="0"/>
              <w:spacing w:after="0"/>
              <w:ind w:firstLine="0" w:firstLineChars="0"/>
              <w:rPr>
                <w:rFonts w:hint="eastAsia" w:hAnsi="宋体"/>
                <w:b/>
                <w:bCs/>
                <w:szCs w:val="21"/>
              </w:rPr>
            </w:pPr>
            <w:r>
              <w:rPr>
                <w:rFonts w:hAnsi="宋体"/>
                <w:b/>
                <w:bCs/>
                <w:szCs w:val="21"/>
              </w:rPr>
              <w:t>考核项目</w:t>
            </w:r>
          </w:p>
        </w:tc>
        <w:tc>
          <w:tcPr>
            <w:tcW w:w="5774" w:type="dxa"/>
            <w:tcBorders>
              <w:top w:val="single" w:color="000000" w:sz="4" w:space="0"/>
              <w:left w:val="single" w:color="000000" w:sz="4" w:space="0"/>
              <w:bottom w:val="single" w:color="000000" w:sz="4" w:space="0"/>
              <w:right w:val="single" w:color="000000" w:sz="4" w:space="0"/>
            </w:tcBorders>
            <w:vAlign w:val="center"/>
          </w:tcPr>
          <w:p w14:paraId="21612CF1">
            <w:pPr>
              <w:pStyle w:val="2"/>
              <w:adjustRightInd w:val="0"/>
              <w:snapToGrid w:val="0"/>
              <w:spacing w:after="0"/>
              <w:ind w:firstLine="0" w:firstLineChars="0"/>
              <w:rPr>
                <w:rFonts w:hint="eastAsia" w:hAnsi="宋体"/>
                <w:b/>
                <w:bCs/>
                <w:szCs w:val="21"/>
              </w:rPr>
            </w:pPr>
            <w:r>
              <w:rPr>
                <w:rFonts w:hAnsi="宋体"/>
                <w:b/>
                <w:bCs/>
                <w:szCs w:val="21"/>
              </w:rPr>
              <w:t>考核内容</w:t>
            </w:r>
          </w:p>
        </w:tc>
        <w:tc>
          <w:tcPr>
            <w:tcW w:w="461" w:type="dxa"/>
            <w:tcBorders>
              <w:top w:val="single" w:color="000000" w:sz="4" w:space="0"/>
              <w:left w:val="single" w:color="000000" w:sz="4" w:space="0"/>
              <w:bottom w:val="single" w:color="000000" w:sz="4" w:space="0"/>
              <w:right w:val="single" w:color="000000" w:sz="4" w:space="0"/>
            </w:tcBorders>
            <w:vAlign w:val="center"/>
          </w:tcPr>
          <w:p w14:paraId="2805CAB5">
            <w:pPr>
              <w:pStyle w:val="2"/>
              <w:adjustRightInd w:val="0"/>
              <w:snapToGrid w:val="0"/>
              <w:spacing w:after="0"/>
              <w:ind w:firstLine="0" w:firstLineChars="0"/>
              <w:rPr>
                <w:rFonts w:hint="eastAsia" w:hAnsi="宋体"/>
                <w:b/>
                <w:bCs/>
                <w:szCs w:val="21"/>
              </w:rPr>
            </w:pPr>
            <w:r>
              <w:rPr>
                <w:rFonts w:hAnsi="宋体"/>
                <w:b/>
                <w:bCs/>
                <w:szCs w:val="21"/>
              </w:rPr>
              <w:t>满分</w:t>
            </w:r>
          </w:p>
        </w:tc>
      </w:tr>
      <w:tr w14:paraId="70E52662">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4B72DFC2">
            <w:pPr>
              <w:pStyle w:val="2"/>
              <w:adjustRightInd w:val="0"/>
              <w:snapToGrid w:val="0"/>
              <w:spacing w:after="0"/>
              <w:ind w:firstLine="0" w:firstLineChars="0"/>
              <w:rPr>
                <w:rFonts w:hint="eastAsia" w:hAnsi="宋体"/>
                <w:szCs w:val="21"/>
              </w:rPr>
            </w:pPr>
            <w:r>
              <w:rPr>
                <w:rFonts w:hAnsi="宋体"/>
                <w:szCs w:val="21"/>
              </w:rPr>
              <w:t>1</w:t>
            </w:r>
          </w:p>
        </w:tc>
        <w:tc>
          <w:tcPr>
            <w:tcW w:w="661" w:type="dxa"/>
            <w:vMerge w:val="restart"/>
            <w:tcBorders>
              <w:top w:val="single" w:color="000000" w:sz="4" w:space="0"/>
              <w:left w:val="single" w:color="000000" w:sz="4" w:space="0"/>
              <w:bottom w:val="single" w:color="000000" w:sz="4" w:space="0"/>
              <w:right w:val="single" w:color="000000" w:sz="4" w:space="0"/>
            </w:tcBorders>
            <w:vAlign w:val="center"/>
          </w:tcPr>
          <w:p w14:paraId="10FEFE75">
            <w:pPr>
              <w:pStyle w:val="2"/>
              <w:adjustRightInd w:val="0"/>
              <w:snapToGrid w:val="0"/>
              <w:spacing w:after="0"/>
              <w:ind w:firstLine="0" w:firstLineChars="0"/>
              <w:rPr>
                <w:rFonts w:hint="eastAsia" w:hAnsi="宋体"/>
                <w:szCs w:val="21"/>
              </w:rPr>
            </w:pPr>
            <w:r>
              <w:rPr>
                <w:rFonts w:hAnsi="宋体"/>
                <w:szCs w:val="21"/>
              </w:rPr>
              <w:t>团队人员考核</w:t>
            </w:r>
          </w:p>
        </w:tc>
        <w:tc>
          <w:tcPr>
            <w:tcW w:w="762" w:type="dxa"/>
            <w:tcBorders>
              <w:top w:val="single" w:color="000000" w:sz="4" w:space="0"/>
              <w:left w:val="single" w:color="000000" w:sz="4" w:space="0"/>
              <w:bottom w:val="single" w:color="000000" w:sz="4" w:space="0"/>
              <w:right w:val="single" w:color="000000" w:sz="4" w:space="0"/>
            </w:tcBorders>
            <w:vAlign w:val="center"/>
          </w:tcPr>
          <w:p w14:paraId="21747971">
            <w:pPr>
              <w:pStyle w:val="2"/>
              <w:adjustRightInd w:val="0"/>
              <w:snapToGrid w:val="0"/>
              <w:spacing w:after="0"/>
              <w:ind w:firstLine="0" w:firstLineChars="0"/>
              <w:rPr>
                <w:rFonts w:hint="eastAsia" w:hAnsi="宋体"/>
                <w:szCs w:val="21"/>
              </w:rPr>
            </w:pPr>
            <w:r>
              <w:rPr>
                <w:rFonts w:hAnsi="宋体"/>
                <w:szCs w:val="21"/>
              </w:rPr>
              <w:t>人员岗位设置</w:t>
            </w:r>
          </w:p>
        </w:tc>
        <w:tc>
          <w:tcPr>
            <w:tcW w:w="5774" w:type="dxa"/>
            <w:tcBorders>
              <w:top w:val="single" w:color="000000" w:sz="4" w:space="0"/>
              <w:left w:val="single" w:color="000000" w:sz="4" w:space="0"/>
              <w:bottom w:val="single" w:color="000000" w:sz="4" w:space="0"/>
              <w:right w:val="single" w:color="000000" w:sz="4" w:space="0"/>
            </w:tcBorders>
            <w:vAlign w:val="center"/>
          </w:tcPr>
          <w:p w14:paraId="0C639A9A">
            <w:pPr>
              <w:pStyle w:val="2"/>
              <w:adjustRightInd w:val="0"/>
              <w:snapToGrid w:val="0"/>
              <w:spacing w:after="0"/>
              <w:ind w:firstLine="0" w:firstLineChars="0"/>
              <w:rPr>
                <w:rFonts w:hint="eastAsia" w:hAnsi="宋体"/>
                <w:szCs w:val="21"/>
              </w:rPr>
            </w:pPr>
            <w:r>
              <w:rPr>
                <w:rFonts w:hAnsi="宋体"/>
                <w:szCs w:val="21"/>
              </w:rPr>
              <w:t>符合合同人数要求与资质要求，不满足要求人数与资质要求，每发现一次扣4分；如不整改属重大违约，终止合同；</w:t>
            </w:r>
          </w:p>
        </w:tc>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642EC269">
            <w:pPr>
              <w:pStyle w:val="2"/>
              <w:adjustRightInd w:val="0"/>
              <w:snapToGrid w:val="0"/>
              <w:spacing w:after="0"/>
              <w:ind w:firstLine="0" w:firstLineChars="0"/>
              <w:rPr>
                <w:rFonts w:hint="eastAsia" w:hAnsi="宋体"/>
                <w:szCs w:val="21"/>
              </w:rPr>
            </w:pPr>
            <w:r>
              <w:rPr>
                <w:rFonts w:hAnsi="宋体"/>
                <w:szCs w:val="21"/>
              </w:rPr>
              <w:t>15</w:t>
            </w:r>
          </w:p>
        </w:tc>
      </w:tr>
      <w:tr w14:paraId="34F79D68">
        <w:tblPrEx>
          <w:tblCellMar>
            <w:top w:w="0" w:type="dxa"/>
            <w:left w:w="108" w:type="dxa"/>
            <w:bottom w:w="0" w:type="dxa"/>
            <w:right w:w="108" w:type="dxa"/>
          </w:tblCellMar>
        </w:tblPrEx>
        <w:trPr>
          <w:trHeight w:val="72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21FE818D">
            <w:pPr>
              <w:pStyle w:val="2"/>
              <w:adjustRightInd w:val="0"/>
              <w:snapToGrid w:val="0"/>
              <w:spacing w:after="0"/>
              <w:ind w:firstLine="0" w:firstLineChars="0"/>
              <w:rPr>
                <w:rFonts w:hint="eastAsia" w:hAnsi="宋体"/>
                <w:szCs w:val="21"/>
              </w:rPr>
            </w:pPr>
            <w:r>
              <w:rPr>
                <w:rFonts w:hAnsi="宋体"/>
                <w:szCs w:val="21"/>
              </w:rPr>
              <w:t>2</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3BBCD31E">
            <w:pPr>
              <w:pStyle w:val="2"/>
              <w:adjustRightInd w:val="0"/>
              <w:snapToGrid w:val="0"/>
              <w:spacing w:after="0"/>
              <w:ind w:firstLine="0" w:firstLineChars="0"/>
              <w:rPr>
                <w:rFonts w:hint="eastAsia" w:hAnsi="宋体"/>
                <w:szCs w:val="21"/>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55FBF805">
            <w:pPr>
              <w:pStyle w:val="2"/>
              <w:adjustRightInd w:val="0"/>
              <w:snapToGrid w:val="0"/>
              <w:spacing w:after="0"/>
              <w:ind w:firstLine="0" w:firstLineChars="0"/>
              <w:rPr>
                <w:rFonts w:hint="eastAsia" w:hAnsi="宋体"/>
                <w:szCs w:val="21"/>
              </w:rPr>
            </w:pPr>
            <w:r>
              <w:rPr>
                <w:rFonts w:hAnsi="宋体"/>
                <w:szCs w:val="21"/>
              </w:rPr>
              <w:t>人员稳定性</w:t>
            </w:r>
          </w:p>
        </w:tc>
        <w:tc>
          <w:tcPr>
            <w:tcW w:w="5774" w:type="dxa"/>
            <w:tcBorders>
              <w:top w:val="single" w:color="000000" w:sz="4" w:space="0"/>
              <w:left w:val="single" w:color="000000" w:sz="4" w:space="0"/>
              <w:bottom w:val="single" w:color="000000" w:sz="4" w:space="0"/>
              <w:right w:val="single" w:color="000000" w:sz="4" w:space="0"/>
            </w:tcBorders>
            <w:vAlign w:val="center"/>
          </w:tcPr>
          <w:p w14:paraId="3E66B4A7">
            <w:pPr>
              <w:pStyle w:val="2"/>
              <w:adjustRightInd w:val="0"/>
              <w:snapToGrid w:val="0"/>
              <w:spacing w:after="0"/>
              <w:ind w:firstLine="0" w:firstLineChars="0"/>
              <w:rPr>
                <w:rFonts w:hint="eastAsia" w:hAnsi="宋体"/>
                <w:szCs w:val="21"/>
              </w:rPr>
            </w:pPr>
            <w:r>
              <w:rPr>
                <w:rFonts w:hAnsi="宋体"/>
                <w:szCs w:val="21"/>
              </w:rPr>
              <w:t>服务团队人员在服务期间未经业主单位许可出现离职更换，属于现场服务人员的，在月度考核结果中每发现一次扣4分，属于其他服务人员的，在月度考核结果中每发现一次扣2分；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052D4689">
            <w:pPr>
              <w:pStyle w:val="2"/>
              <w:adjustRightInd w:val="0"/>
              <w:snapToGrid w:val="0"/>
              <w:spacing w:after="0"/>
              <w:ind w:firstLine="0" w:firstLineChars="0"/>
              <w:rPr>
                <w:rFonts w:hint="eastAsia" w:hAnsi="宋体"/>
                <w:szCs w:val="21"/>
              </w:rPr>
            </w:pPr>
          </w:p>
        </w:tc>
      </w:tr>
      <w:tr w14:paraId="3C7226FF">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1A5E7BFF">
            <w:pPr>
              <w:pStyle w:val="2"/>
              <w:adjustRightInd w:val="0"/>
              <w:snapToGrid w:val="0"/>
              <w:spacing w:after="0"/>
              <w:ind w:firstLine="0" w:firstLineChars="0"/>
              <w:rPr>
                <w:rFonts w:hint="eastAsia" w:hAnsi="宋体"/>
                <w:szCs w:val="21"/>
              </w:rPr>
            </w:pPr>
            <w:r>
              <w:rPr>
                <w:rFonts w:hAnsi="宋体"/>
                <w:szCs w:val="21"/>
              </w:rPr>
              <w:t>3</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35C7979D">
            <w:pPr>
              <w:pStyle w:val="2"/>
              <w:adjustRightInd w:val="0"/>
              <w:snapToGrid w:val="0"/>
              <w:spacing w:after="0"/>
              <w:ind w:firstLine="0" w:firstLineChars="0"/>
              <w:rPr>
                <w:rFonts w:hint="eastAsia" w:hAnsi="宋体"/>
                <w:szCs w:val="21"/>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451041CB">
            <w:pPr>
              <w:pStyle w:val="2"/>
              <w:adjustRightInd w:val="0"/>
              <w:snapToGrid w:val="0"/>
              <w:spacing w:after="0"/>
              <w:ind w:firstLine="0" w:firstLineChars="0"/>
              <w:rPr>
                <w:rFonts w:hint="eastAsia" w:hAnsi="宋体"/>
                <w:szCs w:val="21"/>
              </w:rPr>
            </w:pPr>
            <w:r>
              <w:rPr>
                <w:rFonts w:hAnsi="宋体"/>
                <w:szCs w:val="21"/>
              </w:rPr>
              <w:t>人员业务水平</w:t>
            </w:r>
          </w:p>
        </w:tc>
        <w:tc>
          <w:tcPr>
            <w:tcW w:w="5774" w:type="dxa"/>
            <w:tcBorders>
              <w:top w:val="single" w:color="000000" w:sz="4" w:space="0"/>
              <w:left w:val="single" w:color="000000" w:sz="4" w:space="0"/>
              <w:bottom w:val="single" w:color="000000" w:sz="4" w:space="0"/>
              <w:right w:val="single" w:color="000000" w:sz="4" w:space="0"/>
            </w:tcBorders>
            <w:vAlign w:val="center"/>
          </w:tcPr>
          <w:p w14:paraId="1BB8E7D5">
            <w:pPr>
              <w:pStyle w:val="2"/>
              <w:adjustRightInd w:val="0"/>
              <w:snapToGrid w:val="0"/>
              <w:spacing w:after="0"/>
              <w:ind w:firstLine="0" w:firstLineChars="0"/>
              <w:rPr>
                <w:rFonts w:hint="eastAsia" w:hAnsi="宋体"/>
                <w:szCs w:val="21"/>
              </w:rPr>
            </w:pPr>
            <w:r>
              <w:rPr>
                <w:rFonts w:hAnsi="宋体"/>
                <w:szCs w:val="21"/>
              </w:rPr>
              <w:t>考核工程师对业务的熟悉程度、相关知识掌握程度、运维项目保密工作等。出现误操作事件每人次扣4分；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1FA29D1D">
            <w:pPr>
              <w:pStyle w:val="2"/>
              <w:adjustRightInd w:val="0"/>
              <w:snapToGrid w:val="0"/>
              <w:spacing w:after="0"/>
              <w:ind w:firstLine="0" w:firstLineChars="0"/>
              <w:rPr>
                <w:rFonts w:hint="eastAsia" w:hAnsi="宋体"/>
                <w:szCs w:val="21"/>
              </w:rPr>
            </w:pPr>
          </w:p>
        </w:tc>
      </w:tr>
      <w:tr w14:paraId="347DA70B">
        <w:tblPrEx>
          <w:tblCellMar>
            <w:top w:w="0" w:type="dxa"/>
            <w:left w:w="108" w:type="dxa"/>
            <w:bottom w:w="0" w:type="dxa"/>
            <w:right w:w="108" w:type="dxa"/>
          </w:tblCellMar>
        </w:tblPrEx>
        <w:trPr>
          <w:trHeight w:val="24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024EC6BA">
            <w:pPr>
              <w:pStyle w:val="2"/>
              <w:adjustRightInd w:val="0"/>
              <w:snapToGrid w:val="0"/>
              <w:spacing w:after="0"/>
              <w:ind w:firstLine="0" w:firstLineChars="0"/>
              <w:rPr>
                <w:rFonts w:hint="eastAsia" w:hAnsi="宋体"/>
                <w:szCs w:val="21"/>
              </w:rPr>
            </w:pPr>
            <w:r>
              <w:rPr>
                <w:rFonts w:hAnsi="宋体"/>
                <w:szCs w:val="21"/>
              </w:rPr>
              <w:t>4</w:t>
            </w:r>
          </w:p>
        </w:tc>
        <w:tc>
          <w:tcPr>
            <w:tcW w:w="661" w:type="dxa"/>
            <w:tcBorders>
              <w:top w:val="single" w:color="000000" w:sz="4" w:space="0"/>
              <w:left w:val="single" w:color="000000" w:sz="4" w:space="0"/>
              <w:bottom w:val="single" w:color="000000" w:sz="4" w:space="0"/>
              <w:right w:val="single" w:color="000000" w:sz="4" w:space="0"/>
            </w:tcBorders>
            <w:vAlign w:val="center"/>
          </w:tcPr>
          <w:p w14:paraId="232A88FE">
            <w:pPr>
              <w:pStyle w:val="2"/>
              <w:adjustRightInd w:val="0"/>
              <w:snapToGrid w:val="0"/>
              <w:spacing w:after="0"/>
              <w:ind w:firstLine="0" w:firstLineChars="0"/>
              <w:rPr>
                <w:rFonts w:hint="eastAsia" w:hAnsi="宋体"/>
                <w:szCs w:val="21"/>
              </w:rPr>
            </w:pPr>
            <w:r>
              <w:rPr>
                <w:rFonts w:hAnsi="宋体"/>
                <w:szCs w:val="21"/>
              </w:rPr>
              <w:t>满意度考核</w:t>
            </w:r>
          </w:p>
        </w:tc>
        <w:tc>
          <w:tcPr>
            <w:tcW w:w="762" w:type="dxa"/>
            <w:tcBorders>
              <w:top w:val="single" w:color="000000" w:sz="4" w:space="0"/>
              <w:left w:val="single" w:color="000000" w:sz="4" w:space="0"/>
              <w:bottom w:val="single" w:color="000000" w:sz="4" w:space="0"/>
              <w:right w:val="single" w:color="000000" w:sz="4" w:space="0"/>
            </w:tcBorders>
            <w:vAlign w:val="center"/>
          </w:tcPr>
          <w:p w14:paraId="31D62D54">
            <w:pPr>
              <w:pStyle w:val="2"/>
              <w:adjustRightInd w:val="0"/>
              <w:snapToGrid w:val="0"/>
              <w:spacing w:after="0"/>
              <w:ind w:firstLine="0" w:firstLineChars="0"/>
              <w:rPr>
                <w:rFonts w:hint="eastAsia" w:hAnsi="宋体"/>
                <w:szCs w:val="21"/>
              </w:rPr>
            </w:pPr>
            <w:r>
              <w:rPr>
                <w:rFonts w:hAnsi="宋体"/>
                <w:szCs w:val="21"/>
              </w:rPr>
              <w:t>运维服务满意度</w:t>
            </w:r>
          </w:p>
        </w:tc>
        <w:tc>
          <w:tcPr>
            <w:tcW w:w="5774" w:type="dxa"/>
            <w:tcBorders>
              <w:top w:val="single" w:color="000000" w:sz="4" w:space="0"/>
              <w:left w:val="single" w:color="000000" w:sz="4" w:space="0"/>
              <w:bottom w:val="single" w:color="000000" w:sz="4" w:space="0"/>
              <w:right w:val="single" w:color="000000" w:sz="4" w:space="0"/>
            </w:tcBorders>
            <w:vAlign w:val="center"/>
          </w:tcPr>
          <w:p w14:paraId="0095AAB7">
            <w:pPr>
              <w:pStyle w:val="2"/>
              <w:adjustRightInd w:val="0"/>
              <w:snapToGrid w:val="0"/>
              <w:spacing w:after="0"/>
              <w:ind w:firstLine="0" w:firstLineChars="0"/>
              <w:rPr>
                <w:rFonts w:hint="eastAsia" w:hAnsi="宋体"/>
                <w:szCs w:val="21"/>
              </w:rPr>
            </w:pPr>
            <w:r>
              <w:rPr>
                <w:rFonts w:hAnsi="宋体"/>
                <w:szCs w:val="21"/>
              </w:rPr>
              <w:t>牵头业务部门满意度</w:t>
            </w:r>
          </w:p>
        </w:tc>
        <w:tc>
          <w:tcPr>
            <w:tcW w:w="461" w:type="dxa"/>
            <w:tcBorders>
              <w:top w:val="single" w:color="000000" w:sz="4" w:space="0"/>
              <w:left w:val="single" w:color="000000" w:sz="4" w:space="0"/>
              <w:bottom w:val="single" w:color="000000" w:sz="4" w:space="0"/>
              <w:right w:val="single" w:color="000000" w:sz="4" w:space="0"/>
            </w:tcBorders>
            <w:vAlign w:val="center"/>
          </w:tcPr>
          <w:p w14:paraId="08C2CEA1">
            <w:pPr>
              <w:pStyle w:val="2"/>
              <w:adjustRightInd w:val="0"/>
              <w:snapToGrid w:val="0"/>
              <w:spacing w:after="0"/>
              <w:ind w:firstLine="0" w:firstLineChars="0"/>
              <w:rPr>
                <w:rFonts w:hint="eastAsia" w:hAnsi="宋体"/>
                <w:szCs w:val="21"/>
              </w:rPr>
            </w:pPr>
            <w:r>
              <w:rPr>
                <w:rFonts w:hAnsi="宋体"/>
                <w:szCs w:val="21"/>
              </w:rPr>
              <w:t>20</w:t>
            </w:r>
          </w:p>
        </w:tc>
      </w:tr>
      <w:tr w14:paraId="6F060161">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537E2AF2">
            <w:pPr>
              <w:pStyle w:val="2"/>
              <w:adjustRightInd w:val="0"/>
              <w:snapToGrid w:val="0"/>
              <w:spacing w:after="0"/>
              <w:ind w:firstLine="0" w:firstLineChars="0"/>
              <w:rPr>
                <w:rFonts w:hint="eastAsia" w:hAnsi="宋体"/>
                <w:szCs w:val="21"/>
              </w:rPr>
            </w:pPr>
            <w:r>
              <w:rPr>
                <w:rFonts w:hAnsi="宋体"/>
                <w:szCs w:val="21"/>
              </w:rPr>
              <w:t>5</w:t>
            </w:r>
          </w:p>
        </w:tc>
        <w:tc>
          <w:tcPr>
            <w:tcW w:w="661" w:type="dxa"/>
            <w:vMerge w:val="restart"/>
            <w:tcBorders>
              <w:top w:val="single" w:color="000000" w:sz="4" w:space="0"/>
              <w:left w:val="single" w:color="000000" w:sz="4" w:space="0"/>
              <w:bottom w:val="single" w:color="000000" w:sz="4" w:space="0"/>
              <w:right w:val="single" w:color="000000" w:sz="4" w:space="0"/>
            </w:tcBorders>
            <w:vAlign w:val="center"/>
          </w:tcPr>
          <w:p w14:paraId="2A427539">
            <w:pPr>
              <w:pStyle w:val="2"/>
              <w:adjustRightInd w:val="0"/>
              <w:snapToGrid w:val="0"/>
              <w:spacing w:after="0"/>
              <w:ind w:firstLine="0" w:firstLineChars="0"/>
              <w:rPr>
                <w:rFonts w:hint="eastAsia" w:hAnsi="宋体"/>
                <w:szCs w:val="21"/>
              </w:rPr>
            </w:pPr>
            <w:r>
              <w:rPr>
                <w:rFonts w:hAnsi="宋体"/>
                <w:szCs w:val="21"/>
              </w:rPr>
              <w:t>日常维护考核</w:t>
            </w:r>
          </w:p>
        </w:tc>
        <w:tc>
          <w:tcPr>
            <w:tcW w:w="762" w:type="dxa"/>
            <w:tcBorders>
              <w:top w:val="single" w:color="000000" w:sz="4" w:space="0"/>
              <w:left w:val="single" w:color="000000" w:sz="4" w:space="0"/>
              <w:bottom w:val="single" w:color="000000" w:sz="4" w:space="0"/>
              <w:right w:val="single" w:color="000000" w:sz="4" w:space="0"/>
            </w:tcBorders>
            <w:vAlign w:val="center"/>
          </w:tcPr>
          <w:p w14:paraId="5297CBB2">
            <w:pPr>
              <w:pStyle w:val="2"/>
              <w:adjustRightInd w:val="0"/>
              <w:snapToGrid w:val="0"/>
              <w:spacing w:after="0"/>
              <w:ind w:firstLine="0" w:firstLineChars="0"/>
              <w:rPr>
                <w:rFonts w:hint="eastAsia" w:hAnsi="宋体"/>
                <w:szCs w:val="21"/>
              </w:rPr>
            </w:pPr>
            <w:r>
              <w:rPr>
                <w:rFonts w:hAnsi="宋体"/>
                <w:szCs w:val="21"/>
              </w:rPr>
              <w:t>巡检和应急支持</w:t>
            </w:r>
          </w:p>
        </w:tc>
        <w:tc>
          <w:tcPr>
            <w:tcW w:w="5774" w:type="dxa"/>
            <w:tcBorders>
              <w:top w:val="single" w:color="000000" w:sz="4" w:space="0"/>
              <w:left w:val="single" w:color="000000" w:sz="4" w:space="0"/>
              <w:bottom w:val="single" w:color="000000" w:sz="4" w:space="0"/>
              <w:right w:val="single" w:color="000000" w:sz="4" w:space="0"/>
            </w:tcBorders>
            <w:vAlign w:val="center"/>
          </w:tcPr>
          <w:p w14:paraId="246E4A27">
            <w:pPr>
              <w:pStyle w:val="2"/>
              <w:adjustRightInd w:val="0"/>
              <w:snapToGrid w:val="0"/>
              <w:spacing w:after="0"/>
              <w:ind w:firstLine="0" w:firstLineChars="0"/>
              <w:rPr>
                <w:rFonts w:hint="eastAsia" w:hAnsi="宋体"/>
                <w:szCs w:val="21"/>
              </w:rPr>
            </w:pPr>
            <w:r>
              <w:rPr>
                <w:rFonts w:hAnsi="宋体"/>
                <w:szCs w:val="21"/>
              </w:rPr>
              <w:t>按要求完成日常运维任务，未按时进行巡检的，每次扣3分；未按要求响应支持应急和处理事件的，每次扣5分；</w:t>
            </w:r>
          </w:p>
        </w:tc>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361F6F85">
            <w:pPr>
              <w:pStyle w:val="2"/>
              <w:adjustRightInd w:val="0"/>
              <w:snapToGrid w:val="0"/>
              <w:spacing w:after="0"/>
              <w:ind w:firstLine="0" w:firstLineChars="0"/>
              <w:rPr>
                <w:rFonts w:hint="eastAsia" w:hAnsi="宋体"/>
                <w:szCs w:val="21"/>
              </w:rPr>
            </w:pPr>
            <w:r>
              <w:rPr>
                <w:rFonts w:hAnsi="宋体"/>
                <w:szCs w:val="21"/>
              </w:rPr>
              <w:t>20</w:t>
            </w:r>
          </w:p>
        </w:tc>
      </w:tr>
      <w:tr w14:paraId="1EA3A8C2">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546FCBB1">
            <w:pPr>
              <w:pStyle w:val="2"/>
              <w:adjustRightInd w:val="0"/>
              <w:snapToGrid w:val="0"/>
              <w:spacing w:after="0"/>
              <w:ind w:firstLine="0" w:firstLineChars="0"/>
              <w:rPr>
                <w:rFonts w:hint="eastAsia" w:hAnsi="宋体"/>
                <w:szCs w:val="21"/>
              </w:rPr>
            </w:pPr>
            <w:r>
              <w:rPr>
                <w:rFonts w:hAnsi="宋体"/>
                <w:szCs w:val="21"/>
              </w:rPr>
              <w:t>6</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5FE61D0A">
            <w:pPr>
              <w:pStyle w:val="2"/>
              <w:adjustRightInd w:val="0"/>
              <w:snapToGrid w:val="0"/>
              <w:spacing w:after="0"/>
              <w:ind w:firstLine="0" w:firstLineChars="0"/>
              <w:rPr>
                <w:rFonts w:hint="eastAsia" w:hAnsi="宋体"/>
                <w:szCs w:val="21"/>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19F4FD60">
            <w:pPr>
              <w:pStyle w:val="2"/>
              <w:adjustRightInd w:val="0"/>
              <w:snapToGrid w:val="0"/>
              <w:spacing w:after="0"/>
              <w:ind w:firstLine="0" w:firstLineChars="0"/>
              <w:rPr>
                <w:rFonts w:hint="eastAsia" w:hAnsi="宋体"/>
                <w:szCs w:val="21"/>
              </w:rPr>
            </w:pPr>
            <w:r>
              <w:rPr>
                <w:rFonts w:hAnsi="宋体"/>
                <w:szCs w:val="21"/>
              </w:rPr>
              <w:t>软硬件升级</w:t>
            </w:r>
          </w:p>
        </w:tc>
        <w:tc>
          <w:tcPr>
            <w:tcW w:w="5774" w:type="dxa"/>
            <w:tcBorders>
              <w:top w:val="single" w:color="000000" w:sz="4" w:space="0"/>
              <w:left w:val="single" w:color="000000" w:sz="4" w:space="0"/>
              <w:bottom w:val="single" w:color="000000" w:sz="4" w:space="0"/>
              <w:right w:val="single" w:color="000000" w:sz="4" w:space="0"/>
            </w:tcBorders>
            <w:vAlign w:val="center"/>
          </w:tcPr>
          <w:p w14:paraId="66A8FF33">
            <w:pPr>
              <w:pStyle w:val="2"/>
              <w:adjustRightInd w:val="0"/>
              <w:snapToGrid w:val="0"/>
              <w:spacing w:after="0"/>
              <w:ind w:firstLine="0" w:firstLineChars="0"/>
              <w:rPr>
                <w:rFonts w:hint="eastAsia" w:hAnsi="宋体"/>
                <w:szCs w:val="21"/>
              </w:rPr>
            </w:pPr>
            <w:r>
              <w:rPr>
                <w:rFonts w:hAnsi="宋体"/>
                <w:szCs w:val="21"/>
              </w:rPr>
              <w:t>升级前没有事先向业主单位申请或沟通而造成不良影响的，每次扣2分；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7C53319F">
            <w:pPr>
              <w:pStyle w:val="2"/>
              <w:adjustRightInd w:val="0"/>
              <w:snapToGrid w:val="0"/>
              <w:spacing w:after="0"/>
              <w:ind w:firstLine="0" w:firstLineChars="0"/>
              <w:rPr>
                <w:rFonts w:hint="eastAsia" w:hAnsi="宋体"/>
                <w:szCs w:val="21"/>
              </w:rPr>
            </w:pPr>
          </w:p>
        </w:tc>
      </w:tr>
      <w:tr w14:paraId="59BDC369">
        <w:tblPrEx>
          <w:tblCellMar>
            <w:top w:w="0" w:type="dxa"/>
            <w:left w:w="108" w:type="dxa"/>
            <w:bottom w:w="0" w:type="dxa"/>
            <w:right w:w="108" w:type="dxa"/>
          </w:tblCellMar>
        </w:tblPrEx>
        <w:trPr>
          <w:trHeight w:val="72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078DE808">
            <w:pPr>
              <w:pStyle w:val="2"/>
              <w:adjustRightInd w:val="0"/>
              <w:snapToGrid w:val="0"/>
              <w:spacing w:after="0"/>
              <w:ind w:firstLine="0" w:firstLineChars="0"/>
              <w:rPr>
                <w:rFonts w:hint="eastAsia" w:hAnsi="宋体"/>
                <w:szCs w:val="21"/>
              </w:rPr>
            </w:pPr>
            <w:r>
              <w:rPr>
                <w:rFonts w:hAnsi="宋体"/>
                <w:szCs w:val="21"/>
              </w:rPr>
              <w:t>7</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6A0B2E4E">
            <w:pPr>
              <w:pStyle w:val="2"/>
              <w:adjustRightInd w:val="0"/>
              <w:snapToGrid w:val="0"/>
              <w:spacing w:after="0"/>
              <w:ind w:firstLine="0" w:firstLineChars="0"/>
              <w:rPr>
                <w:rFonts w:hint="eastAsia" w:hAnsi="宋体"/>
                <w:szCs w:val="21"/>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49FC5767">
            <w:pPr>
              <w:pStyle w:val="2"/>
              <w:adjustRightInd w:val="0"/>
              <w:snapToGrid w:val="0"/>
              <w:spacing w:after="0"/>
              <w:ind w:firstLine="0" w:firstLineChars="0"/>
              <w:rPr>
                <w:rFonts w:hint="eastAsia" w:hAnsi="宋体"/>
                <w:szCs w:val="21"/>
              </w:rPr>
            </w:pPr>
            <w:r>
              <w:rPr>
                <w:rFonts w:hAnsi="宋体"/>
                <w:szCs w:val="21"/>
              </w:rPr>
              <w:t>故障处理</w:t>
            </w:r>
          </w:p>
        </w:tc>
        <w:tc>
          <w:tcPr>
            <w:tcW w:w="5774" w:type="dxa"/>
            <w:tcBorders>
              <w:top w:val="single" w:color="000000" w:sz="4" w:space="0"/>
              <w:left w:val="single" w:color="000000" w:sz="4" w:space="0"/>
              <w:bottom w:val="single" w:color="000000" w:sz="4" w:space="0"/>
              <w:right w:val="single" w:color="000000" w:sz="4" w:space="0"/>
            </w:tcBorders>
            <w:vAlign w:val="center"/>
          </w:tcPr>
          <w:p w14:paraId="70B1E7ED">
            <w:pPr>
              <w:pStyle w:val="2"/>
              <w:adjustRightInd w:val="0"/>
              <w:snapToGrid w:val="0"/>
              <w:spacing w:after="0"/>
              <w:ind w:firstLine="0" w:firstLineChars="0"/>
              <w:rPr>
                <w:rFonts w:hint="eastAsia" w:hAnsi="宋体"/>
                <w:szCs w:val="21"/>
              </w:rPr>
            </w:pPr>
            <w:r>
              <w:rPr>
                <w:rFonts w:hAnsi="宋体"/>
                <w:szCs w:val="21"/>
              </w:rPr>
              <w:t>出现故障后未按故障正确的处理流程操作导致重大损失或造成恶劣影响的，每次扣15分；故障报告未在一周内提交给业主单位的，每次扣5分；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741B634F">
            <w:pPr>
              <w:pStyle w:val="2"/>
              <w:adjustRightInd w:val="0"/>
              <w:snapToGrid w:val="0"/>
              <w:spacing w:after="0"/>
              <w:ind w:firstLine="0" w:firstLineChars="0"/>
              <w:rPr>
                <w:rFonts w:hint="eastAsia" w:hAnsi="宋体"/>
                <w:szCs w:val="21"/>
              </w:rPr>
            </w:pPr>
          </w:p>
        </w:tc>
      </w:tr>
      <w:tr w14:paraId="2CB8012A">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5FFE7AC5">
            <w:pPr>
              <w:pStyle w:val="2"/>
              <w:adjustRightInd w:val="0"/>
              <w:snapToGrid w:val="0"/>
              <w:spacing w:after="0"/>
              <w:ind w:firstLine="0" w:firstLineChars="0"/>
              <w:rPr>
                <w:rFonts w:hint="eastAsia" w:hAnsi="宋体"/>
                <w:szCs w:val="21"/>
              </w:rPr>
            </w:pPr>
            <w:r>
              <w:rPr>
                <w:rFonts w:hAnsi="宋体"/>
                <w:szCs w:val="21"/>
              </w:rPr>
              <w:t>8</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40B8B96C">
            <w:pPr>
              <w:pStyle w:val="2"/>
              <w:adjustRightInd w:val="0"/>
              <w:snapToGrid w:val="0"/>
              <w:spacing w:after="0"/>
              <w:ind w:firstLine="0" w:firstLineChars="0"/>
              <w:rPr>
                <w:rFonts w:hint="eastAsia" w:hAnsi="宋体"/>
                <w:szCs w:val="21"/>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09AE469E">
            <w:pPr>
              <w:pStyle w:val="2"/>
              <w:adjustRightInd w:val="0"/>
              <w:snapToGrid w:val="0"/>
              <w:spacing w:after="0"/>
              <w:ind w:firstLine="0" w:firstLineChars="0"/>
              <w:rPr>
                <w:rFonts w:hint="eastAsia" w:hAnsi="宋体"/>
                <w:szCs w:val="21"/>
              </w:rPr>
            </w:pPr>
            <w:r>
              <w:rPr>
                <w:rFonts w:hAnsi="宋体"/>
                <w:szCs w:val="21"/>
              </w:rPr>
              <w:t>合作处理</w:t>
            </w:r>
          </w:p>
        </w:tc>
        <w:tc>
          <w:tcPr>
            <w:tcW w:w="5774" w:type="dxa"/>
            <w:tcBorders>
              <w:top w:val="single" w:color="000000" w:sz="4" w:space="0"/>
              <w:left w:val="single" w:color="000000" w:sz="4" w:space="0"/>
              <w:bottom w:val="single" w:color="000000" w:sz="4" w:space="0"/>
              <w:right w:val="single" w:color="000000" w:sz="4" w:space="0"/>
            </w:tcBorders>
            <w:vAlign w:val="center"/>
          </w:tcPr>
          <w:p w14:paraId="7DD7E1D4">
            <w:pPr>
              <w:pStyle w:val="2"/>
              <w:adjustRightInd w:val="0"/>
              <w:snapToGrid w:val="0"/>
              <w:spacing w:after="0"/>
              <w:ind w:firstLine="0" w:firstLineChars="0"/>
              <w:rPr>
                <w:rFonts w:hint="eastAsia" w:hAnsi="宋体"/>
                <w:szCs w:val="21"/>
              </w:rPr>
            </w:pPr>
            <w:r>
              <w:rPr>
                <w:rFonts w:hAnsi="宋体"/>
                <w:szCs w:val="21"/>
              </w:rPr>
              <w:t>根据问题情况与其他厂商联合进行故障排查，问题处理，拖延或推诿问题解决每次扣5分。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5DFF7853">
            <w:pPr>
              <w:pStyle w:val="2"/>
              <w:adjustRightInd w:val="0"/>
              <w:snapToGrid w:val="0"/>
              <w:spacing w:after="0"/>
              <w:ind w:firstLine="0" w:firstLineChars="0"/>
              <w:rPr>
                <w:rFonts w:hint="eastAsia" w:hAnsi="宋体"/>
                <w:szCs w:val="21"/>
              </w:rPr>
            </w:pPr>
          </w:p>
        </w:tc>
      </w:tr>
      <w:tr w14:paraId="4414BA74">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2A116926">
            <w:pPr>
              <w:pStyle w:val="2"/>
              <w:adjustRightInd w:val="0"/>
              <w:snapToGrid w:val="0"/>
              <w:spacing w:after="0"/>
              <w:ind w:firstLine="0" w:firstLineChars="0"/>
              <w:rPr>
                <w:rFonts w:hint="eastAsia" w:hAnsi="宋体"/>
                <w:szCs w:val="21"/>
              </w:rPr>
            </w:pPr>
            <w:r>
              <w:rPr>
                <w:rFonts w:hAnsi="宋体"/>
                <w:szCs w:val="21"/>
              </w:rPr>
              <w:t>9</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78FB95D1">
            <w:pPr>
              <w:pStyle w:val="2"/>
              <w:adjustRightInd w:val="0"/>
              <w:snapToGrid w:val="0"/>
              <w:spacing w:after="0"/>
              <w:ind w:firstLine="0" w:firstLineChars="0"/>
              <w:rPr>
                <w:rFonts w:hint="eastAsia" w:hAnsi="宋体"/>
                <w:szCs w:val="21"/>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66AF69E9">
            <w:pPr>
              <w:pStyle w:val="2"/>
              <w:adjustRightInd w:val="0"/>
              <w:snapToGrid w:val="0"/>
              <w:spacing w:after="0"/>
              <w:ind w:firstLine="0" w:firstLineChars="0"/>
              <w:rPr>
                <w:rFonts w:hint="eastAsia" w:hAnsi="宋体"/>
                <w:szCs w:val="21"/>
              </w:rPr>
            </w:pPr>
            <w:r>
              <w:rPr>
                <w:rFonts w:hAnsi="宋体"/>
                <w:szCs w:val="21"/>
              </w:rPr>
              <w:t>监控管理</w:t>
            </w:r>
          </w:p>
        </w:tc>
        <w:tc>
          <w:tcPr>
            <w:tcW w:w="5774" w:type="dxa"/>
            <w:tcBorders>
              <w:top w:val="single" w:color="000000" w:sz="4" w:space="0"/>
              <w:left w:val="single" w:color="000000" w:sz="4" w:space="0"/>
              <w:bottom w:val="single" w:color="000000" w:sz="4" w:space="0"/>
              <w:right w:val="single" w:color="000000" w:sz="4" w:space="0"/>
            </w:tcBorders>
            <w:vAlign w:val="center"/>
          </w:tcPr>
          <w:p w14:paraId="727EFA90">
            <w:pPr>
              <w:pStyle w:val="2"/>
              <w:adjustRightInd w:val="0"/>
              <w:snapToGrid w:val="0"/>
              <w:spacing w:after="0"/>
              <w:ind w:firstLine="0" w:firstLineChars="0"/>
              <w:rPr>
                <w:rFonts w:hint="eastAsia" w:hAnsi="宋体"/>
                <w:szCs w:val="21"/>
              </w:rPr>
            </w:pPr>
            <w:r>
              <w:rPr>
                <w:rFonts w:hAnsi="宋体"/>
                <w:szCs w:val="21"/>
              </w:rPr>
              <w:t>监控产生的告警信息未按时处理的，扣2分/次，由此产生恶劣影响的，每次扣10分；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0C5F6E3C">
            <w:pPr>
              <w:pStyle w:val="2"/>
              <w:adjustRightInd w:val="0"/>
              <w:snapToGrid w:val="0"/>
              <w:spacing w:after="0"/>
              <w:ind w:firstLine="0" w:firstLineChars="0"/>
              <w:rPr>
                <w:rFonts w:hint="eastAsia" w:hAnsi="宋体"/>
                <w:szCs w:val="21"/>
              </w:rPr>
            </w:pPr>
          </w:p>
        </w:tc>
      </w:tr>
      <w:tr w14:paraId="5DDE659F">
        <w:tblPrEx>
          <w:tblCellMar>
            <w:top w:w="0" w:type="dxa"/>
            <w:left w:w="108" w:type="dxa"/>
            <w:bottom w:w="0" w:type="dxa"/>
            <w:right w:w="108" w:type="dxa"/>
          </w:tblCellMar>
        </w:tblPrEx>
        <w:trPr>
          <w:trHeight w:val="24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6A41D8FE">
            <w:pPr>
              <w:pStyle w:val="2"/>
              <w:adjustRightInd w:val="0"/>
              <w:snapToGrid w:val="0"/>
              <w:spacing w:after="0"/>
              <w:ind w:firstLine="0" w:firstLineChars="0"/>
              <w:rPr>
                <w:rFonts w:hint="eastAsia" w:hAnsi="宋体"/>
                <w:szCs w:val="21"/>
              </w:rPr>
            </w:pPr>
            <w:r>
              <w:rPr>
                <w:rFonts w:hAnsi="宋体"/>
                <w:szCs w:val="21"/>
              </w:rPr>
              <w:t>10</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7B2E74D7">
            <w:pPr>
              <w:pStyle w:val="2"/>
              <w:adjustRightInd w:val="0"/>
              <w:snapToGrid w:val="0"/>
              <w:spacing w:after="0"/>
              <w:ind w:firstLine="0" w:firstLineChars="0"/>
              <w:rPr>
                <w:rFonts w:hint="eastAsia" w:hAnsi="宋体"/>
                <w:szCs w:val="21"/>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404563E0">
            <w:pPr>
              <w:pStyle w:val="2"/>
              <w:adjustRightInd w:val="0"/>
              <w:snapToGrid w:val="0"/>
              <w:spacing w:after="0"/>
              <w:ind w:firstLine="0" w:firstLineChars="0"/>
              <w:rPr>
                <w:rFonts w:hint="eastAsia" w:hAnsi="宋体"/>
                <w:szCs w:val="21"/>
              </w:rPr>
            </w:pPr>
            <w:r>
              <w:rPr>
                <w:rFonts w:hAnsi="宋体"/>
                <w:szCs w:val="21"/>
              </w:rPr>
              <w:t>安全管理</w:t>
            </w:r>
          </w:p>
        </w:tc>
        <w:tc>
          <w:tcPr>
            <w:tcW w:w="5774" w:type="dxa"/>
            <w:tcBorders>
              <w:top w:val="single" w:color="000000" w:sz="4" w:space="0"/>
              <w:left w:val="single" w:color="000000" w:sz="4" w:space="0"/>
              <w:bottom w:val="single" w:color="000000" w:sz="4" w:space="0"/>
              <w:right w:val="single" w:color="000000" w:sz="4" w:space="0"/>
            </w:tcBorders>
            <w:vAlign w:val="center"/>
          </w:tcPr>
          <w:p w14:paraId="4115674F">
            <w:pPr>
              <w:pStyle w:val="2"/>
              <w:adjustRightInd w:val="0"/>
              <w:snapToGrid w:val="0"/>
              <w:spacing w:after="0"/>
              <w:ind w:firstLine="0" w:firstLineChars="0"/>
              <w:rPr>
                <w:rFonts w:hint="eastAsia" w:hAnsi="宋体"/>
                <w:szCs w:val="21"/>
              </w:rPr>
            </w:pPr>
            <w:r>
              <w:rPr>
                <w:rFonts w:hAnsi="宋体"/>
                <w:szCs w:val="21"/>
              </w:rPr>
              <w:t>违反安全管理制度，人为造成严重、重大故障的，每次扣15分；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6D2920DB">
            <w:pPr>
              <w:pStyle w:val="2"/>
              <w:adjustRightInd w:val="0"/>
              <w:snapToGrid w:val="0"/>
              <w:spacing w:after="0"/>
              <w:ind w:firstLine="0" w:firstLineChars="0"/>
              <w:rPr>
                <w:rFonts w:hint="eastAsia" w:hAnsi="宋体"/>
                <w:szCs w:val="21"/>
              </w:rPr>
            </w:pPr>
          </w:p>
        </w:tc>
      </w:tr>
      <w:tr w14:paraId="768E3E3F">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37ED6C8A">
            <w:pPr>
              <w:pStyle w:val="2"/>
              <w:adjustRightInd w:val="0"/>
              <w:snapToGrid w:val="0"/>
              <w:spacing w:after="0"/>
              <w:ind w:firstLine="0" w:firstLineChars="0"/>
              <w:rPr>
                <w:rFonts w:hint="eastAsia" w:hAnsi="宋体"/>
                <w:szCs w:val="21"/>
              </w:rPr>
            </w:pPr>
            <w:r>
              <w:rPr>
                <w:rFonts w:hAnsi="宋体"/>
                <w:szCs w:val="21"/>
              </w:rPr>
              <w:t>11</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2A69B390">
            <w:pPr>
              <w:pStyle w:val="2"/>
              <w:adjustRightInd w:val="0"/>
              <w:snapToGrid w:val="0"/>
              <w:spacing w:after="0"/>
              <w:ind w:firstLine="0" w:firstLineChars="0"/>
              <w:rPr>
                <w:rFonts w:hint="eastAsia" w:hAnsi="宋体"/>
                <w:szCs w:val="21"/>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341A7574">
            <w:pPr>
              <w:pStyle w:val="2"/>
              <w:adjustRightInd w:val="0"/>
              <w:snapToGrid w:val="0"/>
              <w:spacing w:after="0"/>
              <w:ind w:firstLine="0" w:firstLineChars="0"/>
              <w:rPr>
                <w:rFonts w:hint="eastAsia" w:hAnsi="宋体"/>
                <w:szCs w:val="21"/>
              </w:rPr>
            </w:pPr>
            <w:r>
              <w:rPr>
                <w:rFonts w:hAnsi="宋体"/>
                <w:szCs w:val="21"/>
              </w:rPr>
              <w:t>保密管理</w:t>
            </w:r>
          </w:p>
        </w:tc>
        <w:tc>
          <w:tcPr>
            <w:tcW w:w="5774" w:type="dxa"/>
            <w:tcBorders>
              <w:top w:val="single" w:color="000000" w:sz="4" w:space="0"/>
              <w:left w:val="single" w:color="000000" w:sz="4" w:space="0"/>
              <w:bottom w:val="single" w:color="000000" w:sz="4" w:space="0"/>
              <w:right w:val="single" w:color="000000" w:sz="4" w:space="0"/>
            </w:tcBorders>
            <w:vAlign w:val="center"/>
          </w:tcPr>
          <w:p w14:paraId="7618AA52">
            <w:pPr>
              <w:pStyle w:val="2"/>
              <w:adjustRightInd w:val="0"/>
              <w:snapToGrid w:val="0"/>
              <w:spacing w:after="0"/>
              <w:ind w:firstLine="0" w:firstLineChars="0"/>
              <w:rPr>
                <w:rFonts w:hint="eastAsia" w:hAnsi="宋体"/>
                <w:szCs w:val="21"/>
              </w:rPr>
            </w:pPr>
            <w:r>
              <w:rPr>
                <w:rFonts w:hAnsi="宋体"/>
                <w:szCs w:val="21"/>
              </w:rPr>
              <w:t>违反保密管理制度，人为造成严重、重大损失的，视为重大违约，终止合同；</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2B4AFB0F">
            <w:pPr>
              <w:pStyle w:val="2"/>
              <w:adjustRightInd w:val="0"/>
              <w:snapToGrid w:val="0"/>
              <w:spacing w:after="0"/>
              <w:ind w:firstLine="0" w:firstLineChars="0"/>
              <w:rPr>
                <w:rFonts w:hint="eastAsia" w:hAnsi="宋体"/>
                <w:szCs w:val="21"/>
              </w:rPr>
            </w:pPr>
          </w:p>
        </w:tc>
      </w:tr>
      <w:tr w14:paraId="7409A2C6">
        <w:tblPrEx>
          <w:tblCellMar>
            <w:top w:w="0" w:type="dxa"/>
            <w:left w:w="108" w:type="dxa"/>
            <w:bottom w:w="0" w:type="dxa"/>
            <w:right w:w="108" w:type="dxa"/>
          </w:tblCellMar>
        </w:tblPrEx>
        <w:trPr>
          <w:trHeight w:val="24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49F6E1E2">
            <w:pPr>
              <w:pStyle w:val="2"/>
              <w:adjustRightInd w:val="0"/>
              <w:snapToGrid w:val="0"/>
              <w:spacing w:after="0"/>
              <w:ind w:firstLine="0" w:firstLineChars="0"/>
              <w:rPr>
                <w:rFonts w:hint="eastAsia" w:hAnsi="宋体"/>
                <w:szCs w:val="21"/>
              </w:rPr>
            </w:pPr>
            <w:r>
              <w:rPr>
                <w:rFonts w:hAnsi="宋体"/>
                <w:szCs w:val="21"/>
              </w:rPr>
              <w:t>12</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1F4483A1">
            <w:pPr>
              <w:pStyle w:val="2"/>
              <w:adjustRightInd w:val="0"/>
              <w:snapToGrid w:val="0"/>
              <w:spacing w:after="0"/>
              <w:ind w:firstLine="0" w:firstLineChars="0"/>
              <w:rPr>
                <w:rFonts w:hint="eastAsia" w:hAnsi="宋体"/>
                <w:szCs w:val="21"/>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227A79E0">
            <w:pPr>
              <w:pStyle w:val="2"/>
              <w:adjustRightInd w:val="0"/>
              <w:snapToGrid w:val="0"/>
              <w:spacing w:after="0"/>
              <w:ind w:firstLine="0" w:firstLineChars="0"/>
              <w:rPr>
                <w:rFonts w:hint="eastAsia" w:hAnsi="宋体"/>
                <w:szCs w:val="21"/>
              </w:rPr>
            </w:pPr>
            <w:r>
              <w:rPr>
                <w:rFonts w:hAnsi="宋体"/>
                <w:szCs w:val="21"/>
              </w:rPr>
              <w:t>任务管理</w:t>
            </w:r>
          </w:p>
        </w:tc>
        <w:tc>
          <w:tcPr>
            <w:tcW w:w="5774" w:type="dxa"/>
            <w:tcBorders>
              <w:top w:val="single" w:color="000000" w:sz="4" w:space="0"/>
              <w:left w:val="single" w:color="000000" w:sz="4" w:space="0"/>
              <w:bottom w:val="single" w:color="000000" w:sz="4" w:space="0"/>
              <w:right w:val="single" w:color="000000" w:sz="4" w:space="0"/>
            </w:tcBorders>
            <w:vAlign w:val="center"/>
          </w:tcPr>
          <w:p w14:paraId="4FA25DAA">
            <w:pPr>
              <w:pStyle w:val="2"/>
              <w:adjustRightInd w:val="0"/>
              <w:snapToGrid w:val="0"/>
              <w:spacing w:after="0"/>
              <w:ind w:firstLine="0" w:firstLineChars="0"/>
              <w:rPr>
                <w:rFonts w:hint="eastAsia" w:hAnsi="宋体"/>
                <w:szCs w:val="21"/>
              </w:rPr>
            </w:pPr>
            <w:r>
              <w:rPr>
                <w:rFonts w:hAnsi="宋体"/>
                <w:szCs w:val="21"/>
              </w:rPr>
              <w:t>未按时完成其他交办的维护任务的，每个扣2分；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22F0340D">
            <w:pPr>
              <w:pStyle w:val="2"/>
              <w:adjustRightInd w:val="0"/>
              <w:snapToGrid w:val="0"/>
              <w:spacing w:after="0"/>
              <w:ind w:firstLine="0" w:firstLineChars="0"/>
              <w:rPr>
                <w:rFonts w:hint="eastAsia" w:hAnsi="宋体"/>
                <w:szCs w:val="21"/>
              </w:rPr>
            </w:pPr>
          </w:p>
        </w:tc>
      </w:tr>
      <w:tr w14:paraId="7161D8A0">
        <w:tblPrEx>
          <w:tblCellMar>
            <w:top w:w="0" w:type="dxa"/>
            <w:left w:w="108" w:type="dxa"/>
            <w:bottom w:w="0" w:type="dxa"/>
            <w:right w:w="108" w:type="dxa"/>
          </w:tblCellMar>
        </w:tblPrEx>
        <w:trPr>
          <w:trHeight w:val="24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30B66DC8">
            <w:pPr>
              <w:pStyle w:val="2"/>
              <w:adjustRightInd w:val="0"/>
              <w:snapToGrid w:val="0"/>
              <w:spacing w:after="0"/>
              <w:ind w:firstLine="0" w:firstLineChars="0"/>
              <w:rPr>
                <w:rFonts w:hint="eastAsia" w:hAnsi="宋体"/>
                <w:szCs w:val="21"/>
              </w:rPr>
            </w:pPr>
            <w:r>
              <w:rPr>
                <w:rFonts w:hAnsi="宋体"/>
                <w:szCs w:val="21"/>
              </w:rPr>
              <w:t>13</w:t>
            </w:r>
          </w:p>
        </w:tc>
        <w:tc>
          <w:tcPr>
            <w:tcW w:w="661" w:type="dxa"/>
            <w:vMerge w:val="restart"/>
            <w:tcBorders>
              <w:top w:val="single" w:color="000000" w:sz="4" w:space="0"/>
              <w:left w:val="single" w:color="000000" w:sz="4" w:space="0"/>
              <w:bottom w:val="single" w:color="000000" w:sz="4" w:space="0"/>
              <w:right w:val="single" w:color="000000" w:sz="4" w:space="0"/>
            </w:tcBorders>
            <w:vAlign w:val="center"/>
          </w:tcPr>
          <w:p w14:paraId="619E6234">
            <w:pPr>
              <w:pStyle w:val="2"/>
              <w:adjustRightInd w:val="0"/>
              <w:snapToGrid w:val="0"/>
              <w:spacing w:after="0"/>
              <w:ind w:firstLine="0" w:firstLineChars="0"/>
              <w:rPr>
                <w:rFonts w:hint="eastAsia" w:hAnsi="宋体"/>
                <w:szCs w:val="21"/>
              </w:rPr>
            </w:pPr>
            <w:r>
              <w:rPr>
                <w:rFonts w:hAnsi="宋体"/>
                <w:szCs w:val="21"/>
              </w:rPr>
              <w:t>运行质量考核</w:t>
            </w:r>
          </w:p>
        </w:tc>
        <w:tc>
          <w:tcPr>
            <w:tcW w:w="762" w:type="dxa"/>
            <w:vMerge w:val="restart"/>
            <w:tcBorders>
              <w:top w:val="single" w:color="000000" w:sz="4" w:space="0"/>
              <w:left w:val="single" w:color="000000" w:sz="4" w:space="0"/>
              <w:right w:val="single" w:color="000000" w:sz="4" w:space="0"/>
            </w:tcBorders>
            <w:vAlign w:val="center"/>
          </w:tcPr>
          <w:p w14:paraId="142A48D9">
            <w:pPr>
              <w:pStyle w:val="2"/>
              <w:adjustRightInd w:val="0"/>
              <w:snapToGrid w:val="0"/>
              <w:spacing w:after="0"/>
              <w:ind w:firstLine="0" w:firstLineChars="0"/>
              <w:rPr>
                <w:rFonts w:hint="eastAsia" w:hAnsi="宋体"/>
                <w:szCs w:val="21"/>
              </w:rPr>
            </w:pPr>
            <w:r>
              <w:rPr>
                <w:rFonts w:hAnsi="宋体"/>
                <w:szCs w:val="21"/>
              </w:rPr>
              <w:t>总体可用性</w:t>
            </w:r>
          </w:p>
        </w:tc>
        <w:tc>
          <w:tcPr>
            <w:tcW w:w="5774" w:type="dxa"/>
            <w:tcBorders>
              <w:top w:val="single" w:color="000000" w:sz="4" w:space="0"/>
              <w:left w:val="single" w:color="000000" w:sz="4" w:space="0"/>
              <w:bottom w:val="single" w:color="000000" w:sz="4" w:space="0"/>
              <w:right w:val="single" w:color="000000" w:sz="4" w:space="0"/>
            </w:tcBorders>
            <w:vAlign w:val="center"/>
          </w:tcPr>
          <w:p w14:paraId="35396C26">
            <w:pPr>
              <w:pStyle w:val="2"/>
              <w:adjustRightInd w:val="0"/>
              <w:snapToGrid w:val="0"/>
              <w:spacing w:after="0"/>
              <w:ind w:firstLine="0" w:firstLineChars="0"/>
              <w:rPr>
                <w:rFonts w:hint="eastAsia" w:hAnsi="宋体"/>
                <w:szCs w:val="21"/>
              </w:rPr>
            </w:pPr>
            <w:r>
              <w:rPr>
                <w:rFonts w:hAnsi="宋体"/>
                <w:szCs w:val="21"/>
              </w:rPr>
              <w:t>出现故障每次扣2分；</w:t>
            </w:r>
          </w:p>
        </w:tc>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76F6B3EF">
            <w:pPr>
              <w:pStyle w:val="2"/>
              <w:adjustRightInd w:val="0"/>
              <w:snapToGrid w:val="0"/>
              <w:spacing w:after="0"/>
              <w:ind w:firstLine="0" w:firstLineChars="0"/>
              <w:rPr>
                <w:rFonts w:hint="eastAsia" w:hAnsi="宋体"/>
                <w:szCs w:val="21"/>
              </w:rPr>
            </w:pPr>
            <w:r>
              <w:rPr>
                <w:rFonts w:hAnsi="宋体"/>
                <w:szCs w:val="21"/>
              </w:rPr>
              <w:t>10</w:t>
            </w:r>
          </w:p>
        </w:tc>
      </w:tr>
      <w:tr w14:paraId="3536EC71">
        <w:tblPrEx>
          <w:tblCellMar>
            <w:top w:w="0" w:type="dxa"/>
            <w:left w:w="108" w:type="dxa"/>
            <w:bottom w:w="0" w:type="dxa"/>
            <w:right w:w="108" w:type="dxa"/>
          </w:tblCellMar>
        </w:tblPrEx>
        <w:trPr>
          <w:trHeight w:val="72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51C05541">
            <w:pPr>
              <w:pStyle w:val="2"/>
              <w:adjustRightInd w:val="0"/>
              <w:snapToGrid w:val="0"/>
              <w:spacing w:after="0"/>
              <w:ind w:firstLine="0" w:firstLineChars="0"/>
              <w:rPr>
                <w:rFonts w:hint="eastAsia" w:hAnsi="宋体"/>
                <w:szCs w:val="21"/>
              </w:rPr>
            </w:pPr>
            <w:r>
              <w:rPr>
                <w:rFonts w:hAnsi="宋体"/>
                <w:szCs w:val="21"/>
              </w:rPr>
              <w:t>14</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5A938471">
            <w:pPr>
              <w:pStyle w:val="2"/>
              <w:adjustRightInd w:val="0"/>
              <w:snapToGrid w:val="0"/>
              <w:spacing w:after="0"/>
              <w:ind w:firstLine="0" w:firstLineChars="0"/>
              <w:rPr>
                <w:rFonts w:hint="eastAsia" w:hAnsi="宋体"/>
                <w:szCs w:val="21"/>
              </w:rPr>
            </w:pPr>
          </w:p>
        </w:tc>
        <w:tc>
          <w:tcPr>
            <w:tcW w:w="762" w:type="dxa"/>
            <w:vMerge w:val="continue"/>
            <w:tcBorders>
              <w:left w:val="single" w:color="000000" w:sz="4" w:space="0"/>
              <w:right w:val="single" w:color="000000" w:sz="4" w:space="0"/>
            </w:tcBorders>
            <w:vAlign w:val="center"/>
          </w:tcPr>
          <w:p w14:paraId="684CB71E">
            <w:pPr>
              <w:pStyle w:val="2"/>
              <w:adjustRightInd w:val="0"/>
              <w:snapToGrid w:val="0"/>
              <w:spacing w:after="0"/>
              <w:ind w:firstLine="0" w:firstLineChars="0"/>
              <w:rPr>
                <w:rFonts w:hint="eastAsia" w:hAnsi="宋体"/>
                <w:szCs w:val="21"/>
              </w:rPr>
            </w:pPr>
          </w:p>
        </w:tc>
        <w:tc>
          <w:tcPr>
            <w:tcW w:w="5774" w:type="dxa"/>
            <w:tcBorders>
              <w:top w:val="single" w:color="000000" w:sz="4" w:space="0"/>
              <w:left w:val="single" w:color="000000" w:sz="4" w:space="0"/>
              <w:bottom w:val="single" w:color="000000" w:sz="4" w:space="0"/>
              <w:right w:val="single" w:color="000000" w:sz="4" w:space="0"/>
            </w:tcBorders>
            <w:vAlign w:val="center"/>
          </w:tcPr>
          <w:p w14:paraId="6219F275">
            <w:pPr>
              <w:pStyle w:val="2"/>
              <w:adjustRightInd w:val="0"/>
              <w:snapToGrid w:val="0"/>
              <w:spacing w:after="0"/>
              <w:ind w:firstLine="0" w:firstLineChars="0"/>
              <w:rPr>
                <w:rFonts w:hint="eastAsia" w:hAnsi="宋体"/>
                <w:szCs w:val="21"/>
              </w:rPr>
            </w:pPr>
            <w:r>
              <w:rPr>
                <w:rFonts w:hAnsi="宋体"/>
                <w:szCs w:val="21"/>
              </w:rPr>
              <w:t>软件要求&gt;99%（每月不可用时间累计＜7小时），每超过0.5小时扣2分。此项不包括因网络、硬件问题造成的故障及有计划的系统升级、维护时间；</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18775650">
            <w:pPr>
              <w:pStyle w:val="2"/>
              <w:adjustRightInd w:val="0"/>
              <w:snapToGrid w:val="0"/>
              <w:spacing w:after="0"/>
              <w:ind w:firstLine="0" w:firstLineChars="0"/>
              <w:rPr>
                <w:rFonts w:hint="eastAsia" w:hAnsi="宋体"/>
                <w:szCs w:val="21"/>
              </w:rPr>
            </w:pPr>
          </w:p>
        </w:tc>
      </w:tr>
      <w:tr w14:paraId="6F6D8679">
        <w:tblPrEx>
          <w:tblCellMar>
            <w:top w:w="0" w:type="dxa"/>
            <w:left w:w="108" w:type="dxa"/>
            <w:bottom w:w="0" w:type="dxa"/>
            <w:right w:w="108" w:type="dxa"/>
          </w:tblCellMar>
        </w:tblPrEx>
        <w:trPr>
          <w:trHeight w:val="567"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1719796E">
            <w:pPr>
              <w:pStyle w:val="2"/>
              <w:adjustRightInd w:val="0"/>
              <w:snapToGrid w:val="0"/>
              <w:spacing w:after="0"/>
              <w:ind w:firstLine="0" w:firstLineChars="0"/>
              <w:rPr>
                <w:rFonts w:hint="eastAsia" w:hAnsi="宋体"/>
                <w:szCs w:val="21"/>
              </w:rPr>
            </w:pPr>
            <w:r>
              <w:rPr>
                <w:rFonts w:hAnsi="宋体"/>
                <w:szCs w:val="21"/>
              </w:rPr>
              <w:t>15</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47542449">
            <w:pPr>
              <w:pStyle w:val="2"/>
              <w:adjustRightInd w:val="0"/>
              <w:snapToGrid w:val="0"/>
              <w:spacing w:after="0"/>
              <w:ind w:firstLine="0" w:firstLineChars="0"/>
              <w:rPr>
                <w:rFonts w:hint="eastAsia" w:hAnsi="宋体"/>
                <w:szCs w:val="21"/>
              </w:rPr>
            </w:pPr>
          </w:p>
        </w:tc>
        <w:tc>
          <w:tcPr>
            <w:tcW w:w="762" w:type="dxa"/>
            <w:vMerge w:val="continue"/>
            <w:tcBorders>
              <w:left w:val="single" w:color="000000" w:sz="4" w:space="0"/>
              <w:bottom w:val="single" w:color="000000" w:sz="4" w:space="0"/>
              <w:right w:val="single" w:color="000000" w:sz="4" w:space="0"/>
            </w:tcBorders>
            <w:vAlign w:val="center"/>
          </w:tcPr>
          <w:p w14:paraId="0200EE9F">
            <w:pPr>
              <w:pStyle w:val="2"/>
              <w:adjustRightInd w:val="0"/>
              <w:snapToGrid w:val="0"/>
              <w:spacing w:after="0"/>
              <w:ind w:firstLine="0" w:firstLineChars="0"/>
              <w:rPr>
                <w:rFonts w:hint="eastAsia" w:hAnsi="宋体"/>
                <w:szCs w:val="21"/>
              </w:rPr>
            </w:pPr>
          </w:p>
        </w:tc>
        <w:tc>
          <w:tcPr>
            <w:tcW w:w="5774" w:type="dxa"/>
            <w:tcBorders>
              <w:top w:val="single" w:color="000000" w:sz="4" w:space="0"/>
              <w:left w:val="single" w:color="000000" w:sz="4" w:space="0"/>
              <w:bottom w:val="single" w:color="000000" w:sz="4" w:space="0"/>
              <w:right w:val="single" w:color="000000" w:sz="4" w:space="0"/>
            </w:tcBorders>
            <w:vAlign w:val="center"/>
          </w:tcPr>
          <w:p w14:paraId="78CF0507">
            <w:pPr>
              <w:pStyle w:val="2"/>
              <w:adjustRightInd w:val="0"/>
              <w:snapToGrid w:val="0"/>
              <w:spacing w:after="0"/>
              <w:ind w:firstLine="0" w:firstLineChars="0"/>
              <w:rPr>
                <w:rFonts w:hint="eastAsia" w:hAnsi="宋体"/>
                <w:szCs w:val="21"/>
              </w:rPr>
            </w:pPr>
            <w:r>
              <w:rPr>
                <w:rFonts w:hint="eastAsia" w:hAnsi="宋体"/>
                <w:szCs w:val="21"/>
              </w:rPr>
              <w:t>硬件要求&gt;99%（每月不可用时间累计＜7小时），每超过0.5小时扣2分；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3900D163">
            <w:pPr>
              <w:pStyle w:val="2"/>
              <w:adjustRightInd w:val="0"/>
              <w:snapToGrid w:val="0"/>
              <w:spacing w:after="0"/>
              <w:ind w:firstLine="0" w:firstLineChars="0"/>
              <w:rPr>
                <w:rFonts w:hint="eastAsia" w:hAnsi="宋体"/>
                <w:szCs w:val="21"/>
              </w:rPr>
            </w:pPr>
          </w:p>
        </w:tc>
      </w:tr>
      <w:tr w14:paraId="75CD0A55">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57CCC30C">
            <w:pPr>
              <w:pStyle w:val="2"/>
              <w:adjustRightInd w:val="0"/>
              <w:snapToGrid w:val="0"/>
              <w:spacing w:after="0"/>
              <w:ind w:firstLine="0" w:firstLineChars="0"/>
              <w:rPr>
                <w:rFonts w:hint="eastAsia" w:hAnsi="宋体"/>
                <w:szCs w:val="21"/>
              </w:rPr>
            </w:pPr>
            <w:r>
              <w:rPr>
                <w:rFonts w:hAnsi="宋体"/>
                <w:szCs w:val="21"/>
              </w:rPr>
              <w:t>1</w:t>
            </w:r>
            <w:r>
              <w:rPr>
                <w:rFonts w:hint="eastAsia" w:hAnsi="宋体"/>
                <w:szCs w:val="21"/>
              </w:rPr>
              <w:t>6</w:t>
            </w:r>
          </w:p>
        </w:tc>
        <w:tc>
          <w:tcPr>
            <w:tcW w:w="661" w:type="dxa"/>
            <w:tcBorders>
              <w:top w:val="single" w:color="000000" w:sz="4" w:space="0"/>
              <w:left w:val="single" w:color="000000" w:sz="4" w:space="0"/>
              <w:bottom w:val="single" w:color="000000" w:sz="4" w:space="0"/>
              <w:right w:val="single" w:color="000000" w:sz="4" w:space="0"/>
            </w:tcBorders>
            <w:vAlign w:val="center"/>
          </w:tcPr>
          <w:p w14:paraId="65637D32">
            <w:pPr>
              <w:pStyle w:val="2"/>
              <w:adjustRightInd w:val="0"/>
              <w:snapToGrid w:val="0"/>
              <w:spacing w:after="0"/>
              <w:ind w:firstLine="0" w:firstLineChars="0"/>
              <w:rPr>
                <w:rFonts w:hint="eastAsia" w:hAnsi="宋体"/>
                <w:szCs w:val="21"/>
              </w:rPr>
            </w:pPr>
            <w:r>
              <w:rPr>
                <w:rFonts w:hAnsi="宋体"/>
                <w:szCs w:val="21"/>
              </w:rPr>
              <w:t>产出物考核</w:t>
            </w:r>
          </w:p>
        </w:tc>
        <w:tc>
          <w:tcPr>
            <w:tcW w:w="762" w:type="dxa"/>
            <w:tcBorders>
              <w:top w:val="single" w:color="000000" w:sz="4" w:space="0"/>
              <w:left w:val="single" w:color="000000" w:sz="4" w:space="0"/>
              <w:bottom w:val="single" w:color="000000" w:sz="4" w:space="0"/>
              <w:right w:val="single" w:color="000000" w:sz="4" w:space="0"/>
            </w:tcBorders>
            <w:vAlign w:val="center"/>
          </w:tcPr>
          <w:p w14:paraId="34C6DF33">
            <w:pPr>
              <w:pStyle w:val="2"/>
              <w:adjustRightInd w:val="0"/>
              <w:snapToGrid w:val="0"/>
              <w:spacing w:after="0"/>
              <w:ind w:firstLine="0" w:firstLineChars="0"/>
              <w:rPr>
                <w:rFonts w:hint="eastAsia" w:hAnsi="宋体"/>
                <w:szCs w:val="21"/>
              </w:rPr>
            </w:pPr>
            <w:r>
              <w:rPr>
                <w:rFonts w:hAnsi="宋体"/>
                <w:szCs w:val="21"/>
              </w:rPr>
              <w:t>提交报告情况</w:t>
            </w:r>
          </w:p>
        </w:tc>
        <w:tc>
          <w:tcPr>
            <w:tcW w:w="5774" w:type="dxa"/>
            <w:tcBorders>
              <w:top w:val="single" w:color="000000" w:sz="4" w:space="0"/>
              <w:left w:val="single" w:color="000000" w:sz="4" w:space="0"/>
              <w:bottom w:val="single" w:color="000000" w:sz="4" w:space="0"/>
              <w:right w:val="single" w:color="000000" w:sz="4" w:space="0"/>
            </w:tcBorders>
            <w:vAlign w:val="center"/>
          </w:tcPr>
          <w:p w14:paraId="4C6D80EB">
            <w:pPr>
              <w:pStyle w:val="2"/>
              <w:adjustRightInd w:val="0"/>
              <w:snapToGrid w:val="0"/>
              <w:spacing w:after="0"/>
              <w:ind w:firstLine="0" w:firstLineChars="0"/>
              <w:rPr>
                <w:rFonts w:hint="eastAsia" w:hAnsi="宋体"/>
                <w:szCs w:val="21"/>
              </w:rPr>
            </w:pPr>
            <w:r>
              <w:rPr>
                <w:rFonts w:hAnsi="宋体"/>
                <w:szCs w:val="21"/>
              </w:rPr>
              <w:t>包括季报、月报、周报、日报、专题报告、评估方案等，未按要求提交每次扣1分；</w:t>
            </w:r>
          </w:p>
        </w:tc>
        <w:tc>
          <w:tcPr>
            <w:tcW w:w="461" w:type="dxa"/>
            <w:tcBorders>
              <w:top w:val="single" w:color="000000" w:sz="4" w:space="0"/>
              <w:left w:val="single" w:color="000000" w:sz="4" w:space="0"/>
              <w:bottom w:val="single" w:color="000000" w:sz="4" w:space="0"/>
              <w:right w:val="single" w:color="000000" w:sz="4" w:space="0"/>
            </w:tcBorders>
            <w:vAlign w:val="center"/>
          </w:tcPr>
          <w:p w14:paraId="1FF78599">
            <w:pPr>
              <w:pStyle w:val="2"/>
              <w:adjustRightInd w:val="0"/>
              <w:snapToGrid w:val="0"/>
              <w:spacing w:after="0"/>
              <w:ind w:firstLine="0" w:firstLineChars="0"/>
              <w:rPr>
                <w:rFonts w:hint="eastAsia" w:hAnsi="宋体"/>
                <w:szCs w:val="21"/>
              </w:rPr>
            </w:pPr>
            <w:r>
              <w:rPr>
                <w:rFonts w:hAnsi="宋体"/>
                <w:szCs w:val="21"/>
              </w:rPr>
              <w:t>5</w:t>
            </w:r>
          </w:p>
        </w:tc>
      </w:tr>
      <w:tr w14:paraId="3AD2BC7E">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56125138">
            <w:pPr>
              <w:pStyle w:val="2"/>
              <w:adjustRightInd w:val="0"/>
              <w:snapToGrid w:val="0"/>
              <w:spacing w:after="0"/>
              <w:ind w:firstLine="0" w:firstLineChars="0"/>
              <w:rPr>
                <w:rFonts w:hint="eastAsia" w:hAnsi="宋体"/>
                <w:szCs w:val="21"/>
              </w:rPr>
            </w:pPr>
            <w:r>
              <w:rPr>
                <w:rFonts w:hAnsi="宋体"/>
                <w:szCs w:val="21"/>
              </w:rPr>
              <w:t>1</w:t>
            </w:r>
            <w:r>
              <w:rPr>
                <w:rFonts w:hint="eastAsia" w:hAnsi="宋体"/>
                <w:szCs w:val="21"/>
              </w:rPr>
              <w:t>7</w:t>
            </w:r>
          </w:p>
        </w:tc>
        <w:tc>
          <w:tcPr>
            <w:tcW w:w="661" w:type="dxa"/>
            <w:vMerge w:val="restart"/>
            <w:tcBorders>
              <w:top w:val="single" w:color="000000" w:sz="4" w:space="0"/>
              <w:left w:val="single" w:color="000000" w:sz="4" w:space="0"/>
              <w:bottom w:val="single" w:color="000000" w:sz="4" w:space="0"/>
              <w:right w:val="single" w:color="000000" w:sz="4" w:space="0"/>
            </w:tcBorders>
            <w:vAlign w:val="center"/>
          </w:tcPr>
          <w:p w14:paraId="17C2B261">
            <w:pPr>
              <w:pStyle w:val="2"/>
              <w:adjustRightInd w:val="0"/>
              <w:snapToGrid w:val="0"/>
              <w:spacing w:after="0"/>
              <w:ind w:firstLine="0" w:firstLineChars="0"/>
              <w:rPr>
                <w:rFonts w:hint="eastAsia" w:hAnsi="宋体"/>
                <w:szCs w:val="21"/>
              </w:rPr>
            </w:pPr>
            <w:r>
              <w:rPr>
                <w:rFonts w:hAnsi="宋体"/>
                <w:szCs w:val="21"/>
              </w:rPr>
              <w:t>响应效率质量考核</w:t>
            </w:r>
          </w:p>
        </w:tc>
        <w:tc>
          <w:tcPr>
            <w:tcW w:w="762" w:type="dxa"/>
            <w:tcBorders>
              <w:top w:val="single" w:color="000000" w:sz="4" w:space="0"/>
              <w:left w:val="single" w:color="000000" w:sz="4" w:space="0"/>
              <w:bottom w:val="single" w:color="000000" w:sz="4" w:space="0"/>
              <w:right w:val="single" w:color="000000" w:sz="4" w:space="0"/>
            </w:tcBorders>
            <w:vAlign w:val="center"/>
          </w:tcPr>
          <w:p w14:paraId="2341EF55">
            <w:pPr>
              <w:pStyle w:val="2"/>
              <w:adjustRightInd w:val="0"/>
              <w:snapToGrid w:val="0"/>
              <w:spacing w:after="0"/>
              <w:ind w:firstLine="0" w:firstLineChars="0"/>
              <w:rPr>
                <w:rFonts w:hint="eastAsia" w:hAnsi="宋体"/>
                <w:szCs w:val="21"/>
              </w:rPr>
            </w:pPr>
            <w:r>
              <w:rPr>
                <w:rFonts w:hAnsi="宋体"/>
                <w:szCs w:val="21"/>
              </w:rPr>
              <w:t>事件响应时间</w:t>
            </w:r>
          </w:p>
        </w:tc>
        <w:tc>
          <w:tcPr>
            <w:tcW w:w="5774" w:type="dxa"/>
            <w:tcBorders>
              <w:top w:val="single" w:color="000000" w:sz="4" w:space="0"/>
              <w:left w:val="single" w:color="000000" w:sz="4" w:space="0"/>
              <w:bottom w:val="single" w:color="000000" w:sz="4" w:space="0"/>
              <w:right w:val="single" w:color="000000" w:sz="4" w:space="0"/>
            </w:tcBorders>
            <w:vAlign w:val="center"/>
          </w:tcPr>
          <w:p w14:paraId="33875D48">
            <w:pPr>
              <w:pStyle w:val="2"/>
              <w:adjustRightInd w:val="0"/>
              <w:snapToGrid w:val="0"/>
              <w:spacing w:after="0"/>
              <w:ind w:firstLine="0" w:firstLineChars="0"/>
              <w:rPr>
                <w:rFonts w:hint="eastAsia" w:hAnsi="宋体"/>
                <w:szCs w:val="21"/>
              </w:rPr>
            </w:pPr>
            <w:r>
              <w:rPr>
                <w:rFonts w:hAnsi="宋体"/>
                <w:szCs w:val="21"/>
              </w:rPr>
              <w:t>重大故障10分钟内响应，一般故障30分钟内响应。超时响应每次扣2分，超时1小时以上每次扣5分；</w:t>
            </w:r>
          </w:p>
        </w:tc>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6B125EFB">
            <w:pPr>
              <w:pStyle w:val="2"/>
              <w:adjustRightInd w:val="0"/>
              <w:snapToGrid w:val="0"/>
              <w:spacing w:after="0"/>
              <w:ind w:firstLine="0" w:firstLineChars="0"/>
              <w:rPr>
                <w:rFonts w:hint="eastAsia" w:hAnsi="宋体"/>
                <w:szCs w:val="21"/>
              </w:rPr>
            </w:pPr>
            <w:r>
              <w:rPr>
                <w:rFonts w:hAnsi="宋体"/>
                <w:szCs w:val="21"/>
              </w:rPr>
              <w:t>15</w:t>
            </w:r>
          </w:p>
        </w:tc>
      </w:tr>
      <w:tr w14:paraId="1C88C1B0">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41960A9C">
            <w:pPr>
              <w:pStyle w:val="2"/>
              <w:adjustRightInd w:val="0"/>
              <w:snapToGrid w:val="0"/>
              <w:spacing w:after="0"/>
              <w:ind w:firstLine="0" w:firstLineChars="0"/>
              <w:rPr>
                <w:rFonts w:hint="eastAsia" w:hAnsi="宋体"/>
                <w:szCs w:val="21"/>
              </w:rPr>
            </w:pPr>
            <w:r>
              <w:rPr>
                <w:rFonts w:hAnsi="宋体"/>
                <w:szCs w:val="21"/>
              </w:rPr>
              <w:t>1</w:t>
            </w:r>
            <w:r>
              <w:rPr>
                <w:rFonts w:hint="eastAsia" w:hAnsi="宋体"/>
                <w:szCs w:val="21"/>
              </w:rPr>
              <w:t>8</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3421DE89">
            <w:pPr>
              <w:pStyle w:val="2"/>
              <w:adjustRightInd w:val="0"/>
              <w:snapToGrid w:val="0"/>
              <w:spacing w:after="0"/>
              <w:ind w:firstLine="0" w:firstLineChars="0"/>
              <w:rPr>
                <w:rFonts w:hint="eastAsia" w:hAnsi="宋体"/>
                <w:szCs w:val="21"/>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1262FBC6">
            <w:pPr>
              <w:pStyle w:val="2"/>
              <w:adjustRightInd w:val="0"/>
              <w:snapToGrid w:val="0"/>
              <w:spacing w:after="0"/>
              <w:ind w:firstLine="0" w:firstLineChars="0"/>
              <w:rPr>
                <w:rFonts w:hint="eastAsia" w:hAnsi="宋体"/>
                <w:szCs w:val="21"/>
              </w:rPr>
            </w:pPr>
            <w:r>
              <w:rPr>
                <w:rFonts w:hAnsi="宋体"/>
                <w:szCs w:val="21"/>
              </w:rPr>
              <w:t>事件处理时间</w:t>
            </w:r>
          </w:p>
        </w:tc>
        <w:tc>
          <w:tcPr>
            <w:tcW w:w="5774" w:type="dxa"/>
            <w:tcBorders>
              <w:top w:val="single" w:color="000000" w:sz="4" w:space="0"/>
              <w:left w:val="single" w:color="000000" w:sz="4" w:space="0"/>
              <w:bottom w:val="single" w:color="000000" w:sz="4" w:space="0"/>
              <w:right w:val="single" w:color="000000" w:sz="4" w:space="0"/>
            </w:tcBorders>
            <w:vAlign w:val="center"/>
          </w:tcPr>
          <w:p w14:paraId="7A6191C6">
            <w:pPr>
              <w:pStyle w:val="2"/>
              <w:adjustRightInd w:val="0"/>
              <w:snapToGrid w:val="0"/>
              <w:spacing w:after="0"/>
              <w:ind w:firstLine="0" w:firstLineChars="0"/>
              <w:rPr>
                <w:rFonts w:hint="eastAsia" w:hAnsi="宋体"/>
                <w:szCs w:val="21"/>
              </w:rPr>
            </w:pPr>
            <w:r>
              <w:rPr>
                <w:rFonts w:hAnsi="宋体"/>
                <w:szCs w:val="21"/>
              </w:rPr>
              <w:t>重大故障2小时内处置完毕，一般故障0.5小时内闭环解决。故障超时未修复，每超时1小时扣2分；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0C2257A3">
            <w:pPr>
              <w:pStyle w:val="2"/>
              <w:adjustRightInd w:val="0"/>
              <w:snapToGrid w:val="0"/>
              <w:spacing w:after="0"/>
              <w:ind w:firstLine="0" w:firstLineChars="0"/>
              <w:rPr>
                <w:rFonts w:hint="eastAsia" w:hAnsi="宋体"/>
                <w:szCs w:val="21"/>
              </w:rPr>
            </w:pPr>
          </w:p>
        </w:tc>
      </w:tr>
      <w:tr w14:paraId="131E38E4">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457B3CA0">
            <w:pPr>
              <w:pStyle w:val="2"/>
              <w:adjustRightInd w:val="0"/>
              <w:snapToGrid w:val="0"/>
              <w:spacing w:after="0"/>
              <w:ind w:firstLine="0" w:firstLineChars="0"/>
              <w:rPr>
                <w:rFonts w:hint="eastAsia" w:hAnsi="宋体"/>
                <w:szCs w:val="21"/>
              </w:rPr>
            </w:pPr>
            <w:r>
              <w:rPr>
                <w:rFonts w:hint="eastAsia" w:hAnsi="宋体"/>
                <w:szCs w:val="21"/>
              </w:rPr>
              <w:t>19</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23D1AF1A">
            <w:pPr>
              <w:pStyle w:val="2"/>
              <w:adjustRightInd w:val="0"/>
              <w:snapToGrid w:val="0"/>
              <w:spacing w:after="0"/>
              <w:ind w:firstLine="0" w:firstLineChars="0"/>
              <w:rPr>
                <w:rFonts w:hint="eastAsia" w:hAnsi="宋体"/>
                <w:szCs w:val="21"/>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3E373E47">
            <w:pPr>
              <w:pStyle w:val="2"/>
              <w:adjustRightInd w:val="0"/>
              <w:snapToGrid w:val="0"/>
              <w:spacing w:after="0"/>
              <w:ind w:firstLine="0" w:firstLineChars="0"/>
              <w:rPr>
                <w:rFonts w:hint="eastAsia" w:hAnsi="宋体"/>
                <w:szCs w:val="21"/>
              </w:rPr>
            </w:pPr>
            <w:r>
              <w:rPr>
                <w:rFonts w:hAnsi="宋体"/>
                <w:szCs w:val="21"/>
              </w:rPr>
              <w:t>事件完成与归档</w:t>
            </w:r>
          </w:p>
        </w:tc>
        <w:tc>
          <w:tcPr>
            <w:tcW w:w="5774" w:type="dxa"/>
            <w:tcBorders>
              <w:top w:val="single" w:color="000000" w:sz="4" w:space="0"/>
              <w:left w:val="single" w:color="000000" w:sz="4" w:space="0"/>
              <w:bottom w:val="single" w:color="000000" w:sz="4" w:space="0"/>
              <w:right w:val="single" w:color="000000" w:sz="4" w:space="0"/>
            </w:tcBorders>
            <w:vAlign w:val="center"/>
          </w:tcPr>
          <w:p w14:paraId="685D0EB8">
            <w:pPr>
              <w:pStyle w:val="2"/>
              <w:adjustRightInd w:val="0"/>
              <w:snapToGrid w:val="0"/>
              <w:spacing w:after="0"/>
              <w:ind w:firstLine="0" w:firstLineChars="0"/>
              <w:rPr>
                <w:rFonts w:hint="eastAsia" w:hAnsi="宋体"/>
                <w:szCs w:val="21"/>
              </w:rPr>
            </w:pPr>
            <w:r>
              <w:rPr>
                <w:rFonts w:hAnsi="宋体"/>
                <w:szCs w:val="21"/>
              </w:rPr>
              <w:t>处置完成后及时反馈，出现漏登记、无复盘、无归档情况，每次扣1分；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550A9C62">
            <w:pPr>
              <w:pStyle w:val="2"/>
              <w:adjustRightInd w:val="0"/>
              <w:snapToGrid w:val="0"/>
              <w:spacing w:after="0"/>
              <w:ind w:firstLine="0" w:firstLineChars="0"/>
              <w:rPr>
                <w:rFonts w:hint="eastAsia" w:hAnsi="宋体"/>
                <w:szCs w:val="21"/>
              </w:rPr>
            </w:pPr>
          </w:p>
        </w:tc>
      </w:tr>
      <w:tr w14:paraId="02A19764">
        <w:tblPrEx>
          <w:tblCellMar>
            <w:top w:w="0" w:type="dxa"/>
            <w:left w:w="108" w:type="dxa"/>
            <w:bottom w:w="0" w:type="dxa"/>
            <w:right w:w="108" w:type="dxa"/>
          </w:tblCellMar>
        </w:tblPrEx>
        <w:trPr>
          <w:trHeight w:val="24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09793BC7">
            <w:pPr>
              <w:pStyle w:val="2"/>
              <w:adjustRightInd w:val="0"/>
              <w:snapToGrid w:val="0"/>
              <w:spacing w:after="0"/>
              <w:ind w:firstLine="0" w:firstLineChars="0"/>
              <w:rPr>
                <w:rFonts w:hint="eastAsia" w:hAnsi="宋体"/>
                <w:szCs w:val="21"/>
              </w:rPr>
            </w:pPr>
            <w:r>
              <w:rPr>
                <w:rFonts w:hAnsi="宋体"/>
                <w:szCs w:val="21"/>
              </w:rPr>
              <w:t>2</w:t>
            </w:r>
            <w:r>
              <w:rPr>
                <w:rFonts w:hint="eastAsia" w:hAnsi="宋体"/>
                <w:szCs w:val="21"/>
              </w:rPr>
              <w:t>0</w:t>
            </w:r>
          </w:p>
        </w:tc>
        <w:tc>
          <w:tcPr>
            <w:tcW w:w="661" w:type="dxa"/>
            <w:vMerge w:val="restart"/>
            <w:tcBorders>
              <w:top w:val="single" w:color="000000" w:sz="4" w:space="0"/>
              <w:left w:val="single" w:color="000000" w:sz="4" w:space="0"/>
              <w:bottom w:val="single" w:color="000000" w:sz="4" w:space="0"/>
              <w:right w:val="single" w:color="000000" w:sz="4" w:space="0"/>
            </w:tcBorders>
            <w:vAlign w:val="center"/>
          </w:tcPr>
          <w:p w14:paraId="0AF6F692">
            <w:pPr>
              <w:pStyle w:val="2"/>
              <w:adjustRightInd w:val="0"/>
              <w:snapToGrid w:val="0"/>
              <w:spacing w:after="0"/>
              <w:ind w:firstLine="0" w:firstLineChars="0"/>
              <w:rPr>
                <w:rFonts w:hint="eastAsia" w:hAnsi="宋体"/>
                <w:szCs w:val="21"/>
              </w:rPr>
            </w:pPr>
            <w:r>
              <w:rPr>
                <w:rFonts w:hAnsi="宋体"/>
                <w:szCs w:val="21"/>
              </w:rPr>
              <w:t>其他服务</w:t>
            </w:r>
          </w:p>
        </w:tc>
        <w:tc>
          <w:tcPr>
            <w:tcW w:w="762" w:type="dxa"/>
            <w:vMerge w:val="restart"/>
            <w:tcBorders>
              <w:top w:val="single" w:color="000000" w:sz="4" w:space="0"/>
              <w:left w:val="single" w:color="000000" w:sz="4" w:space="0"/>
              <w:right w:val="single" w:color="000000" w:sz="4" w:space="0"/>
            </w:tcBorders>
            <w:vAlign w:val="center"/>
          </w:tcPr>
          <w:p w14:paraId="3F5DF823">
            <w:pPr>
              <w:pStyle w:val="2"/>
              <w:adjustRightInd w:val="0"/>
              <w:snapToGrid w:val="0"/>
              <w:spacing w:after="0"/>
              <w:ind w:firstLine="0" w:firstLineChars="0"/>
              <w:rPr>
                <w:rFonts w:hint="eastAsia" w:hAnsi="宋体"/>
                <w:szCs w:val="21"/>
              </w:rPr>
            </w:pPr>
            <w:r>
              <w:rPr>
                <w:rFonts w:hint="eastAsia" w:hAnsi="宋体"/>
                <w:szCs w:val="21"/>
              </w:rPr>
              <w:t>备件服务</w:t>
            </w:r>
          </w:p>
        </w:tc>
        <w:tc>
          <w:tcPr>
            <w:tcW w:w="5774" w:type="dxa"/>
            <w:tcBorders>
              <w:top w:val="single" w:color="000000" w:sz="4" w:space="0"/>
              <w:left w:val="single" w:color="000000" w:sz="4" w:space="0"/>
              <w:bottom w:val="single" w:color="000000" w:sz="4" w:space="0"/>
              <w:right w:val="single" w:color="000000" w:sz="4" w:space="0"/>
            </w:tcBorders>
            <w:vAlign w:val="center"/>
          </w:tcPr>
          <w:p w14:paraId="130519EE">
            <w:pPr>
              <w:pStyle w:val="2"/>
              <w:adjustRightInd w:val="0"/>
              <w:snapToGrid w:val="0"/>
              <w:spacing w:after="0"/>
              <w:ind w:firstLine="0" w:firstLineChars="0"/>
              <w:rPr>
                <w:rFonts w:hint="eastAsia" w:hAnsi="宋体"/>
                <w:szCs w:val="21"/>
              </w:rPr>
            </w:pPr>
            <w:r>
              <w:rPr>
                <w:rFonts w:hint="eastAsia" w:hAnsi="宋体"/>
                <w:szCs w:val="21"/>
              </w:rPr>
              <w:t>在接到业主需求无法在短时间内对设备完成修复的，应马上提供备件更换，超出业主规定时间更换备件的，每次扣3分；</w:t>
            </w:r>
          </w:p>
        </w:tc>
        <w:tc>
          <w:tcPr>
            <w:tcW w:w="461" w:type="dxa"/>
            <w:vMerge w:val="restart"/>
            <w:tcBorders>
              <w:top w:val="single" w:color="000000" w:sz="4" w:space="0"/>
              <w:left w:val="single" w:color="000000" w:sz="4" w:space="0"/>
              <w:bottom w:val="single" w:color="000000" w:sz="4" w:space="0"/>
              <w:right w:val="single" w:color="000000" w:sz="4" w:space="0"/>
            </w:tcBorders>
            <w:vAlign w:val="center"/>
          </w:tcPr>
          <w:p w14:paraId="45C07050">
            <w:pPr>
              <w:pStyle w:val="2"/>
              <w:adjustRightInd w:val="0"/>
              <w:snapToGrid w:val="0"/>
              <w:spacing w:after="0"/>
              <w:ind w:firstLine="0" w:firstLineChars="0"/>
              <w:rPr>
                <w:rFonts w:hint="eastAsia" w:hAnsi="宋体"/>
                <w:szCs w:val="21"/>
              </w:rPr>
            </w:pPr>
            <w:r>
              <w:rPr>
                <w:rFonts w:hAnsi="宋体"/>
                <w:szCs w:val="21"/>
              </w:rPr>
              <w:t>15</w:t>
            </w:r>
          </w:p>
        </w:tc>
      </w:tr>
      <w:tr w14:paraId="4CF4C820">
        <w:tblPrEx>
          <w:tblCellMar>
            <w:top w:w="0" w:type="dxa"/>
            <w:left w:w="108" w:type="dxa"/>
            <w:bottom w:w="0" w:type="dxa"/>
            <w:right w:w="108" w:type="dxa"/>
          </w:tblCellMar>
        </w:tblPrEx>
        <w:trPr>
          <w:trHeight w:val="48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0C398124">
            <w:pPr>
              <w:pStyle w:val="2"/>
              <w:adjustRightInd w:val="0"/>
              <w:snapToGrid w:val="0"/>
              <w:spacing w:after="0"/>
              <w:ind w:firstLine="0" w:firstLineChars="0"/>
              <w:rPr>
                <w:rFonts w:hint="eastAsia" w:hAnsi="宋体"/>
                <w:szCs w:val="21"/>
              </w:rPr>
            </w:pPr>
            <w:r>
              <w:rPr>
                <w:rFonts w:hAnsi="宋体"/>
                <w:szCs w:val="21"/>
              </w:rPr>
              <w:t>2</w:t>
            </w:r>
            <w:r>
              <w:rPr>
                <w:rFonts w:hint="eastAsia" w:hAnsi="宋体"/>
                <w:szCs w:val="21"/>
              </w:rPr>
              <w:t>1</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151C0332">
            <w:pPr>
              <w:pStyle w:val="2"/>
              <w:adjustRightInd w:val="0"/>
              <w:snapToGrid w:val="0"/>
              <w:spacing w:after="0"/>
              <w:ind w:firstLine="0" w:firstLineChars="0"/>
              <w:rPr>
                <w:rFonts w:hint="eastAsia" w:hAnsi="宋体"/>
                <w:szCs w:val="21"/>
              </w:rPr>
            </w:pPr>
          </w:p>
        </w:tc>
        <w:tc>
          <w:tcPr>
            <w:tcW w:w="762" w:type="dxa"/>
            <w:vMerge w:val="continue"/>
            <w:tcBorders>
              <w:left w:val="single" w:color="000000" w:sz="4" w:space="0"/>
              <w:bottom w:val="single" w:color="000000" w:sz="4" w:space="0"/>
              <w:right w:val="single" w:color="000000" w:sz="4" w:space="0"/>
            </w:tcBorders>
            <w:vAlign w:val="center"/>
          </w:tcPr>
          <w:p w14:paraId="6EB359B6">
            <w:pPr>
              <w:pStyle w:val="2"/>
              <w:adjustRightInd w:val="0"/>
              <w:snapToGrid w:val="0"/>
              <w:spacing w:after="0"/>
              <w:ind w:firstLine="0" w:firstLineChars="0"/>
              <w:rPr>
                <w:rFonts w:hint="eastAsia" w:hAnsi="宋体"/>
                <w:szCs w:val="21"/>
              </w:rPr>
            </w:pPr>
          </w:p>
        </w:tc>
        <w:tc>
          <w:tcPr>
            <w:tcW w:w="5774" w:type="dxa"/>
            <w:tcBorders>
              <w:top w:val="single" w:color="000000" w:sz="4" w:space="0"/>
              <w:left w:val="single" w:color="000000" w:sz="4" w:space="0"/>
              <w:bottom w:val="single" w:color="000000" w:sz="4" w:space="0"/>
              <w:right w:val="single" w:color="000000" w:sz="4" w:space="0"/>
            </w:tcBorders>
            <w:vAlign w:val="center"/>
          </w:tcPr>
          <w:p w14:paraId="718593C9">
            <w:pPr>
              <w:pStyle w:val="2"/>
              <w:adjustRightInd w:val="0"/>
              <w:snapToGrid w:val="0"/>
              <w:spacing w:after="0"/>
              <w:ind w:firstLine="0" w:firstLineChars="0"/>
              <w:rPr>
                <w:rFonts w:hint="eastAsia" w:hAnsi="宋体"/>
                <w:szCs w:val="21"/>
              </w:rPr>
            </w:pPr>
            <w:r>
              <w:rPr>
                <w:rFonts w:hint="eastAsia" w:hAnsi="宋体"/>
                <w:szCs w:val="21"/>
              </w:rPr>
              <w:t>因运维单位未按时更换备件造成重大事故的，每次扣15分；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2C838792">
            <w:pPr>
              <w:pStyle w:val="2"/>
              <w:adjustRightInd w:val="0"/>
              <w:snapToGrid w:val="0"/>
              <w:spacing w:after="0"/>
              <w:ind w:firstLine="0" w:firstLineChars="0"/>
              <w:rPr>
                <w:rFonts w:hint="eastAsia" w:hAnsi="宋体"/>
                <w:szCs w:val="21"/>
              </w:rPr>
            </w:pPr>
          </w:p>
        </w:tc>
      </w:tr>
      <w:tr w14:paraId="736183C8">
        <w:tblPrEx>
          <w:tblCellMar>
            <w:top w:w="0" w:type="dxa"/>
            <w:left w:w="108" w:type="dxa"/>
            <w:bottom w:w="0" w:type="dxa"/>
            <w:right w:w="108" w:type="dxa"/>
          </w:tblCellMar>
        </w:tblPrEx>
        <w:trPr>
          <w:trHeight w:val="72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65AE5687">
            <w:pPr>
              <w:pStyle w:val="2"/>
              <w:adjustRightInd w:val="0"/>
              <w:snapToGrid w:val="0"/>
              <w:spacing w:after="0"/>
              <w:ind w:firstLine="0" w:firstLineChars="0"/>
              <w:rPr>
                <w:rFonts w:hint="eastAsia" w:hAnsi="宋体"/>
                <w:szCs w:val="21"/>
              </w:rPr>
            </w:pPr>
            <w:r>
              <w:rPr>
                <w:rFonts w:hAnsi="宋体"/>
                <w:szCs w:val="21"/>
              </w:rPr>
              <w:t>2</w:t>
            </w:r>
            <w:r>
              <w:rPr>
                <w:rFonts w:hint="eastAsia" w:hAnsi="宋体"/>
                <w:szCs w:val="21"/>
              </w:rPr>
              <w:t>2</w:t>
            </w:r>
          </w:p>
        </w:tc>
        <w:tc>
          <w:tcPr>
            <w:tcW w:w="661" w:type="dxa"/>
            <w:vMerge w:val="continue"/>
            <w:tcBorders>
              <w:top w:val="single" w:color="000000" w:sz="4" w:space="0"/>
              <w:left w:val="single" w:color="000000" w:sz="4" w:space="0"/>
              <w:bottom w:val="single" w:color="000000" w:sz="4" w:space="0"/>
              <w:right w:val="single" w:color="000000" w:sz="4" w:space="0"/>
            </w:tcBorders>
            <w:vAlign w:val="center"/>
          </w:tcPr>
          <w:p w14:paraId="6C3A7040">
            <w:pPr>
              <w:pStyle w:val="2"/>
              <w:adjustRightInd w:val="0"/>
              <w:snapToGrid w:val="0"/>
              <w:spacing w:after="0"/>
              <w:ind w:firstLine="0" w:firstLineChars="0"/>
              <w:rPr>
                <w:rFonts w:hint="eastAsia" w:hAnsi="宋体"/>
                <w:szCs w:val="21"/>
              </w:rPr>
            </w:pPr>
          </w:p>
        </w:tc>
        <w:tc>
          <w:tcPr>
            <w:tcW w:w="762" w:type="dxa"/>
            <w:tcBorders>
              <w:top w:val="single" w:color="000000" w:sz="4" w:space="0"/>
              <w:left w:val="single" w:color="000000" w:sz="4" w:space="0"/>
              <w:bottom w:val="single" w:color="000000" w:sz="4" w:space="0"/>
              <w:right w:val="single" w:color="000000" w:sz="4" w:space="0"/>
            </w:tcBorders>
            <w:vAlign w:val="center"/>
          </w:tcPr>
          <w:p w14:paraId="18F14715">
            <w:pPr>
              <w:pStyle w:val="2"/>
              <w:adjustRightInd w:val="0"/>
              <w:snapToGrid w:val="0"/>
              <w:spacing w:after="0"/>
              <w:ind w:firstLine="0" w:firstLineChars="0"/>
              <w:rPr>
                <w:rFonts w:hint="eastAsia" w:hAnsi="宋体"/>
                <w:szCs w:val="21"/>
              </w:rPr>
            </w:pPr>
            <w:r>
              <w:rPr>
                <w:rFonts w:hAnsi="宋体"/>
                <w:szCs w:val="21"/>
              </w:rPr>
              <w:t>安全保障</w:t>
            </w:r>
          </w:p>
        </w:tc>
        <w:tc>
          <w:tcPr>
            <w:tcW w:w="5774" w:type="dxa"/>
            <w:tcBorders>
              <w:top w:val="single" w:color="000000" w:sz="4" w:space="0"/>
              <w:left w:val="single" w:color="000000" w:sz="4" w:space="0"/>
              <w:bottom w:val="single" w:color="000000" w:sz="4" w:space="0"/>
              <w:right w:val="single" w:color="000000" w:sz="4" w:space="0"/>
            </w:tcBorders>
            <w:vAlign w:val="center"/>
          </w:tcPr>
          <w:p w14:paraId="7B409F9B">
            <w:pPr>
              <w:pStyle w:val="2"/>
              <w:adjustRightInd w:val="0"/>
              <w:snapToGrid w:val="0"/>
              <w:spacing w:after="0"/>
              <w:ind w:firstLine="0" w:firstLineChars="0"/>
              <w:rPr>
                <w:rFonts w:hint="eastAsia" w:hAnsi="宋体"/>
                <w:szCs w:val="21"/>
              </w:rPr>
            </w:pPr>
            <w:r>
              <w:rPr>
                <w:rFonts w:hAnsi="宋体"/>
                <w:szCs w:val="21"/>
              </w:rPr>
              <w:t>定期开展安全巡检、漏洞扫描、系统备份、恢复演练、等保测评或自查，高危、中危漏洞修复率100%，无特殊情况下高风险未修复每个扣5分，中低危每个扣3分，未提交说明文件按规扣分；</w:t>
            </w:r>
          </w:p>
        </w:tc>
        <w:tc>
          <w:tcPr>
            <w:tcW w:w="461" w:type="dxa"/>
            <w:vMerge w:val="continue"/>
            <w:tcBorders>
              <w:top w:val="single" w:color="000000" w:sz="4" w:space="0"/>
              <w:left w:val="single" w:color="000000" w:sz="4" w:space="0"/>
              <w:bottom w:val="single" w:color="000000" w:sz="4" w:space="0"/>
              <w:right w:val="single" w:color="000000" w:sz="4" w:space="0"/>
            </w:tcBorders>
            <w:vAlign w:val="center"/>
          </w:tcPr>
          <w:p w14:paraId="7937F93D">
            <w:pPr>
              <w:pStyle w:val="2"/>
              <w:adjustRightInd w:val="0"/>
              <w:snapToGrid w:val="0"/>
              <w:spacing w:after="0"/>
              <w:ind w:firstLine="0" w:firstLineChars="0"/>
              <w:rPr>
                <w:rFonts w:hint="eastAsia" w:hAnsi="宋体"/>
                <w:szCs w:val="21"/>
              </w:rPr>
            </w:pPr>
          </w:p>
        </w:tc>
      </w:tr>
      <w:tr w14:paraId="6142D052">
        <w:tblPrEx>
          <w:tblCellMar>
            <w:top w:w="0" w:type="dxa"/>
            <w:left w:w="108" w:type="dxa"/>
            <w:bottom w:w="0" w:type="dxa"/>
            <w:right w:w="108" w:type="dxa"/>
          </w:tblCellMar>
        </w:tblPrEx>
        <w:trPr>
          <w:trHeight w:val="600" w:hRule="atLeast"/>
          <w:jc w:val="center"/>
        </w:trPr>
        <w:tc>
          <w:tcPr>
            <w:tcW w:w="638" w:type="dxa"/>
            <w:tcBorders>
              <w:top w:val="nil"/>
              <w:left w:val="single" w:color="000000" w:sz="4" w:space="0"/>
              <w:bottom w:val="nil"/>
              <w:right w:val="single" w:color="000000" w:sz="4" w:space="0"/>
            </w:tcBorders>
            <w:vAlign w:val="center"/>
          </w:tcPr>
          <w:p w14:paraId="7F097BC6">
            <w:pPr>
              <w:pStyle w:val="2"/>
              <w:adjustRightInd w:val="0"/>
              <w:snapToGrid w:val="0"/>
              <w:spacing w:after="0"/>
              <w:ind w:firstLine="0" w:firstLineChars="0"/>
              <w:rPr>
                <w:rFonts w:hint="eastAsia" w:hAnsi="宋体"/>
                <w:szCs w:val="21"/>
              </w:rPr>
            </w:pPr>
            <w:r>
              <w:rPr>
                <w:rFonts w:hAnsi="宋体"/>
                <w:szCs w:val="21"/>
              </w:rPr>
              <w:t>2</w:t>
            </w:r>
            <w:r>
              <w:rPr>
                <w:rFonts w:hint="eastAsia" w:hAnsi="宋体"/>
                <w:szCs w:val="21"/>
              </w:rPr>
              <w:t>3</w:t>
            </w:r>
          </w:p>
        </w:tc>
        <w:tc>
          <w:tcPr>
            <w:tcW w:w="661" w:type="dxa"/>
            <w:tcBorders>
              <w:top w:val="nil"/>
              <w:left w:val="single" w:color="000000" w:sz="4" w:space="0"/>
              <w:bottom w:val="single" w:color="000000" w:sz="4" w:space="0"/>
              <w:right w:val="single" w:color="000000" w:sz="4" w:space="0"/>
            </w:tcBorders>
            <w:vAlign w:val="center"/>
          </w:tcPr>
          <w:p w14:paraId="29DE5F54">
            <w:pPr>
              <w:pStyle w:val="2"/>
              <w:adjustRightInd w:val="0"/>
              <w:snapToGrid w:val="0"/>
              <w:spacing w:after="0"/>
              <w:ind w:firstLine="0" w:firstLineChars="0"/>
              <w:rPr>
                <w:rFonts w:hint="eastAsia" w:hAnsi="宋体"/>
                <w:szCs w:val="21"/>
              </w:rPr>
            </w:pPr>
            <w:r>
              <w:rPr>
                <w:rFonts w:hAnsi="宋体"/>
                <w:szCs w:val="21"/>
              </w:rPr>
              <w:t>加分项</w:t>
            </w:r>
          </w:p>
        </w:tc>
        <w:tc>
          <w:tcPr>
            <w:tcW w:w="762" w:type="dxa"/>
            <w:tcBorders>
              <w:top w:val="nil"/>
              <w:left w:val="single" w:color="000000" w:sz="4" w:space="0"/>
              <w:bottom w:val="single" w:color="000000" w:sz="4" w:space="0"/>
              <w:right w:val="single" w:color="000000" w:sz="4" w:space="0"/>
            </w:tcBorders>
            <w:vAlign w:val="center"/>
          </w:tcPr>
          <w:p w14:paraId="52FBF1DB">
            <w:pPr>
              <w:pStyle w:val="2"/>
              <w:adjustRightInd w:val="0"/>
              <w:snapToGrid w:val="0"/>
              <w:spacing w:after="0"/>
              <w:ind w:firstLine="0" w:firstLineChars="0"/>
              <w:rPr>
                <w:rFonts w:hint="eastAsia" w:hAnsi="宋体"/>
                <w:szCs w:val="21"/>
              </w:rPr>
            </w:pPr>
            <w:r>
              <w:rPr>
                <w:rFonts w:hAnsi="宋体"/>
                <w:szCs w:val="21"/>
              </w:rPr>
              <w:t>完成合同外任务</w:t>
            </w:r>
          </w:p>
        </w:tc>
        <w:tc>
          <w:tcPr>
            <w:tcW w:w="5774" w:type="dxa"/>
            <w:tcBorders>
              <w:top w:val="nil"/>
              <w:left w:val="single" w:color="000000" w:sz="4" w:space="0"/>
              <w:bottom w:val="single" w:color="000000" w:sz="4" w:space="0"/>
              <w:right w:val="single" w:color="000000" w:sz="4" w:space="0"/>
            </w:tcBorders>
            <w:vAlign w:val="center"/>
          </w:tcPr>
          <w:p w14:paraId="267A3E52">
            <w:pPr>
              <w:pStyle w:val="2"/>
              <w:adjustRightInd w:val="0"/>
              <w:snapToGrid w:val="0"/>
              <w:spacing w:after="0"/>
              <w:ind w:firstLine="0" w:firstLineChars="0"/>
              <w:rPr>
                <w:rFonts w:hint="eastAsia" w:hAnsi="宋体"/>
                <w:szCs w:val="21"/>
              </w:rPr>
            </w:pPr>
            <w:r>
              <w:rPr>
                <w:rFonts w:hAnsi="宋体"/>
                <w:szCs w:val="21"/>
              </w:rPr>
              <w:t>承接在合同范围外，完成国家医保局或自治区医保局布置工作，每一次加5分。</w:t>
            </w:r>
          </w:p>
        </w:tc>
        <w:tc>
          <w:tcPr>
            <w:tcW w:w="461" w:type="dxa"/>
            <w:tcBorders>
              <w:top w:val="nil"/>
              <w:left w:val="single" w:color="000000" w:sz="4" w:space="0"/>
              <w:bottom w:val="single" w:color="000000" w:sz="4" w:space="0"/>
              <w:right w:val="single" w:color="000000" w:sz="4" w:space="0"/>
            </w:tcBorders>
            <w:vAlign w:val="center"/>
          </w:tcPr>
          <w:p w14:paraId="3AB58883">
            <w:pPr>
              <w:pStyle w:val="2"/>
              <w:adjustRightInd w:val="0"/>
              <w:snapToGrid w:val="0"/>
              <w:spacing w:after="0"/>
              <w:ind w:firstLine="0" w:firstLineChars="0"/>
              <w:rPr>
                <w:rFonts w:hint="eastAsia" w:hAnsi="宋体"/>
                <w:szCs w:val="21"/>
              </w:rPr>
            </w:pPr>
            <w:r>
              <w:rPr>
                <w:rFonts w:hAnsi="宋体"/>
                <w:szCs w:val="21"/>
              </w:rPr>
              <w:t>10</w:t>
            </w:r>
          </w:p>
        </w:tc>
      </w:tr>
      <w:tr w14:paraId="122FDA20">
        <w:tblPrEx>
          <w:tblCellMar>
            <w:top w:w="0" w:type="dxa"/>
            <w:left w:w="108" w:type="dxa"/>
            <w:bottom w:w="0" w:type="dxa"/>
            <w:right w:w="108" w:type="dxa"/>
          </w:tblCellMar>
        </w:tblPrEx>
        <w:trPr>
          <w:trHeight w:val="1000" w:hRule="atLeast"/>
          <w:jc w:val="center"/>
        </w:trPr>
        <w:tc>
          <w:tcPr>
            <w:tcW w:w="8296" w:type="dxa"/>
            <w:gridSpan w:val="5"/>
            <w:tcBorders>
              <w:top w:val="nil"/>
              <w:left w:val="nil"/>
              <w:bottom w:val="nil"/>
              <w:right w:val="nil"/>
            </w:tcBorders>
            <w:vAlign w:val="center"/>
          </w:tcPr>
          <w:p w14:paraId="5B3EC59C">
            <w:pPr>
              <w:pStyle w:val="2"/>
              <w:adjustRightInd w:val="0"/>
              <w:snapToGrid w:val="0"/>
              <w:spacing w:after="0"/>
              <w:ind w:firstLine="0" w:firstLineChars="0"/>
              <w:rPr>
                <w:rFonts w:hint="eastAsia" w:hAnsi="宋体"/>
                <w:szCs w:val="21"/>
              </w:rPr>
            </w:pPr>
            <w:r>
              <w:rPr>
                <w:rFonts w:hAnsi="宋体"/>
                <w:szCs w:val="21"/>
              </w:rPr>
              <w:t>注：1.因不可抗力（如地震、台风）导致故障处置延迟的，经考核小组审核后，不纳入扣分；2.运维人员对考核结果有异议的，需在结果公示后 3 个工作日内提交书面申诉，考核小组 5 个工作日内复核并反馈结果，确保考核公正性。</w:t>
            </w:r>
          </w:p>
        </w:tc>
      </w:tr>
    </w:tbl>
    <w:p w14:paraId="50CFB90B">
      <w:pPr>
        <w:pStyle w:val="2"/>
        <w:spacing w:after="0" w:line="360" w:lineRule="auto"/>
        <w:ind w:firstLine="0" w:firstLineChars="0"/>
        <w:rPr>
          <w:rFonts w:hint="eastAsia" w:ascii="宋体" w:hAnsi="宋体"/>
          <w:sz w:val="24"/>
        </w:rPr>
      </w:pPr>
    </w:p>
    <w:p w14:paraId="4BFAB669"/>
    <w:p w14:paraId="6C34A4B2">
      <w:pPr>
        <w:snapToGrid w:val="0"/>
        <w:jc w:val="center"/>
        <w:rPr>
          <w:rFonts w:hint="eastAsia" w:ascii="宋体" w:hAnsi="宋体"/>
          <w:bCs/>
          <w:sz w:val="32"/>
          <w:szCs w:val="32"/>
        </w:rPr>
      </w:pPr>
      <w:r>
        <w:rPr>
          <w:rFonts w:ascii="宋体" w:hAnsi="宋体"/>
          <w:b/>
          <w:color w:val="000000"/>
          <w:szCs w:val="21"/>
        </w:rPr>
        <w:br w:type="page"/>
      </w:r>
    </w:p>
    <w:p w14:paraId="3A9F369A">
      <w:pPr>
        <w:snapToGrid w:val="0"/>
        <w:jc w:val="center"/>
        <w:rPr>
          <w:rFonts w:hint="eastAsia" w:ascii="宋体" w:hAnsi="宋体"/>
          <w:bCs/>
          <w:sz w:val="32"/>
          <w:szCs w:val="32"/>
        </w:rPr>
      </w:pPr>
    </w:p>
    <w:p w14:paraId="08FE8831">
      <w:pPr>
        <w:snapToGrid w:val="0"/>
        <w:jc w:val="center"/>
        <w:rPr>
          <w:rFonts w:hint="eastAsia" w:ascii="宋体" w:hAnsi="宋体"/>
          <w:bCs/>
          <w:sz w:val="32"/>
          <w:szCs w:val="32"/>
        </w:rPr>
      </w:pPr>
    </w:p>
    <w:p w14:paraId="27BB75E7">
      <w:pPr>
        <w:snapToGrid w:val="0"/>
        <w:jc w:val="center"/>
        <w:rPr>
          <w:rFonts w:hint="eastAsia" w:ascii="宋体" w:hAnsi="宋体"/>
          <w:bCs/>
          <w:sz w:val="32"/>
          <w:szCs w:val="32"/>
        </w:rPr>
      </w:pPr>
    </w:p>
    <w:p w14:paraId="5DA6D7F0">
      <w:pPr>
        <w:snapToGrid w:val="0"/>
        <w:jc w:val="center"/>
        <w:rPr>
          <w:rFonts w:hint="eastAsia" w:ascii="宋体" w:hAnsi="宋体"/>
          <w:bCs/>
          <w:sz w:val="32"/>
          <w:szCs w:val="32"/>
        </w:rPr>
      </w:pPr>
    </w:p>
    <w:p w14:paraId="64B6F4CB">
      <w:pPr>
        <w:snapToGrid w:val="0"/>
        <w:jc w:val="center"/>
        <w:rPr>
          <w:rFonts w:hint="eastAsia" w:ascii="宋体" w:hAnsi="宋体"/>
          <w:bCs/>
          <w:sz w:val="32"/>
          <w:szCs w:val="32"/>
        </w:rPr>
      </w:pPr>
    </w:p>
    <w:p w14:paraId="59D9EB15">
      <w:pPr>
        <w:pStyle w:val="4"/>
        <w:jc w:val="center"/>
      </w:pPr>
      <w:bookmarkStart w:id="150" w:name="_Toc187937698"/>
      <w:r>
        <w:rPr>
          <w:rFonts w:hint="eastAsia"/>
        </w:rPr>
        <w:t>第六章　投标文件格式</w:t>
      </w:r>
      <w:bookmarkEnd w:id="150"/>
    </w:p>
    <w:p w14:paraId="181C6E95">
      <w:pPr>
        <w:snapToGrid w:val="0"/>
        <w:spacing w:before="50" w:after="50"/>
        <w:outlineLvl w:val="1"/>
        <w:rPr>
          <w:rFonts w:hint="eastAsia" w:ascii="宋体" w:hAnsi="宋体"/>
          <w:sz w:val="32"/>
          <w:szCs w:val="20"/>
        </w:rPr>
      </w:pPr>
    </w:p>
    <w:p w14:paraId="15CAF777">
      <w:pPr>
        <w:snapToGrid w:val="0"/>
        <w:spacing w:before="50" w:after="50"/>
        <w:outlineLvl w:val="1"/>
        <w:rPr>
          <w:rFonts w:hint="eastAsia" w:ascii="宋体" w:hAnsi="宋体"/>
          <w:sz w:val="32"/>
          <w:szCs w:val="20"/>
        </w:rPr>
      </w:pPr>
    </w:p>
    <w:p w14:paraId="26843F96">
      <w:pPr>
        <w:snapToGrid w:val="0"/>
        <w:spacing w:before="50" w:after="50"/>
        <w:outlineLvl w:val="1"/>
        <w:rPr>
          <w:rFonts w:hint="eastAsia" w:ascii="宋体" w:hAnsi="宋体"/>
          <w:sz w:val="32"/>
          <w:szCs w:val="20"/>
        </w:rPr>
      </w:pPr>
    </w:p>
    <w:p w14:paraId="3A882F8A">
      <w:pPr>
        <w:snapToGrid w:val="0"/>
        <w:spacing w:before="50" w:after="50"/>
        <w:outlineLvl w:val="1"/>
        <w:rPr>
          <w:rFonts w:hint="eastAsia" w:ascii="宋体" w:hAnsi="宋体"/>
          <w:sz w:val="32"/>
          <w:szCs w:val="20"/>
        </w:rPr>
      </w:pPr>
    </w:p>
    <w:p w14:paraId="15949701">
      <w:pPr>
        <w:snapToGrid w:val="0"/>
        <w:spacing w:before="50" w:after="50"/>
        <w:outlineLvl w:val="1"/>
        <w:rPr>
          <w:rFonts w:hint="eastAsia" w:ascii="宋体" w:hAnsi="宋体"/>
          <w:sz w:val="32"/>
          <w:szCs w:val="20"/>
        </w:rPr>
      </w:pPr>
    </w:p>
    <w:p w14:paraId="0071BAFD">
      <w:pPr>
        <w:snapToGrid w:val="0"/>
        <w:spacing w:before="50" w:after="50"/>
        <w:outlineLvl w:val="1"/>
        <w:rPr>
          <w:rFonts w:hint="eastAsia" w:ascii="宋体" w:hAnsi="宋体"/>
          <w:sz w:val="32"/>
          <w:szCs w:val="20"/>
        </w:rPr>
      </w:pPr>
    </w:p>
    <w:p w14:paraId="261F232D">
      <w:pPr>
        <w:snapToGrid w:val="0"/>
        <w:spacing w:before="50" w:after="50"/>
        <w:outlineLvl w:val="1"/>
        <w:rPr>
          <w:rFonts w:hint="eastAsia" w:ascii="宋体" w:hAnsi="宋体"/>
          <w:sz w:val="32"/>
          <w:szCs w:val="20"/>
        </w:rPr>
      </w:pPr>
    </w:p>
    <w:p w14:paraId="13952FB9">
      <w:pPr>
        <w:snapToGrid w:val="0"/>
        <w:spacing w:before="50" w:after="50"/>
        <w:outlineLvl w:val="1"/>
        <w:rPr>
          <w:rFonts w:hint="eastAsia" w:ascii="宋体" w:hAnsi="宋体"/>
          <w:sz w:val="32"/>
          <w:szCs w:val="20"/>
        </w:rPr>
      </w:pPr>
    </w:p>
    <w:p w14:paraId="5D5477ED">
      <w:pPr>
        <w:snapToGrid w:val="0"/>
        <w:spacing w:before="50" w:after="50"/>
        <w:outlineLvl w:val="1"/>
        <w:rPr>
          <w:rFonts w:hint="eastAsia" w:ascii="宋体" w:hAnsi="宋体"/>
          <w:sz w:val="32"/>
          <w:szCs w:val="20"/>
        </w:rPr>
      </w:pPr>
    </w:p>
    <w:p w14:paraId="0C89ABA2">
      <w:pPr>
        <w:snapToGrid w:val="0"/>
        <w:spacing w:before="50" w:after="50"/>
        <w:outlineLvl w:val="1"/>
        <w:rPr>
          <w:rFonts w:hint="eastAsia" w:ascii="宋体" w:hAnsi="宋体"/>
          <w:sz w:val="32"/>
          <w:szCs w:val="20"/>
        </w:rPr>
      </w:pPr>
    </w:p>
    <w:p w14:paraId="188A30A2">
      <w:pPr>
        <w:rPr>
          <w:b/>
          <w:sz w:val="28"/>
          <w:szCs w:val="28"/>
        </w:rPr>
      </w:pPr>
      <w:r>
        <w:rPr>
          <w:sz w:val="32"/>
          <w:szCs w:val="20"/>
        </w:rPr>
        <w:br w:type="page"/>
      </w:r>
      <w:bookmarkStart w:id="151" w:name="_Toc19686836"/>
      <w:bookmarkStart w:id="152" w:name="_Toc254970698"/>
      <w:bookmarkStart w:id="153" w:name="_Toc254970557"/>
      <w:r>
        <w:rPr>
          <w:rFonts w:hint="eastAsia"/>
          <w:b/>
          <w:sz w:val="28"/>
          <w:szCs w:val="28"/>
        </w:rPr>
        <w:t>一、报价文件格式</w:t>
      </w:r>
      <w:bookmarkEnd w:id="151"/>
    </w:p>
    <w:p w14:paraId="087874F9">
      <w:pPr>
        <w:snapToGrid w:val="0"/>
        <w:spacing w:before="120" w:beforeLines="50" w:after="50" w:line="360" w:lineRule="auto"/>
        <w:ind w:left="142"/>
        <w:jc w:val="left"/>
        <w:rPr>
          <w:rFonts w:hint="eastAsia" w:ascii="宋体" w:hAnsi="宋体"/>
          <w:sz w:val="24"/>
          <w:szCs w:val="20"/>
        </w:rPr>
      </w:pPr>
      <w:r>
        <w:rPr>
          <w:rFonts w:hint="eastAsia" w:ascii="宋体" w:hAnsi="宋体"/>
          <w:b/>
          <w:sz w:val="24"/>
        </w:rPr>
        <w:t xml:space="preserve">1. 报价文件封面格式： </w:t>
      </w:r>
    </w:p>
    <w:p w14:paraId="102C17D4">
      <w:pPr>
        <w:snapToGrid w:val="0"/>
        <w:spacing w:before="120" w:beforeLines="50" w:after="50" w:line="360" w:lineRule="auto"/>
        <w:ind w:left="142"/>
        <w:jc w:val="center"/>
        <w:rPr>
          <w:rFonts w:hint="eastAsia" w:ascii="宋体" w:hAnsi="宋体" w:eastAsia="方正小标宋简体"/>
          <w:bCs/>
          <w:sz w:val="48"/>
          <w:szCs w:val="48"/>
        </w:rPr>
      </w:pPr>
      <w:r>
        <w:rPr>
          <w:rFonts w:hint="eastAsia" w:ascii="宋体" w:hAnsi="宋体" w:eastAsia="方正小标宋简体"/>
          <w:bCs/>
          <w:sz w:val="48"/>
          <w:szCs w:val="48"/>
        </w:rPr>
        <w:t>电子投标文件</w:t>
      </w:r>
    </w:p>
    <w:p w14:paraId="069AC94E">
      <w:pPr>
        <w:snapToGrid w:val="0"/>
        <w:spacing w:before="120" w:beforeLines="50" w:after="50" w:line="400" w:lineRule="exact"/>
        <w:rPr>
          <w:rFonts w:hint="eastAsia" w:ascii="宋体" w:hAnsi="宋体"/>
          <w:bCs/>
          <w:sz w:val="32"/>
          <w:szCs w:val="20"/>
        </w:rPr>
      </w:pPr>
      <w:r>
        <w:rPr>
          <w:rFonts w:hint="eastAsia" w:ascii="宋体" w:hAnsi="宋体"/>
          <w:sz w:val="24"/>
        </w:rPr>
        <w:t xml:space="preserve">                 </w:t>
      </w:r>
    </w:p>
    <w:p w14:paraId="7B296C08">
      <w:pPr>
        <w:snapToGrid w:val="0"/>
        <w:spacing w:before="120" w:beforeLines="50" w:after="50" w:line="400" w:lineRule="exact"/>
        <w:jc w:val="center"/>
        <w:rPr>
          <w:rFonts w:hint="eastAsia" w:ascii="宋体" w:hAnsi="宋体"/>
          <w:bCs/>
          <w:sz w:val="24"/>
          <w:szCs w:val="20"/>
        </w:rPr>
      </w:pPr>
    </w:p>
    <w:p w14:paraId="7F225FAB">
      <w:pPr>
        <w:snapToGrid w:val="0"/>
        <w:spacing w:before="120" w:beforeLines="50" w:after="50" w:line="400" w:lineRule="exact"/>
        <w:jc w:val="center"/>
        <w:rPr>
          <w:rFonts w:hint="eastAsia" w:ascii="宋体" w:hAnsi="宋体"/>
          <w:b/>
          <w:bCs/>
          <w:sz w:val="32"/>
          <w:szCs w:val="32"/>
        </w:rPr>
      </w:pPr>
      <w:r>
        <w:rPr>
          <w:rFonts w:hint="eastAsia" w:ascii="宋体" w:hAnsi="宋体"/>
          <w:b/>
          <w:bCs/>
          <w:sz w:val="32"/>
          <w:szCs w:val="32"/>
        </w:rPr>
        <w:t>报价文件</w:t>
      </w:r>
    </w:p>
    <w:p w14:paraId="64BD318F">
      <w:pPr>
        <w:snapToGrid w:val="0"/>
        <w:spacing w:before="120" w:beforeLines="50" w:after="50" w:line="400" w:lineRule="exact"/>
        <w:rPr>
          <w:rFonts w:hint="eastAsia" w:ascii="宋体" w:hAnsi="宋体"/>
          <w:bCs/>
          <w:sz w:val="24"/>
          <w:szCs w:val="20"/>
        </w:rPr>
      </w:pPr>
    </w:p>
    <w:p w14:paraId="49232054">
      <w:pPr>
        <w:snapToGrid w:val="0"/>
        <w:spacing w:before="120" w:beforeLines="50" w:after="50" w:line="400" w:lineRule="exact"/>
        <w:rPr>
          <w:rFonts w:hint="eastAsia" w:ascii="宋体" w:hAnsi="宋体"/>
          <w:bCs/>
          <w:sz w:val="24"/>
          <w:szCs w:val="20"/>
        </w:rPr>
      </w:pPr>
    </w:p>
    <w:p w14:paraId="639C0723">
      <w:pPr>
        <w:snapToGrid w:val="0"/>
        <w:spacing w:before="120" w:beforeLines="50" w:after="50" w:line="400" w:lineRule="exact"/>
        <w:rPr>
          <w:rFonts w:hint="eastAsia" w:ascii="宋体" w:hAnsi="宋体"/>
          <w:bCs/>
          <w:sz w:val="24"/>
          <w:szCs w:val="20"/>
        </w:rPr>
      </w:pPr>
    </w:p>
    <w:p w14:paraId="73CAB4A2">
      <w:pPr>
        <w:snapToGrid w:val="0"/>
        <w:spacing w:before="120" w:beforeLines="50" w:after="50" w:line="400" w:lineRule="exact"/>
        <w:rPr>
          <w:rFonts w:hint="eastAsia" w:ascii="宋体" w:hAnsi="宋体"/>
          <w:bCs/>
          <w:sz w:val="24"/>
          <w:szCs w:val="20"/>
        </w:rPr>
      </w:pPr>
    </w:p>
    <w:p w14:paraId="4280B2C6">
      <w:pPr>
        <w:snapToGrid w:val="0"/>
        <w:spacing w:before="120" w:beforeLines="50" w:after="50" w:line="400" w:lineRule="exact"/>
        <w:ind w:firstLine="360" w:firstLineChars="150"/>
        <w:rPr>
          <w:rFonts w:hint="eastAsia" w:ascii="宋体" w:hAnsi="宋体"/>
          <w:bCs/>
          <w:sz w:val="24"/>
        </w:rPr>
      </w:pPr>
      <w:r>
        <w:rPr>
          <w:rFonts w:hint="eastAsia" w:ascii="宋体" w:hAnsi="宋体"/>
          <w:bCs/>
          <w:sz w:val="24"/>
        </w:rPr>
        <w:t xml:space="preserve">项目名称： </w:t>
      </w:r>
    </w:p>
    <w:p w14:paraId="5E571C96">
      <w:pPr>
        <w:snapToGrid w:val="0"/>
        <w:spacing w:before="120" w:beforeLines="50" w:after="50" w:line="400" w:lineRule="exact"/>
        <w:ind w:firstLine="360" w:firstLineChars="150"/>
        <w:rPr>
          <w:rFonts w:hint="eastAsia" w:ascii="宋体" w:hAnsi="宋体"/>
          <w:bCs/>
          <w:sz w:val="24"/>
        </w:rPr>
      </w:pPr>
    </w:p>
    <w:p w14:paraId="4EF08B58">
      <w:pPr>
        <w:snapToGrid w:val="0"/>
        <w:spacing w:before="120" w:beforeLines="50" w:after="50" w:line="400" w:lineRule="exact"/>
        <w:ind w:firstLine="360" w:firstLineChars="150"/>
        <w:rPr>
          <w:rFonts w:hint="eastAsia" w:ascii="宋体" w:hAnsi="宋体"/>
          <w:bCs/>
          <w:sz w:val="24"/>
        </w:rPr>
      </w:pPr>
      <w:r>
        <w:rPr>
          <w:rFonts w:hint="eastAsia" w:ascii="宋体" w:hAnsi="宋体"/>
          <w:bCs/>
          <w:sz w:val="24"/>
        </w:rPr>
        <w:t xml:space="preserve">项目编号： </w:t>
      </w:r>
    </w:p>
    <w:p w14:paraId="7D1E9B89">
      <w:pPr>
        <w:snapToGrid w:val="0"/>
        <w:spacing w:before="120" w:beforeLines="50" w:after="50" w:line="400" w:lineRule="exact"/>
        <w:ind w:firstLine="360" w:firstLineChars="150"/>
        <w:rPr>
          <w:rFonts w:hint="eastAsia" w:ascii="宋体" w:hAnsi="宋体"/>
          <w:bCs/>
          <w:sz w:val="24"/>
        </w:rPr>
      </w:pPr>
    </w:p>
    <w:p w14:paraId="1A41DE8B">
      <w:pPr>
        <w:snapToGrid w:val="0"/>
        <w:spacing w:before="120" w:beforeLines="50" w:after="50" w:line="400" w:lineRule="exact"/>
        <w:ind w:firstLine="360" w:firstLineChars="150"/>
        <w:rPr>
          <w:rFonts w:hint="eastAsia" w:ascii="宋体" w:hAnsi="宋体"/>
          <w:bCs/>
          <w:sz w:val="24"/>
        </w:rPr>
      </w:pPr>
      <w:r>
        <w:rPr>
          <w:rFonts w:hint="eastAsia" w:ascii="宋体" w:hAnsi="宋体"/>
          <w:bCs/>
          <w:sz w:val="24"/>
        </w:rPr>
        <w:t>所投分标：</w:t>
      </w:r>
    </w:p>
    <w:p w14:paraId="6C033311">
      <w:pPr>
        <w:snapToGrid w:val="0"/>
        <w:spacing w:before="120" w:beforeLines="50" w:after="50" w:line="400" w:lineRule="exact"/>
        <w:ind w:firstLine="360" w:firstLineChars="150"/>
        <w:rPr>
          <w:rFonts w:hint="eastAsia" w:ascii="宋体" w:hAnsi="宋体"/>
          <w:bCs/>
          <w:sz w:val="24"/>
        </w:rPr>
      </w:pPr>
    </w:p>
    <w:p w14:paraId="51CAF255">
      <w:pPr>
        <w:snapToGrid w:val="0"/>
        <w:spacing w:before="120" w:beforeLines="50" w:after="50" w:line="400" w:lineRule="exact"/>
        <w:ind w:firstLine="360" w:firstLineChars="150"/>
        <w:rPr>
          <w:rFonts w:hint="eastAsia" w:ascii="宋体" w:hAnsi="宋体"/>
          <w:bCs/>
          <w:sz w:val="24"/>
        </w:rPr>
      </w:pPr>
      <w:r>
        <w:rPr>
          <w:rFonts w:hint="eastAsia" w:ascii="宋体" w:hAnsi="宋体"/>
          <w:bCs/>
          <w:sz w:val="24"/>
        </w:rPr>
        <w:t>投标人名称：</w:t>
      </w:r>
    </w:p>
    <w:p w14:paraId="71BF9B17">
      <w:pPr>
        <w:snapToGrid w:val="0"/>
        <w:spacing w:before="120" w:beforeLines="50" w:after="50" w:line="400" w:lineRule="exact"/>
        <w:ind w:firstLine="360" w:firstLineChars="150"/>
        <w:rPr>
          <w:rFonts w:hint="eastAsia" w:ascii="宋体" w:hAnsi="宋体"/>
          <w:bCs/>
          <w:sz w:val="24"/>
        </w:rPr>
      </w:pPr>
    </w:p>
    <w:p w14:paraId="5EADB6FE">
      <w:pPr>
        <w:snapToGrid w:val="0"/>
        <w:spacing w:before="120" w:beforeLines="50" w:after="50" w:line="400" w:lineRule="exact"/>
        <w:ind w:firstLine="360" w:firstLineChars="150"/>
        <w:rPr>
          <w:rFonts w:hint="eastAsia" w:ascii="宋体" w:hAnsi="宋体"/>
          <w:bCs/>
          <w:sz w:val="24"/>
        </w:rPr>
      </w:pPr>
      <w:r>
        <w:rPr>
          <w:rFonts w:hint="eastAsia" w:ascii="宋体" w:hAnsi="宋体"/>
          <w:bCs/>
          <w:sz w:val="24"/>
        </w:rPr>
        <w:t>投标人地址：</w:t>
      </w:r>
    </w:p>
    <w:p w14:paraId="49520F01">
      <w:pPr>
        <w:pStyle w:val="9"/>
        <w:snapToGrid w:val="0"/>
        <w:spacing w:before="50" w:after="50" w:line="400" w:lineRule="exact"/>
        <w:ind w:firstLine="960" w:firstLineChars="400"/>
        <w:rPr>
          <w:rFonts w:hint="eastAsia" w:ascii="宋体" w:hAnsi="宋体"/>
          <w:bCs/>
          <w:sz w:val="24"/>
          <w:szCs w:val="24"/>
        </w:rPr>
      </w:pPr>
    </w:p>
    <w:p w14:paraId="6C16864F">
      <w:pPr>
        <w:snapToGrid w:val="0"/>
        <w:spacing w:before="120" w:beforeLines="50" w:after="50" w:line="400" w:lineRule="exact"/>
        <w:rPr>
          <w:rFonts w:hint="eastAsia" w:ascii="宋体" w:hAnsi="宋体"/>
          <w:sz w:val="30"/>
          <w:szCs w:val="20"/>
        </w:rPr>
      </w:pPr>
      <w:r>
        <w:rPr>
          <w:rFonts w:hint="eastAsia" w:ascii="宋体" w:hAnsi="宋体"/>
          <w:sz w:val="24"/>
        </w:rPr>
        <w:t xml:space="preserve">                                   年  月  日</w:t>
      </w:r>
    </w:p>
    <w:p w14:paraId="372B6296">
      <w:pPr>
        <w:snapToGrid w:val="0"/>
        <w:spacing w:before="120" w:beforeLines="50" w:after="50" w:line="360" w:lineRule="auto"/>
        <w:jc w:val="left"/>
        <w:rPr>
          <w:rFonts w:hint="eastAsia" w:ascii="宋体" w:hAnsi="宋体"/>
          <w:sz w:val="24"/>
          <w:szCs w:val="20"/>
        </w:rPr>
      </w:pPr>
      <w:r>
        <w:rPr>
          <w:rFonts w:ascii="宋体" w:hAnsi="宋体"/>
          <w:b/>
          <w:sz w:val="24"/>
        </w:rPr>
        <w:br w:type="page"/>
      </w:r>
      <w:r>
        <w:rPr>
          <w:rFonts w:hint="eastAsia" w:ascii="宋体" w:hAnsi="宋体"/>
          <w:b/>
          <w:sz w:val="24"/>
        </w:rPr>
        <w:t>2.</w:t>
      </w:r>
      <w:r>
        <w:rPr>
          <w:rFonts w:hint="eastAsia" w:ascii="宋体" w:hAnsi="宋体"/>
          <w:b/>
          <w:bCs/>
          <w:sz w:val="24"/>
        </w:rPr>
        <w:t>报价文件目录</w:t>
      </w:r>
    </w:p>
    <w:p w14:paraId="1671DEE6">
      <w:pPr>
        <w:snapToGrid w:val="0"/>
        <w:spacing w:before="50" w:after="120" w:afterLines="50" w:line="360" w:lineRule="auto"/>
        <w:jc w:val="left"/>
        <w:rPr>
          <w:rFonts w:hint="eastAsia" w:ascii="宋体" w:hAnsi="宋体"/>
          <w:b/>
          <w:sz w:val="24"/>
        </w:rPr>
      </w:pPr>
      <w:r>
        <w:rPr>
          <w:rFonts w:hint="eastAsia" w:ascii="宋体" w:hAnsi="宋体"/>
          <w:szCs w:val="21"/>
        </w:rPr>
        <w:t>根据采购文件规定及投标人提供的材料自行编写目录。</w:t>
      </w:r>
    </w:p>
    <w:p w14:paraId="2980DF32">
      <w:pPr>
        <w:snapToGrid w:val="0"/>
        <w:spacing w:before="120" w:beforeLines="50" w:after="50"/>
        <w:rPr>
          <w:rFonts w:hint="eastAsia" w:ascii="宋体" w:hAnsi="宋体"/>
          <w:b/>
          <w:sz w:val="24"/>
        </w:rPr>
      </w:pPr>
    </w:p>
    <w:p w14:paraId="4FFF3923">
      <w:pPr>
        <w:snapToGrid w:val="0"/>
        <w:spacing w:before="120" w:beforeLines="50" w:after="50"/>
        <w:rPr>
          <w:rFonts w:hint="eastAsia" w:ascii="宋体" w:hAnsi="宋体"/>
          <w:b/>
          <w:sz w:val="24"/>
        </w:rPr>
      </w:pPr>
    </w:p>
    <w:p w14:paraId="0D3FC17E">
      <w:pPr>
        <w:snapToGrid w:val="0"/>
        <w:spacing w:before="120" w:beforeLines="50" w:after="50"/>
        <w:rPr>
          <w:rFonts w:hint="eastAsia" w:ascii="宋体" w:hAnsi="宋体"/>
          <w:b/>
          <w:sz w:val="24"/>
        </w:rPr>
      </w:pPr>
    </w:p>
    <w:p w14:paraId="61EEC714">
      <w:pPr>
        <w:snapToGrid w:val="0"/>
        <w:spacing w:before="120" w:beforeLines="50" w:after="50"/>
        <w:ind w:left="142"/>
        <w:jc w:val="left"/>
        <w:rPr>
          <w:rFonts w:hint="eastAsia" w:ascii="宋体" w:hAnsi="宋体"/>
          <w:b/>
          <w:sz w:val="24"/>
        </w:rPr>
      </w:pPr>
      <w:r>
        <w:rPr>
          <w:rFonts w:ascii="宋体" w:hAnsi="宋体"/>
          <w:b/>
          <w:sz w:val="24"/>
        </w:rPr>
        <w:br w:type="page"/>
      </w:r>
      <w:r>
        <w:rPr>
          <w:rFonts w:hint="eastAsia" w:ascii="宋体" w:hAnsi="宋体"/>
          <w:b/>
          <w:sz w:val="24"/>
        </w:rPr>
        <w:t>3. 投标函格式：</w:t>
      </w:r>
    </w:p>
    <w:p w14:paraId="20582EF9">
      <w:pPr>
        <w:snapToGrid w:val="0"/>
        <w:spacing w:before="120" w:beforeLines="50" w:after="50" w:line="320" w:lineRule="exact"/>
        <w:jc w:val="center"/>
        <w:rPr>
          <w:rFonts w:hint="eastAsia" w:ascii="宋体" w:hAnsi="宋体"/>
          <w:b/>
          <w:sz w:val="32"/>
          <w:szCs w:val="32"/>
        </w:rPr>
      </w:pPr>
      <w:r>
        <w:rPr>
          <w:rFonts w:hint="eastAsia" w:ascii="宋体" w:hAnsi="宋体"/>
          <w:b/>
          <w:sz w:val="32"/>
          <w:szCs w:val="32"/>
        </w:rPr>
        <w:t>投 标 函</w:t>
      </w:r>
    </w:p>
    <w:p w14:paraId="720EBEBA">
      <w:pPr>
        <w:snapToGrid w:val="0"/>
        <w:spacing w:before="120" w:beforeLines="50" w:after="50" w:line="320" w:lineRule="exact"/>
        <w:jc w:val="center"/>
        <w:rPr>
          <w:rFonts w:hint="eastAsia" w:ascii="宋体" w:hAnsi="宋体"/>
          <w:b/>
          <w:sz w:val="24"/>
          <w:szCs w:val="20"/>
        </w:rPr>
      </w:pPr>
    </w:p>
    <w:p w14:paraId="3AB7CF38">
      <w:pPr>
        <w:snapToGrid w:val="0"/>
        <w:spacing w:before="120" w:beforeLines="50" w:after="50" w:line="320" w:lineRule="exact"/>
        <w:jc w:val="center"/>
        <w:rPr>
          <w:rFonts w:hint="eastAsia" w:ascii="宋体" w:hAnsi="宋体"/>
          <w:b/>
          <w:sz w:val="24"/>
          <w:szCs w:val="20"/>
        </w:rPr>
      </w:pPr>
    </w:p>
    <w:p w14:paraId="389575AE">
      <w:pPr>
        <w:snapToGrid w:val="0"/>
        <w:spacing w:before="120" w:beforeLines="50" w:after="50" w:line="320" w:lineRule="exact"/>
        <w:jc w:val="center"/>
        <w:rPr>
          <w:rFonts w:hint="eastAsia" w:ascii="宋体" w:hAnsi="宋体"/>
          <w:b/>
          <w:sz w:val="24"/>
          <w:szCs w:val="20"/>
        </w:rPr>
      </w:pPr>
    </w:p>
    <w:p w14:paraId="58D061FC">
      <w:pPr>
        <w:snapToGrid w:val="0"/>
        <w:spacing w:line="360" w:lineRule="auto"/>
        <w:rPr>
          <w:rFonts w:hint="eastAsia" w:ascii="宋体" w:hAnsi="宋体"/>
          <w:sz w:val="24"/>
        </w:rPr>
      </w:pPr>
      <w:r>
        <w:rPr>
          <w:rFonts w:hint="eastAsia" w:ascii="宋体" w:hAnsi="宋体"/>
          <w:sz w:val="24"/>
        </w:rPr>
        <w:t>致：</w:t>
      </w:r>
      <w:r>
        <w:rPr>
          <w:rFonts w:hint="eastAsia" w:ascii="宋体" w:hAnsi="宋体"/>
          <w:sz w:val="24"/>
          <w:u w:val="single"/>
        </w:rPr>
        <w:t>采购人名称</w:t>
      </w:r>
      <w:r>
        <w:rPr>
          <w:rFonts w:hint="eastAsia" w:ascii="宋体" w:hAnsi="宋体"/>
          <w:sz w:val="24"/>
        </w:rPr>
        <w:t>：</w:t>
      </w:r>
    </w:p>
    <w:p w14:paraId="4D4BEF37">
      <w:pPr>
        <w:snapToGrid w:val="0"/>
        <w:spacing w:line="360" w:lineRule="auto"/>
        <w:ind w:firstLine="480"/>
        <w:rPr>
          <w:rFonts w:hint="eastAsia" w:ascii="宋体" w:hAnsi="宋体"/>
          <w:sz w:val="24"/>
        </w:rPr>
      </w:pPr>
      <w:r>
        <w:rPr>
          <w:rFonts w:hint="eastAsia" w:ascii="宋体" w:hAnsi="宋体"/>
          <w:sz w:val="24"/>
        </w:rPr>
        <w:t>根据贵方</w:t>
      </w:r>
      <w:r>
        <w:rPr>
          <w:rFonts w:hint="eastAsia" w:ascii="宋体" w:hAnsi="宋体"/>
          <w:sz w:val="24"/>
          <w:u w:val="single"/>
        </w:rPr>
        <w:t xml:space="preserve"> 项目名称</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）的采购文件，签字代表______</w:t>
      </w:r>
      <w:r>
        <w:rPr>
          <w:rFonts w:hint="eastAsia" w:ascii="宋体" w:hAnsi="宋体"/>
          <w:sz w:val="24"/>
          <w:u w:val="single"/>
        </w:rPr>
        <w:t xml:space="preserve">     </w:t>
      </w:r>
      <w:r>
        <w:rPr>
          <w:rFonts w:hint="eastAsia" w:ascii="宋体" w:hAnsi="宋体"/>
          <w:sz w:val="24"/>
        </w:rPr>
        <w:t>（姓名）经正式授权并代表投标人</w:t>
      </w:r>
      <w:r>
        <w:rPr>
          <w:rFonts w:hint="eastAsia" w:ascii="宋体" w:hAnsi="宋体"/>
          <w:sz w:val="24"/>
          <w:u w:val="single"/>
        </w:rPr>
        <w:t xml:space="preserve">              </w:t>
      </w:r>
      <w:r>
        <w:rPr>
          <w:rFonts w:hint="eastAsia" w:ascii="宋体" w:hAnsi="宋体"/>
          <w:sz w:val="24"/>
        </w:rPr>
        <w:t>（投标人名称）提交投标文件。</w:t>
      </w:r>
    </w:p>
    <w:p w14:paraId="7524F5AE">
      <w:pPr>
        <w:snapToGrid w:val="0"/>
        <w:spacing w:line="360" w:lineRule="auto"/>
        <w:ind w:firstLine="480" w:firstLineChars="200"/>
        <w:rPr>
          <w:rFonts w:hint="eastAsia" w:ascii="宋体" w:hAnsi="宋体"/>
          <w:sz w:val="24"/>
        </w:rPr>
      </w:pPr>
      <w:r>
        <w:rPr>
          <w:rFonts w:hint="eastAsia" w:ascii="宋体" w:hAnsi="宋体"/>
          <w:sz w:val="24"/>
        </w:rPr>
        <w:t>据此函，我方宣布同意如下：</w:t>
      </w:r>
    </w:p>
    <w:p w14:paraId="25F21936">
      <w:pPr>
        <w:snapToGrid w:val="0"/>
        <w:spacing w:line="360" w:lineRule="auto"/>
        <w:ind w:firstLine="480" w:firstLineChars="200"/>
        <w:rPr>
          <w:rFonts w:hint="eastAsia" w:ascii="宋体" w:hAnsi="宋体"/>
          <w:sz w:val="24"/>
        </w:rPr>
      </w:pPr>
      <w:r>
        <w:rPr>
          <w:rFonts w:hint="eastAsia" w:ascii="宋体" w:hAnsi="宋体"/>
          <w:sz w:val="24"/>
        </w:rPr>
        <w:t>1.我方已详细审查全部“采购文件”，包括修改文件（如有的话）以及全部参考资料和有关附件，已经了解我方对于采购文件、采购过程、采购结果有依法进行询问、质疑、投诉的权利及相关渠道和要求。</w:t>
      </w:r>
    </w:p>
    <w:p w14:paraId="53BDEFFA">
      <w:pPr>
        <w:snapToGrid w:val="0"/>
        <w:spacing w:line="360" w:lineRule="auto"/>
        <w:ind w:firstLine="480" w:firstLineChars="200"/>
        <w:rPr>
          <w:rFonts w:hint="eastAsia" w:ascii="宋体" w:hAnsi="宋体"/>
          <w:sz w:val="24"/>
        </w:rPr>
      </w:pPr>
      <w:r>
        <w:rPr>
          <w:rFonts w:hint="eastAsia" w:ascii="宋体" w:hAnsi="宋体"/>
          <w:sz w:val="24"/>
        </w:rPr>
        <w:t>2.我方在投标之前已经完全理解并接受采购文件的各项规定和要求，对采购文件的合理性、合法性不再有异议。</w:t>
      </w:r>
    </w:p>
    <w:p w14:paraId="38AC2EF9">
      <w:pPr>
        <w:snapToGrid w:val="0"/>
        <w:spacing w:line="360" w:lineRule="auto"/>
        <w:ind w:firstLine="480" w:firstLineChars="200"/>
        <w:rPr>
          <w:rFonts w:hint="eastAsia" w:ascii="宋体" w:hAnsi="宋体"/>
          <w:sz w:val="24"/>
        </w:rPr>
      </w:pPr>
      <w:r>
        <w:rPr>
          <w:rFonts w:hint="eastAsia" w:ascii="宋体" w:hAnsi="宋体"/>
          <w:sz w:val="24"/>
        </w:rPr>
        <w:t>3.本投标有效期自投标截止之日起</w:t>
      </w:r>
      <w:r>
        <w:rPr>
          <w:rFonts w:ascii="宋体" w:hAnsi="宋体"/>
          <w:sz w:val="24"/>
          <w:u w:val="single"/>
        </w:rPr>
        <w:t xml:space="preserve">    </w:t>
      </w:r>
      <w:r>
        <w:rPr>
          <w:rFonts w:hint="eastAsia" w:ascii="宋体" w:hAnsi="宋体"/>
          <w:sz w:val="24"/>
        </w:rPr>
        <w:t>日。</w:t>
      </w:r>
    </w:p>
    <w:p w14:paraId="4092E88A">
      <w:pPr>
        <w:snapToGrid w:val="0"/>
        <w:spacing w:line="360" w:lineRule="auto"/>
        <w:ind w:firstLine="480" w:firstLineChars="200"/>
        <w:rPr>
          <w:rFonts w:hint="eastAsia" w:ascii="宋体" w:hAnsi="宋体"/>
          <w:sz w:val="24"/>
        </w:rPr>
      </w:pPr>
      <w:r>
        <w:rPr>
          <w:rFonts w:hint="eastAsia" w:ascii="宋体" w:hAnsi="宋体"/>
          <w:sz w:val="24"/>
        </w:rPr>
        <w:t>4.如中标，本投标文件至本项目合同履行完毕止均保持有效，我方将按“采购文件”及政府采购法律、法规的规定履行合同责任和义务。</w:t>
      </w:r>
    </w:p>
    <w:p w14:paraId="5EEFC70E">
      <w:pPr>
        <w:snapToGrid w:val="0"/>
        <w:spacing w:line="360" w:lineRule="auto"/>
        <w:ind w:firstLine="480" w:firstLineChars="200"/>
        <w:rPr>
          <w:rFonts w:hint="eastAsia" w:ascii="宋体" w:hAnsi="宋体"/>
          <w:sz w:val="24"/>
        </w:rPr>
      </w:pPr>
      <w:r>
        <w:rPr>
          <w:rFonts w:hint="eastAsia" w:ascii="宋体" w:hAnsi="宋体"/>
          <w:sz w:val="24"/>
        </w:rPr>
        <w:t>5.我方同意按照贵方要求提供与投标有关的一切数据或者资料。</w:t>
      </w:r>
    </w:p>
    <w:p w14:paraId="2FB44485">
      <w:pPr>
        <w:snapToGrid w:val="0"/>
        <w:spacing w:line="360" w:lineRule="auto"/>
        <w:ind w:firstLine="480" w:firstLineChars="200"/>
        <w:rPr>
          <w:rFonts w:hint="eastAsia" w:ascii="宋体" w:hAnsi="宋体"/>
          <w:sz w:val="24"/>
        </w:rPr>
      </w:pPr>
      <w:r>
        <w:rPr>
          <w:rFonts w:hint="eastAsia" w:ascii="宋体" w:hAnsi="宋体"/>
          <w:sz w:val="24"/>
        </w:rPr>
        <w:t>6.我方向贵方提交的所有投标文件、资料都是准确的和真实的。</w:t>
      </w:r>
    </w:p>
    <w:p w14:paraId="31B57364">
      <w:pPr>
        <w:snapToGrid w:val="0"/>
        <w:spacing w:line="360" w:lineRule="auto"/>
        <w:ind w:firstLine="480" w:firstLineChars="200"/>
        <w:rPr>
          <w:rFonts w:hint="eastAsia" w:ascii="宋体" w:hAnsi="宋体"/>
          <w:sz w:val="24"/>
        </w:rPr>
      </w:pPr>
      <w:r>
        <w:rPr>
          <w:rFonts w:hint="eastAsia" w:ascii="宋体" w:hAnsi="宋体"/>
          <w:sz w:val="24"/>
        </w:rPr>
        <w:t>7.以上事项如有虚假或者隐瞒，我方愿意承担一切后果，并不再寻求任何旨在减轻或者免除法律责任的辩解。</w:t>
      </w:r>
    </w:p>
    <w:p w14:paraId="19188B56">
      <w:pPr>
        <w:spacing w:line="360" w:lineRule="auto"/>
        <w:ind w:firstLine="480" w:firstLineChars="200"/>
        <w:rPr>
          <w:rFonts w:hint="eastAsia" w:ascii="宋体" w:hAnsi="宋体"/>
          <w:sz w:val="24"/>
        </w:rPr>
      </w:pPr>
      <w:r>
        <w:rPr>
          <w:rFonts w:hint="eastAsia" w:ascii="宋体" w:hAnsi="宋体"/>
          <w:sz w:val="24"/>
        </w:rPr>
        <w:t>8.根据</w:t>
      </w:r>
      <w:r>
        <w:rPr>
          <w:rFonts w:ascii="宋体" w:hAnsi="宋体"/>
          <w:sz w:val="24"/>
        </w:rPr>
        <w:t>《中华人民共和国政府采购法实施条例》第五十条要求对政府采购合同进行公告</w:t>
      </w:r>
      <w:r>
        <w:rPr>
          <w:rFonts w:hint="eastAsia" w:ascii="宋体" w:hAnsi="宋体"/>
          <w:sz w:val="24"/>
        </w:rPr>
        <w:t>，</w:t>
      </w:r>
      <w:r>
        <w:rPr>
          <w:rFonts w:ascii="宋体" w:hAnsi="宋体"/>
          <w:sz w:val="24"/>
        </w:rPr>
        <w:t>但政府采购合同中涉及国家秘密、商业秘密的内容除外。</w:t>
      </w:r>
      <w:r>
        <w:rPr>
          <w:rFonts w:hint="eastAsia" w:ascii="宋体" w:hAnsi="宋体"/>
          <w:sz w:val="24"/>
        </w:rPr>
        <w:t>我方就对本次投标文件进行注明如下：（两项内容中必须选择一项）</w:t>
      </w:r>
    </w:p>
    <w:p w14:paraId="5DA62B12">
      <w:pPr>
        <w:spacing w:line="360" w:lineRule="auto"/>
        <w:ind w:firstLine="480" w:firstLineChars="200"/>
        <w:rPr>
          <w:rFonts w:hint="eastAsia" w:ascii="宋体" w:hAnsi="宋体"/>
          <w:sz w:val="24"/>
        </w:rPr>
      </w:pPr>
      <w:r>
        <w:rPr>
          <w:rFonts w:hint="eastAsia" w:ascii="宋体" w:hAnsi="宋体"/>
          <w:sz w:val="24"/>
        </w:rPr>
        <w:t>□我方本次投标文件</w:t>
      </w:r>
      <w:r>
        <w:rPr>
          <w:rFonts w:ascii="宋体" w:hAnsi="宋体" w:cs="宋体"/>
          <w:kern w:val="0"/>
          <w:sz w:val="24"/>
        </w:rPr>
        <w:t>内容中</w:t>
      </w:r>
      <w:r>
        <w:rPr>
          <w:rFonts w:hint="eastAsia" w:ascii="宋体" w:hAnsi="宋体"/>
          <w:sz w:val="24"/>
        </w:rPr>
        <w:t>未</w:t>
      </w:r>
      <w:r>
        <w:rPr>
          <w:rFonts w:ascii="宋体" w:hAnsi="宋体" w:cs="宋体"/>
          <w:kern w:val="0"/>
          <w:sz w:val="24"/>
        </w:rPr>
        <w:t>涉及商业秘密</w:t>
      </w:r>
      <w:r>
        <w:rPr>
          <w:rFonts w:hint="eastAsia" w:ascii="宋体" w:hAnsi="宋体" w:cs="宋体"/>
          <w:kern w:val="0"/>
          <w:sz w:val="24"/>
        </w:rPr>
        <w:t>；</w:t>
      </w:r>
    </w:p>
    <w:p w14:paraId="4ACF40A8">
      <w:pPr>
        <w:snapToGrid w:val="0"/>
        <w:spacing w:line="360" w:lineRule="auto"/>
        <w:ind w:firstLine="480" w:firstLineChars="200"/>
        <w:rPr>
          <w:rFonts w:hint="eastAsia" w:ascii="宋体" w:hAnsi="宋体"/>
          <w:sz w:val="24"/>
        </w:rPr>
      </w:pPr>
      <w:r>
        <w:rPr>
          <w:rFonts w:hint="eastAsia" w:ascii="宋体" w:hAnsi="宋体"/>
          <w:sz w:val="24"/>
        </w:rPr>
        <w:t>□我方本次投标文件</w:t>
      </w:r>
      <w:r>
        <w:rPr>
          <w:rFonts w:ascii="宋体" w:hAnsi="宋体" w:cs="宋体"/>
          <w:kern w:val="0"/>
          <w:sz w:val="24"/>
        </w:rPr>
        <w:t>涉及商业秘密</w:t>
      </w:r>
      <w:r>
        <w:rPr>
          <w:rFonts w:hint="eastAsia" w:ascii="宋体" w:hAnsi="宋体" w:cs="宋体"/>
          <w:kern w:val="0"/>
          <w:sz w:val="24"/>
        </w:rPr>
        <w:t>的</w:t>
      </w:r>
      <w:r>
        <w:rPr>
          <w:rFonts w:ascii="宋体" w:hAnsi="宋体" w:cs="宋体"/>
          <w:kern w:val="0"/>
          <w:sz w:val="24"/>
        </w:rPr>
        <w:t>内容</w:t>
      </w:r>
      <w:r>
        <w:rPr>
          <w:rFonts w:hint="eastAsia" w:ascii="宋体" w:hAnsi="宋体" w:cs="宋体"/>
          <w:kern w:val="0"/>
          <w:sz w:val="24"/>
        </w:rPr>
        <w:t>有：</w:t>
      </w:r>
      <w:r>
        <w:rPr>
          <w:rFonts w:hint="eastAsia" w:ascii="宋体" w:hAnsi="宋体" w:cs="宋体"/>
          <w:kern w:val="0"/>
          <w:sz w:val="24"/>
          <w:u w:val="single"/>
        </w:rPr>
        <w:t xml:space="preserve">                         </w:t>
      </w:r>
      <w:r>
        <w:rPr>
          <w:rFonts w:hint="eastAsia" w:ascii="宋体" w:hAnsi="宋体" w:cs="宋体"/>
          <w:kern w:val="0"/>
          <w:sz w:val="24"/>
        </w:rPr>
        <w:t>；</w:t>
      </w:r>
    </w:p>
    <w:p w14:paraId="0BF0552F">
      <w:pPr>
        <w:snapToGrid w:val="0"/>
        <w:spacing w:line="360" w:lineRule="auto"/>
        <w:ind w:firstLine="480" w:firstLineChars="200"/>
        <w:rPr>
          <w:rFonts w:hint="eastAsia" w:ascii="宋体" w:hAnsi="宋体"/>
          <w:sz w:val="24"/>
        </w:rPr>
      </w:pPr>
      <w:r>
        <w:rPr>
          <w:rFonts w:hint="eastAsia" w:ascii="宋体" w:hAnsi="宋体"/>
          <w:sz w:val="24"/>
        </w:rPr>
        <w:t>9.与本项目有关的一切正式往来信函请寄：</w:t>
      </w:r>
    </w:p>
    <w:p w14:paraId="1E00B1FC">
      <w:pPr>
        <w:snapToGrid w:val="0"/>
        <w:spacing w:line="360" w:lineRule="auto"/>
        <w:ind w:firstLine="480" w:firstLineChars="200"/>
        <w:rPr>
          <w:rFonts w:hint="eastAsia" w:ascii="宋体" w:hAnsi="宋体"/>
          <w:sz w:val="24"/>
          <w:u w:val="single"/>
        </w:rPr>
      </w:pPr>
      <w:r>
        <w:rPr>
          <w:rFonts w:hint="eastAsia" w:ascii="宋体" w:hAnsi="宋体"/>
          <w:sz w:val="24"/>
        </w:rPr>
        <w:t>地址：</w:t>
      </w:r>
      <w:r>
        <w:rPr>
          <w:rFonts w:hint="eastAsia" w:ascii="宋体" w:hAnsi="宋体"/>
          <w:sz w:val="24"/>
          <w:u w:val="single"/>
        </w:rPr>
        <w:t xml:space="preserve">          </w:t>
      </w:r>
      <w:r>
        <w:rPr>
          <w:rFonts w:hint="eastAsia" w:ascii="宋体" w:hAnsi="宋体"/>
          <w:sz w:val="24"/>
        </w:rPr>
        <w:t>邮编：</w:t>
      </w:r>
      <w:r>
        <w:rPr>
          <w:rFonts w:hint="eastAsia" w:ascii="宋体" w:hAnsi="宋体"/>
          <w:sz w:val="24"/>
          <w:u w:val="single"/>
        </w:rPr>
        <w:t xml:space="preserve">            </w:t>
      </w:r>
    </w:p>
    <w:p w14:paraId="1BB8D615">
      <w:pPr>
        <w:snapToGrid w:val="0"/>
        <w:spacing w:line="360" w:lineRule="auto"/>
        <w:ind w:firstLine="480" w:firstLineChars="200"/>
        <w:rPr>
          <w:rFonts w:hint="eastAsia" w:ascii="宋体" w:hAnsi="宋体"/>
          <w:sz w:val="24"/>
        </w:rPr>
      </w:pPr>
      <w:r>
        <w:rPr>
          <w:rFonts w:hint="eastAsia" w:ascii="宋体" w:hAnsi="宋体"/>
          <w:sz w:val="24"/>
        </w:rPr>
        <w:t>联系人：</w:t>
      </w:r>
      <w:r>
        <w:rPr>
          <w:rFonts w:hint="eastAsia" w:ascii="宋体" w:hAnsi="宋体"/>
          <w:sz w:val="24"/>
          <w:u w:val="single"/>
        </w:rPr>
        <w:t xml:space="preserve">        </w:t>
      </w:r>
      <w:r>
        <w:rPr>
          <w:rFonts w:hint="eastAsia" w:ascii="宋体" w:hAnsi="宋体"/>
          <w:sz w:val="24"/>
        </w:rPr>
        <w:t>电话：</w:t>
      </w:r>
      <w:r>
        <w:rPr>
          <w:rFonts w:hint="eastAsia" w:ascii="宋体" w:hAnsi="宋体"/>
          <w:sz w:val="24"/>
          <w:u w:val="single"/>
        </w:rPr>
        <w:t xml:space="preserve">        </w:t>
      </w:r>
      <w:r>
        <w:rPr>
          <w:rFonts w:hint="eastAsia" w:ascii="宋体" w:hAnsi="宋体"/>
          <w:sz w:val="24"/>
        </w:rPr>
        <w:t>传真：</w:t>
      </w:r>
      <w:r>
        <w:rPr>
          <w:rFonts w:hint="eastAsia" w:ascii="宋体" w:hAnsi="宋体"/>
          <w:sz w:val="24"/>
          <w:u w:val="single"/>
        </w:rPr>
        <w:t xml:space="preserve">          </w:t>
      </w:r>
      <w:r>
        <w:rPr>
          <w:rFonts w:hint="eastAsia" w:ascii="宋体" w:hAnsi="宋体"/>
          <w:sz w:val="24"/>
        </w:rPr>
        <w:t>电子邮箱：</w:t>
      </w:r>
      <w:r>
        <w:rPr>
          <w:rFonts w:hint="eastAsia" w:ascii="宋体" w:hAnsi="宋体"/>
          <w:sz w:val="24"/>
          <w:u w:val="single"/>
        </w:rPr>
        <w:t xml:space="preserve"> </w:t>
      </w:r>
      <w:r>
        <w:rPr>
          <w:rFonts w:ascii="宋体" w:hAnsi="宋体"/>
          <w:sz w:val="24"/>
          <w:u w:val="single"/>
        </w:rPr>
        <w:t xml:space="preserve">        </w:t>
      </w:r>
    </w:p>
    <w:p w14:paraId="1CF9ACB0">
      <w:pPr>
        <w:snapToGrid w:val="0"/>
        <w:spacing w:line="360" w:lineRule="auto"/>
        <w:ind w:firstLine="480" w:firstLineChars="200"/>
        <w:rPr>
          <w:rFonts w:hint="eastAsia" w:ascii="宋体" w:hAnsi="宋体"/>
          <w:sz w:val="24"/>
        </w:rPr>
      </w:pPr>
      <w:r>
        <w:rPr>
          <w:rFonts w:hint="eastAsia" w:ascii="宋体" w:hAnsi="宋体"/>
          <w:sz w:val="24"/>
        </w:rPr>
        <w:t>投标人名称：</w:t>
      </w:r>
      <w:r>
        <w:rPr>
          <w:rFonts w:hint="eastAsia" w:ascii="宋体" w:hAnsi="宋体"/>
          <w:sz w:val="24"/>
          <w:u w:val="single"/>
        </w:rPr>
        <w:t xml:space="preserve">                </w:t>
      </w:r>
    </w:p>
    <w:p w14:paraId="3162933C">
      <w:pPr>
        <w:snapToGrid w:val="0"/>
        <w:spacing w:line="360" w:lineRule="auto"/>
        <w:ind w:firstLine="480" w:firstLineChars="200"/>
        <w:jc w:val="left"/>
        <w:rPr>
          <w:rFonts w:hint="eastAsia" w:ascii="宋体" w:hAnsi="宋体"/>
          <w:sz w:val="24"/>
        </w:rPr>
      </w:pPr>
      <w:r>
        <w:rPr>
          <w:rFonts w:hint="eastAsia" w:ascii="宋体" w:hAnsi="宋体"/>
          <w:sz w:val="24"/>
        </w:rPr>
        <w:t>开户银行：</w:t>
      </w:r>
      <w:r>
        <w:rPr>
          <w:rFonts w:hint="eastAsia" w:ascii="宋体" w:hAnsi="宋体"/>
          <w:sz w:val="24"/>
          <w:u w:val="single"/>
        </w:rPr>
        <w:t xml:space="preserve">                      </w:t>
      </w:r>
      <w:r>
        <w:rPr>
          <w:rFonts w:hint="eastAsia" w:ascii="宋体" w:hAnsi="宋体"/>
          <w:sz w:val="24"/>
        </w:rPr>
        <w:t xml:space="preserve">   银行账号：</w:t>
      </w:r>
      <w:r>
        <w:rPr>
          <w:rFonts w:hint="eastAsia" w:ascii="宋体" w:hAnsi="宋体"/>
          <w:sz w:val="24"/>
          <w:u w:val="single"/>
        </w:rPr>
        <w:t xml:space="preserve">                    </w:t>
      </w:r>
      <w:r>
        <w:rPr>
          <w:rFonts w:hint="eastAsia" w:ascii="宋体" w:hAnsi="宋体"/>
          <w:sz w:val="24"/>
        </w:rPr>
        <w:t xml:space="preserve"> </w:t>
      </w:r>
    </w:p>
    <w:p w14:paraId="2DB74096">
      <w:pPr>
        <w:snapToGrid w:val="0"/>
        <w:spacing w:line="360" w:lineRule="auto"/>
        <w:ind w:firstLine="480" w:firstLineChars="200"/>
        <w:jc w:val="left"/>
        <w:rPr>
          <w:rFonts w:hint="eastAsia" w:ascii="宋体" w:hAnsi="宋体"/>
          <w:sz w:val="24"/>
        </w:rPr>
      </w:pPr>
    </w:p>
    <w:p w14:paraId="6A358186">
      <w:pPr>
        <w:snapToGrid w:val="0"/>
        <w:spacing w:line="360" w:lineRule="auto"/>
        <w:ind w:firstLine="480" w:firstLineChars="200"/>
        <w:jc w:val="left"/>
        <w:rPr>
          <w:rFonts w:hint="eastAsia" w:ascii="宋体" w:hAnsi="宋体"/>
          <w:sz w:val="24"/>
        </w:rPr>
      </w:pPr>
      <w:r>
        <w:rPr>
          <w:rFonts w:hint="eastAsia" w:ascii="宋体" w:hAnsi="宋体"/>
          <w:sz w:val="24"/>
        </w:rPr>
        <w:t xml:space="preserve">                法定代表人或者委托代理人（签字或者电子签名）：_______ </w:t>
      </w:r>
    </w:p>
    <w:p w14:paraId="21B6D304">
      <w:pPr>
        <w:pStyle w:val="18"/>
        <w:snapToGrid w:val="0"/>
        <w:spacing w:before="295" w:after="295" w:line="360" w:lineRule="auto"/>
        <w:jc w:val="center"/>
        <w:rPr>
          <w:rFonts w:hint="eastAsia" w:hAnsi="宋体"/>
          <w:sz w:val="24"/>
          <w:szCs w:val="24"/>
          <w:u w:val="single"/>
        </w:rPr>
      </w:pPr>
      <w:r>
        <w:rPr>
          <w:rFonts w:hint="eastAsia" w:hAnsi="宋体"/>
          <w:sz w:val="24"/>
        </w:rPr>
        <w:t xml:space="preserve"> </w:t>
      </w:r>
      <w:r>
        <w:rPr>
          <w:rFonts w:hAnsi="宋体"/>
          <w:sz w:val="24"/>
        </w:rPr>
        <w:t xml:space="preserve">                                    </w:t>
      </w:r>
      <w:r>
        <w:rPr>
          <w:rFonts w:hint="eastAsia" w:hAnsi="宋体"/>
          <w:sz w:val="24"/>
        </w:rPr>
        <w:t>投标人名称（电子签章）：</w:t>
      </w:r>
    </w:p>
    <w:p w14:paraId="7DC9F20D">
      <w:pPr>
        <w:pStyle w:val="18"/>
        <w:snapToGrid w:val="0"/>
        <w:spacing w:before="295" w:after="295" w:line="360" w:lineRule="auto"/>
        <w:rPr>
          <w:rFonts w:hint="eastAsia" w:hAnsi="宋体"/>
          <w:sz w:val="24"/>
        </w:rPr>
      </w:pPr>
      <w:r>
        <w:rPr>
          <w:rFonts w:hint="eastAsia" w:hAnsi="宋体"/>
          <w:sz w:val="24"/>
          <w:szCs w:val="24"/>
        </w:rPr>
        <w:t xml:space="preserve">                                                </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p>
    <w:p w14:paraId="4757E65E">
      <w:pPr>
        <w:snapToGrid w:val="0"/>
        <w:spacing w:before="120" w:beforeLines="50" w:after="50"/>
        <w:jc w:val="left"/>
        <w:rPr>
          <w:rFonts w:hint="eastAsia" w:ascii="宋体" w:hAnsi="宋体"/>
          <w:b/>
          <w:sz w:val="24"/>
          <w:szCs w:val="20"/>
        </w:rPr>
      </w:pPr>
      <w:r>
        <w:rPr>
          <w:rFonts w:hAnsi="宋体"/>
          <w:u w:val="single"/>
        </w:rPr>
        <w:br w:type="page"/>
      </w:r>
      <w:r>
        <w:rPr>
          <w:rFonts w:hint="eastAsia" w:ascii="宋体" w:hAnsi="宋体"/>
          <w:b/>
          <w:sz w:val="24"/>
        </w:rPr>
        <w:t>4. 开标一览表</w:t>
      </w:r>
    </w:p>
    <w:p w14:paraId="122D718D">
      <w:pPr>
        <w:snapToGrid w:val="0"/>
        <w:spacing w:before="50" w:after="50"/>
        <w:jc w:val="center"/>
        <w:rPr>
          <w:rFonts w:hint="eastAsia" w:ascii="宋体" w:hAnsi="宋体"/>
          <w:b/>
          <w:sz w:val="30"/>
        </w:rPr>
      </w:pPr>
      <w:r>
        <w:rPr>
          <w:rFonts w:hint="eastAsia" w:ascii="宋体" w:hAnsi="宋体"/>
          <w:b/>
          <w:sz w:val="30"/>
        </w:rPr>
        <w:t>开标一览表</w:t>
      </w:r>
    </w:p>
    <w:p w14:paraId="7469FA0C">
      <w:pPr>
        <w:snapToGrid w:val="0"/>
        <w:spacing w:before="50" w:after="50"/>
        <w:jc w:val="center"/>
        <w:rPr>
          <w:rFonts w:hint="eastAsia" w:ascii="宋体" w:hAnsi="宋体"/>
          <w:b/>
          <w:sz w:val="30"/>
          <w:szCs w:val="20"/>
        </w:rPr>
      </w:pPr>
    </w:p>
    <w:p w14:paraId="20AA97AC">
      <w:pPr>
        <w:snapToGrid w:val="0"/>
        <w:spacing w:before="50" w:after="50" w:line="360" w:lineRule="auto"/>
        <w:rPr>
          <w:rFonts w:hint="eastAsia" w:ascii="宋体" w:hAnsi="宋体" w:cs="宋体"/>
          <w:szCs w:val="21"/>
        </w:rPr>
      </w:pPr>
      <w:r>
        <w:rPr>
          <w:rFonts w:hint="eastAsia" w:ascii="宋体" w:hAnsi="宋体" w:cs="宋体"/>
          <w:szCs w:val="21"/>
        </w:rPr>
        <w:t>项目名称：</w:t>
      </w:r>
      <w:r>
        <w:rPr>
          <w:rFonts w:hint="eastAsia" w:ascii="宋体" w:hAnsi="宋体" w:cs="宋体"/>
          <w:szCs w:val="21"/>
          <w:u w:val="single"/>
        </w:rPr>
        <w:t xml:space="preserve">           </w:t>
      </w:r>
      <w:r>
        <w:rPr>
          <w:rFonts w:hint="eastAsia" w:ascii="宋体" w:hAnsi="宋体" w:cs="宋体"/>
          <w:szCs w:val="21"/>
        </w:rPr>
        <w:t xml:space="preserve">         项目编号：</w:t>
      </w:r>
      <w:r>
        <w:rPr>
          <w:rFonts w:hint="eastAsia" w:ascii="宋体" w:hAnsi="宋体" w:cs="宋体"/>
          <w:szCs w:val="21"/>
          <w:u w:val="single"/>
        </w:rPr>
        <w:t xml:space="preserve">            </w:t>
      </w:r>
      <w:r>
        <w:rPr>
          <w:rFonts w:hint="eastAsia" w:ascii="宋体" w:hAnsi="宋体" w:cs="宋体"/>
          <w:szCs w:val="21"/>
        </w:rPr>
        <w:t xml:space="preserve">         </w:t>
      </w:r>
    </w:p>
    <w:p w14:paraId="4B8957F5">
      <w:pPr>
        <w:snapToGrid w:val="0"/>
        <w:spacing w:before="50" w:after="50" w:line="360" w:lineRule="auto"/>
        <w:rPr>
          <w:rFonts w:hint="eastAsia" w:ascii="宋体" w:hAnsi="宋体" w:cs="宋体"/>
          <w:szCs w:val="21"/>
        </w:rPr>
      </w:pPr>
      <w:r>
        <w:rPr>
          <w:rFonts w:hint="eastAsia" w:ascii="宋体" w:hAnsi="宋体" w:cs="宋体"/>
          <w:szCs w:val="21"/>
        </w:rPr>
        <w:t>标项：</w:t>
      </w:r>
      <w:r>
        <w:rPr>
          <w:rFonts w:hint="eastAsia" w:ascii="宋体" w:hAnsi="宋体" w:cs="宋体"/>
          <w:szCs w:val="21"/>
          <w:u w:val="single"/>
        </w:rPr>
        <w:t xml:space="preserve">       </w:t>
      </w:r>
      <w:r>
        <w:rPr>
          <w:rFonts w:hint="eastAsia" w:ascii="宋体" w:hAnsi="宋体" w:cs="宋体"/>
          <w:szCs w:val="21"/>
        </w:rPr>
        <w:t xml:space="preserve">                 投标人名称：</w:t>
      </w:r>
      <w:r>
        <w:rPr>
          <w:rFonts w:hint="eastAsia" w:ascii="宋体" w:hAnsi="宋体" w:cs="宋体"/>
          <w:szCs w:val="21"/>
          <w:u w:val="single"/>
        </w:rPr>
        <w:t xml:space="preserve">                     </w:t>
      </w:r>
      <w:r>
        <w:rPr>
          <w:rFonts w:hint="eastAsia" w:ascii="宋体" w:hAnsi="宋体" w:cs="宋体"/>
          <w:szCs w:val="21"/>
        </w:rPr>
        <w:t xml:space="preserve">   </w:t>
      </w:r>
    </w:p>
    <w:p w14:paraId="6F002DDD">
      <w:pPr>
        <w:snapToGrid w:val="0"/>
        <w:spacing w:before="50" w:after="50" w:line="360" w:lineRule="auto"/>
        <w:rPr>
          <w:rFonts w:hint="eastAsia" w:ascii="宋体" w:hAnsi="宋体" w:cs="宋体"/>
          <w:szCs w:val="21"/>
        </w:rPr>
      </w:pPr>
      <w:r>
        <w:rPr>
          <w:rFonts w:hint="eastAsia" w:ascii="宋体" w:hAnsi="宋体" w:cs="宋体"/>
          <w:szCs w:val="21"/>
        </w:rPr>
        <w:t xml:space="preserve"> </w:t>
      </w:r>
    </w:p>
    <w:tbl>
      <w:tblPr>
        <w:tblStyle w:val="36"/>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2550"/>
        <w:gridCol w:w="855"/>
        <w:gridCol w:w="1304"/>
        <w:gridCol w:w="2126"/>
        <w:gridCol w:w="1171"/>
      </w:tblGrid>
      <w:tr w14:paraId="4263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4" w:hRule="atLeast"/>
        </w:trPr>
        <w:tc>
          <w:tcPr>
            <w:tcW w:w="1807" w:type="dxa"/>
            <w:tcBorders>
              <w:top w:val="single" w:color="auto" w:sz="4" w:space="0"/>
              <w:left w:val="single" w:color="auto" w:sz="4" w:space="0"/>
              <w:bottom w:val="single" w:color="auto" w:sz="4" w:space="0"/>
              <w:right w:val="single" w:color="auto" w:sz="4" w:space="0"/>
            </w:tcBorders>
            <w:vAlign w:val="center"/>
          </w:tcPr>
          <w:p w14:paraId="74EC6BA5">
            <w:pPr>
              <w:jc w:val="center"/>
              <w:rPr>
                <w:rFonts w:hint="eastAsia" w:ascii="宋体" w:hAnsi="宋体" w:cs="宋体"/>
                <w:sz w:val="24"/>
              </w:rPr>
            </w:pPr>
            <w:r>
              <w:rPr>
                <w:rFonts w:hint="eastAsia" w:ascii="宋体" w:hAnsi="宋体" w:cs="宋体"/>
                <w:sz w:val="24"/>
              </w:rPr>
              <w:t>服务名称</w:t>
            </w:r>
          </w:p>
        </w:tc>
        <w:tc>
          <w:tcPr>
            <w:tcW w:w="2550" w:type="dxa"/>
            <w:tcBorders>
              <w:top w:val="single" w:color="auto" w:sz="4" w:space="0"/>
              <w:left w:val="single" w:color="auto" w:sz="4" w:space="0"/>
              <w:bottom w:val="single" w:color="auto" w:sz="4" w:space="0"/>
              <w:right w:val="single" w:color="auto" w:sz="4" w:space="0"/>
            </w:tcBorders>
            <w:vAlign w:val="center"/>
          </w:tcPr>
          <w:p w14:paraId="2CEA9C98">
            <w:pPr>
              <w:jc w:val="center"/>
              <w:rPr>
                <w:rFonts w:hint="eastAsia" w:ascii="宋体" w:hAnsi="宋体" w:cs="宋体"/>
                <w:sz w:val="24"/>
              </w:rPr>
            </w:pPr>
            <w:r>
              <w:rPr>
                <w:rFonts w:hint="eastAsia" w:ascii="宋体" w:hAnsi="宋体" w:cs="宋体"/>
                <w:sz w:val="24"/>
              </w:rPr>
              <w:t>具体服务内容（含具体服务范围、服务时间、服务标准等内容）</w:t>
            </w:r>
          </w:p>
        </w:tc>
        <w:tc>
          <w:tcPr>
            <w:tcW w:w="855" w:type="dxa"/>
            <w:tcBorders>
              <w:top w:val="single" w:color="auto" w:sz="4" w:space="0"/>
              <w:left w:val="single" w:color="auto" w:sz="4" w:space="0"/>
              <w:bottom w:val="single" w:color="auto" w:sz="4" w:space="0"/>
              <w:right w:val="single" w:color="auto" w:sz="4" w:space="0"/>
            </w:tcBorders>
            <w:vAlign w:val="center"/>
          </w:tcPr>
          <w:p w14:paraId="3F862C3D">
            <w:pPr>
              <w:jc w:val="center"/>
              <w:rPr>
                <w:rFonts w:hint="eastAsia" w:ascii="宋体" w:hAnsi="宋体" w:cs="宋体"/>
                <w:sz w:val="24"/>
              </w:rPr>
            </w:pPr>
            <w:r>
              <w:rPr>
                <w:rFonts w:hint="eastAsia" w:ascii="宋体" w:hAnsi="宋体" w:cs="宋体"/>
                <w:sz w:val="24"/>
              </w:rPr>
              <w:t>数量</w:t>
            </w:r>
          </w:p>
          <w:p w14:paraId="195C02C5">
            <w:pPr>
              <w:jc w:val="center"/>
              <w:rPr>
                <w:rFonts w:hint="eastAsia" w:ascii="宋体" w:hAnsi="宋体" w:cs="宋体"/>
                <w:sz w:val="24"/>
              </w:rPr>
            </w:pPr>
            <w:r>
              <w:rPr>
                <w:rFonts w:hint="eastAsia" w:ascii="宋体" w:hAnsi="宋体" w:cs="宋体"/>
                <w:sz w:val="24"/>
              </w:rPr>
              <w:t>①</w:t>
            </w:r>
          </w:p>
        </w:tc>
        <w:tc>
          <w:tcPr>
            <w:tcW w:w="1304" w:type="dxa"/>
            <w:tcBorders>
              <w:top w:val="single" w:color="auto" w:sz="4" w:space="0"/>
              <w:left w:val="single" w:color="auto" w:sz="4" w:space="0"/>
              <w:bottom w:val="single" w:color="auto" w:sz="4" w:space="0"/>
              <w:right w:val="single" w:color="auto" w:sz="4" w:space="0"/>
            </w:tcBorders>
            <w:vAlign w:val="center"/>
          </w:tcPr>
          <w:p w14:paraId="79E2F48A">
            <w:pPr>
              <w:jc w:val="center"/>
              <w:rPr>
                <w:rFonts w:hint="eastAsia" w:ascii="宋体" w:hAnsi="宋体" w:cs="宋体"/>
                <w:sz w:val="24"/>
              </w:rPr>
            </w:pPr>
            <w:r>
              <w:rPr>
                <w:rFonts w:hint="eastAsia" w:ascii="宋体" w:hAnsi="宋体" w:cs="宋体"/>
                <w:sz w:val="24"/>
              </w:rPr>
              <w:t>单价(元)②</w:t>
            </w:r>
          </w:p>
        </w:tc>
        <w:tc>
          <w:tcPr>
            <w:tcW w:w="2126" w:type="dxa"/>
            <w:tcBorders>
              <w:top w:val="single" w:color="auto" w:sz="4" w:space="0"/>
              <w:left w:val="single" w:color="auto" w:sz="4" w:space="0"/>
              <w:bottom w:val="single" w:color="auto" w:sz="4" w:space="0"/>
              <w:right w:val="single" w:color="auto" w:sz="4" w:space="0"/>
            </w:tcBorders>
            <w:vAlign w:val="center"/>
          </w:tcPr>
          <w:p w14:paraId="12CC3C16">
            <w:pPr>
              <w:jc w:val="center"/>
              <w:rPr>
                <w:rFonts w:hint="eastAsia" w:ascii="宋体" w:hAnsi="宋体" w:cs="宋体"/>
                <w:sz w:val="24"/>
              </w:rPr>
            </w:pPr>
            <w:r>
              <w:rPr>
                <w:rFonts w:hint="eastAsia" w:ascii="宋体" w:hAnsi="宋体" w:cs="宋体"/>
                <w:sz w:val="24"/>
              </w:rPr>
              <w:t>单项合价（元）</w:t>
            </w:r>
          </w:p>
          <w:p w14:paraId="4029C579">
            <w:pPr>
              <w:jc w:val="center"/>
              <w:rPr>
                <w:rFonts w:hint="eastAsia" w:ascii="宋体" w:hAnsi="宋体" w:cs="宋体"/>
                <w:sz w:val="24"/>
              </w:rPr>
            </w:pPr>
            <w:r>
              <w:rPr>
                <w:rFonts w:hint="eastAsia" w:ascii="宋体" w:hAnsi="宋体" w:cs="宋体"/>
                <w:sz w:val="24"/>
              </w:rPr>
              <w:t>③＝①×②</w:t>
            </w:r>
          </w:p>
        </w:tc>
        <w:tc>
          <w:tcPr>
            <w:tcW w:w="1171" w:type="dxa"/>
            <w:tcBorders>
              <w:top w:val="single" w:color="auto" w:sz="4" w:space="0"/>
              <w:left w:val="single" w:color="auto" w:sz="4" w:space="0"/>
              <w:bottom w:val="single" w:color="auto" w:sz="4" w:space="0"/>
              <w:right w:val="single" w:color="auto" w:sz="4" w:space="0"/>
            </w:tcBorders>
            <w:vAlign w:val="center"/>
          </w:tcPr>
          <w:p w14:paraId="1D89969D">
            <w:pPr>
              <w:jc w:val="center"/>
              <w:rPr>
                <w:rFonts w:hint="eastAsia" w:ascii="宋体" w:hAnsi="宋体" w:cs="宋体"/>
                <w:sz w:val="24"/>
              </w:rPr>
            </w:pPr>
            <w:r>
              <w:rPr>
                <w:rFonts w:hint="eastAsia" w:ascii="宋体" w:hAnsi="宋体" w:cs="宋体"/>
                <w:sz w:val="24"/>
              </w:rPr>
              <w:t>备注</w:t>
            </w:r>
          </w:p>
        </w:tc>
      </w:tr>
      <w:tr w14:paraId="2ECE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6" w:hRule="atLeast"/>
        </w:trPr>
        <w:tc>
          <w:tcPr>
            <w:tcW w:w="1807" w:type="dxa"/>
            <w:tcBorders>
              <w:top w:val="single" w:color="auto" w:sz="4" w:space="0"/>
              <w:left w:val="single" w:color="auto" w:sz="4" w:space="0"/>
              <w:bottom w:val="single" w:color="auto" w:sz="4" w:space="0"/>
              <w:right w:val="single" w:color="auto" w:sz="4" w:space="0"/>
            </w:tcBorders>
            <w:vAlign w:val="center"/>
          </w:tcPr>
          <w:p w14:paraId="0A02E4BA">
            <w:pPr>
              <w:rPr>
                <w:rFonts w:hint="eastAsia" w:ascii="宋体" w:hAnsi="宋体" w:cs="宋体"/>
                <w:sz w:val="24"/>
              </w:rPr>
            </w:pPr>
          </w:p>
        </w:tc>
        <w:tc>
          <w:tcPr>
            <w:tcW w:w="2550" w:type="dxa"/>
            <w:tcBorders>
              <w:top w:val="single" w:color="auto" w:sz="4" w:space="0"/>
              <w:left w:val="single" w:color="auto" w:sz="4" w:space="0"/>
              <w:bottom w:val="single" w:color="auto" w:sz="4" w:space="0"/>
              <w:right w:val="single" w:color="auto" w:sz="4" w:space="0"/>
            </w:tcBorders>
            <w:vAlign w:val="center"/>
          </w:tcPr>
          <w:p w14:paraId="2C0D6626">
            <w:pPr>
              <w:rPr>
                <w:rFonts w:hint="eastAsia" w:ascii="宋体" w:hAnsi="宋体" w:cs="宋体"/>
                <w:sz w:val="24"/>
              </w:rPr>
            </w:pPr>
          </w:p>
        </w:tc>
        <w:tc>
          <w:tcPr>
            <w:tcW w:w="855" w:type="dxa"/>
            <w:tcBorders>
              <w:top w:val="single" w:color="auto" w:sz="4" w:space="0"/>
              <w:left w:val="single" w:color="auto" w:sz="4" w:space="0"/>
              <w:bottom w:val="single" w:color="auto" w:sz="4" w:space="0"/>
              <w:right w:val="single" w:color="auto" w:sz="4" w:space="0"/>
            </w:tcBorders>
            <w:vAlign w:val="center"/>
          </w:tcPr>
          <w:p w14:paraId="19148A96">
            <w:pPr>
              <w:jc w:val="center"/>
              <w:rPr>
                <w:rFonts w:hint="eastAsia" w:ascii="宋体" w:hAnsi="宋体" w:cs="宋体"/>
                <w:sz w:val="24"/>
              </w:rPr>
            </w:pPr>
            <w:r>
              <w:rPr>
                <w:rFonts w:hint="eastAsia" w:ascii="宋体" w:hAnsi="宋体" w:cs="宋体"/>
                <w:sz w:val="24"/>
              </w:rPr>
              <w:t>1项</w:t>
            </w:r>
          </w:p>
        </w:tc>
        <w:tc>
          <w:tcPr>
            <w:tcW w:w="1304" w:type="dxa"/>
            <w:tcBorders>
              <w:top w:val="single" w:color="auto" w:sz="4" w:space="0"/>
              <w:left w:val="single" w:color="auto" w:sz="4" w:space="0"/>
              <w:bottom w:val="single" w:color="auto" w:sz="4" w:space="0"/>
              <w:right w:val="single" w:color="auto" w:sz="4" w:space="0"/>
            </w:tcBorders>
            <w:vAlign w:val="center"/>
          </w:tcPr>
          <w:p w14:paraId="44155A9C">
            <w:pPr>
              <w:rPr>
                <w:rFonts w:hint="eastAsia" w:ascii="宋体" w:hAnsi="宋体" w:cs="宋体"/>
                <w:sz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0241DC68">
            <w:pPr>
              <w:rPr>
                <w:rFonts w:hint="eastAsia" w:ascii="宋体" w:hAnsi="宋体" w:cs="宋体"/>
                <w:sz w:val="24"/>
              </w:rPr>
            </w:pPr>
          </w:p>
        </w:tc>
        <w:tc>
          <w:tcPr>
            <w:tcW w:w="1171" w:type="dxa"/>
            <w:tcBorders>
              <w:top w:val="single" w:color="auto" w:sz="4" w:space="0"/>
              <w:left w:val="single" w:color="auto" w:sz="4" w:space="0"/>
              <w:bottom w:val="single" w:color="auto" w:sz="4" w:space="0"/>
              <w:right w:val="single" w:color="auto" w:sz="4" w:space="0"/>
            </w:tcBorders>
          </w:tcPr>
          <w:p w14:paraId="33B12B11">
            <w:pPr>
              <w:rPr>
                <w:rFonts w:hint="eastAsia" w:ascii="宋体" w:hAnsi="宋体" w:cs="宋体"/>
                <w:sz w:val="24"/>
              </w:rPr>
            </w:pPr>
          </w:p>
        </w:tc>
      </w:tr>
      <w:tr w14:paraId="0A8C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trPr>
        <w:tc>
          <w:tcPr>
            <w:tcW w:w="9813" w:type="dxa"/>
            <w:gridSpan w:val="6"/>
            <w:tcBorders>
              <w:top w:val="single" w:color="auto" w:sz="4" w:space="0"/>
              <w:left w:val="single" w:color="auto" w:sz="4" w:space="0"/>
              <w:bottom w:val="single" w:color="auto" w:sz="4" w:space="0"/>
              <w:right w:val="single" w:color="auto" w:sz="4" w:space="0"/>
            </w:tcBorders>
            <w:vAlign w:val="center"/>
          </w:tcPr>
          <w:p w14:paraId="311EED91">
            <w:pPr>
              <w:rPr>
                <w:rFonts w:hint="eastAsia" w:ascii="宋体" w:hAnsi="宋体" w:cs="宋体"/>
                <w:sz w:val="24"/>
              </w:rPr>
            </w:pPr>
            <w:r>
              <w:rPr>
                <w:rFonts w:hint="eastAsia" w:ascii="宋体" w:hAnsi="宋体" w:cs="宋体"/>
                <w:sz w:val="24"/>
              </w:rPr>
              <w:t>报价合计（包含税费等所有费用）：（大写）人民币</w:t>
            </w:r>
            <w:r>
              <w:rPr>
                <w:rFonts w:hint="eastAsia" w:ascii="宋体" w:hAnsi="宋体" w:cs="宋体"/>
                <w:sz w:val="24"/>
                <w:u w:val="single"/>
              </w:rPr>
              <w:t xml:space="preserve">                </w:t>
            </w: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元）</w:t>
            </w:r>
          </w:p>
        </w:tc>
      </w:tr>
      <w:tr w14:paraId="4E935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9813" w:type="dxa"/>
            <w:gridSpan w:val="6"/>
            <w:tcBorders>
              <w:top w:val="single" w:color="auto" w:sz="4" w:space="0"/>
              <w:left w:val="single" w:color="auto" w:sz="4" w:space="0"/>
              <w:bottom w:val="single" w:color="auto" w:sz="4" w:space="0"/>
              <w:right w:val="single" w:color="auto" w:sz="4" w:space="0"/>
            </w:tcBorders>
          </w:tcPr>
          <w:p w14:paraId="52ACE9D4">
            <w:pPr>
              <w:rPr>
                <w:rFonts w:hint="eastAsia" w:ascii="宋体" w:hAnsi="宋体" w:cs="宋体"/>
                <w:sz w:val="24"/>
              </w:rPr>
            </w:pPr>
            <w:r>
              <w:rPr>
                <w:rFonts w:hint="eastAsia" w:ascii="宋体" w:hAnsi="宋体" w:cs="宋体"/>
                <w:sz w:val="24"/>
              </w:rPr>
              <w:t>验收标准：</w:t>
            </w:r>
          </w:p>
        </w:tc>
      </w:tr>
      <w:tr w14:paraId="6C374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trPr>
        <w:tc>
          <w:tcPr>
            <w:tcW w:w="9813" w:type="dxa"/>
            <w:gridSpan w:val="6"/>
            <w:tcBorders>
              <w:top w:val="single" w:color="auto" w:sz="4" w:space="0"/>
              <w:left w:val="single" w:color="auto" w:sz="4" w:space="0"/>
              <w:bottom w:val="single" w:color="auto" w:sz="4" w:space="0"/>
              <w:right w:val="single" w:color="auto" w:sz="4" w:space="0"/>
            </w:tcBorders>
          </w:tcPr>
          <w:p w14:paraId="068D0CF8">
            <w:pPr>
              <w:rPr>
                <w:rFonts w:hint="eastAsia" w:ascii="宋体" w:hAnsi="宋体" w:cs="宋体"/>
                <w:sz w:val="24"/>
              </w:rPr>
            </w:pPr>
            <w:r>
              <w:rPr>
                <w:rFonts w:hint="eastAsia" w:ascii="宋体" w:hAnsi="宋体" w:cs="宋体"/>
                <w:sz w:val="24"/>
              </w:rPr>
              <w:t>优惠及其它：</w:t>
            </w:r>
          </w:p>
        </w:tc>
      </w:tr>
    </w:tbl>
    <w:p w14:paraId="1FE74DD9">
      <w:pPr>
        <w:snapToGrid w:val="0"/>
        <w:spacing w:before="50" w:after="50" w:line="360" w:lineRule="auto"/>
        <w:rPr>
          <w:rFonts w:hint="eastAsia" w:ascii="宋体" w:hAnsi="宋体" w:cs="宋体"/>
          <w:szCs w:val="21"/>
        </w:rPr>
      </w:pPr>
      <w:r>
        <w:rPr>
          <w:rFonts w:hint="eastAsia" w:ascii="宋体" w:hAnsi="宋体" w:cs="宋体"/>
          <w:szCs w:val="21"/>
        </w:rPr>
        <w:t xml:space="preserve">    </w:t>
      </w:r>
    </w:p>
    <w:p w14:paraId="07A244CB">
      <w:pPr>
        <w:spacing w:line="400" w:lineRule="exact"/>
        <w:rPr>
          <w:rFonts w:hint="eastAsia" w:ascii="宋体" w:hAnsi="宋体" w:cs="宋体"/>
          <w:szCs w:val="21"/>
        </w:rPr>
      </w:pPr>
      <w:r>
        <w:rPr>
          <w:rFonts w:hint="eastAsia" w:ascii="宋体" w:hAnsi="宋体" w:cs="宋体"/>
          <w:szCs w:val="21"/>
        </w:rPr>
        <w:t xml:space="preserve">注: </w:t>
      </w:r>
    </w:p>
    <w:p w14:paraId="7735D3BE">
      <w:pPr>
        <w:snapToGrid w:val="0"/>
        <w:spacing w:line="360" w:lineRule="auto"/>
        <w:ind w:firstLine="420" w:firstLineChars="200"/>
        <w:jc w:val="left"/>
        <w:rPr>
          <w:rFonts w:hint="eastAsia" w:ascii="宋体" w:hAnsi="宋体" w:cs="宋体"/>
          <w:szCs w:val="21"/>
        </w:rPr>
      </w:pPr>
      <w:r>
        <w:rPr>
          <w:rFonts w:hint="eastAsia" w:ascii="宋体" w:hAnsi="宋体" w:cs="宋体"/>
          <w:szCs w:val="21"/>
        </w:rPr>
        <w:t>1.投标人的开标一览表必须加盖投标人电子签章并由法定代表人或者委托代理人签字或者电子签名，</w:t>
      </w:r>
      <w:r>
        <w:rPr>
          <w:rFonts w:hint="eastAsia" w:ascii="宋体" w:hAnsi="宋体" w:cs="宋体"/>
          <w:b/>
          <w:szCs w:val="21"/>
        </w:rPr>
        <w:t>否则其投标作无效标处理</w:t>
      </w:r>
      <w:r>
        <w:rPr>
          <w:rFonts w:hint="eastAsia" w:ascii="宋体" w:hAnsi="宋体" w:cs="宋体"/>
          <w:szCs w:val="21"/>
        </w:rPr>
        <w:t>。</w:t>
      </w:r>
    </w:p>
    <w:p w14:paraId="67092279">
      <w:pPr>
        <w:snapToGrid w:val="0"/>
        <w:spacing w:line="360" w:lineRule="auto"/>
        <w:ind w:firstLine="420" w:firstLineChars="200"/>
        <w:jc w:val="left"/>
        <w:rPr>
          <w:rFonts w:hint="eastAsia" w:ascii="宋体" w:hAnsi="宋体" w:cs="宋体"/>
          <w:szCs w:val="21"/>
        </w:rPr>
      </w:pPr>
      <w:r>
        <w:rPr>
          <w:rFonts w:hint="eastAsia" w:ascii="宋体" w:hAnsi="宋体" w:cs="宋体"/>
          <w:bCs/>
          <w:szCs w:val="21"/>
        </w:rPr>
        <w:t>2.</w:t>
      </w:r>
      <w:r>
        <w:rPr>
          <w:rFonts w:hint="eastAsia" w:ascii="宋体" w:hAnsi="宋体" w:cs="宋体"/>
          <w:szCs w:val="21"/>
        </w:rPr>
        <w:t>报价一经涂改，应在涂改处加盖投标人公章或者加盖电子签章或者由法定代表人或者委托代理人签字（或者电子签名）</w:t>
      </w:r>
      <w:r>
        <w:rPr>
          <w:rFonts w:hint="eastAsia" w:ascii="宋体" w:hAnsi="宋体" w:cs="宋体"/>
          <w:b/>
          <w:szCs w:val="21"/>
        </w:rPr>
        <w:t>，否则其投标作无效标处理。</w:t>
      </w:r>
    </w:p>
    <w:p w14:paraId="647C5EEF">
      <w:pPr>
        <w:snapToGrid w:val="0"/>
        <w:spacing w:line="360" w:lineRule="auto"/>
        <w:ind w:firstLine="420" w:firstLineChars="200"/>
        <w:rPr>
          <w:rFonts w:hint="eastAsia" w:ascii="宋体" w:hAnsi="宋体" w:cs="宋体"/>
          <w:b/>
          <w:szCs w:val="21"/>
        </w:rPr>
      </w:pPr>
      <w:r>
        <w:rPr>
          <w:rFonts w:hint="eastAsia" w:ascii="宋体" w:hAnsi="宋体" w:cs="宋体"/>
          <w:szCs w:val="21"/>
        </w:rPr>
        <w:t>3.如有多分标，按分标分别提供开标一览表</w:t>
      </w:r>
      <w:r>
        <w:rPr>
          <w:rFonts w:hint="eastAsia" w:ascii="宋体" w:hAnsi="宋体" w:cs="宋体"/>
          <w:b/>
          <w:szCs w:val="21"/>
        </w:rPr>
        <w:t>。</w:t>
      </w:r>
    </w:p>
    <w:p w14:paraId="1252F502">
      <w:pPr>
        <w:snapToGrid w:val="0"/>
        <w:spacing w:line="360" w:lineRule="auto"/>
        <w:ind w:firstLine="422" w:firstLineChars="200"/>
        <w:rPr>
          <w:rFonts w:hint="eastAsia" w:ascii="宋体" w:hAnsi="宋体" w:cs="宋体"/>
          <w:b/>
          <w:szCs w:val="21"/>
        </w:rPr>
      </w:pPr>
    </w:p>
    <w:p w14:paraId="138DFCB6">
      <w:pPr>
        <w:snapToGrid w:val="0"/>
        <w:spacing w:line="360" w:lineRule="auto"/>
        <w:ind w:left="-2" w:leftChars="-1" w:right="-817" w:rightChars="-389"/>
        <w:rPr>
          <w:rFonts w:hint="eastAsia" w:ascii="宋体" w:hAnsi="宋体" w:cs="宋体"/>
          <w:szCs w:val="21"/>
        </w:rPr>
      </w:pPr>
      <w:r>
        <w:rPr>
          <w:rFonts w:hint="eastAsia" w:ascii="宋体" w:hAnsi="宋体" w:cs="宋体"/>
          <w:szCs w:val="21"/>
        </w:rPr>
        <w:t xml:space="preserve">                           法定代表人或者委托代理人（签字或者电子签名）： </w:t>
      </w:r>
    </w:p>
    <w:p w14:paraId="49248152">
      <w:pPr>
        <w:snapToGrid w:val="0"/>
        <w:spacing w:line="360" w:lineRule="auto"/>
        <w:ind w:left="-6" w:leftChars="-15" w:right="-817" w:rightChars="-389" w:hanging="25" w:hangingChars="12"/>
        <w:rPr>
          <w:rFonts w:hint="eastAsia" w:ascii="宋体" w:hAnsi="宋体" w:cs="宋体"/>
          <w:szCs w:val="21"/>
        </w:rPr>
      </w:pPr>
      <w:r>
        <w:rPr>
          <w:rFonts w:hint="eastAsia" w:ascii="宋体" w:hAnsi="宋体" w:cs="宋体"/>
          <w:szCs w:val="21"/>
        </w:rPr>
        <w:t xml:space="preserve">                                  投标人名称（电子签章）：</w:t>
      </w:r>
    </w:p>
    <w:p w14:paraId="18821144">
      <w:pPr>
        <w:snapToGrid w:val="0"/>
        <w:spacing w:line="360" w:lineRule="auto"/>
        <w:ind w:left="-6" w:leftChars="-15" w:right="-817" w:rightChars="-389" w:hanging="25" w:hangingChars="12"/>
        <w:rPr>
          <w:rFonts w:hint="eastAsia" w:ascii="宋体" w:hAnsi="宋体" w:cs="宋体"/>
          <w:szCs w:val="21"/>
        </w:rPr>
      </w:pPr>
      <w:r>
        <w:rPr>
          <w:rFonts w:hint="eastAsia" w:ascii="宋体" w:hAnsi="宋体" w:cs="宋体"/>
          <w:szCs w:val="21"/>
        </w:rPr>
        <w:t xml:space="preserve">                                  日期：    年   月   日</w:t>
      </w:r>
    </w:p>
    <w:p w14:paraId="50DD1573">
      <w:pPr>
        <w:snapToGrid w:val="0"/>
        <w:spacing w:line="360" w:lineRule="auto"/>
        <w:ind w:left="-6" w:leftChars="-15" w:right="-817" w:rightChars="-389" w:hanging="25" w:hangingChars="12"/>
        <w:rPr>
          <w:rFonts w:hint="eastAsia" w:ascii="宋体" w:hAnsi="宋体" w:cs="宋体"/>
          <w:szCs w:val="21"/>
        </w:rPr>
      </w:pPr>
    </w:p>
    <w:p w14:paraId="4C8CBC03">
      <w:pPr>
        <w:pStyle w:val="18"/>
        <w:snapToGrid w:val="0"/>
        <w:spacing w:before="295" w:after="295" w:line="360" w:lineRule="exact"/>
        <w:ind w:firstLine="1968" w:firstLineChars="700"/>
        <w:rPr>
          <w:rFonts w:hint="eastAsia" w:hAnsi="宋体"/>
          <w:b/>
          <w:sz w:val="28"/>
          <w:szCs w:val="28"/>
        </w:rPr>
      </w:pPr>
    </w:p>
    <w:p w14:paraId="4E1593C2">
      <w:pPr>
        <w:rPr>
          <w:b/>
          <w:sz w:val="28"/>
          <w:szCs w:val="28"/>
        </w:rPr>
      </w:pPr>
      <w:bookmarkStart w:id="154" w:name="_Toc19686837"/>
    </w:p>
    <w:p w14:paraId="2CD25D0F">
      <w:pPr>
        <w:rPr>
          <w:b/>
          <w:sz w:val="28"/>
          <w:szCs w:val="28"/>
        </w:rPr>
      </w:pPr>
    </w:p>
    <w:p w14:paraId="1D48CB4A">
      <w:pPr>
        <w:rPr>
          <w:b/>
          <w:sz w:val="28"/>
          <w:szCs w:val="28"/>
        </w:rPr>
      </w:pPr>
      <w:r>
        <w:rPr>
          <w:rFonts w:hint="eastAsia"/>
          <w:b/>
          <w:sz w:val="28"/>
          <w:szCs w:val="28"/>
        </w:rPr>
        <w:t>二、资格证明文件格式</w:t>
      </w:r>
      <w:bookmarkEnd w:id="152"/>
      <w:bookmarkEnd w:id="153"/>
      <w:bookmarkEnd w:id="154"/>
    </w:p>
    <w:p w14:paraId="0CAB8A43">
      <w:pPr>
        <w:snapToGrid w:val="0"/>
        <w:spacing w:before="120" w:beforeLines="50" w:after="50" w:line="360" w:lineRule="auto"/>
        <w:jc w:val="left"/>
        <w:rPr>
          <w:rFonts w:hint="eastAsia" w:ascii="宋体" w:hAnsi="宋体"/>
          <w:b/>
          <w:sz w:val="24"/>
        </w:rPr>
      </w:pPr>
      <w:r>
        <w:rPr>
          <w:rFonts w:hint="eastAsia" w:ascii="宋体" w:hAnsi="宋体"/>
          <w:b/>
          <w:sz w:val="24"/>
        </w:rPr>
        <w:t xml:space="preserve">1.资格证明文件封面格式： </w:t>
      </w:r>
    </w:p>
    <w:p w14:paraId="2BE3DE8B">
      <w:pPr>
        <w:snapToGrid w:val="0"/>
        <w:spacing w:before="120" w:beforeLines="50" w:after="50"/>
        <w:jc w:val="center"/>
        <w:rPr>
          <w:rFonts w:hint="eastAsia" w:ascii="宋体" w:hAnsi="宋体" w:eastAsia="方正小标宋简体"/>
          <w:bCs/>
          <w:sz w:val="48"/>
          <w:szCs w:val="48"/>
        </w:rPr>
      </w:pPr>
      <w:r>
        <w:rPr>
          <w:rFonts w:hint="eastAsia" w:ascii="宋体" w:hAnsi="宋体" w:eastAsia="方正小标宋简体"/>
          <w:bCs/>
          <w:sz w:val="48"/>
          <w:szCs w:val="48"/>
        </w:rPr>
        <w:t>电子投标文件</w:t>
      </w:r>
    </w:p>
    <w:p w14:paraId="5FDD48CB">
      <w:pPr>
        <w:snapToGrid w:val="0"/>
        <w:spacing w:before="120" w:beforeLines="50" w:after="50"/>
        <w:rPr>
          <w:rFonts w:hint="eastAsia" w:ascii="宋体" w:hAnsi="宋体"/>
          <w:sz w:val="24"/>
          <w:szCs w:val="20"/>
        </w:rPr>
      </w:pPr>
      <w:r>
        <w:rPr>
          <w:rFonts w:hint="eastAsia" w:ascii="宋体" w:hAnsi="宋体"/>
          <w:sz w:val="24"/>
        </w:rPr>
        <w:t xml:space="preserve">                 </w:t>
      </w:r>
    </w:p>
    <w:p w14:paraId="473E8CD5">
      <w:pPr>
        <w:snapToGrid w:val="0"/>
        <w:spacing w:before="120" w:beforeLines="50" w:after="50"/>
        <w:jc w:val="center"/>
        <w:rPr>
          <w:rFonts w:hint="eastAsia" w:ascii="宋体" w:hAnsi="宋体"/>
          <w:b/>
          <w:sz w:val="24"/>
          <w:szCs w:val="20"/>
        </w:rPr>
      </w:pPr>
      <w:r>
        <w:rPr>
          <w:rFonts w:hint="eastAsia" w:ascii="宋体" w:hAnsi="宋体"/>
          <w:b/>
          <w:sz w:val="32"/>
          <w:szCs w:val="32"/>
        </w:rPr>
        <w:t>资格证明文件</w:t>
      </w:r>
    </w:p>
    <w:p w14:paraId="45AD8F3C">
      <w:pPr>
        <w:snapToGrid w:val="0"/>
        <w:spacing w:before="120" w:beforeLines="50" w:after="50"/>
        <w:rPr>
          <w:rFonts w:hint="eastAsia" w:ascii="宋体" w:hAnsi="宋体"/>
          <w:bCs/>
          <w:sz w:val="24"/>
          <w:szCs w:val="20"/>
        </w:rPr>
      </w:pPr>
    </w:p>
    <w:p w14:paraId="2E5CD20E">
      <w:pPr>
        <w:snapToGrid w:val="0"/>
        <w:spacing w:before="120" w:beforeLines="50" w:after="50"/>
        <w:rPr>
          <w:rFonts w:hint="eastAsia" w:ascii="宋体" w:hAnsi="宋体"/>
          <w:bCs/>
          <w:sz w:val="24"/>
          <w:szCs w:val="20"/>
        </w:rPr>
      </w:pPr>
    </w:p>
    <w:p w14:paraId="39F33416">
      <w:pPr>
        <w:snapToGrid w:val="0"/>
        <w:spacing w:before="120" w:beforeLines="50" w:after="50"/>
        <w:rPr>
          <w:rFonts w:hint="eastAsia" w:ascii="宋体" w:hAnsi="宋体"/>
          <w:bCs/>
          <w:sz w:val="24"/>
          <w:szCs w:val="20"/>
        </w:rPr>
      </w:pPr>
    </w:p>
    <w:p w14:paraId="4221F108">
      <w:pPr>
        <w:snapToGrid w:val="0"/>
        <w:spacing w:before="120" w:beforeLines="50" w:after="50"/>
        <w:rPr>
          <w:rFonts w:hint="eastAsia" w:ascii="宋体" w:hAnsi="宋体"/>
          <w:bCs/>
          <w:sz w:val="24"/>
          <w:szCs w:val="20"/>
        </w:rPr>
      </w:pPr>
    </w:p>
    <w:p w14:paraId="2B288CDC">
      <w:pPr>
        <w:snapToGrid w:val="0"/>
        <w:spacing w:before="120" w:beforeLines="50" w:after="50"/>
        <w:rPr>
          <w:rFonts w:hint="eastAsia" w:ascii="宋体" w:hAnsi="宋体"/>
          <w:bCs/>
          <w:sz w:val="24"/>
          <w:szCs w:val="20"/>
        </w:rPr>
      </w:pPr>
    </w:p>
    <w:p w14:paraId="4DB09C4D">
      <w:pPr>
        <w:snapToGrid w:val="0"/>
        <w:spacing w:before="120" w:beforeLines="50" w:after="50"/>
        <w:rPr>
          <w:rFonts w:hint="eastAsia" w:ascii="宋体" w:hAnsi="宋体"/>
          <w:bCs/>
          <w:sz w:val="24"/>
          <w:szCs w:val="20"/>
        </w:rPr>
      </w:pPr>
    </w:p>
    <w:p w14:paraId="0B6921A6">
      <w:pPr>
        <w:snapToGrid w:val="0"/>
        <w:spacing w:before="120" w:beforeLines="50" w:after="50"/>
        <w:rPr>
          <w:rFonts w:hint="eastAsia" w:ascii="宋体" w:hAnsi="宋体"/>
          <w:bCs/>
          <w:sz w:val="24"/>
          <w:szCs w:val="20"/>
        </w:rPr>
      </w:pPr>
    </w:p>
    <w:p w14:paraId="5B3C9174">
      <w:pPr>
        <w:snapToGrid w:val="0"/>
        <w:spacing w:before="120" w:beforeLines="50" w:after="50"/>
        <w:ind w:firstLine="540" w:firstLineChars="225"/>
        <w:rPr>
          <w:rFonts w:hint="eastAsia" w:ascii="宋体" w:hAnsi="宋体"/>
          <w:bCs/>
          <w:sz w:val="24"/>
        </w:rPr>
      </w:pPr>
      <w:r>
        <w:rPr>
          <w:rFonts w:hint="eastAsia" w:ascii="宋体" w:hAnsi="宋体"/>
          <w:bCs/>
          <w:sz w:val="24"/>
        </w:rPr>
        <w:t>项目名称：</w:t>
      </w:r>
    </w:p>
    <w:p w14:paraId="3DA4F92A">
      <w:pPr>
        <w:snapToGrid w:val="0"/>
        <w:spacing w:before="120" w:beforeLines="50" w:after="50"/>
        <w:ind w:firstLine="540" w:firstLineChars="225"/>
        <w:rPr>
          <w:rFonts w:hint="eastAsia" w:ascii="宋体" w:hAnsi="宋体"/>
          <w:bCs/>
          <w:sz w:val="24"/>
          <w:szCs w:val="20"/>
        </w:rPr>
      </w:pPr>
    </w:p>
    <w:p w14:paraId="7CF79AEB">
      <w:pPr>
        <w:snapToGrid w:val="0"/>
        <w:spacing w:before="120" w:beforeLines="50" w:after="50"/>
        <w:ind w:firstLine="540" w:firstLineChars="225"/>
        <w:rPr>
          <w:rFonts w:hint="eastAsia" w:ascii="宋体" w:hAnsi="宋体"/>
          <w:bCs/>
          <w:sz w:val="24"/>
        </w:rPr>
      </w:pPr>
      <w:r>
        <w:rPr>
          <w:rFonts w:hint="eastAsia" w:ascii="宋体" w:hAnsi="宋体"/>
          <w:bCs/>
          <w:sz w:val="24"/>
        </w:rPr>
        <w:t>项目编号：</w:t>
      </w:r>
    </w:p>
    <w:p w14:paraId="41FF2155">
      <w:pPr>
        <w:snapToGrid w:val="0"/>
        <w:spacing w:before="120" w:beforeLines="50" w:after="50"/>
        <w:ind w:firstLine="540" w:firstLineChars="225"/>
        <w:rPr>
          <w:rFonts w:hint="eastAsia" w:ascii="宋体" w:hAnsi="宋体"/>
          <w:bCs/>
          <w:sz w:val="24"/>
          <w:szCs w:val="20"/>
        </w:rPr>
      </w:pPr>
      <w:r>
        <w:rPr>
          <w:rFonts w:hint="eastAsia" w:ascii="宋体" w:hAnsi="宋体"/>
          <w:bCs/>
          <w:sz w:val="24"/>
        </w:rPr>
        <w:t xml:space="preserve"> </w:t>
      </w:r>
    </w:p>
    <w:p w14:paraId="73AE8C5F">
      <w:pPr>
        <w:snapToGrid w:val="0"/>
        <w:spacing w:before="120" w:beforeLines="50" w:after="50"/>
        <w:ind w:firstLine="540" w:firstLineChars="225"/>
        <w:rPr>
          <w:rFonts w:hint="eastAsia" w:ascii="宋体" w:hAnsi="宋体"/>
          <w:bCs/>
          <w:sz w:val="24"/>
        </w:rPr>
      </w:pPr>
      <w:r>
        <w:rPr>
          <w:rFonts w:hint="eastAsia" w:ascii="宋体" w:hAnsi="宋体"/>
          <w:bCs/>
          <w:sz w:val="24"/>
        </w:rPr>
        <w:t>所投分标：</w:t>
      </w:r>
    </w:p>
    <w:p w14:paraId="0A4C1831">
      <w:pPr>
        <w:pStyle w:val="9"/>
        <w:snapToGrid w:val="0"/>
        <w:spacing w:before="50" w:after="50"/>
        <w:ind w:firstLine="540" w:firstLineChars="225"/>
        <w:rPr>
          <w:rFonts w:hint="eastAsia" w:ascii="宋体" w:hAnsi="宋体"/>
          <w:bCs/>
          <w:sz w:val="24"/>
          <w:szCs w:val="24"/>
        </w:rPr>
      </w:pPr>
    </w:p>
    <w:p w14:paraId="2448D70F">
      <w:pPr>
        <w:pStyle w:val="9"/>
        <w:snapToGrid w:val="0"/>
        <w:spacing w:before="50" w:after="50"/>
        <w:ind w:firstLine="540" w:firstLineChars="225"/>
        <w:rPr>
          <w:rFonts w:hint="eastAsia" w:ascii="宋体" w:hAnsi="宋体"/>
          <w:bCs/>
          <w:sz w:val="24"/>
          <w:szCs w:val="24"/>
        </w:rPr>
      </w:pPr>
      <w:r>
        <w:rPr>
          <w:rFonts w:hint="eastAsia" w:ascii="宋体" w:hAnsi="宋体"/>
          <w:bCs/>
          <w:sz w:val="24"/>
          <w:szCs w:val="24"/>
        </w:rPr>
        <w:t>投标人名称：</w:t>
      </w:r>
    </w:p>
    <w:p w14:paraId="196F2A53">
      <w:pPr>
        <w:pStyle w:val="9"/>
        <w:snapToGrid w:val="0"/>
        <w:spacing w:before="50" w:after="50"/>
        <w:ind w:firstLine="540" w:firstLineChars="225"/>
        <w:rPr>
          <w:rFonts w:hint="eastAsia" w:ascii="宋体" w:hAnsi="宋体"/>
          <w:bCs/>
          <w:sz w:val="24"/>
          <w:szCs w:val="24"/>
        </w:rPr>
      </w:pPr>
    </w:p>
    <w:p w14:paraId="58B77DC1">
      <w:pPr>
        <w:pStyle w:val="9"/>
        <w:snapToGrid w:val="0"/>
        <w:spacing w:before="50" w:after="50"/>
        <w:ind w:firstLine="960" w:firstLineChars="400"/>
        <w:rPr>
          <w:rFonts w:hint="eastAsia" w:ascii="宋体" w:hAnsi="宋体"/>
          <w:bCs/>
          <w:sz w:val="24"/>
          <w:szCs w:val="24"/>
        </w:rPr>
      </w:pPr>
    </w:p>
    <w:p w14:paraId="12603985">
      <w:pPr>
        <w:snapToGrid w:val="0"/>
        <w:spacing w:before="120" w:beforeLines="50" w:after="50"/>
        <w:ind w:firstLine="645"/>
        <w:jc w:val="center"/>
        <w:rPr>
          <w:rFonts w:hint="eastAsia" w:ascii="宋体" w:hAnsi="宋体"/>
          <w:sz w:val="24"/>
        </w:rPr>
      </w:pPr>
      <w:r>
        <w:rPr>
          <w:rFonts w:hint="eastAsia" w:ascii="宋体" w:hAnsi="宋体"/>
          <w:sz w:val="24"/>
        </w:rPr>
        <w:t>年  月  日</w:t>
      </w:r>
    </w:p>
    <w:p w14:paraId="108B6615">
      <w:pPr>
        <w:snapToGrid w:val="0"/>
        <w:spacing w:before="120" w:beforeLines="50" w:after="50"/>
        <w:rPr>
          <w:rFonts w:hint="eastAsia" w:ascii="宋体" w:hAnsi="宋体"/>
          <w:sz w:val="24"/>
          <w:szCs w:val="20"/>
        </w:rPr>
      </w:pPr>
      <w:r>
        <w:rPr>
          <w:rFonts w:ascii="宋体" w:hAnsi="宋体"/>
          <w:sz w:val="24"/>
          <w:szCs w:val="20"/>
        </w:rPr>
        <w:t xml:space="preserve"> </w:t>
      </w:r>
    </w:p>
    <w:p w14:paraId="4ED7E109">
      <w:pPr>
        <w:snapToGrid w:val="0"/>
        <w:spacing w:before="120" w:beforeLines="50" w:after="50"/>
        <w:rPr>
          <w:rFonts w:hint="eastAsia" w:ascii="宋体" w:hAnsi="宋体"/>
          <w:sz w:val="24"/>
          <w:szCs w:val="20"/>
        </w:rPr>
      </w:pPr>
    </w:p>
    <w:p w14:paraId="4AE0F2F5">
      <w:pPr>
        <w:snapToGrid w:val="0"/>
        <w:spacing w:before="120" w:beforeLines="50" w:after="50" w:line="360" w:lineRule="auto"/>
        <w:jc w:val="left"/>
        <w:rPr>
          <w:rFonts w:hint="eastAsia" w:ascii="宋体" w:hAnsi="宋体"/>
          <w:sz w:val="24"/>
          <w:szCs w:val="20"/>
        </w:rPr>
      </w:pPr>
      <w:r>
        <w:rPr>
          <w:rFonts w:ascii="宋体" w:hAnsi="宋体"/>
          <w:b/>
          <w:bCs/>
          <w:sz w:val="24"/>
        </w:rPr>
        <w:br w:type="page"/>
      </w:r>
      <w:r>
        <w:rPr>
          <w:rFonts w:hint="eastAsia" w:ascii="宋体" w:hAnsi="宋体"/>
          <w:b/>
          <w:bCs/>
          <w:sz w:val="24"/>
        </w:rPr>
        <w:t>2.资格证明文件目录</w:t>
      </w:r>
    </w:p>
    <w:p w14:paraId="32D56EEE">
      <w:pPr>
        <w:snapToGrid w:val="0"/>
        <w:spacing w:line="360" w:lineRule="auto"/>
        <w:ind w:firstLine="420" w:firstLineChars="200"/>
        <w:jc w:val="left"/>
        <w:rPr>
          <w:rFonts w:hint="eastAsia" w:ascii="宋体" w:hAnsi="宋体"/>
          <w:szCs w:val="21"/>
        </w:rPr>
      </w:pPr>
      <w:r>
        <w:rPr>
          <w:rFonts w:hint="eastAsia" w:ascii="宋体" w:hAnsi="宋体"/>
          <w:szCs w:val="21"/>
        </w:rPr>
        <w:t>根据采购文件规定及投标人提供的材料自行编写目录。</w:t>
      </w:r>
    </w:p>
    <w:p w14:paraId="410D76B4">
      <w:pPr>
        <w:snapToGrid w:val="0"/>
        <w:spacing w:before="50" w:after="120" w:afterLines="50"/>
        <w:jc w:val="left"/>
        <w:rPr>
          <w:rFonts w:hint="eastAsia" w:ascii="宋体" w:hAnsi="宋体"/>
          <w:sz w:val="24"/>
        </w:rPr>
      </w:pPr>
    </w:p>
    <w:p w14:paraId="3C8FB3DA">
      <w:pPr>
        <w:snapToGrid w:val="0"/>
        <w:spacing w:before="50" w:after="120" w:afterLines="50"/>
        <w:jc w:val="left"/>
        <w:rPr>
          <w:rFonts w:hint="eastAsia" w:ascii="宋体" w:hAnsi="宋体"/>
          <w:sz w:val="24"/>
        </w:rPr>
      </w:pPr>
    </w:p>
    <w:p w14:paraId="6FF39194">
      <w:pPr>
        <w:snapToGrid w:val="0"/>
        <w:spacing w:before="120" w:beforeLines="50" w:after="50"/>
        <w:jc w:val="left"/>
        <w:rPr>
          <w:rFonts w:hint="eastAsia" w:ascii="宋体" w:hAnsi="宋体"/>
          <w:b/>
          <w:sz w:val="24"/>
        </w:rPr>
      </w:pPr>
      <w:r>
        <w:rPr>
          <w:rFonts w:ascii="宋体" w:hAnsi="宋体"/>
          <w:b/>
          <w:sz w:val="24"/>
        </w:rPr>
        <w:br w:type="page"/>
      </w:r>
      <w:r>
        <w:rPr>
          <w:rFonts w:hint="eastAsia" w:ascii="宋体" w:hAnsi="宋体"/>
          <w:b/>
          <w:sz w:val="24"/>
        </w:rPr>
        <w:t>3.</w:t>
      </w:r>
      <w:r>
        <w:rPr>
          <w:rFonts w:hint="eastAsia" w:ascii="宋体" w:hAnsi="宋体"/>
          <w:b/>
          <w:sz w:val="28"/>
          <w:szCs w:val="28"/>
        </w:rPr>
        <w:t>投标人直接控股股东信息表</w:t>
      </w:r>
    </w:p>
    <w:p w14:paraId="6E24BD5E">
      <w:pPr>
        <w:snapToGrid w:val="0"/>
        <w:spacing w:before="50" w:after="120" w:afterLines="50"/>
        <w:jc w:val="center"/>
        <w:rPr>
          <w:rFonts w:hint="eastAsia" w:ascii="宋体" w:hAnsi="宋体"/>
          <w:b/>
          <w:sz w:val="28"/>
          <w:szCs w:val="28"/>
        </w:rPr>
      </w:pPr>
    </w:p>
    <w:p w14:paraId="1281C0DA">
      <w:pPr>
        <w:snapToGrid w:val="0"/>
        <w:spacing w:before="50" w:after="120" w:afterLines="50" w:line="360" w:lineRule="auto"/>
        <w:jc w:val="center"/>
        <w:rPr>
          <w:rFonts w:hint="eastAsia" w:ascii="宋体" w:hAnsi="宋体"/>
          <w:b/>
          <w:sz w:val="32"/>
          <w:szCs w:val="32"/>
        </w:rPr>
      </w:pPr>
      <w:r>
        <w:rPr>
          <w:rFonts w:hint="eastAsia" w:ascii="宋体" w:hAnsi="宋体"/>
          <w:b/>
          <w:sz w:val="32"/>
          <w:szCs w:val="32"/>
        </w:rPr>
        <w:t>投标人直接控股股东信息表</w:t>
      </w:r>
    </w:p>
    <w:tbl>
      <w:tblPr>
        <w:tblStyle w:val="36"/>
        <w:tblW w:w="8954" w:type="dxa"/>
        <w:tblInd w:w="0" w:type="dxa"/>
        <w:tblLayout w:type="fixed"/>
        <w:tblCellMar>
          <w:top w:w="0" w:type="dxa"/>
          <w:left w:w="0" w:type="dxa"/>
          <w:bottom w:w="0" w:type="dxa"/>
          <w:right w:w="0" w:type="dxa"/>
        </w:tblCellMar>
      </w:tblPr>
      <w:tblGrid>
        <w:gridCol w:w="828"/>
        <w:gridCol w:w="2269"/>
        <w:gridCol w:w="1239"/>
        <w:gridCol w:w="3103"/>
        <w:gridCol w:w="1515"/>
      </w:tblGrid>
      <w:tr w14:paraId="6DBF1E07">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6D02EDC">
            <w:pPr>
              <w:spacing w:line="360" w:lineRule="auto"/>
              <w:jc w:val="center"/>
              <w:rPr>
                <w:rFonts w:hint="eastAsia" w:ascii="宋体" w:hAnsi="宋体" w:cs="宋体"/>
                <w:b/>
                <w:bCs/>
                <w:kern w:val="0"/>
                <w:sz w:val="24"/>
              </w:rPr>
            </w:pPr>
            <w:r>
              <w:rPr>
                <w:rFonts w:hint="eastAsia" w:ascii="宋体" w:hAnsi="宋体" w:cs="宋体"/>
                <w:b/>
                <w:bCs/>
                <w:kern w:val="0"/>
                <w:sz w:val="24"/>
              </w:rPr>
              <w:t>序号</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BA26239">
            <w:pPr>
              <w:spacing w:line="360" w:lineRule="auto"/>
              <w:jc w:val="center"/>
              <w:rPr>
                <w:rFonts w:hint="eastAsia" w:ascii="宋体" w:hAnsi="宋体" w:cs="宋体"/>
                <w:b/>
                <w:bCs/>
                <w:kern w:val="0"/>
                <w:sz w:val="24"/>
              </w:rPr>
            </w:pPr>
            <w:r>
              <w:rPr>
                <w:rFonts w:hint="eastAsia" w:ascii="宋体" w:hAnsi="宋体" w:cs="宋体"/>
                <w:b/>
                <w:bCs/>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F9EF64E">
            <w:pPr>
              <w:spacing w:line="360" w:lineRule="auto"/>
              <w:jc w:val="center"/>
              <w:rPr>
                <w:rFonts w:hint="eastAsia" w:ascii="宋体" w:hAnsi="宋体" w:cs="宋体"/>
                <w:b/>
                <w:bCs/>
                <w:kern w:val="0"/>
                <w:sz w:val="24"/>
              </w:rPr>
            </w:pPr>
            <w:r>
              <w:rPr>
                <w:rFonts w:hint="eastAsia" w:ascii="宋体" w:hAnsi="宋体" w:cs="宋体"/>
                <w:b/>
                <w:bCs/>
                <w:kern w:val="0"/>
                <w:sz w:val="24"/>
              </w:rPr>
              <w:t>出资比例(%)</w:t>
            </w:r>
          </w:p>
        </w:tc>
        <w:tc>
          <w:tcPr>
            <w:tcW w:w="3103"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05BE0C3">
            <w:pPr>
              <w:spacing w:line="360" w:lineRule="auto"/>
              <w:jc w:val="center"/>
              <w:rPr>
                <w:rFonts w:hint="eastAsia" w:ascii="宋体" w:hAnsi="宋体" w:cs="宋体"/>
                <w:b/>
                <w:bCs/>
                <w:kern w:val="0"/>
                <w:sz w:val="24"/>
              </w:rPr>
            </w:pPr>
            <w:r>
              <w:rPr>
                <w:rFonts w:hint="eastAsia" w:ascii="宋体" w:hAnsi="宋体" w:cs="宋体"/>
                <w:b/>
                <w:bCs/>
                <w:kern w:val="0"/>
                <w:sz w:val="24"/>
              </w:rPr>
              <w:t>身份证号码或者统一社会信用代码</w:t>
            </w:r>
          </w:p>
        </w:tc>
        <w:tc>
          <w:tcPr>
            <w:tcW w:w="151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FCA44D2">
            <w:pPr>
              <w:spacing w:line="360" w:lineRule="auto"/>
              <w:jc w:val="center"/>
              <w:rPr>
                <w:rFonts w:hint="eastAsia" w:ascii="宋体" w:hAnsi="宋体" w:cs="宋体"/>
                <w:b/>
                <w:bCs/>
                <w:kern w:val="0"/>
                <w:sz w:val="24"/>
              </w:rPr>
            </w:pPr>
            <w:r>
              <w:rPr>
                <w:rFonts w:hint="eastAsia" w:ascii="宋体" w:hAnsi="宋体" w:cs="宋体"/>
                <w:b/>
                <w:bCs/>
                <w:kern w:val="0"/>
                <w:sz w:val="24"/>
              </w:rPr>
              <w:t>备注</w:t>
            </w:r>
          </w:p>
        </w:tc>
      </w:tr>
      <w:tr w14:paraId="45C8E82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7EFF6CA">
            <w:pPr>
              <w:spacing w:line="360" w:lineRule="auto"/>
              <w:jc w:val="center"/>
              <w:rPr>
                <w:rFonts w:hint="eastAsia" w:ascii="宋体" w:hAnsi="宋体" w:cs="宋体"/>
                <w:kern w:val="0"/>
                <w:sz w:val="24"/>
              </w:rPr>
            </w:pPr>
            <w:r>
              <w:rPr>
                <w:rFonts w:hint="eastAsia" w:ascii="宋体" w:hAnsi="宋体" w:cs="宋体"/>
                <w:kern w:val="0"/>
                <w:sz w:val="24"/>
              </w:rPr>
              <w:t>1</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BDB9427">
            <w:pPr>
              <w:spacing w:line="360" w:lineRule="auto"/>
              <w:jc w:val="center"/>
              <w:rPr>
                <w:rFonts w:hint="eastAsia"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1CF5DCF">
            <w:pPr>
              <w:spacing w:line="360" w:lineRule="auto"/>
              <w:jc w:val="center"/>
              <w:rPr>
                <w:rFonts w:hint="eastAsia" w:ascii="宋体" w:hAnsi="宋体" w:cs="宋体"/>
                <w:kern w:val="0"/>
                <w:sz w:val="24"/>
              </w:rPr>
            </w:pPr>
          </w:p>
        </w:tc>
        <w:tc>
          <w:tcPr>
            <w:tcW w:w="3103"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B4E862C">
            <w:pPr>
              <w:spacing w:line="360" w:lineRule="auto"/>
              <w:jc w:val="center"/>
              <w:rPr>
                <w:rFonts w:hint="eastAsia" w:ascii="宋体" w:hAnsi="宋体" w:cs="宋体"/>
                <w:kern w:val="0"/>
                <w:sz w:val="24"/>
              </w:rPr>
            </w:pPr>
          </w:p>
        </w:tc>
        <w:tc>
          <w:tcPr>
            <w:tcW w:w="151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E7E13C2">
            <w:pPr>
              <w:spacing w:line="360" w:lineRule="auto"/>
              <w:jc w:val="center"/>
              <w:rPr>
                <w:rFonts w:hint="eastAsia" w:ascii="宋体" w:hAnsi="宋体" w:cs="宋体"/>
                <w:kern w:val="0"/>
                <w:sz w:val="24"/>
              </w:rPr>
            </w:pPr>
          </w:p>
        </w:tc>
      </w:tr>
      <w:tr w14:paraId="6E25690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77EB838">
            <w:pPr>
              <w:spacing w:line="360" w:lineRule="auto"/>
              <w:jc w:val="center"/>
              <w:rPr>
                <w:rFonts w:hint="eastAsia" w:ascii="宋体" w:hAnsi="宋体" w:cs="宋体"/>
                <w:kern w:val="0"/>
                <w:sz w:val="24"/>
              </w:rPr>
            </w:pPr>
            <w:r>
              <w:rPr>
                <w:rFonts w:hint="eastAsia" w:ascii="宋体" w:hAnsi="宋体" w:cs="宋体"/>
                <w:kern w:val="0"/>
                <w:sz w:val="24"/>
              </w:rPr>
              <w:t>2</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36E21F2">
            <w:pPr>
              <w:spacing w:line="360" w:lineRule="auto"/>
              <w:jc w:val="center"/>
              <w:rPr>
                <w:rFonts w:hint="eastAsia"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3192672">
            <w:pPr>
              <w:spacing w:line="360" w:lineRule="auto"/>
              <w:jc w:val="center"/>
              <w:rPr>
                <w:rFonts w:hint="eastAsia" w:ascii="宋体" w:hAnsi="宋体" w:cs="宋体"/>
                <w:kern w:val="0"/>
                <w:sz w:val="24"/>
              </w:rPr>
            </w:pPr>
          </w:p>
        </w:tc>
        <w:tc>
          <w:tcPr>
            <w:tcW w:w="3103"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6E49B9C">
            <w:pPr>
              <w:spacing w:line="360" w:lineRule="auto"/>
              <w:jc w:val="center"/>
              <w:rPr>
                <w:rFonts w:hint="eastAsia" w:ascii="宋体" w:hAnsi="宋体" w:cs="宋体"/>
                <w:kern w:val="0"/>
                <w:sz w:val="24"/>
              </w:rPr>
            </w:pPr>
          </w:p>
        </w:tc>
        <w:tc>
          <w:tcPr>
            <w:tcW w:w="151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B32925A">
            <w:pPr>
              <w:spacing w:line="360" w:lineRule="auto"/>
              <w:jc w:val="center"/>
              <w:rPr>
                <w:rFonts w:hint="eastAsia" w:ascii="宋体" w:hAnsi="宋体" w:cs="宋体"/>
                <w:kern w:val="0"/>
                <w:sz w:val="24"/>
              </w:rPr>
            </w:pPr>
          </w:p>
        </w:tc>
      </w:tr>
      <w:tr w14:paraId="79DF6E7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C3A0AD4">
            <w:pPr>
              <w:spacing w:line="360" w:lineRule="auto"/>
              <w:jc w:val="center"/>
              <w:rPr>
                <w:rFonts w:hint="eastAsia" w:ascii="宋体" w:hAnsi="宋体" w:cs="宋体"/>
                <w:kern w:val="0"/>
                <w:sz w:val="24"/>
              </w:rPr>
            </w:pPr>
            <w:r>
              <w:rPr>
                <w:rFonts w:hint="eastAsia" w:ascii="宋体" w:hAnsi="宋体" w:cs="宋体"/>
                <w:kern w:val="0"/>
                <w:sz w:val="24"/>
              </w:rPr>
              <w:t>3</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9BE3B29">
            <w:pPr>
              <w:spacing w:line="360" w:lineRule="auto"/>
              <w:jc w:val="center"/>
              <w:rPr>
                <w:rFonts w:hint="eastAsia"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1F06D10">
            <w:pPr>
              <w:spacing w:line="360" w:lineRule="auto"/>
              <w:jc w:val="center"/>
              <w:rPr>
                <w:rFonts w:hint="eastAsia" w:ascii="宋体" w:hAnsi="宋体" w:cs="宋体"/>
                <w:kern w:val="0"/>
                <w:sz w:val="24"/>
              </w:rPr>
            </w:pPr>
          </w:p>
        </w:tc>
        <w:tc>
          <w:tcPr>
            <w:tcW w:w="3103"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F94B823">
            <w:pPr>
              <w:spacing w:line="360" w:lineRule="auto"/>
              <w:jc w:val="center"/>
              <w:rPr>
                <w:rFonts w:hint="eastAsia" w:ascii="宋体" w:hAnsi="宋体" w:cs="宋体"/>
                <w:kern w:val="0"/>
                <w:sz w:val="24"/>
              </w:rPr>
            </w:pPr>
          </w:p>
        </w:tc>
        <w:tc>
          <w:tcPr>
            <w:tcW w:w="151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768C878">
            <w:pPr>
              <w:spacing w:line="360" w:lineRule="auto"/>
              <w:jc w:val="center"/>
              <w:rPr>
                <w:rFonts w:hint="eastAsia" w:ascii="宋体" w:hAnsi="宋体" w:cs="宋体"/>
                <w:kern w:val="0"/>
                <w:sz w:val="24"/>
              </w:rPr>
            </w:pPr>
          </w:p>
        </w:tc>
      </w:tr>
      <w:tr w14:paraId="2C4707E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B9CF6DD">
            <w:pPr>
              <w:spacing w:line="360" w:lineRule="auto"/>
              <w:jc w:val="center"/>
              <w:rPr>
                <w:rFonts w:hint="eastAsia" w:ascii="宋体" w:hAnsi="宋体" w:cs="宋体"/>
                <w:kern w:val="0"/>
                <w:sz w:val="24"/>
              </w:rPr>
            </w:pPr>
            <w:r>
              <w:rPr>
                <w:rFonts w:hint="eastAsia" w:ascii="宋体" w:hAnsi="宋体" w:cs="宋体"/>
                <w:kern w:val="0"/>
                <w:sz w:val="24"/>
              </w:rPr>
              <w:t>……</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FB7420C">
            <w:pPr>
              <w:spacing w:line="360" w:lineRule="auto"/>
              <w:jc w:val="center"/>
              <w:rPr>
                <w:rFonts w:hint="eastAsia"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46D7DF5">
            <w:pPr>
              <w:spacing w:line="360" w:lineRule="auto"/>
              <w:jc w:val="center"/>
              <w:rPr>
                <w:rFonts w:hint="eastAsia" w:ascii="宋体" w:hAnsi="宋体" w:cs="宋体"/>
                <w:kern w:val="0"/>
                <w:sz w:val="24"/>
              </w:rPr>
            </w:pPr>
          </w:p>
        </w:tc>
        <w:tc>
          <w:tcPr>
            <w:tcW w:w="3103"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785F14E">
            <w:pPr>
              <w:spacing w:line="360" w:lineRule="auto"/>
              <w:jc w:val="center"/>
              <w:rPr>
                <w:rFonts w:hint="eastAsia" w:ascii="宋体" w:hAnsi="宋体" w:cs="宋体"/>
                <w:kern w:val="0"/>
                <w:sz w:val="24"/>
              </w:rPr>
            </w:pPr>
          </w:p>
        </w:tc>
        <w:tc>
          <w:tcPr>
            <w:tcW w:w="151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886F3E2">
            <w:pPr>
              <w:spacing w:line="360" w:lineRule="auto"/>
              <w:jc w:val="center"/>
              <w:rPr>
                <w:rFonts w:hint="eastAsia" w:ascii="宋体" w:hAnsi="宋体" w:cs="宋体"/>
                <w:kern w:val="0"/>
                <w:sz w:val="24"/>
              </w:rPr>
            </w:pPr>
          </w:p>
        </w:tc>
      </w:tr>
    </w:tbl>
    <w:p w14:paraId="3C0825B4">
      <w:pPr>
        <w:snapToGrid w:val="0"/>
        <w:spacing w:line="360" w:lineRule="auto"/>
        <w:jc w:val="left"/>
        <w:rPr>
          <w:rFonts w:hint="eastAsia" w:ascii="宋体" w:hAnsi="宋体"/>
          <w:sz w:val="24"/>
        </w:rPr>
      </w:pPr>
      <w:r>
        <w:rPr>
          <w:rFonts w:hint="eastAsia" w:ascii="宋体" w:hAnsi="宋体"/>
          <w:sz w:val="24"/>
        </w:rPr>
        <w:t>注：</w:t>
      </w:r>
    </w:p>
    <w:p w14:paraId="1F9B47FA">
      <w:pPr>
        <w:snapToGrid w:val="0"/>
        <w:spacing w:line="360" w:lineRule="auto"/>
        <w:jc w:val="left"/>
        <w:rPr>
          <w:rFonts w:hint="eastAsia" w:ascii="宋体" w:hAnsi="宋体"/>
          <w:sz w:val="24"/>
        </w:rPr>
      </w:pPr>
      <w:r>
        <w:rPr>
          <w:rFonts w:hint="eastAsia" w:ascii="宋体" w:hAnsi="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32516A4">
      <w:pPr>
        <w:snapToGrid w:val="0"/>
        <w:spacing w:line="360" w:lineRule="auto"/>
        <w:jc w:val="left"/>
        <w:rPr>
          <w:rFonts w:hint="eastAsia" w:ascii="宋体" w:hAnsi="宋体"/>
          <w:sz w:val="24"/>
        </w:rPr>
      </w:pPr>
      <w:r>
        <w:rPr>
          <w:rFonts w:hint="eastAsia" w:ascii="宋体" w:hAnsi="宋体"/>
          <w:sz w:val="24"/>
        </w:rPr>
        <w:t>2.本表所指的控股关系仅限于直接控股关系，不包括间接的控股关系。公司实际控制人与公司之间的关系不属于本表所指的直接控股关系。</w:t>
      </w:r>
    </w:p>
    <w:p w14:paraId="60E25CBB">
      <w:pPr>
        <w:snapToGrid w:val="0"/>
        <w:spacing w:line="360" w:lineRule="auto"/>
        <w:jc w:val="left"/>
        <w:rPr>
          <w:rFonts w:hint="eastAsia" w:ascii="宋体" w:hAnsi="宋体"/>
          <w:sz w:val="24"/>
        </w:rPr>
      </w:pPr>
      <w:r>
        <w:rPr>
          <w:rFonts w:hint="eastAsia" w:ascii="宋体" w:hAnsi="宋体"/>
          <w:sz w:val="24"/>
        </w:rPr>
        <w:t>3.供应商不存在直接控股股东的，则在“</w:t>
      </w:r>
      <w:r>
        <w:rPr>
          <w:rFonts w:hint="eastAsia" w:ascii="宋体" w:hAnsi="宋体" w:cs="宋体"/>
          <w:b/>
          <w:bCs/>
          <w:kern w:val="0"/>
          <w:sz w:val="24"/>
        </w:rPr>
        <w:t>直接控股股东名称</w:t>
      </w:r>
      <w:r>
        <w:rPr>
          <w:rFonts w:hint="eastAsia" w:ascii="宋体" w:hAnsi="宋体"/>
          <w:sz w:val="24"/>
        </w:rPr>
        <w:t>”中填“无”。</w:t>
      </w:r>
    </w:p>
    <w:p w14:paraId="670C52E4">
      <w:pPr>
        <w:snapToGrid w:val="0"/>
        <w:spacing w:line="360" w:lineRule="auto"/>
        <w:jc w:val="left"/>
        <w:rPr>
          <w:rFonts w:hint="eastAsia" w:ascii="宋体" w:hAnsi="宋体"/>
          <w:sz w:val="24"/>
        </w:rPr>
      </w:pPr>
    </w:p>
    <w:p w14:paraId="5ED4D050">
      <w:pPr>
        <w:snapToGrid w:val="0"/>
        <w:spacing w:line="360" w:lineRule="auto"/>
        <w:jc w:val="left"/>
        <w:rPr>
          <w:rFonts w:hint="eastAsia" w:ascii="宋体" w:hAnsi="宋体"/>
          <w:sz w:val="24"/>
        </w:rPr>
      </w:pPr>
    </w:p>
    <w:p w14:paraId="254884F3">
      <w:pPr>
        <w:snapToGrid w:val="0"/>
        <w:spacing w:line="360" w:lineRule="auto"/>
        <w:jc w:val="left"/>
        <w:rPr>
          <w:rFonts w:hint="eastAsia" w:ascii="宋体" w:hAnsi="宋体"/>
          <w:sz w:val="24"/>
        </w:rPr>
      </w:pPr>
    </w:p>
    <w:p w14:paraId="6A2129BA">
      <w:pPr>
        <w:snapToGrid w:val="0"/>
        <w:spacing w:line="360" w:lineRule="auto"/>
        <w:ind w:left="-2" w:leftChars="-1" w:right="-817" w:rightChars="-389"/>
        <w:rPr>
          <w:rFonts w:hint="eastAsia" w:ascii="宋体" w:hAnsi="宋体"/>
          <w:sz w:val="24"/>
        </w:rPr>
      </w:pPr>
      <w:r>
        <w:rPr>
          <w:rFonts w:hint="eastAsia" w:ascii="宋体" w:hAnsi="宋体"/>
          <w:sz w:val="24"/>
        </w:rPr>
        <w:t xml:space="preserve">             法定代表人或者委托代理人（签字或者电子签名）：</w:t>
      </w:r>
    </w:p>
    <w:p w14:paraId="154AC167">
      <w:pPr>
        <w:snapToGrid w:val="0"/>
        <w:spacing w:line="360" w:lineRule="auto"/>
        <w:ind w:left="-3" w:leftChars="-15" w:right="-817" w:rightChars="-389" w:hanging="28" w:hangingChars="12"/>
        <w:rPr>
          <w:rFonts w:hint="eastAsia" w:ascii="宋体" w:hAnsi="宋体"/>
          <w:sz w:val="24"/>
        </w:rPr>
      </w:pPr>
      <w:r>
        <w:rPr>
          <w:rFonts w:hint="eastAsia" w:ascii="宋体" w:hAnsi="宋体"/>
          <w:sz w:val="24"/>
        </w:rPr>
        <w:t xml:space="preserve">                                    投标人名称（电子签章）：</w:t>
      </w:r>
    </w:p>
    <w:p w14:paraId="6FEA576B">
      <w:pPr>
        <w:snapToGrid w:val="0"/>
        <w:spacing w:line="360" w:lineRule="auto"/>
        <w:jc w:val="left"/>
        <w:rPr>
          <w:rFonts w:hint="eastAsia" w:ascii="宋体" w:hAnsi="宋体"/>
          <w:szCs w:val="21"/>
        </w:rPr>
      </w:pPr>
      <w:r>
        <w:rPr>
          <w:rFonts w:hint="eastAsia" w:ascii="宋体" w:hAnsi="宋体"/>
          <w:sz w:val="24"/>
        </w:rPr>
        <w:t xml:space="preserve">                                    日期：    年   月   日</w:t>
      </w:r>
    </w:p>
    <w:p w14:paraId="0C289D42">
      <w:pPr>
        <w:snapToGrid w:val="0"/>
        <w:jc w:val="center"/>
        <w:rPr>
          <w:rFonts w:hint="eastAsia" w:ascii="宋体" w:hAnsi="宋体"/>
          <w:b/>
          <w:sz w:val="28"/>
          <w:szCs w:val="28"/>
        </w:rPr>
      </w:pPr>
    </w:p>
    <w:p w14:paraId="0D25AA59">
      <w:pPr>
        <w:snapToGrid w:val="0"/>
        <w:spacing w:line="360" w:lineRule="auto"/>
        <w:jc w:val="left"/>
        <w:rPr>
          <w:rFonts w:hint="eastAsia" w:ascii="宋体" w:hAnsi="宋体"/>
          <w:b/>
          <w:sz w:val="32"/>
          <w:szCs w:val="32"/>
        </w:rPr>
      </w:pPr>
      <w:r>
        <w:rPr>
          <w:rFonts w:hint="eastAsia" w:ascii="宋体" w:hAnsi="宋体"/>
          <w:b/>
          <w:sz w:val="32"/>
          <w:szCs w:val="32"/>
        </w:rPr>
        <w:br w:type="page"/>
      </w:r>
      <w:r>
        <w:rPr>
          <w:rFonts w:hint="eastAsia" w:ascii="宋体" w:hAnsi="宋体"/>
          <w:b/>
          <w:sz w:val="24"/>
        </w:rPr>
        <w:t>4.</w:t>
      </w:r>
      <w:r>
        <w:t xml:space="preserve"> </w:t>
      </w:r>
      <w:r>
        <w:rPr>
          <w:rFonts w:hint="eastAsia" w:ascii="宋体" w:hAnsi="宋体"/>
          <w:b/>
          <w:sz w:val="28"/>
          <w:szCs w:val="28"/>
        </w:rPr>
        <w:t>投标人直接管理关系信息表</w:t>
      </w:r>
    </w:p>
    <w:p w14:paraId="7904C2BD">
      <w:pPr>
        <w:snapToGrid w:val="0"/>
        <w:spacing w:line="360" w:lineRule="auto"/>
        <w:jc w:val="center"/>
        <w:rPr>
          <w:rFonts w:hint="eastAsia" w:ascii="宋体" w:hAnsi="宋体"/>
          <w:sz w:val="32"/>
          <w:szCs w:val="32"/>
        </w:rPr>
      </w:pPr>
      <w:r>
        <w:rPr>
          <w:rFonts w:hint="eastAsia" w:ascii="宋体" w:hAnsi="宋体"/>
          <w:b/>
          <w:sz w:val="32"/>
          <w:szCs w:val="32"/>
        </w:rPr>
        <w:t>投标人直接管理关系信息表</w:t>
      </w:r>
    </w:p>
    <w:tbl>
      <w:tblPr>
        <w:tblStyle w:val="36"/>
        <w:tblW w:w="8924" w:type="dxa"/>
        <w:tblInd w:w="0" w:type="dxa"/>
        <w:tblLayout w:type="fixed"/>
        <w:tblCellMar>
          <w:top w:w="0" w:type="dxa"/>
          <w:left w:w="0" w:type="dxa"/>
          <w:bottom w:w="0" w:type="dxa"/>
          <w:right w:w="0" w:type="dxa"/>
        </w:tblCellMar>
      </w:tblPr>
      <w:tblGrid>
        <w:gridCol w:w="1005"/>
        <w:gridCol w:w="2659"/>
        <w:gridCol w:w="3295"/>
        <w:gridCol w:w="1965"/>
      </w:tblGrid>
      <w:tr w14:paraId="4D21582A">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6AFC585">
            <w:pPr>
              <w:spacing w:line="360" w:lineRule="auto"/>
              <w:jc w:val="center"/>
              <w:rPr>
                <w:rFonts w:hint="eastAsia" w:ascii="宋体" w:hAnsi="宋体" w:cs="宋体"/>
                <w:b/>
                <w:bCs/>
                <w:kern w:val="0"/>
                <w:sz w:val="24"/>
              </w:rPr>
            </w:pPr>
            <w:r>
              <w:rPr>
                <w:rFonts w:hint="eastAsia" w:ascii="宋体" w:hAnsi="宋体" w:cs="宋体"/>
                <w:b/>
                <w:bCs/>
                <w:kern w:val="0"/>
                <w:sz w:val="24"/>
              </w:rPr>
              <w:t>序号</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03958B4">
            <w:pPr>
              <w:spacing w:line="360" w:lineRule="auto"/>
              <w:jc w:val="center"/>
              <w:rPr>
                <w:rFonts w:hint="eastAsia" w:ascii="宋体" w:hAnsi="宋体" w:cs="宋体"/>
                <w:b/>
                <w:bCs/>
                <w:kern w:val="0"/>
                <w:sz w:val="24"/>
              </w:rPr>
            </w:pPr>
            <w:r>
              <w:rPr>
                <w:rFonts w:hint="eastAsia" w:ascii="宋体" w:hAnsi="宋体" w:cs="宋体"/>
                <w:b/>
                <w:bCs/>
                <w:kern w:val="0"/>
                <w:sz w:val="24"/>
              </w:rPr>
              <w:t>直接管理关系单位名称</w:t>
            </w:r>
          </w:p>
        </w:tc>
        <w:tc>
          <w:tcPr>
            <w:tcW w:w="329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30CE5FB">
            <w:pPr>
              <w:spacing w:line="360" w:lineRule="auto"/>
              <w:jc w:val="center"/>
              <w:rPr>
                <w:rFonts w:hint="eastAsia" w:ascii="宋体" w:hAnsi="宋体" w:cs="宋体"/>
                <w:b/>
                <w:bCs/>
                <w:kern w:val="0"/>
                <w:sz w:val="24"/>
              </w:rPr>
            </w:pPr>
            <w:r>
              <w:rPr>
                <w:rFonts w:hint="eastAsia" w:ascii="宋体" w:hAnsi="宋体" w:cs="宋体"/>
                <w:b/>
                <w:bCs/>
                <w:kern w:val="0"/>
                <w:sz w:val="24"/>
              </w:rPr>
              <w:t>统一社会信用代码</w:t>
            </w:r>
          </w:p>
        </w:tc>
        <w:tc>
          <w:tcPr>
            <w:tcW w:w="196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0DF99EF">
            <w:pPr>
              <w:spacing w:line="360" w:lineRule="auto"/>
              <w:jc w:val="center"/>
              <w:rPr>
                <w:rFonts w:hint="eastAsia" w:ascii="宋体" w:hAnsi="宋体" w:cs="宋体"/>
                <w:b/>
                <w:bCs/>
                <w:kern w:val="0"/>
                <w:sz w:val="24"/>
              </w:rPr>
            </w:pPr>
            <w:r>
              <w:rPr>
                <w:rFonts w:hint="eastAsia" w:ascii="宋体" w:hAnsi="宋体" w:cs="宋体"/>
                <w:b/>
                <w:bCs/>
                <w:kern w:val="0"/>
                <w:sz w:val="24"/>
              </w:rPr>
              <w:t>备注</w:t>
            </w:r>
          </w:p>
        </w:tc>
      </w:tr>
      <w:tr w14:paraId="2751E28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340244B">
            <w:pPr>
              <w:spacing w:line="360" w:lineRule="auto"/>
              <w:jc w:val="center"/>
              <w:rPr>
                <w:rFonts w:hint="eastAsia" w:ascii="宋体" w:hAnsi="宋体" w:cs="宋体"/>
                <w:kern w:val="0"/>
                <w:sz w:val="24"/>
              </w:rPr>
            </w:pPr>
            <w:r>
              <w:rPr>
                <w:rFonts w:hint="eastAsia" w:ascii="宋体" w:hAnsi="宋体" w:cs="宋体"/>
                <w:kern w:val="0"/>
                <w:sz w:val="24"/>
              </w:rPr>
              <w:t>1</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EBD0D57">
            <w:pPr>
              <w:spacing w:line="360" w:lineRule="auto"/>
              <w:jc w:val="center"/>
              <w:rPr>
                <w:rFonts w:hint="eastAsia" w:ascii="宋体" w:hAnsi="宋体" w:cs="宋体"/>
                <w:kern w:val="0"/>
                <w:sz w:val="24"/>
              </w:rPr>
            </w:pPr>
          </w:p>
        </w:tc>
        <w:tc>
          <w:tcPr>
            <w:tcW w:w="329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5B59001">
            <w:pPr>
              <w:spacing w:line="360" w:lineRule="auto"/>
              <w:jc w:val="center"/>
              <w:rPr>
                <w:rFonts w:hint="eastAsia"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162688E">
            <w:pPr>
              <w:spacing w:line="360" w:lineRule="auto"/>
              <w:jc w:val="center"/>
              <w:rPr>
                <w:rFonts w:hint="eastAsia" w:ascii="宋体" w:hAnsi="宋体" w:cs="宋体"/>
                <w:kern w:val="0"/>
                <w:sz w:val="24"/>
              </w:rPr>
            </w:pPr>
          </w:p>
        </w:tc>
      </w:tr>
      <w:tr w14:paraId="3BF30F8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B6C582C">
            <w:pPr>
              <w:spacing w:line="360" w:lineRule="auto"/>
              <w:jc w:val="center"/>
              <w:rPr>
                <w:rFonts w:hint="eastAsia" w:ascii="宋体" w:hAnsi="宋体" w:cs="宋体"/>
                <w:kern w:val="0"/>
                <w:sz w:val="24"/>
              </w:rPr>
            </w:pPr>
            <w:r>
              <w:rPr>
                <w:rFonts w:hint="eastAsia" w:ascii="宋体" w:hAnsi="宋体" w:cs="宋体"/>
                <w:kern w:val="0"/>
                <w:sz w:val="24"/>
              </w:rPr>
              <w:t>2</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67F3E84">
            <w:pPr>
              <w:spacing w:line="360" w:lineRule="auto"/>
              <w:jc w:val="center"/>
              <w:rPr>
                <w:rFonts w:hint="eastAsia" w:ascii="宋体" w:hAnsi="宋体" w:cs="宋体"/>
                <w:kern w:val="0"/>
                <w:sz w:val="24"/>
              </w:rPr>
            </w:pPr>
          </w:p>
        </w:tc>
        <w:tc>
          <w:tcPr>
            <w:tcW w:w="329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A8E2012">
            <w:pPr>
              <w:spacing w:line="360" w:lineRule="auto"/>
              <w:jc w:val="center"/>
              <w:rPr>
                <w:rFonts w:hint="eastAsia"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97155BC">
            <w:pPr>
              <w:spacing w:line="360" w:lineRule="auto"/>
              <w:jc w:val="center"/>
              <w:rPr>
                <w:rFonts w:hint="eastAsia" w:ascii="宋体" w:hAnsi="宋体" w:cs="宋体"/>
                <w:kern w:val="0"/>
                <w:sz w:val="24"/>
              </w:rPr>
            </w:pPr>
          </w:p>
        </w:tc>
      </w:tr>
      <w:tr w14:paraId="2B1282F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6A755AD">
            <w:pPr>
              <w:spacing w:line="360" w:lineRule="auto"/>
              <w:jc w:val="center"/>
              <w:rPr>
                <w:rFonts w:hint="eastAsia" w:ascii="宋体" w:hAnsi="宋体" w:cs="宋体"/>
                <w:kern w:val="0"/>
                <w:sz w:val="24"/>
              </w:rPr>
            </w:pPr>
            <w:r>
              <w:rPr>
                <w:rFonts w:hint="eastAsia" w:ascii="宋体" w:hAnsi="宋体" w:cs="宋体"/>
                <w:kern w:val="0"/>
                <w:sz w:val="24"/>
              </w:rPr>
              <w:t>3</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C8ED16D">
            <w:pPr>
              <w:spacing w:line="360" w:lineRule="auto"/>
              <w:jc w:val="center"/>
              <w:rPr>
                <w:rFonts w:hint="eastAsia" w:ascii="宋体" w:hAnsi="宋体" w:cs="宋体"/>
                <w:kern w:val="0"/>
                <w:sz w:val="24"/>
              </w:rPr>
            </w:pPr>
          </w:p>
        </w:tc>
        <w:tc>
          <w:tcPr>
            <w:tcW w:w="329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E04F493">
            <w:pPr>
              <w:spacing w:line="360" w:lineRule="auto"/>
              <w:jc w:val="center"/>
              <w:rPr>
                <w:rFonts w:hint="eastAsia"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F278B28">
            <w:pPr>
              <w:spacing w:line="360" w:lineRule="auto"/>
              <w:jc w:val="center"/>
              <w:rPr>
                <w:rFonts w:hint="eastAsia" w:ascii="宋体" w:hAnsi="宋体" w:cs="宋体"/>
                <w:kern w:val="0"/>
                <w:sz w:val="24"/>
              </w:rPr>
            </w:pPr>
          </w:p>
        </w:tc>
      </w:tr>
      <w:tr w14:paraId="585A55E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0379DFF">
            <w:pPr>
              <w:spacing w:line="360" w:lineRule="auto"/>
              <w:jc w:val="center"/>
              <w:rPr>
                <w:rFonts w:hint="eastAsia" w:ascii="宋体" w:hAnsi="宋体" w:cs="宋体"/>
                <w:kern w:val="0"/>
                <w:sz w:val="24"/>
              </w:rPr>
            </w:pPr>
            <w:r>
              <w:rPr>
                <w:rFonts w:hint="eastAsia" w:ascii="宋体" w:hAnsi="宋体" w:cs="宋体"/>
                <w:kern w:val="0"/>
                <w:sz w:val="24"/>
              </w:rPr>
              <w:t>……</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0B4E5B3">
            <w:pPr>
              <w:spacing w:line="360" w:lineRule="auto"/>
              <w:jc w:val="center"/>
              <w:rPr>
                <w:rFonts w:hint="eastAsia" w:ascii="宋体" w:hAnsi="宋体" w:cs="宋体"/>
                <w:kern w:val="0"/>
                <w:sz w:val="24"/>
              </w:rPr>
            </w:pPr>
          </w:p>
        </w:tc>
        <w:tc>
          <w:tcPr>
            <w:tcW w:w="329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6DCE85B">
            <w:pPr>
              <w:spacing w:line="360" w:lineRule="auto"/>
              <w:jc w:val="center"/>
              <w:rPr>
                <w:rFonts w:hint="eastAsia"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3CADBAD">
            <w:pPr>
              <w:spacing w:line="360" w:lineRule="auto"/>
              <w:jc w:val="center"/>
              <w:rPr>
                <w:rFonts w:hint="eastAsia" w:ascii="宋体" w:hAnsi="宋体" w:cs="宋体"/>
                <w:kern w:val="0"/>
                <w:sz w:val="24"/>
              </w:rPr>
            </w:pPr>
          </w:p>
        </w:tc>
      </w:tr>
    </w:tbl>
    <w:p w14:paraId="1C9EB239">
      <w:pPr>
        <w:snapToGrid w:val="0"/>
        <w:spacing w:line="360" w:lineRule="auto"/>
        <w:jc w:val="left"/>
        <w:rPr>
          <w:rFonts w:hint="eastAsia" w:ascii="宋体" w:hAnsi="宋体"/>
          <w:sz w:val="24"/>
        </w:rPr>
      </w:pPr>
      <w:r>
        <w:rPr>
          <w:rFonts w:hint="eastAsia" w:ascii="宋体" w:hAnsi="宋体"/>
          <w:sz w:val="24"/>
        </w:rPr>
        <w:t>注：</w:t>
      </w:r>
    </w:p>
    <w:p w14:paraId="0F2801BD">
      <w:pPr>
        <w:snapToGrid w:val="0"/>
        <w:spacing w:line="360" w:lineRule="auto"/>
        <w:ind w:firstLine="480" w:firstLineChars="200"/>
        <w:jc w:val="left"/>
        <w:rPr>
          <w:rFonts w:hint="eastAsia" w:ascii="宋体" w:hAnsi="宋体"/>
          <w:sz w:val="24"/>
        </w:rPr>
      </w:pPr>
      <w:r>
        <w:rPr>
          <w:rFonts w:hint="eastAsia" w:ascii="宋体" w:hAnsi="宋体"/>
          <w:sz w:val="24"/>
        </w:rPr>
        <w:t>1.管理关系：是指不具有出资持股关系的其他单位之间存在的管理与被管理关系，如一些上下级关系的事业单位和团体组织。</w:t>
      </w:r>
    </w:p>
    <w:p w14:paraId="0CD758A6">
      <w:pPr>
        <w:snapToGrid w:val="0"/>
        <w:spacing w:line="360" w:lineRule="auto"/>
        <w:ind w:firstLine="480" w:firstLineChars="200"/>
        <w:jc w:val="left"/>
        <w:rPr>
          <w:rFonts w:hint="eastAsia" w:ascii="宋体" w:hAnsi="宋体"/>
          <w:sz w:val="24"/>
        </w:rPr>
      </w:pPr>
      <w:r>
        <w:rPr>
          <w:rFonts w:hint="eastAsia" w:ascii="宋体" w:hAnsi="宋体"/>
          <w:sz w:val="24"/>
        </w:rPr>
        <w:t>2.</w:t>
      </w:r>
      <w:r>
        <w:rPr>
          <w:rFonts w:hint="eastAsia" w:ascii="宋体" w:hAnsi="宋体"/>
          <w:spacing w:val="-6"/>
          <w:sz w:val="24"/>
        </w:rPr>
        <w:t>本表所指的管理关系仅限于直接管理关系，不包括间接的管理关系。</w:t>
      </w:r>
    </w:p>
    <w:p w14:paraId="3C70997E">
      <w:pPr>
        <w:snapToGrid w:val="0"/>
        <w:spacing w:line="360" w:lineRule="auto"/>
        <w:ind w:firstLine="480" w:firstLineChars="200"/>
        <w:jc w:val="left"/>
        <w:rPr>
          <w:rFonts w:hint="eastAsia" w:ascii="宋体" w:hAnsi="宋体"/>
          <w:sz w:val="24"/>
        </w:rPr>
      </w:pPr>
      <w:r>
        <w:rPr>
          <w:rFonts w:hint="eastAsia" w:ascii="宋体" w:hAnsi="宋体"/>
          <w:sz w:val="24"/>
        </w:rPr>
        <w:t>3.供应商不存在直接管理关系的，则在“</w:t>
      </w:r>
      <w:r>
        <w:rPr>
          <w:rFonts w:hint="eastAsia" w:ascii="宋体" w:hAnsi="宋体" w:cs="宋体"/>
          <w:b/>
          <w:bCs/>
          <w:kern w:val="0"/>
          <w:sz w:val="24"/>
        </w:rPr>
        <w:t>直接管理关系单位名称</w:t>
      </w:r>
      <w:r>
        <w:rPr>
          <w:rFonts w:hint="eastAsia" w:ascii="宋体" w:hAnsi="宋体"/>
          <w:sz w:val="24"/>
        </w:rPr>
        <w:t>”中填“无”。</w:t>
      </w:r>
    </w:p>
    <w:p w14:paraId="46BD51A9">
      <w:pPr>
        <w:snapToGrid w:val="0"/>
        <w:spacing w:line="360" w:lineRule="auto"/>
        <w:jc w:val="left"/>
        <w:rPr>
          <w:rFonts w:hint="eastAsia" w:ascii="宋体" w:hAnsi="宋体"/>
          <w:sz w:val="24"/>
        </w:rPr>
      </w:pPr>
    </w:p>
    <w:p w14:paraId="67F2A6E5">
      <w:pPr>
        <w:snapToGrid w:val="0"/>
        <w:spacing w:line="360" w:lineRule="auto"/>
        <w:jc w:val="left"/>
        <w:rPr>
          <w:rFonts w:hint="eastAsia" w:ascii="宋体" w:hAnsi="宋体"/>
          <w:sz w:val="24"/>
        </w:rPr>
      </w:pPr>
    </w:p>
    <w:p w14:paraId="62F98B9C">
      <w:pPr>
        <w:snapToGrid w:val="0"/>
        <w:spacing w:line="360" w:lineRule="auto"/>
        <w:jc w:val="left"/>
        <w:rPr>
          <w:rFonts w:hint="eastAsia" w:ascii="宋体" w:hAnsi="宋体"/>
          <w:sz w:val="24"/>
        </w:rPr>
      </w:pPr>
    </w:p>
    <w:p w14:paraId="1A6DD982">
      <w:pPr>
        <w:snapToGrid w:val="0"/>
        <w:spacing w:line="360" w:lineRule="auto"/>
        <w:jc w:val="left"/>
        <w:rPr>
          <w:sz w:val="24"/>
        </w:rPr>
      </w:pPr>
    </w:p>
    <w:p w14:paraId="033E110B">
      <w:pPr>
        <w:snapToGrid w:val="0"/>
        <w:spacing w:line="360" w:lineRule="auto"/>
        <w:ind w:left="-2" w:leftChars="-1" w:right="-817" w:rightChars="-389"/>
        <w:rPr>
          <w:rFonts w:hint="eastAsia" w:ascii="宋体" w:hAnsi="宋体"/>
          <w:sz w:val="24"/>
        </w:rPr>
      </w:pPr>
      <w:r>
        <w:rPr>
          <w:rFonts w:hint="eastAsia" w:ascii="宋体" w:hAnsi="宋体"/>
          <w:sz w:val="24"/>
        </w:rPr>
        <w:t xml:space="preserve">            法定代表人或者委托代理人（签字或者电子签名）：</w:t>
      </w:r>
    </w:p>
    <w:p w14:paraId="7F208B0A">
      <w:pPr>
        <w:snapToGrid w:val="0"/>
        <w:spacing w:line="360" w:lineRule="auto"/>
        <w:ind w:left="-3" w:leftChars="-15" w:right="-817" w:rightChars="-389" w:hanging="28" w:hangingChars="12"/>
        <w:rPr>
          <w:rFonts w:hint="eastAsia" w:ascii="宋体" w:hAnsi="宋体"/>
          <w:sz w:val="24"/>
        </w:rPr>
      </w:pPr>
      <w:r>
        <w:rPr>
          <w:rFonts w:hint="eastAsia" w:ascii="宋体" w:hAnsi="宋体"/>
          <w:sz w:val="24"/>
        </w:rPr>
        <w:t xml:space="preserve">                                  投标人名称（电子签章）：</w:t>
      </w:r>
    </w:p>
    <w:p w14:paraId="1E82F9BF">
      <w:pPr>
        <w:snapToGrid w:val="0"/>
        <w:spacing w:line="360" w:lineRule="auto"/>
        <w:ind w:right="480" w:firstLine="240" w:firstLineChars="100"/>
        <w:jc w:val="left"/>
        <w:rPr>
          <w:rFonts w:hint="eastAsia" w:ascii="宋体" w:hAnsi="宋体"/>
          <w:szCs w:val="21"/>
        </w:rPr>
      </w:pPr>
      <w:r>
        <w:rPr>
          <w:rFonts w:hint="eastAsia" w:ascii="宋体" w:hAnsi="宋体"/>
          <w:sz w:val="24"/>
        </w:rPr>
        <w:t xml:space="preserve">                                日期：    年   月   日</w:t>
      </w:r>
    </w:p>
    <w:p w14:paraId="21B3C937">
      <w:pPr>
        <w:snapToGrid w:val="0"/>
        <w:spacing w:before="120" w:beforeLines="50" w:after="50"/>
        <w:jc w:val="left"/>
        <w:rPr>
          <w:rFonts w:hint="eastAsia" w:ascii="宋体" w:hAnsi="宋体"/>
          <w:sz w:val="24"/>
        </w:rPr>
      </w:pPr>
    </w:p>
    <w:p w14:paraId="093AF8A2">
      <w:pPr>
        <w:snapToGrid w:val="0"/>
        <w:spacing w:before="50" w:after="120" w:afterLines="50"/>
        <w:jc w:val="left"/>
        <w:rPr>
          <w:rFonts w:hint="eastAsia" w:ascii="宋体" w:hAnsi="宋体"/>
          <w:szCs w:val="21"/>
        </w:rPr>
      </w:pPr>
    </w:p>
    <w:p w14:paraId="3661146D">
      <w:pPr>
        <w:snapToGrid w:val="0"/>
        <w:spacing w:before="120" w:beforeLines="50" w:after="50"/>
        <w:jc w:val="left"/>
        <w:rPr>
          <w:rFonts w:hint="eastAsia" w:ascii="宋体" w:hAnsi="宋体"/>
          <w:b/>
          <w:sz w:val="24"/>
          <w:szCs w:val="20"/>
        </w:rPr>
      </w:pPr>
    </w:p>
    <w:p w14:paraId="45596E91">
      <w:pPr>
        <w:snapToGrid w:val="0"/>
        <w:spacing w:before="120" w:beforeLines="50" w:after="50"/>
        <w:ind w:left="142"/>
        <w:jc w:val="left"/>
        <w:rPr>
          <w:rFonts w:hint="eastAsia" w:ascii="宋体" w:hAnsi="宋体"/>
          <w:b/>
          <w:sz w:val="24"/>
        </w:rPr>
      </w:pPr>
    </w:p>
    <w:p w14:paraId="12F389C5">
      <w:pPr>
        <w:snapToGrid w:val="0"/>
        <w:spacing w:before="120" w:beforeLines="50" w:after="50"/>
        <w:ind w:left="142"/>
        <w:jc w:val="left"/>
        <w:rPr>
          <w:rFonts w:hint="eastAsia" w:ascii="宋体" w:hAnsi="宋体"/>
          <w:b/>
          <w:sz w:val="24"/>
        </w:rPr>
      </w:pPr>
    </w:p>
    <w:p w14:paraId="23F8FCEC">
      <w:pPr>
        <w:snapToGrid w:val="0"/>
        <w:spacing w:before="120" w:beforeLines="50" w:after="50"/>
        <w:ind w:left="142"/>
        <w:jc w:val="left"/>
        <w:rPr>
          <w:rFonts w:hint="eastAsia" w:ascii="宋体" w:hAnsi="宋体"/>
          <w:b/>
          <w:sz w:val="24"/>
        </w:rPr>
      </w:pPr>
    </w:p>
    <w:p w14:paraId="220B9F9C">
      <w:pPr>
        <w:snapToGrid w:val="0"/>
        <w:spacing w:before="120" w:beforeLines="50" w:after="50"/>
        <w:ind w:left="142"/>
        <w:jc w:val="left"/>
        <w:rPr>
          <w:rFonts w:hint="eastAsia" w:ascii="宋体" w:hAnsi="宋体"/>
          <w:b/>
          <w:sz w:val="24"/>
        </w:rPr>
      </w:pPr>
    </w:p>
    <w:p w14:paraId="32F6EE27">
      <w:pPr>
        <w:snapToGrid w:val="0"/>
        <w:spacing w:before="120" w:beforeLines="50" w:after="50"/>
        <w:ind w:left="142"/>
        <w:jc w:val="left"/>
        <w:rPr>
          <w:rFonts w:hint="eastAsia" w:ascii="宋体" w:hAnsi="宋体"/>
          <w:b/>
          <w:sz w:val="24"/>
          <w:szCs w:val="20"/>
        </w:rPr>
      </w:pPr>
      <w:r>
        <w:rPr>
          <w:rFonts w:hint="eastAsia" w:ascii="宋体" w:hAnsi="宋体"/>
          <w:b/>
          <w:sz w:val="24"/>
        </w:rPr>
        <w:t>5.投标声明</w:t>
      </w:r>
    </w:p>
    <w:p w14:paraId="461B16C6">
      <w:pPr>
        <w:snapToGrid w:val="0"/>
        <w:spacing w:before="50" w:after="120" w:afterLines="50"/>
        <w:jc w:val="left"/>
        <w:rPr>
          <w:rFonts w:hint="eastAsia" w:ascii="宋体" w:hAnsi="宋体"/>
        </w:rPr>
      </w:pPr>
    </w:p>
    <w:p w14:paraId="18458425">
      <w:pPr>
        <w:snapToGrid w:val="0"/>
        <w:spacing w:before="50" w:after="120" w:afterLines="50"/>
        <w:jc w:val="center"/>
        <w:rPr>
          <w:rFonts w:hint="eastAsia" w:ascii="宋体" w:hAnsi="宋体"/>
          <w:b/>
          <w:sz w:val="32"/>
          <w:szCs w:val="32"/>
        </w:rPr>
      </w:pPr>
      <w:r>
        <w:rPr>
          <w:rFonts w:hint="eastAsia" w:ascii="宋体" w:hAnsi="宋体"/>
          <w:b/>
          <w:sz w:val="32"/>
          <w:szCs w:val="32"/>
        </w:rPr>
        <w:t>投标声明</w:t>
      </w:r>
    </w:p>
    <w:p w14:paraId="3DEB4D98">
      <w:pPr>
        <w:spacing w:line="400" w:lineRule="exact"/>
        <w:contextualSpacing/>
        <w:jc w:val="left"/>
        <w:rPr>
          <w:sz w:val="24"/>
        </w:rPr>
      </w:pPr>
      <w:r>
        <w:rPr>
          <w:rFonts w:hint="eastAsia"/>
          <w:sz w:val="24"/>
        </w:rPr>
        <w:t>（采购人名称）：</w:t>
      </w:r>
    </w:p>
    <w:p w14:paraId="070C8502">
      <w:pPr>
        <w:spacing w:line="400" w:lineRule="exact"/>
        <w:ind w:firstLine="523" w:firstLineChars="218"/>
        <w:contextualSpacing/>
        <w:jc w:val="left"/>
        <w:rPr>
          <w:rFonts w:hint="eastAsia" w:ascii="宋体" w:hAnsi="宋体"/>
          <w:sz w:val="24"/>
        </w:rPr>
      </w:pPr>
      <w:r>
        <w:rPr>
          <w:rFonts w:hint="eastAsia" w:ascii="宋体" w:hAnsi="宋体"/>
          <w:sz w:val="24"/>
        </w:rPr>
        <w:t>我方参加贵单位组织</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）的政府采购活动。我方在此郑重声明：</w:t>
      </w:r>
    </w:p>
    <w:p w14:paraId="06574777">
      <w:pPr>
        <w:spacing w:line="400" w:lineRule="exact"/>
        <w:ind w:firstLine="480" w:firstLineChars="200"/>
        <w:contextualSpacing/>
        <w:jc w:val="left"/>
        <w:rPr>
          <w:rFonts w:hint="eastAsia" w:ascii="宋体" w:hAnsi="宋体"/>
          <w:sz w:val="24"/>
        </w:rPr>
      </w:pPr>
      <w:r>
        <w:rPr>
          <w:rFonts w:hint="eastAsia" w:ascii="宋体" w:hAnsi="宋体"/>
          <w:sz w:val="24"/>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D5D5A60">
      <w:pPr>
        <w:spacing w:line="400" w:lineRule="exact"/>
        <w:ind w:firstLine="480" w:firstLineChars="200"/>
        <w:contextualSpacing/>
        <w:jc w:val="left"/>
        <w:rPr>
          <w:rFonts w:hint="eastAsia" w:ascii="宋体" w:hAnsi="宋体"/>
          <w:sz w:val="24"/>
        </w:rPr>
      </w:pPr>
      <w:r>
        <w:rPr>
          <w:rFonts w:hint="eastAsia" w:ascii="宋体" w:hAnsi="宋体"/>
          <w:sz w:val="24"/>
        </w:rPr>
        <w:t>2.我方不是为本次采购项目提供整体设计、规范编制或者项目管理、监理、检测等服务的供应商。</w:t>
      </w:r>
    </w:p>
    <w:p w14:paraId="6160ECEA">
      <w:pPr>
        <w:spacing w:line="400" w:lineRule="exact"/>
        <w:ind w:firstLine="480" w:firstLineChars="200"/>
        <w:contextualSpacing/>
        <w:jc w:val="left"/>
        <w:rPr>
          <w:rFonts w:hint="eastAsia" w:ascii="宋体" w:hAnsi="宋体"/>
          <w:sz w:val="24"/>
        </w:rPr>
      </w:pPr>
      <w:r>
        <w:rPr>
          <w:rFonts w:hint="eastAsia" w:ascii="宋体" w:hAnsi="宋体"/>
          <w:sz w:val="24"/>
        </w:rPr>
        <w:t>3. 我方承诺符合《中华人民共和国政府采购法》第二十二条规定：</w:t>
      </w:r>
    </w:p>
    <w:p w14:paraId="5E6DB741">
      <w:pPr>
        <w:spacing w:line="400" w:lineRule="exact"/>
        <w:ind w:firstLine="480" w:firstLineChars="200"/>
        <w:contextualSpacing/>
        <w:jc w:val="left"/>
        <w:rPr>
          <w:rFonts w:hint="eastAsia" w:ascii="宋体" w:hAnsi="宋体"/>
          <w:sz w:val="24"/>
        </w:rPr>
      </w:pPr>
      <w:r>
        <w:rPr>
          <w:rFonts w:hint="eastAsia" w:ascii="宋体" w:hAnsi="宋体"/>
          <w:sz w:val="24"/>
        </w:rPr>
        <w:t>（一）具有独立承担民事责任的能力；</w:t>
      </w:r>
    </w:p>
    <w:p w14:paraId="321C282F">
      <w:pPr>
        <w:spacing w:line="400" w:lineRule="exact"/>
        <w:ind w:firstLine="480" w:firstLineChars="200"/>
        <w:contextualSpacing/>
        <w:jc w:val="left"/>
        <w:rPr>
          <w:rFonts w:hint="eastAsia" w:ascii="宋体" w:hAnsi="宋体"/>
          <w:sz w:val="24"/>
        </w:rPr>
      </w:pPr>
      <w:r>
        <w:rPr>
          <w:rFonts w:hint="eastAsia" w:ascii="宋体" w:hAnsi="宋体"/>
          <w:sz w:val="24"/>
        </w:rPr>
        <w:t>（二）具有良好的商业信誉和健全的财务会计制度；</w:t>
      </w:r>
    </w:p>
    <w:p w14:paraId="7D3E584E">
      <w:pPr>
        <w:spacing w:line="400" w:lineRule="exact"/>
        <w:ind w:firstLine="480" w:firstLineChars="200"/>
        <w:contextualSpacing/>
        <w:jc w:val="left"/>
        <w:rPr>
          <w:rFonts w:hint="eastAsia" w:ascii="宋体" w:hAnsi="宋体"/>
          <w:sz w:val="24"/>
        </w:rPr>
      </w:pPr>
      <w:r>
        <w:rPr>
          <w:rFonts w:hint="eastAsia" w:ascii="宋体" w:hAnsi="宋体"/>
          <w:sz w:val="24"/>
        </w:rPr>
        <w:t>（三）具有履行合同所必需的设备和专业技术能力；</w:t>
      </w:r>
    </w:p>
    <w:p w14:paraId="5BCEA23E">
      <w:pPr>
        <w:spacing w:line="400" w:lineRule="exact"/>
        <w:ind w:firstLine="480" w:firstLineChars="200"/>
        <w:contextualSpacing/>
        <w:jc w:val="left"/>
        <w:rPr>
          <w:rFonts w:hint="eastAsia" w:ascii="宋体" w:hAnsi="宋体"/>
          <w:sz w:val="24"/>
        </w:rPr>
      </w:pPr>
      <w:r>
        <w:rPr>
          <w:rFonts w:hint="eastAsia" w:ascii="宋体" w:hAnsi="宋体"/>
          <w:sz w:val="24"/>
        </w:rPr>
        <w:t>（四）有依法缴纳税收和社会保障资金的良好记录；</w:t>
      </w:r>
    </w:p>
    <w:p w14:paraId="213312BF">
      <w:pPr>
        <w:spacing w:line="400" w:lineRule="exact"/>
        <w:ind w:firstLine="480" w:firstLineChars="200"/>
        <w:contextualSpacing/>
        <w:jc w:val="left"/>
        <w:rPr>
          <w:rFonts w:hint="eastAsia" w:ascii="宋体" w:hAnsi="宋体"/>
          <w:sz w:val="24"/>
        </w:rPr>
      </w:pPr>
      <w:r>
        <w:rPr>
          <w:rFonts w:hint="eastAsia" w:ascii="宋体" w:hAnsi="宋体"/>
          <w:sz w:val="24"/>
        </w:rPr>
        <w:t>（五）参加政府采购活动前三年内，在经营活动中没有重大违法记录；</w:t>
      </w:r>
    </w:p>
    <w:p w14:paraId="3F62E448">
      <w:pPr>
        <w:spacing w:line="400" w:lineRule="exact"/>
        <w:ind w:firstLine="480" w:firstLineChars="200"/>
        <w:contextualSpacing/>
        <w:jc w:val="left"/>
        <w:rPr>
          <w:rFonts w:hint="eastAsia" w:ascii="宋体" w:hAnsi="宋体"/>
          <w:sz w:val="24"/>
        </w:rPr>
      </w:pPr>
      <w:r>
        <w:rPr>
          <w:rFonts w:hint="eastAsia" w:ascii="宋体" w:hAnsi="宋体"/>
          <w:sz w:val="24"/>
        </w:rPr>
        <w:t>（六）法律、行政法规规定的其他条件。</w:t>
      </w:r>
    </w:p>
    <w:p w14:paraId="4FDC6F27">
      <w:pPr>
        <w:spacing w:line="400" w:lineRule="exact"/>
        <w:ind w:firstLine="480" w:firstLineChars="200"/>
        <w:contextualSpacing/>
        <w:jc w:val="left"/>
        <w:rPr>
          <w:rFonts w:hint="eastAsia" w:ascii="宋体" w:hAnsi="宋体"/>
          <w:sz w:val="24"/>
        </w:rPr>
      </w:pPr>
      <w:r>
        <w:rPr>
          <w:rFonts w:hint="eastAsia" w:ascii="宋体" w:hAnsi="宋体"/>
          <w:sz w:val="24"/>
        </w:rPr>
        <w:t>4.以上事项如有虚假或者隐瞒，我方愿意承担一切后果，并不再寻求任何旨在减轻或者免除法律责任的辩解。</w:t>
      </w:r>
    </w:p>
    <w:p w14:paraId="56A11291">
      <w:pPr>
        <w:spacing w:line="400" w:lineRule="exact"/>
        <w:contextualSpacing/>
        <w:jc w:val="left"/>
        <w:rPr>
          <w:rFonts w:hint="eastAsia" w:ascii="宋体" w:hAnsi="宋体"/>
          <w:sz w:val="24"/>
        </w:rPr>
      </w:pPr>
      <w:r>
        <w:rPr>
          <w:rFonts w:hint="eastAsia" w:ascii="宋体" w:hAnsi="宋体"/>
          <w:sz w:val="24"/>
        </w:rPr>
        <w:t xml:space="preserve">    特此承诺。</w:t>
      </w:r>
    </w:p>
    <w:p w14:paraId="7C5237FD">
      <w:pPr>
        <w:snapToGrid w:val="0"/>
        <w:spacing w:before="50" w:after="50"/>
        <w:ind w:firstLine="1063" w:firstLineChars="441"/>
        <w:rPr>
          <w:rFonts w:hint="eastAsia" w:ascii="宋体" w:hAnsi="宋体"/>
          <w:spacing w:val="20"/>
          <w:sz w:val="24"/>
          <w:u w:val="single"/>
        </w:rPr>
      </w:pPr>
      <w:r>
        <w:rPr>
          <w:rFonts w:hint="eastAsia" w:ascii="宋体" w:hAnsi="宋体"/>
          <w:b/>
          <w:sz w:val="24"/>
        </w:rPr>
        <w:t xml:space="preserve"> </w:t>
      </w:r>
      <w:r>
        <w:rPr>
          <w:rFonts w:hint="eastAsia" w:ascii="宋体" w:hAnsi="宋体"/>
          <w:sz w:val="24"/>
        </w:rPr>
        <w:t>法定代表人或者委托代理人</w:t>
      </w:r>
      <w:r>
        <w:rPr>
          <w:rFonts w:hint="eastAsia" w:ascii="宋体" w:hAnsi="宋体"/>
          <w:spacing w:val="20"/>
          <w:sz w:val="24"/>
        </w:rPr>
        <w:t>（签字或者电子签名）：</w:t>
      </w:r>
      <w:r>
        <w:rPr>
          <w:rFonts w:hint="eastAsia" w:ascii="宋体" w:hAnsi="宋体"/>
          <w:spacing w:val="20"/>
          <w:sz w:val="24"/>
          <w:u w:val="single"/>
        </w:rPr>
        <w:t xml:space="preserve">        </w:t>
      </w:r>
    </w:p>
    <w:p w14:paraId="793AD3A7">
      <w:pPr>
        <w:spacing w:line="400" w:lineRule="exact"/>
        <w:contextualSpacing/>
        <w:jc w:val="left"/>
        <w:rPr>
          <w:rFonts w:hint="eastAsia" w:ascii="宋体" w:hAnsi="宋体"/>
          <w:sz w:val="24"/>
        </w:rPr>
      </w:pPr>
    </w:p>
    <w:p w14:paraId="60D6997D">
      <w:pPr>
        <w:spacing w:line="400" w:lineRule="exact"/>
        <w:contextualSpacing/>
        <w:jc w:val="left"/>
        <w:rPr>
          <w:rFonts w:hint="eastAsia" w:ascii="宋体" w:hAnsi="宋体"/>
          <w:sz w:val="24"/>
        </w:rPr>
      </w:pPr>
      <w:r>
        <w:rPr>
          <w:rFonts w:hint="eastAsia" w:ascii="宋体" w:hAnsi="宋体"/>
          <w:sz w:val="24"/>
        </w:rPr>
        <w:t xml:space="preserve">                             投标人名称（电子签章）：</w:t>
      </w:r>
      <w:r>
        <w:rPr>
          <w:rFonts w:hint="eastAsia" w:ascii="宋体" w:hAnsi="宋体"/>
          <w:sz w:val="24"/>
          <w:u w:val="single"/>
        </w:rPr>
        <w:t xml:space="preserve">                 </w:t>
      </w:r>
    </w:p>
    <w:p w14:paraId="23CB38F0">
      <w:pPr>
        <w:spacing w:line="400" w:lineRule="exact"/>
        <w:contextualSpacing/>
        <w:jc w:val="left"/>
        <w:rPr>
          <w:rFonts w:hint="eastAsia" w:ascii="宋体" w:hAnsi="宋体"/>
        </w:rPr>
      </w:pPr>
      <w:r>
        <w:rPr>
          <w:rFonts w:hint="eastAsia" w:ascii="宋体" w:hAnsi="宋体"/>
          <w:sz w:val="24"/>
        </w:rPr>
        <w:t xml:space="preserve">                                                  年    月    日</w:t>
      </w:r>
    </w:p>
    <w:p w14:paraId="46541193">
      <w:pPr>
        <w:spacing w:line="440" w:lineRule="exact"/>
        <w:contextualSpacing/>
        <w:rPr>
          <w:rFonts w:hint="eastAsia" w:ascii="宋体" w:hAnsi="宋体"/>
          <w:b/>
          <w:sz w:val="24"/>
        </w:rPr>
      </w:pPr>
      <w:r>
        <w:rPr>
          <w:rFonts w:hint="eastAsia" w:ascii="宋体" w:hAnsi="宋体"/>
          <w:b/>
          <w:sz w:val="24"/>
        </w:rPr>
        <w:t>注：如为联合体投标，盖章处须加盖联合体牵头人电子签章并由联合体牵头人法定代表人分别签字或者盖章或者电子签名，否则投标无效。</w:t>
      </w:r>
    </w:p>
    <w:p w14:paraId="22330BB2">
      <w:pPr>
        <w:spacing w:line="400" w:lineRule="exact"/>
        <w:contextualSpacing/>
        <w:jc w:val="left"/>
        <w:rPr>
          <w:rFonts w:hint="eastAsia" w:ascii="宋体" w:hAnsi="宋体"/>
          <w:sz w:val="24"/>
        </w:rPr>
      </w:pPr>
    </w:p>
    <w:p w14:paraId="1B547698">
      <w:pPr>
        <w:spacing w:line="400" w:lineRule="exact"/>
        <w:contextualSpacing/>
        <w:jc w:val="left"/>
        <w:rPr>
          <w:rFonts w:hint="eastAsia" w:ascii="宋体" w:hAnsi="宋体"/>
          <w:sz w:val="24"/>
        </w:rPr>
      </w:pPr>
    </w:p>
    <w:p w14:paraId="12567146">
      <w:pPr>
        <w:spacing w:line="400" w:lineRule="exact"/>
        <w:contextualSpacing/>
        <w:jc w:val="left"/>
        <w:rPr>
          <w:rFonts w:hint="eastAsia" w:ascii="宋体" w:hAnsi="宋体"/>
          <w:sz w:val="24"/>
        </w:rPr>
      </w:pPr>
    </w:p>
    <w:p w14:paraId="19444BEB">
      <w:pPr>
        <w:rPr>
          <w:b/>
          <w:sz w:val="28"/>
          <w:szCs w:val="28"/>
        </w:rPr>
      </w:pPr>
      <w:bookmarkStart w:id="155" w:name="_Toc19686838"/>
    </w:p>
    <w:p w14:paraId="6C2146C4">
      <w:pPr>
        <w:rPr>
          <w:b/>
          <w:sz w:val="28"/>
          <w:szCs w:val="28"/>
        </w:rPr>
      </w:pPr>
      <w:r>
        <w:rPr>
          <w:rFonts w:hint="eastAsia"/>
          <w:b/>
          <w:sz w:val="28"/>
          <w:szCs w:val="28"/>
        </w:rPr>
        <w:t>三、商务及技术文件格式</w:t>
      </w:r>
      <w:bookmarkEnd w:id="155"/>
    </w:p>
    <w:p w14:paraId="53A4C995">
      <w:pPr>
        <w:snapToGrid w:val="0"/>
        <w:spacing w:before="120" w:beforeLines="50" w:after="50" w:line="360" w:lineRule="auto"/>
        <w:jc w:val="left"/>
        <w:rPr>
          <w:rFonts w:hint="eastAsia" w:ascii="宋体" w:hAnsi="宋体"/>
          <w:b/>
          <w:sz w:val="24"/>
        </w:rPr>
      </w:pPr>
      <w:r>
        <w:rPr>
          <w:rFonts w:hint="eastAsia" w:ascii="宋体" w:hAnsi="宋体"/>
          <w:b/>
          <w:sz w:val="24"/>
        </w:rPr>
        <w:t xml:space="preserve">1.商务及技术文件封面格式： </w:t>
      </w:r>
    </w:p>
    <w:p w14:paraId="73D6470C">
      <w:pPr>
        <w:snapToGrid w:val="0"/>
        <w:spacing w:before="120" w:beforeLines="50" w:after="50"/>
        <w:jc w:val="center"/>
        <w:rPr>
          <w:rFonts w:hint="eastAsia" w:ascii="宋体" w:hAnsi="宋体"/>
          <w:sz w:val="24"/>
        </w:rPr>
      </w:pPr>
      <w:r>
        <w:rPr>
          <w:rFonts w:hint="eastAsia" w:ascii="宋体" w:hAnsi="宋体" w:eastAsia="方正小标宋简体"/>
          <w:bCs/>
          <w:sz w:val="48"/>
          <w:szCs w:val="48"/>
        </w:rPr>
        <w:t>电子投标文件</w:t>
      </w:r>
    </w:p>
    <w:p w14:paraId="7E70831A">
      <w:pPr>
        <w:snapToGrid w:val="0"/>
        <w:spacing w:before="120" w:beforeLines="50" w:after="50"/>
        <w:rPr>
          <w:rFonts w:hint="eastAsia" w:ascii="宋体" w:hAnsi="宋体"/>
          <w:sz w:val="24"/>
          <w:szCs w:val="20"/>
        </w:rPr>
      </w:pPr>
      <w:r>
        <w:rPr>
          <w:rFonts w:hint="eastAsia" w:ascii="宋体" w:hAnsi="宋体"/>
          <w:sz w:val="24"/>
        </w:rPr>
        <w:t xml:space="preserve">                </w:t>
      </w:r>
    </w:p>
    <w:p w14:paraId="3D628471">
      <w:pPr>
        <w:snapToGrid w:val="0"/>
        <w:spacing w:before="120" w:beforeLines="50" w:after="50"/>
        <w:jc w:val="center"/>
        <w:rPr>
          <w:rFonts w:hint="eastAsia" w:ascii="宋体" w:hAnsi="宋体"/>
          <w:b/>
          <w:sz w:val="24"/>
          <w:szCs w:val="20"/>
        </w:rPr>
      </w:pPr>
      <w:r>
        <w:rPr>
          <w:rFonts w:hint="eastAsia" w:ascii="宋体" w:hAnsi="宋体"/>
          <w:b/>
          <w:sz w:val="32"/>
          <w:szCs w:val="32"/>
        </w:rPr>
        <w:t>商务及技术文件</w:t>
      </w:r>
    </w:p>
    <w:p w14:paraId="077FB09B">
      <w:pPr>
        <w:snapToGrid w:val="0"/>
        <w:spacing w:before="120" w:beforeLines="50" w:after="50"/>
        <w:rPr>
          <w:rFonts w:hint="eastAsia" w:ascii="宋体" w:hAnsi="宋体"/>
          <w:bCs/>
          <w:sz w:val="24"/>
          <w:szCs w:val="20"/>
        </w:rPr>
      </w:pPr>
    </w:p>
    <w:p w14:paraId="48A6DDB6">
      <w:pPr>
        <w:snapToGrid w:val="0"/>
        <w:spacing w:before="120" w:beforeLines="50" w:after="50"/>
        <w:ind w:firstLine="540" w:firstLineChars="225"/>
        <w:rPr>
          <w:rFonts w:hint="eastAsia" w:ascii="宋体" w:hAnsi="宋体"/>
          <w:bCs/>
          <w:sz w:val="24"/>
        </w:rPr>
      </w:pPr>
      <w:r>
        <w:rPr>
          <w:rFonts w:hint="eastAsia" w:ascii="宋体" w:hAnsi="宋体"/>
          <w:bCs/>
          <w:sz w:val="24"/>
        </w:rPr>
        <w:t>项目名称：</w:t>
      </w:r>
    </w:p>
    <w:p w14:paraId="449459D2">
      <w:pPr>
        <w:snapToGrid w:val="0"/>
        <w:spacing w:before="120" w:beforeLines="50" w:after="50"/>
        <w:ind w:firstLine="540" w:firstLineChars="225"/>
        <w:rPr>
          <w:rFonts w:hint="eastAsia" w:ascii="宋体" w:hAnsi="宋体"/>
          <w:bCs/>
          <w:sz w:val="24"/>
          <w:szCs w:val="20"/>
        </w:rPr>
      </w:pPr>
    </w:p>
    <w:p w14:paraId="0A46AACE">
      <w:pPr>
        <w:snapToGrid w:val="0"/>
        <w:spacing w:before="120" w:beforeLines="50" w:after="50"/>
        <w:ind w:firstLine="540" w:firstLineChars="225"/>
        <w:rPr>
          <w:rFonts w:hint="eastAsia" w:ascii="宋体" w:hAnsi="宋体"/>
          <w:bCs/>
          <w:sz w:val="24"/>
        </w:rPr>
      </w:pPr>
      <w:r>
        <w:rPr>
          <w:rFonts w:hint="eastAsia" w:ascii="宋体" w:hAnsi="宋体"/>
          <w:bCs/>
          <w:sz w:val="24"/>
        </w:rPr>
        <w:t>项目编号：</w:t>
      </w:r>
    </w:p>
    <w:p w14:paraId="54134852">
      <w:pPr>
        <w:snapToGrid w:val="0"/>
        <w:spacing w:before="120" w:beforeLines="50" w:after="50"/>
        <w:ind w:firstLine="540" w:firstLineChars="225"/>
        <w:rPr>
          <w:rFonts w:hint="eastAsia" w:ascii="宋体" w:hAnsi="宋体"/>
          <w:bCs/>
          <w:sz w:val="24"/>
          <w:szCs w:val="20"/>
        </w:rPr>
      </w:pPr>
      <w:r>
        <w:rPr>
          <w:rFonts w:hint="eastAsia" w:ascii="宋体" w:hAnsi="宋体"/>
          <w:bCs/>
          <w:sz w:val="24"/>
        </w:rPr>
        <w:t xml:space="preserve"> </w:t>
      </w:r>
    </w:p>
    <w:p w14:paraId="02CA676E">
      <w:pPr>
        <w:snapToGrid w:val="0"/>
        <w:spacing w:before="120" w:beforeLines="50" w:after="50"/>
        <w:ind w:firstLine="540" w:firstLineChars="225"/>
        <w:rPr>
          <w:rFonts w:hint="eastAsia" w:ascii="宋体" w:hAnsi="宋体"/>
          <w:bCs/>
          <w:sz w:val="24"/>
        </w:rPr>
      </w:pPr>
      <w:r>
        <w:rPr>
          <w:rFonts w:hint="eastAsia" w:ascii="宋体" w:hAnsi="宋体"/>
          <w:bCs/>
          <w:sz w:val="24"/>
        </w:rPr>
        <w:t>所投分标：</w:t>
      </w:r>
    </w:p>
    <w:p w14:paraId="29EEA12F">
      <w:pPr>
        <w:snapToGrid w:val="0"/>
        <w:spacing w:before="120" w:beforeLines="50" w:after="50"/>
        <w:ind w:firstLine="540" w:firstLineChars="225"/>
        <w:rPr>
          <w:rFonts w:hint="eastAsia" w:ascii="宋体" w:hAnsi="宋体"/>
          <w:bCs/>
          <w:sz w:val="24"/>
          <w:szCs w:val="20"/>
        </w:rPr>
      </w:pPr>
    </w:p>
    <w:p w14:paraId="42AA40B9">
      <w:pPr>
        <w:pStyle w:val="9"/>
        <w:snapToGrid w:val="0"/>
        <w:spacing w:before="50" w:after="50"/>
        <w:ind w:firstLine="540" w:firstLineChars="225"/>
        <w:rPr>
          <w:rFonts w:hint="eastAsia" w:ascii="宋体" w:hAnsi="宋体"/>
          <w:bCs/>
          <w:sz w:val="24"/>
          <w:szCs w:val="24"/>
        </w:rPr>
      </w:pPr>
      <w:r>
        <w:rPr>
          <w:rFonts w:hint="eastAsia" w:ascii="宋体" w:hAnsi="宋体"/>
          <w:bCs/>
          <w:sz w:val="24"/>
          <w:szCs w:val="24"/>
        </w:rPr>
        <w:t>投标人名称：</w:t>
      </w:r>
    </w:p>
    <w:p w14:paraId="1881CFFA">
      <w:pPr>
        <w:pStyle w:val="9"/>
        <w:snapToGrid w:val="0"/>
        <w:spacing w:before="50" w:after="50"/>
        <w:ind w:firstLine="540" w:firstLineChars="225"/>
        <w:rPr>
          <w:rFonts w:hint="eastAsia" w:ascii="宋体" w:hAnsi="宋体"/>
          <w:bCs/>
          <w:sz w:val="24"/>
          <w:szCs w:val="24"/>
        </w:rPr>
      </w:pPr>
    </w:p>
    <w:p w14:paraId="47146A55">
      <w:pPr>
        <w:pStyle w:val="9"/>
        <w:snapToGrid w:val="0"/>
        <w:spacing w:before="50" w:after="50"/>
        <w:ind w:firstLine="540" w:firstLineChars="225"/>
        <w:rPr>
          <w:rFonts w:hint="eastAsia" w:ascii="宋体" w:hAnsi="宋体"/>
          <w:bCs/>
          <w:sz w:val="24"/>
          <w:szCs w:val="24"/>
        </w:rPr>
      </w:pPr>
      <w:r>
        <w:rPr>
          <w:rFonts w:hint="eastAsia" w:ascii="宋体" w:hAnsi="宋体"/>
          <w:bCs/>
          <w:sz w:val="24"/>
          <w:szCs w:val="24"/>
        </w:rPr>
        <w:t>投标人地址：</w:t>
      </w:r>
    </w:p>
    <w:p w14:paraId="754027C7">
      <w:pPr>
        <w:pStyle w:val="9"/>
        <w:snapToGrid w:val="0"/>
        <w:spacing w:before="50" w:after="50"/>
        <w:ind w:firstLine="960" w:firstLineChars="400"/>
        <w:rPr>
          <w:rFonts w:hint="eastAsia" w:ascii="宋体" w:hAnsi="宋体"/>
          <w:bCs/>
          <w:sz w:val="24"/>
          <w:szCs w:val="24"/>
        </w:rPr>
      </w:pPr>
    </w:p>
    <w:p w14:paraId="3942E286">
      <w:pPr>
        <w:snapToGrid w:val="0"/>
        <w:spacing w:before="120" w:beforeLines="50" w:after="50"/>
        <w:ind w:firstLine="645"/>
        <w:rPr>
          <w:rFonts w:hint="eastAsia" w:ascii="宋体" w:hAnsi="宋体"/>
          <w:sz w:val="24"/>
        </w:rPr>
      </w:pPr>
      <w:r>
        <w:rPr>
          <w:rFonts w:hint="eastAsia" w:ascii="宋体" w:hAnsi="宋体"/>
          <w:sz w:val="24"/>
        </w:rPr>
        <w:t xml:space="preserve">                        年  月  日</w:t>
      </w:r>
    </w:p>
    <w:p w14:paraId="55F8F171">
      <w:pPr>
        <w:snapToGrid w:val="0"/>
        <w:spacing w:before="120" w:beforeLines="50" w:after="50"/>
        <w:rPr>
          <w:rFonts w:hint="eastAsia" w:ascii="宋体" w:hAnsi="宋体"/>
          <w:sz w:val="24"/>
          <w:szCs w:val="20"/>
        </w:rPr>
      </w:pPr>
      <w:r>
        <w:rPr>
          <w:rFonts w:ascii="宋体" w:hAnsi="宋体"/>
          <w:sz w:val="24"/>
          <w:szCs w:val="20"/>
        </w:rPr>
        <w:t xml:space="preserve"> </w:t>
      </w:r>
    </w:p>
    <w:p w14:paraId="4A534FD2">
      <w:pPr>
        <w:snapToGrid w:val="0"/>
        <w:spacing w:line="360" w:lineRule="auto"/>
        <w:jc w:val="left"/>
        <w:rPr>
          <w:rFonts w:hint="eastAsia" w:ascii="宋体" w:hAnsi="宋体"/>
          <w:b/>
          <w:bCs/>
          <w:sz w:val="28"/>
          <w:szCs w:val="28"/>
        </w:rPr>
      </w:pPr>
      <w:r>
        <w:rPr>
          <w:rFonts w:ascii="宋体" w:hAnsi="宋体"/>
          <w:sz w:val="24"/>
          <w:szCs w:val="20"/>
        </w:rPr>
        <w:br w:type="page"/>
      </w:r>
      <w:r>
        <w:rPr>
          <w:rFonts w:hint="eastAsia" w:ascii="宋体" w:hAnsi="宋体"/>
          <w:b/>
          <w:bCs/>
          <w:sz w:val="28"/>
          <w:szCs w:val="28"/>
        </w:rPr>
        <w:t>2.商务及技术文件目录</w:t>
      </w:r>
    </w:p>
    <w:p w14:paraId="792A07F9">
      <w:pPr>
        <w:snapToGrid w:val="0"/>
        <w:spacing w:before="50" w:after="120" w:afterLines="50" w:line="360" w:lineRule="auto"/>
        <w:jc w:val="left"/>
        <w:rPr>
          <w:rFonts w:hint="eastAsia" w:ascii="微软雅黑" w:hAnsi="微软雅黑" w:eastAsia="微软雅黑"/>
          <w:b/>
          <w:bCs/>
          <w:sz w:val="24"/>
        </w:rPr>
      </w:pPr>
      <w:r>
        <w:rPr>
          <w:rFonts w:hint="eastAsia" w:ascii="宋体" w:hAnsi="宋体"/>
          <w:szCs w:val="21"/>
        </w:rPr>
        <w:t>根据采购文件规定及投标人提供的材料自行编写目录。</w:t>
      </w:r>
    </w:p>
    <w:p w14:paraId="5C80CFBF">
      <w:pPr>
        <w:snapToGrid w:val="0"/>
        <w:spacing w:before="50" w:after="120" w:afterLines="50"/>
        <w:jc w:val="left"/>
        <w:rPr>
          <w:rFonts w:hint="eastAsia" w:ascii="宋体" w:hAnsi="宋体"/>
        </w:rPr>
      </w:pPr>
    </w:p>
    <w:p w14:paraId="54AEA8A1">
      <w:pPr>
        <w:snapToGrid w:val="0"/>
        <w:spacing w:before="120" w:beforeLines="50" w:after="50"/>
        <w:jc w:val="left"/>
        <w:rPr>
          <w:rFonts w:hint="eastAsia" w:ascii="宋体" w:hAnsi="宋体"/>
          <w:b/>
          <w:sz w:val="24"/>
        </w:rPr>
      </w:pPr>
      <w:r>
        <w:rPr>
          <w:rFonts w:ascii="宋体" w:hAnsi="宋体"/>
          <w:b/>
          <w:sz w:val="24"/>
        </w:rPr>
        <w:br w:type="page"/>
      </w:r>
      <w:r>
        <w:rPr>
          <w:rFonts w:hint="eastAsia" w:ascii="宋体" w:hAnsi="宋体"/>
          <w:b/>
          <w:sz w:val="24"/>
        </w:rPr>
        <w:t>3.投标人参加本项目无围标串标行为的承诺</w:t>
      </w:r>
    </w:p>
    <w:p w14:paraId="4B8804F3">
      <w:pPr>
        <w:snapToGrid w:val="0"/>
        <w:spacing w:before="120" w:beforeLines="50" w:after="50"/>
        <w:jc w:val="left"/>
        <w:rPr>
          <w:rFonts w:hint="eastAsia" w:ascii="宋体" w:hAnsi="宋体"/>
          <w:b/>
          <w:sz w:val="24"/>
        </w:rPr>
      </w:pPr>
    </w:p>
    <w:p w14:paraId="3C32BDA9">
      <w:pPr>
        <w:snapToGrid w:val="0"/>
        <w:spacing w:before="120" w:beforeLines="50" w:after="50"/>
        <w:ind w:left="420"/>
        <w:jc w:val="center"/>
        <w:rPr>
          <w:rFonts w:hint="eastAsia" w:ascii="宋体" w:hAnsi="宋体"/>
          <w:b/>
          <w:spacing w:val="-17"/>
          <w:sz w:val="32"/>
          <w:szCs w:val="32"/>
        </w:rPr>
      </w:pPr>
      <w:r>
        <w:rPr>
          <w:rFonts w:hint="eastAsia" w:ascii="方正小标宋简体" w:hAnsi="方正小标宋简体" w:eastAsia="方正小标宋简体" w:cs="方正小标宋简体"/>
          <w:bCs/>
          <w:spacing w:val="-17"/>
          <w:sz w:val="44"/>
          <w:szCs w:val="44"/>
        </w:rPr>
        <w:t>投标人参加本项目无围标串标行为的承诺函</w:t>
      </w:r>
    </w:p>
    <w:p w14:paraId="01A2DF01">
      <w:pPr>
        <w:snapToGrid w:val="0"/>
        <w:spacing w:before="120" w:beforeLines="50" w:after="50"/>
        <w:rPr>
          <w:rFonts w:hint="eastAsia" w:ascii="宋体" w:hAnsi="宋体"/>
          <w:b/>
          <w:sz w:val="24"/>
        </w:rPr>
      </w:pPr>
    </w:p>
    <w:p w14:paraId="6051DE56">
      <w:pPr>
        <w:spacing w:line="400" w:lineRule="exact"/>
        <w:contextualSpacing/>
        <w:jc w:val="left"/>
        <w:rPr>
          <w:rFonts w:hint="eastAsia" w:ascii="宋体" w:hAnsi="宋体"/>
          <w:b/>
          <w:sz w:val="24"/>
        </w:rPr>
      </w:pPr>
      <w:r>
        <w:rPr>
          <w:rFonts w:hint="eastAsia" w:ascii="宋体" w:hAnsi="宋体"/>
          <w:b/>
          <w:sz w:val="24"/>
        </w:rPr>
        <w:t>一、我方承诺无下列相互串通投标的情形：</w:t>
      </w:r>
    </w:p>
    <w:p w14:paraId="3FCB7331">
      <w:pPr>
        <w:spacing w:line="400" w:lineRule="exact"/>
        <w:ind w:firstLine="470" w:firstLineChars="196"/>
        <w:contextualSpacing/>
        <w:jc w:val="left"/>
        <w:rPr>
          <w:rFonts w:hint="eastAsia" w:ascii="宋体" w:hAnsi="宋体"/>
          <w:sz w:val="24"/>
        </w:rPr>
      </w:pPr>
      <w:r>
        <w:rPr>
          <w:rFonts w:hint="eastAsia" w:ascii="宋体" w:hAnsi="宋体"/>
          <w:sz w:val="24"/>
        </w:rPr>
        <w:t xml:space="preserve">1.不同投标人的投标文件由同一单位或者个人编制； </w:t>
      </w:r>
    </w:p>
    <w:p w14:paraId="7B0EFDF5">
      <w:pPr>
        <w:spacing w:line="400" w:lineRule="exact"/>
        <w:ind w:firstLine="470" w:firstLineChars="196"/>
        <w:contextualSpacing/>
        <w:jc w:val="left"/>
        <w:rPr>
          <w:rFonts w:hint="eastAsia" w:ascii="宋体" w:hAnsi="宋体"/>
          <w:sz w:val="24"/>
        </w:rPr>
      </w:pPr>
      <w:r>
        <w:rPr>
          <w:rFonts w:hint="eastAsia" w:ascii="宋体" w:hAnsi="宋体"/>
          <w:sz w:val="24"/>
        </w:rPr>
        <w:t>2.不同投标人委托同一单位或者个人办理投标事宜；</w:t>
      </w:r>
    </w:p>
    <w:p w14:paraId="09319412">
      <w:pPr>
        <w:spacing w:line="400" w:lineRule="exact"/>
        <w:ind w:firstLine="470" w:firstLineChars="196"/>
        <w:contextualSpacing/>
        <w:jc w:val="left"/>
        <w:rPr>
          <w:rFonts w:hint="eastAsia" w:ascii="宋体" w:hAnsi="宋体"/>
          <w:sz w:val="24"/>
        </w:rPr>
      </w:pPr>
      <w:r>
        <w:rPr>
          <w:rFonts w:hint="eastAsia" w:ascii="宋体" w:hAnsi="宋体"/>
          <w:sz w:val="24"/>
        </w:rPr>
        <w:t>3.不同的投标人的投标文件载明的项目管理员为同一个人；</w:t>
      </w:r>
    </w:p>
    <w:p w14:paraId="4E0A37F3">
      <w:pPr>
        <w:spacing w:line="400" w:lineRule="exact"/>
        <w:ind w:firstLine="470" w:firstLineChars="196"/>
        <w:contextualSpacing/>
        <w:jc w:val="left"/>
        <w:rPr>
          <w:rFonts w:hint="eastAsia" w:ascii="宋体" w:hAnsi="宋体"/>
          <w:sz w:val="24"/>
        </w:rPr>
      </w:pPr>
      <w:r>
        <w:rPr>
          <w:rFonts w:hint="eastAsia" w:ascii="宋体" w:hAnsi="宋体"/>
          <w:sz w:val="24"/>
        </w:rPr>
        <w:t>4.不同投标人的投标文件异常一致或者投标报价呈规律性差异；</w:t>
      </w:r>
    </w:p>
    <w:p w14:paraId="79115511">
      <w:pPr>
        <w:spacing w:line="400" w:lineRule="exact"/>
        <w:ind w:firstLine="470" w:firstLineChars="196"/>
        <w:contextualSpacing/>
        <w:jc w:val="left"/>
        <w:rPr>
          <w:rFonts w:hint="eastAsia" w:ascii="宋体" w:hAnsi="宋体"/>
          <w:sz w:val="24"/>
        </w:rPr>
      </w:pPr>
      <w:r>
        <w:rPr>
          <w:rFonts w:hint="eastAsia" w:ascii="宋体" w:hAnsi="宋体"/>
          <w:sz w:val="24"/>
        </w:rPr>
        <w:t>5.不同投标人的投标文件相互混装；</w:t>
      </w:r>
    </w:p>
    <w:p w14:paraId="28F96DAE">
      <w:pPr>
        <w:spacing w:line="400" w:lineRule="exact"/>
        <w:ind w:firstLine="470" w:firstLineChars="196"/>
        <w:contextualSpacing/>
        <w:jc w:val="left"/>
        <w:rPr>
          <w:rFonts w:hint="eastAsia" w:ascii="宋体" w:hAnsi="宋体"/>
          <w:sz w:val="24"/>
        </w:rPr>
      </w:pPr>
      <w:r>
        <w:rPr>
          <w:rFonts w:hint="eastAsia" w:ascii="宋体" w:hAnsi="宋体"/>
          <w:sz w:val="24"/>
        </w:rPr>
        <w:t>6.不同投标人的投标保证金从同一单位或者个人账户转出。</w:t>
      </w:r>
    </w:p>
    <w:p w14:paraId="03F17379">
      <w:pPr>
        <w:spacing w:line="400" w:lineRule="exact"/>
        <w:contextualSpacing/>
        <w:jc w:val="left"/>
        <w:rPr>
          <w:rFonts w:hint="eastAsia" w:ascii="宋体" w:hAnsi="宋体"/>
          <w:sz w:val="24"/>
        </w:rPr>
      </w:pPr>
      <w:r>
        <w:rPr>
          <w:rFonts w:hint="eastAsia" w:ascii="宋体" w:hAnsi="宋体"/>
          <w:b/>
          <w:sz w:val="24"/>
        </w:rPr>
        <w:t>二、我方承诺无下列恶意串通的情形：</w:t>
      </w:r>
    </w:p>
    <w:p w14:paraId="60E79277">
      <w:pPr>
        <w:spacing w:line="400" w:lineRule="exact"/>
        <w:ind w:firstLine="470" w:firstLineChars="196"/>
        <w:contextualSpacing/>
        <w:jc w:val="left"/>
        <w:rPr>
          <w:rFonts w:hint="eastAsia" w:ascii="宋体" w:hAnsi="宋体"/>
          <w:sz w:val="24"/>
        </w:rPr>
      </w:pPr>
      <w:r>
        <w:rPr>
          <w:rFonts w:hint="eastAsia" w:ascii="宋体" w:hAnsi="宋体"/>
          <w:sz w:val="24"/>
        </w:rPr>
        <w:t>1.投标人直接或者间接从采购人或者采购代理机构处获得其他投标人的相关信息并修改其投标文件或者响应文件；</w:t>
      </w:r>
    </w:p>
    <w:p w14:paraId="2EEAD133">
      <w:pPr>
        <w:spacing w:line="400" w:lineRule="exact"/>
        <w:ind w:firstLine="470" w:firstLineChars="196"/>
        <w:contextualSpacing/>
        <w:jc w:val="left"/>
        <w:rPr>
          <w:rFonts w:hint="eastAsia" w:ascii="宋体" w:hAnsi="宋体"/>
          <w:sz w:val="24"/>
        </w:rPr>
      </w:pPr>
      <w:r>
        <w:rPr>
          <w:rFonts w:hint="eastAsia" w:ascii="宋体" w:hAnsi="宋体"/>
          <w:sz w:val="24"/>
        </w:rPr>
        <w:t>2.投标人按照采购人或者采购代理机构的授意撤换、修改投标文件或者响应文件；</w:t>
      </w:r>
    </w:p>
    <w:p w14:paraId="01684F92">
      <w:pPr>
        <w:spacing w:line="400" w:lineRule="exact"/>
        <w:ind w:firstLine="470" w:firstLineChars="196"/>
        <w:contextualSpacing/>
        <w:jc w:val="left"/>
        <w:rPr>
          <w:rFonts w:hint="eastAsia" w:ascii="宋体" w:hAnsi="宋体"/>
          <w:sz w:val="24"/>
        </w:rPr>
      </w:pPr>
      <w:r>
        <w:rPr>
          <w:rFonts w:hint="eastAsia" w:ascii="宋体" w:hAnsi="宋体"/>
          <w:sz w:val="24"/>
        </w:rPr>
        <w:t>3.投标人之间协商报价、技术方案等投标文件或者响应文件的实质性内容；</w:t>
      </w:r>
    </w:p>
    <w:p w14:paraId="19C156CE">
      <w:pPr>
        <w:spacing w:line="400" w:lineRule="exact"/>
        <w:ind w:firstLine="470" w:firstLineChars="196"/>
        <w:contextualSpacing/>
        <w:jc w:val="left"/>
        <w:rPr>
          <w:rFonts w:hint="eastAsia" w:ascii="宋体" w:hAnsi="宋体"/>
          <w:sz w:val="24"/>
        </w:rPr>
      </w:pPr>
      <w:r>
        <w:rPr>
          <w:rFonts w:hint="eastAsia" w:ascii="宋体" w:hAnsi="宋体"/>
          <w:sz w:val="24"/>
        </w:rPr>
        <w:t>4.属于同一集团、协会、商会等组织成员的投标人按照该组织要求协同参加政府采购活动；</w:t>
      </w:r>
    </w:p>
    <w:p w14:paraId="292BCA3F">
      <w:pPr>
        <w:spacing w:line="400" w:lineRule="exact"/>
        <w:ind w:firstLine="470" w:firstLineChars="196"/>
        <w:contextualSpacing/>
        <w:jc w:val="left"/>
        <w:rPr>
          <w:rFonts w:hint="eastAsia" w:ascii="宋体" w:hAnsi="宋体"/>
          <w:sz w:val="24"/>
        </w:rPr>
      </w:pPr>
      <w:r>
        <w:rPr>
          <w:rFonts w:hint="eastAsia" w:ascii="宋体" w:hAnsi="宋体"/>
          <w:sz w:val="24"/>
        </w:rPr>
        <w:t>5.投标人之间事先约定一致抬高或者压低投标报价，或者在采购项目中事先约定轮流以高价位或者低价位中标，或者事先约定由某一特定投标人中标，然后再参加投标；</w:t>
      </w:r>
    </w:p>
    <w:p w14:paraId="0FFA94B7">
      <w:pPr>
        <w:spacing w:line="400" w:lineRule="exact"/>
        <w:ind w:firstLine="470" w:firstLineChars="196"/>
        <w:contextualSpacing/>
        <w:jc w:val="left"/>
        <w:rPr>
          <w:rFonts w:hint="eastAsia" w:ascii="宋体" w:hAnsi="宋体"/>
          <w:sz w:val="24"/>
        </w:rPr>
      </w:pPr>
      <w:r>
        <w:rPr>
          <w:rFonts w:hint="eastAsia" w:ascii="宋体" w:hAnsi="宋体"/>
          <w:sz w:val="24"/>
        </w:rPr>
        <w:t>6.投标人之间商定部分投标人放弃参加政府采购活动或者放弃中标；</w:t>
      </w:r>
    </w:p>
    <w:p w14:paraId="1B27E6B2">
      <w:pPr>
        <w:spacing w:line="400" w:lineRule="exact"/>
        <w:ind w:firstLine="470" w:firstLineChars="196"/>
        <w:contextualSpacing/>
        <w:jc w:val="left"/>
        <w:rPr>
          <w:rFonts w:hint="eastAsia" w:ascii="宋体" w:hAnsi="宋体"/>
          <w:sz w:val="24"/>
        </w:rPr>
      </w:pPr>
      <w:r>
        <w:rPr>
          <w:rFonts w:hint="eastAsia" w:ascii="宋体" w:hAnsi="宋体"/>
          <w:sz w:val="24"/>
        </w:rPr>
        <w:t>7.投标人与采购人或者采购代理机构之间、投标人相互之间，为谋求特定投标人中标或者排斥其他投标人的其他串通行为。</w:t>
      </w:r>
    </w:p>
    <w:p w14:paraId="64C9EAF4">
      <w:pPr>
        <w:spacing w:line="400" w:lineRule="exact"/>
        <w:ind w:firstLine="472" w:firstLineChars="196"/>
        <w:contextualSpacing/>
        <w:jc w:val="left"/>
        <w:rPr>
          <w:rFonts w:hint="eastAsia" w:ascii="宋体" w:hAnsi="宋体"/>
          <w:b/>
          <w:sz w:val="24"/>
        </w:rPr>
      </w:pPr>
      <w:r>
        <w:rPr>
          <w:rFonts w:hint="eastAsia" w:ascii="宋体" w:hAnsi="宋体"/>
          <w:b/>
          <w:sz w:val="24"/>
        </w:rPr>
        <w:t>以上情形一经核查属实，我方愿意承担一切后果，并不再寻求任何旨在减轻或者免除法律责任的辩解。</w:t>
      </w:r>
    </w:p>
    <w:p w14:paraId="3147823F">
      <w:pPr>
        <w:spacing w:line="400" w:lineRule="exact"/>
        <w:ind w:firstLine="472" w:firstLineChars="196"/>
        <w:contextualSpacing/>
        <w:jc w:val="left"/>
        <w:rPr>
          <w:rFonts w:hint="eastAsia" w:ascii="宋体" w:hAnsi="宋体"/>
          <w:b/>
          <w:sz w:val="24"/>
        </w:rPr>
      </w:pPr>
    </w:p>
    <w:p w14:paraId="1F5C86C0">
      <w:pPr>
        <w:pStyle w:val="18"/>
        <w:spacing w:line="440" w:lineRule="exact"/>
        <w:ind w:firstLine="960" w:firstLineChars="400"/>
        <w:rPr>
          <w:rFonts w:hint="eastAsia" w:hAnsi="宋体"/>
          <w:sz w:val="24"/>
          <w:szCs w:val="24"/>
        </w:rPr>
      </w:pPr>
      <w:r>
        <w:rPr>
          <w:rFonts w:hint="eastAsia" w:hAnsi="宋体"/>
          <w:sz w:val="24"/>
        </w:rPr>
        <w:t>法定代表人或者委托代理人</w:t>
      </w:r>
      <w:r>
        <w:rPr>
          <w:rFonts w:hint="eastAsia" w:hAnsi="宋体"/>
          <w:spacing w:val="20"/>
          <w:sz w:val="24"/>
        </w:rPr>
        <w:t>（签字或者电子签名）：</w:t>
      </w:r>
      <w:r>
        <w:rPr>
          <w:rFonts w:hint="eastAsia" w:hAnsi="宋体"/>
          <w:spacing w:val="20"/>
          <w:sz w:val="24"/>
          <w:u w:val="single"/>
        </w:rPr>
        <w:t xml:space="preserve">        </w:t>
      </w:r>
    </w:p>
    <w:p w14:paraId="3BAA41C0">
      <w:pPr>
        <w:pStyle w:val="18"/>
        <w:spacing w:line="400" w:lineRule="exact"/>
        <w:contextualSpacing/>
        <w:jc w:val="center"/>
        <w:rPr>
          <w:rFonts w:hint="eastAsia" w:hAnsi="宋体"/>
          <w:sz w:val="24"/>
          <w:szCs w:val="24"/>
        </w:rPr>
      </w:pPr>
      <w:r>
        <w:rPr>
          <w:rFonts w:hint="eastAsia" w:hAnsi="宋体"/>
          <w:sz w:val="24"/>
          <w:szCs w:val="24"/>
        </w:rPr>
        <w:t xml:space="preserve"> </w:t>
      </w:r>
      <w:r>
        <w:rPr>
          <w:rFonts w:hAnsi="宋体"/>
          <w:sz w:val="24"/>
          <w:szCs w:val="24"/>
        </w:rPr>
        <w:t xml:space="preserve">                                   </w:t>
      </w:r>
      <w:r>
        <w:rPr>
          <w:rFonts w:hint="eastAsia" w:hAnsi="宋体"/>
          <w:sz w:val="24"/>
          <w:szCs w:val="24"/>
        </w:rPr>
        <w:t>投标人名称（电子签章）</w:t>
      </w:r>
    </w:p>
    <w:p w14:paraId="0DA93FF7">
      <w:pPr>
        <w:pStyle w:val="18"/>
        <w:spacing w:line="400" w:lineRule="exact"/>
        <w:contextualSpacing/>
        <w:rPr>
          <w:rFonts w:hint="eastAsia" w:hAnsi="宋体"/>
          <w:sz w:val="24"/>
        </w:rPr>
      </w:pPr>
      <w:r>
        <w:rPr>
          <w:rFonts w:hint="eastAsia" w:hAnsi="宋体"/>
          <w:sz w:val="24"/>
        </w:rPr>
        <w:t xml:space="preserve">                                                </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14:paraId="310798B5">
      <w:pPr>
        <w:snapToGrid w:val="0"/>
        <w:spacing w:before="120" w:beforeLines="50" w:after="50"/>
        <w:ind w:firstLine="472" w:firstLineChars="196"/>
        <w:jc w:val="left"/>
        <w:rPr>
          <w:rFonts w:hint="eastAsia" w:ascii="宋体" w:hAnsi="宋体"/>
          <w:b/>
          <w:sz w:val="24"/>
          <w:szCs w:val="20"/>
        </w:rPr>
      </w:pPr>
      <w:r>
        <w:rPr>
          <w:rFonts w:ascii="宋体" w:hAnsi="宋体"/>
          <w:b/>
          <w:sz w:val="24"/>
        </w:rPr>
        <w:br w:type="page"/>
      </w:r>
      <w:r>
        <w:rPr>
          <w:rFonts w:hint="eastAsia" w:ascii="宋体" w:hAnsi="宋体"/>
          <w:b/>
          <w:sz w:val="24"/>
        </w:rPr>
        <w:t>4.法定代表人身份证明</w:t>
      </w:r>
    </w:p>
    <w:p w14:paraId="0B7A3784">
      <w:pPr>
        <w:spacing w:before="240" w:beforeLines="100" w:after="120" w:afterLines="50"/>
        <w:ind w:left="540"/>
        <w:jc w:val="center"/>
        <w:rPr>
          <w:rFonts w:ascii="宋体" w:hAnsi="Courier New"/>
          <w:b/>
          <w:sz w:val="32"/>
          <w:szCs w:val="32"/>
        </w:rPr>
      </w:pPr>
    </w:p>
    <w:p w14:paraId="6AB07BAC">
      <w:pPr>
        <w:spacing w:before="240" w:beforeLines="100" w:after="120" w:afterLines="50"/>
        <w:ind w:left="54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法定代表人身份证明</w:t>
      </w:r>
    </w:p>
    <w:p w14:paraId="0F856295">
      <w:pPr>
        <w:spacing w:line="500" w:lineRule="exact"/>
        <w:ind w:left="540"/>
        <w:rPr>
          <w:rFonts w:hint="eastAsia" w:ascii="宋体" w:hAnsi="宋体"/>
          <w:sz w:val="24"/>
        </w:rPr>
      </w:pPr>
      <w:r>
        <w:rPr>
          <w:rFonts w:hint="eastAsia" w:ascii="宋体" w:hAnsi="宋体"/>
          <w:sz w:val="24"/>
        </w:rPr>
        <w:t>投 标 人：</w:t>
      </w:r>
      <w:r>
        <w:rPr>
          <w:rFonts w:hint="eastAsia" w:ascii="宋体" w:hAnsi="宋体"/>
          <w:sz w:val="24"/>
          <w:u w:val="single"/>
        </w:rPr>
        <w:t xml:space="preserve">                                                        </w:t>
      </w:r>
    </w:p>
    <w:p w14:paraId="0B23B397">
      <w:pPr>
        <w:spacing w:line="500" w:lineRule="exact"/>
        <w:ind w:left="540"/>
        <w:rPr>
          <w:rFonts w:hint="eastAsia" w:ascii="宋体" w:hAnsi="宋体"/>
          <w:sz w:val="24"/>
        </w:rPr>
      </w:pPr>
      <w:r>
        <w:rPr>
          <w:rFonts w:hint="eastAsia" w:ascii="宋体" w:hAnsi="宋体"/>
          <w:sz w:val="24"/>
        </w:rPr>
        <w:t>地    址：</w:t>
      </w:r>
      <w:r>
        <w:rPr>
          <w:rFonts w:hint="eastAsia" w:ascii="宋体" w:hAnsi="宋体"/>
          <w:sz w:val="24"/>
          <w:u w:val="single"/>
        </w:rPr>
        <w:t xml:space="preserve">                                                        </w:t>
      </w:r>
    </w:p>
    <w:p w14:paraId="73AD69F0">
      <w:pPr>
        <w:spacing w:line="500" w:lineRule="exact"/>
        <w:ind w:left="54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5EC62455">
      <w:pPr>
        <w:spacing w:line="500" w:lineRule="exact"/>
        <w:ind w:left="540"/>
        <w:rPr>
          <w:rFonts w:hint="eastAsia" w:ascii="宋体" w:hAnsi="宋体"/>
          <w:sz w:val="24"/>
          <w:u w:val="single"/>
        </w:rPr>
      </w:pPr>
      <w:r>
        <w:rPr>
          <w:rFonts w:hint="eastAsia" w:ascii="宋体" w:hAnsi="宋体"/>
          <w:sz w:val="24"/>
        </w:rPr>
        <w:t>年    龄：</w:t>
      </w:r>
      <w:r>
        <w:rPr>
          <w:rFonts w:hint="eastAsia" w:ascii="宋体" w:hAnsi="宋体"/>
          <w:sz w:val="24"/>
          <w:u w:val="single"/>
        </w:rPr>
        <w:t xml:space="preserve">                          </w:t>
      </w:r>
      <w:r>
        <w:rPr>
          <w:rFonts w:hint="eastAsia" w:ascii="宋体" w:hAnsi="宋体"/>
          <w:sz w:val="24"/>
        </w:rPr>
        <w:t>职      务：</w:t>
      </w:r>
      <w:r>
        <w:rPr>
          <w:rFonts w:hint="eastAsia" w:ascii="宋体" w:hAnsi="宋体"/>
          <w:sz w:val="24"/>
          <w:u w:val="single"/>
        </w:rPr>
        <w:t xml:space="preserve">                </w:t>
      </w:r>
    </w:p>
    <w:p w14:paraId="726CAC5D">
      <w:pPr>
        <w:spacing w:line="500" w:lineRule="exact"/>
        <w:ind w:left="540"/>
        <w:rPr>
          <w:rFonts w:hint="eastAsia" w:ascii="宋体" w:hAnsi="宋体"/>
          <w:sz w:val="24"/>
        </w:rPr>
      </w:pPr>
      <w:r>
        <w:rPr>
          <w:rFonts w:hint="eastAsia" w:ascii="宋体" w:hAnsi="宋体"/>
          <w:sz w:val="24"/>
        </w:rPr>
        <w:t>身份证</w:t>
      </w:r>
      <w:r>
        <w:rPr>
          <w:rFonts w:hint="eastAsia"/>
          <w:sz w:val="24"/>
        </w:rPr>
        <w:t>号码：</w:t>
      </w:r>
      <w:r>
        <w:rPr>
          <w:rFonts w:hint="eastAsia"/>
          <w:sz w:val="24"/>
          <w:u w:val="single"/>
        </w:rPr>
        <w:t xml:space="preserve">                                 </w:t>
      </w:r>
    </w:p>
    <w:p w14:paraId="4E1D63AB">
      <w:pPr>
        <w:spacing w:line="500" w:lineRule="exact"/>
        <w:ind w:left="540"/>
        <w:rPr>
          <w:rFonts w:hint="eastAsia" w:ascii="宋体" w:hAnsi="宋体"/>
          <w:sz w:val="24"/>
        </w:rPr>
      </w:pPr>
      <w:r>
        <w:rPr>
          <w:rFonts w:hint="eastAsia" w:ascii="宋体" w:hAnsi="宋体"/>
          <w:sz w:val="24"/>
        </w:rPr>
        <w:t>系</w:t>
      </w:r>
      <w:r>
        <w:rPr>
          <w:rFonts w:hint="eastAsia" w:ascii="宋体" w:hAnsi="宋体"/>
          <w:sz w:val="24"/>
          <w:u w:val="single"/>
        </w:rPr>
        <w:t xml:space="preserve">            （投标人名称）              </w:t>
      </w:r>
      <w:r>
        <w:rPr>
          <w:rFonts w:hint="eastAsia" w:ascii="宋体" w:hAnsi="宋体"/>
          <w:sz w:val="24"/>
        </w:rPr>
        <w:t>的法定代表人。</w:t>
      </w:r>
    </w:p>
    <w:p w14:paraId="588588F0">
      <w:pPr>
        <w:spacing w:line="500" w:lineRule="exact"/>
        <w:ind w:left="540"/>
        <w:rPr>
          <w:rFonts w:hint="eastAsia" w:ascii="宋体" w:hAnsi="宋体"/>
          <w:sz w:val="24"/>
        </w:rPr>
      </w:pPr>
      <w:r>
        <w:rPr>
          <w:rFonts w:hint="eastAsia" w:ascii="宋体" w:hAnsi="宋体"/>
          <w:sz w:val="24"/>
        </w:rPr>
        <w:t>特此证明。</w:t>
      </w:r>
    </w:p>
    <w:p w14:paraId="15E335A8">
      <w:pPr>
        <w:spacing w:line="500" w:lineRule="exact"/>
        <w:ind w:left="540"/>
        <w:rPr>
          <w:rFonts w:hint="eastAsia" w:ascii="宋体" w:hAnsi="宋体"/>
          <w:sz w:val="24"/>
        </w:rPr>
      </w:pPr>
    </w:p>
    <w:p w14:paraId="488E3909">
      <w:pPr>
        <w:spacing w:line="500" w:lineRule="exact"/>
        <w:ind w:left="540"/>
        <w:rPr>
          <w:rFonts w:hint="eastAsia" w:ascii="宋体" w:hAnsi="宋体"/>
          <w:sz w:val="24"/>
        </w:rPr>
      </w:pPr>
    </w:p>
    <w:p w14:paraId="132EE14B">
      <w:pPr>
        <w:spacing w:line="500" w:lineRule="exact"/>
        <w:ind w:left="540"/>
        <w:rPr>
          <w:rFonts w:hint="eastAsia" w:ascii="宋体" w:hAnsi="宋体"/>
          <w:sz w:val="24"/>
        </w:rPr>
      </w:pPr>
      <w:r>
        <w:rPr>
          <w:rFonts w:hint="eastAsia" w:ascii="宋体" w:hAnsi="宋体"/>
          <w:sz w:val="24"/>
        </w:rPr>
        <w:t>附件：法定代表人有效身份证正反面复印件</w:t>
      </w:r>
    </w:p>
    <w:p w14:paraId="0885B79E">
      <w:pPr>
        <w:spacing w:line="500" w:lineRule="exact"/>
        <w:ind w:left="540"/>
        <w:rPr>
          <w:rFonts w:hint="eastAsia" w:ascii="宋体" w:hAnsi="宋体"/>
          <w:sz w:val="24"/>
        </w:rPr>
      </w:pPr>
    </w:p>
    <w:p w14:paraId="0CE1D2D0">
      <w:pPr>
        <w:spacing w:line="500" w:lineRule="exact"/>
        <w:ind w:left="540"/>
        <w:jc w:val="right"/>
        <w:rPr>
          <w:rFonts w:hint="eastAsia" w:ascii="宋体" w:hAnsi="宋体"/>
          <w:sz w:val="24"/>
        </w:rPr>
      </w:pPr>
      <w:r>
        <w:rPr>
          <w:rFonts w:hint="eastAsia" w:ascii="宋体" w:hAnsi="宋体"/>
          <w:sz w:val="24"/>
        </w:rPr>
        <w:t>投标人名称（电子签章）</w:t>
      </w:r>
    </w:p>
    <w:p w14:paraId="4E6121B2">
      <w:pPr>
        <w:snapToGrid w:val="0"/>
        <w:spacing w:before="120" w:beforeLines="50" w:after="50"/>
        <w:ind w:left="540"/>
        <w:jc w:val="right"/>
        <w:rPr>
          <w:rFonts w:hint="eastAsia" w:ascii="宋体" w:hAnsi="宋体"/>
          <w:sz w:val="24"/>
        </w:rPr>
      </w:pP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F5682FA">
      <w:pPr>
        <w:snapToGrid w:val="0"/>
        <w:spacing w:before="120" w:beforeLines="50" w:after="50"/>
        <w:jc w:val="center"/>
        <w:rPr>
          <w:rFonts w:hint="eastAsia" w:ascii="宋体" w:hAnsi="宋体"/>
          <w:b/>
          <w:sz w:val="24"/>
        </w:rPr>
      </w:pPr>
    </w:p>
    <w:p w14:paraId="34EB9E71">
      <w:pPr>
        <w:snapToGrid w:val="0"/>
        <w:spacing w:before="120" w:beforeLines="50" w:after="50"/>
        <w:jc w:val="left"/>
        <w:rPr>
          <w:rFonts w:hint="eastAsia" w:ascii="宋体" w:hAnsi="宋体"/>
          <w:b/>
          <w:sz w:val="24"/>
          <w:szCs w:val="20"/>
        </w:rPr>
      </w:pPr>
      <w:r>
        <w:rPr>
          <w:rFonts w:hint="eastAsia" w:ascii="宋体" w:hAnsi="宋体"/>
          <w:sz w:val="24"/>
        </w:rPr>
        <w:t>注：自然人投标的无需提供</w:t>
      </w:r>
    </w:p>
    <w:p w14:paraId="4E2A2500">
      <w:pPr>
        <w:snapToGrid w:val="0"/>
        <w:spacing w:before="120" w:beforeLines="50" w:after="50"/>
        <w:jc w:val="left"/>
        <w:rPr>
          <w:rFonts w:hint="eastAsia" w:ascii="宋体" w:hAnsi="宋体"/>
          <w:b/>
          <w:sz w:val="24"/>
          <w:szCs w:val="20"/>
        </w:rPr>
      </w:pPr>
      <w:r>
        <w:rPr>
          <w:rFonts w:ascii="宋体" w:hAnsi="宋体"/>
          <w:b/>
          <w:sz w:val="24"/>
        </w:rPr>
        <w:br w:type="page"/>
      </w:r>
      <w:r>
        <w:rPr>
          <w:rFonts w:hint="eastAsia" w:ascii="宋体" w:hAnsi="宋体"/>
          <w:b/>
          <w:sz w:val="24"/>
        </w:rPr>
        <w:t>5.授权委托书格式</w:t>
      </w:r>
    </w:p>
    <w:p w14:paraId="41DA4392">
      <w:pPr>
        <w:snapToGrid w:val="0"/>
        <w:spacing w:before="120" w:beforeLines="50" w:after="50"/>
        <w:jc w:val="center"/>
        <w:rPr>
          <w:rFonts w:hint="eastAsia" w:ascii="宋体" w:hAnsi="宋体"/>
          <w:b/>
          <w:sz w:val="44"/>
          <w:szCs w:val="44"/>
        </w:rPr>
      </w:pPr>
    </w:p>
    <w:p w14:paraId="6D5F1852">
      <w:pPr>
        <w:snapToGrid w:val="0"/>
        <w:spacing w:before="120"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授权委托书</w:t>
      </w:r>
    </w:p>
    <w:p w14:paraId="7434EB49">
      <w:pPr>
        <w:snapToGrid w:val="0"/>
        <w:spacing w:before="120" w:beforeLines="50" w:after="50"/>
        <w:jc w:val="center"/>
        <w:rPr>
          <w:rFonts w:hint="eastAsia" w:ascii="宋体" w:hAnsi="宋体"/>
          <w:b/>
          <w:sz w:val="32"/>
          <w:szCs w:val="32"/>
        </w:rPr>
      </w:pPr>
      <w:r>
        <w:rPr>
          <w:rFonts w:hint="eastAsia" w:ascii="宋体" w:hAnsi="宋体"/>
          <w:b/>
          <w:sz w:val="32"/>
          <w:szCs w:val="32"/>
        </w:rPr>
        <w:t>（非联合体投标格式）</w:t>
      </w:r>
    </w:p>
    <w:p w14:paraId="2D334622">
      <w:pPr>
        <w:snapToGrid w:val="0"/>
        <w:spacing w:before="120" w:beforeLines="50" w:after="50"/>
        <w:jc w:val="center"/>
        <w:rPr>
          <w:rFonts w:hint="eastAsia" w:ascii="宋体" w:hAnsi="宋体"/>
          <w:b/>
          <w:sz w:val="24"/>
        </w:rPr>
      </w:pPr>
      <w:r>
        <w:rPr>
          <w:rFonts w:hint="eastAsia" w:ascii="宋体" w:hAnsi="宋体"/>
          <w:b/>
          <w:sz w:val="32"/>
          <w:szCs w:val="32"/>
        </w:rPr>
        <w:t>（如有委托时）</w:t>
      </w:r>
    </w:p>
    <w:p w14:paraId="23164E82">
      <w:pPr>
        <w:snapToGrid w:val="0"/>
        <w:spacing w:before="120" w:beforeLines="50" w:after="50"/>
        <w:jc w:val="center"/>
        <w:rPr>
          <w:rFonts w:hint="eastAsia" w:ascii="宋体" w:hAnsi="宋体"/>
          <w:b/>
          <w:sz w:val="24"/>
        </w:rPr>
      </w:pPr>
    </w:p>
    <w:p w14:paraId="29CEA7FF">
      <w:pPr>
        <w:spacing w:line="360" w:lineRule="auto"/>
        <w:contextualSpacing/>
        <w:rPr>
          <w:rFonts w:hint="eastAsia" w:ascii="宋体" w:hAnsi="宋体"/>
          <w:b/>
          <w:bCs/>
          <w:sz w:val="24"/>
        </w:rPr>
      </w:pPr>
      <w:r>
        <w:rPr>
          <w:rFonts w:hint="eastAsia" w:ascii="宋体" w:hAnsi="宋体"/>
          <w:bCs/>
          <w:sz w:val="24"/>
        </w:rPr>
        <w:t>致：</w:t>
      </w:r>
      <w:r>
        <w:rPr>
          <w:rFonts w:hint="eastAsia" w:ascii="宋体" w:hAnsi="宋体"/>
          <w:sz w:val="24"/>
          <w:u w:val="single"/>
        </w:rPr>
        <w:t>采购人名称</w:t>
      </w:r>
      <w:r>
        <w:rPr>
          <w:rFonts w:hint="eastAsia" w:ascii="宋体" w:hAnsi="宋体"/>
          <w:sz w:val="24"/>
        </w:rPr>
        <w:t>：</w:t>
      </w:r>
    </w:p>
    <w:p w14:paraId="780FA226">
      <w:pPr>
        <w:spacing w:line="360" w:lineRule="auto"/>
        <w:ind w:firstLine="566" w:firstLineChars="236"/>
        <w:contextualSpacing/>
        <w:rPr>
          <w:rFonts w:hint="eastAsia" w:ascii="宋体" w:hAnsi="宋体"/>
          <w:sz w:val="24"/>
        </w:rPr>
      </w:pPr>
      <w:r>
        <w:rPr>
          <w:rFonts w:hint="eastAsia" w:ascii="宋体" w:hAnsi="宋体"/>
          <w:sz w:val="24"/>
        </w:rPr>
        <w:t>我</w:t>
      </w:r>
      <w:r>
        <w:rPr>
          <w:rFonts w:hint="eastAsia" w:ascii="宋体" w:hAnsi="宋体"/>
          <w:sz w:val="24"/>
          <w:u w:val="single"/>
        </w:rPr>
        <w:t xml:space="preserve">       </w:t>
      </w:r>
      <w:r>
        <w:rPr>
          <w:rFonts w:hint="eastAsia" w:ascii="宋体" w:hAnsi="宋体"/>
          <w:sz w:val="24"/>
        </w:rPr>
        <w:t>（姓名）系</w:t>
      </w:r>
      <w:r>
        <w:rPr>
          <w:rFonts w:hint="eastAsia" w:ascii="宋体" w:hAnsi="宋体"/>
          <w:sz w:val="24"/>
          <w:u w:val="single"/>
        </w:rPr>
        <w:t xml:space="preserve">      </w:t>
      </w:r>
      <w:r>
        <w:rPr>
          <w:rFonts w:hint="eastAsia" w:ascii="宋体" w:hAnsi="宋体"/>
          <w:sz w:val="24"/>
        </w:rPr>
        <w:t>（投标人名称）的法定代表人，现授权委托</w:t>
      </w:r>
      <w:r>
        <w:rPr>
          <w:rFonts w:hint="eastAsia" w:ascii="宋体" w:hAnsi="宋体"/>
          <w:sz w:val="24"/>
          <w:u w:val="single"/>
        </w:rPr>
        <w:t xml:space="preserve">              （姓名）</w:t>
      </w:r>
      <w:r>
        <w:rPr>
          <w:rFonts w:hint="eastAsia" w:ascii="宋体" w:hAnsi="宋体"/>
          <w:sz w:val="24"/>
        </w:rPr>
        <w:t>以我方的名义参加</w:t>
      </w:r>
      <w:r>
        <w:rPr>
          <w:rFonts w:hint="eastAsia" w:ascii="宋体" w:hAnsi="宋体"/>
          <w:sz w:val="24"/>
          <w:u w:val="single"/>
        </w:rPr>
        <w:t xml:space="preserve">              </w:t>
      </w:r>
      <w:r>
        <w:rPr>
          <w:rFonts w:hint="eastAsia" w:ascii="宋体" w:hAnsi="宋体"/>
          <w:sz w:val="24"/>
        </w:rPr>
        <w:t>项目的投标活动，并代表我方全权办理针对上述项目的所有采购程序和环节的具体事务和签署相关文件。</w:t>
      </w:r>
    </w:p>
    <w:p w14:paraId="0ACC74B5">
      <w:pPr>
        <w:spacing w:line="360" w:lineRule="auto"/>
        <w:contextualSpacing/>
        <w:rPr>
          <w:rFonts w:hint="eastAsia" w:ascii="宋体" w:hAnsi="宋体"/>
          <w:sz w:val="24"/>
        </w:rPr>
      </w:pPr>
      <w:r>
        <w:rPr>
          <w:rFonts w:hint="eastAsia" w:ascii="宋体" w:hAnsi="宋体"/>
          <w:sz w:val="24"/>
        </w:rPr>
        <w:t xml:space="preserve">    我方对委托代理人的签字或者电子签名事项负全部责任。</w:t>
      </w:r>
    </w:p>
    <w:p w14:paraId="60A6029E">
      <w:pPr>
        <w:spacing w:line="360" w:lineRule="auto"/>
        <w:ind w:firstLine="480"/>
        <w:contextualSpacing/>
        <w:rPr>
          <w:rFonts w:hint="eastAsia" w:ascii="宋体" w:hAnsi="宋体"/>
          <w:sz w:val="24"/>
        </w:rPr>
      </w:pPr>
      <w:r>
        <w:rPr>
          <w:rFonts w:hint="eastAsia" w:ascii="宋体" w:hAnsi="宋体"/>
          <w:sz w:val="24"/>
          <w:u w:val="single"/>
        </w:rPr>
        <w:t>本授权书自签署之日起生效，在撤销授权的书面通知以前，本授权书一直有效。委托代理人在授权书有效期内签署的所有文件不因授权的撤销而失效。</w:t>
      </w:r>
    </w:p>
    <w:p w14:paraId="5BBF5072">
      <w:pPr>
        <w:spacing w:line="360" w:lineRule="auto"/>
        <w:ind w:firstLine="480"/>
        <w:contextualSpacing/>
        <w:rPr>
          <w:rFonts w:hint="eastAsia" w:ascii="宋体" w:hAnsi="宋体"/>
          <w:sz w:val="24"/>
        </w:rPr>
      </w:pPr>
      <w:r>
        <w:rPr>
          <w:rFonts w:hint="eastAsia" w:ascii="宋体" w:hAnsi="宋体"/>
          <w:sz w:val="24"/>
        </w:rPr>
        <w:t>委托代理人无转委托权，特此委托。</w:t>
      </w:r>
    </w:p>
    <w:p w14:paraId="557E1894">
      <w:pPr>
        <w:spacing w:line="360" w:lineRule="auto"/>
        <w:ind w:firstLine="480"/>
        <w:contextualSpacing/>
        <w:rPr>
          <w:rFonts w:hint="eastAsia" w:ascii="宋体" w:hAnsi="宋体"/>
          <w:sz w:val="24"/>
        </w:rPr>
      </w:pPr>
      <w:r>
        <w:rPr>
          <w:rFonts w:hint="eastAsia" w:ascii="宋体" w:hAnsi="宋体"/>
          <w:sz w:val="24"/>
        </w:rPr>
        <w:t>附：法定代表人身份证明及委托代理人有效身份证正反面复印件</w:t>
      </w:r>
    </w:p>
    <w:p w14:paraId="6181C692">
      <w:pPr>
        <w:spacing w:line="360" w:lineRule="auto"/>
        <w:contextualSpacing/>
        <w:rPr>
          <w:rFonts w:hint="eastAsia" w:ascii="宋体" w:hAnsi="宋体"/>
          <w:sz w:val="24"/>
        </w:rPr>
      </w:pPr>
    </w:p>
    <w:p w14:paraId="4AABC2F4">
      <w:pPr>
        <w:spacing w:line="440" w:lineRule="exact"/>
        <w:contextualSpacing/>
        <w:rPr>
          <w:rFonts w:hint="eastAsia" w:ascii="宋体" w:hAnsi="宋体"/>
          <w:sz w:val="24"/>
        </w:rPr>
      </w:pPr>
      <w:r>
        <w:rPr>
          <w:rFonts w:hint="eastAsia" w:ascii="宋体" w:hAnsi="宋体"/>
          <w:sz w:val="24"/>
        </w:rPr>
        <w:t>委托代理人（签字或者电子签名）：</w:t>
      </w:r>
      <w:r>
        <w:rPr>
          <w:rFonts w:hint="eastAsia" w:ascii="宋体" w:hAnsi="宋体"/>
          <w:sz w:val="24"/>
          <w:u w:val="single"/>
        </w:rPr>
        <w:t xml:space="preserve">               </w:t>
      </w:r>
      <w:r>
        <w:rPr>
          <w:rFonts w:hint="eastAsia" w:ascii="宋体" w:hAnsi="宋体"/>
          <w:sz w:val="24"/>
        </w:rPr>
        <w:t xml:space="preserve">            </w:t>
      </w:r>
    </w:p>
    <w:p w14:paraId="3A62E468">
      <w:pPr>
        <w:spacing w:line="440" w:lineRule="exact"/>
        <w:contextualSpacing/>
        <w:rPr>
          <w:rFonts w:hint="eastAsia" w:ascii="宋体" w:hAnsi="宋体"/>
          <w:sz w:val="24"/>
          <w:u w:val="single"/>
        </w:rPr>
      </w:pPr>
      <w:r>
        <w:rPr>
          <w:rFonts w:hint="eastAsia" w:ascii="宋体" w:hAnsi="宋体"/>
          <w:sz w:val="24"/>
        </w:rPr>
        <w:t>委托代理人身份证号码：</w:t>
      </w:r>
      <w:r>
        <w:rPr>
          <w:rFonts w:hint="eastAsia" w:ascii="宋体" w:hAnsi="宋体"/>
          <w:sz w:val="24"/>
          <w:u w:val="single"/>
        </w:rPr>
        <w:t xml:space="preserve">                             </w:t>
      </w:r>
    </w:p>
    <w:p w14:paraId="7EE1347B">
      <w:pPr>
        <w:spacing w:line="440" w:lineRule="exact"/>
        <w:contextualSpacing/>
        <w:rPr>
          <w:rFonts w:hint="eastAsia" w:ascii="宋体" w:hAnsi="宋体"/>
          <w:sz w:val="24"/>
          <w:u w:val="single"/>
        </w:rPr>
      </w:pPr>
      <w:r>
        <w:rPr>
          <w:rFonts w:hint="eastAsia" w:ascii="宋体" w:hAnsi="宋体"/>
          <w:sz w:val="24"/>
        </w:rPr>
        <w:t>法定代表人（签字或者盖章或者电子签名）：</w:t>
      </w:r>
      <w:r>
        <w:rPr>
          <w:rFonts w:hint="eastAsia" w:ascii="宋体" w:hAnsi="宋体"/>
          <w:sz w:val="24"/>
          <w:u w:val="single"/>
        </w:rPr>
        <w:t xml:space="preserve">              </w:t>
      </w:r>
    </w:p>
    <w:p w14:paraId="20A7568F">
      <w:pPr>
        <w:spacing w:line="440" w:lineRule="exact"/>
        <w:contextualSpacing/>
        <w:rPr>
          <w:rFonts w:hint="eastAsia" w:ascii="宋体" w:hAnsi="宋体"/>
          <w:sz w:val="24"/>
        </w:rPr>
      </w:pPr>
      <w:r>
        <w:rPr>
          <w:rFonts w:hint="eastAsia" w:ascii="宋体" w:hAnsi="宋体"/>
          <w:sz w:val="24"/>
        </w:rPr>
        <w:t xml:space="preserve"> </w:t>
      </w:r>
    </w:p>
    <w:p w14:paraId="4EB079CD">
      <w:pPr>
        <w:spacing w:line="440" w:lineRule="exact"/>
        <w:contextualSpacing/>
        <w:jc w:val="center"/>
        <w:rPr>
          <w:rFonts w:hint="eastAsia" w:ascii="宋体" w:hAnsi="宋体"/>
          <w:sz w:val="24"/>
        </w:rPr>
      </w:pPr>
      <w:r>
        <w:rPr>
          <w:rFonts w:hint="eastAsia" w:ascii="宋体" w:hAnsi="宋体"/>
          <w:sz w:val="24"/>
        </w:rPr>
        <w:t xml:space="preserve">                                                投标人名称（电子签章）：</w:t>
      </w:r>
    </w:p>
    <w:p w14:paraId="633D7CBF">
      <w:pPr>
        <w:spacing w:line="440" w:lineRule="exact"/>
        <w:contextualSpacing/>
        <w:jc w:val="center"/>
        <w:rPr>
          <w:rFonts w:hint="eastAsia" w:ascii="宋体" w:hAnsi="宋体"/>
          <w:sz w:val="24"/>
        </w:rPr>
      </w:pPr>
      <w:r>
        <w:rPr>
          <w:rFonts w:hint="eastAsia" w:ascii="宋体" w:hAnsi="宋体"/>
          <w:sz w:val="24"/>
        </w:rPr>
        <w:t xml:space="preserve">                                              年    月    日</w:t>
      </w:r>
    </w:p>
    <w:p w14:paraId="48E78BF8">
      <w:pPr>
        <w:spacing w:line="440" w:lineRule="exact"/>
        <w:contextualSpacing/>
        <w:rPr>
          <w:rFonts w:hint="eastAsia" w:ascii="宋体" w:hAnsi="宋体" w:cs="仿宋_GB2312"/>
          <w:sz w:val="24"/>
        </w:rPr>
      </w:pPr>
      <w:r>
        <w:rPr>
          <w:rFonts w:hint="eastAsia" w:ascii="宋体" w:hAnsi="宋体" w:cs="仿宋_GB2312"/>
          <w:sz w:val="24"/>
        </w:rPr>
        <w:t>注：1.</w:t>
      </w:r>
      <w:bookmarkStart w:id="156" w:name="_Hlk65851555"/>
      <w:bookmarkStart w:id="157" w:name="_Hlk65851620"/>
      <w:r>
        <w:rPr>
          <w:rFonts w:hint="eastAsia" w:ascii="宋体" w:hAnsi="宋体" w:cs="仿宋_GB2312"/>
          <w:sz w:val="24"/>
        </w:rPr>
        <w:t>法定代表人必须在授权委托书上签字或者盖章</w:t>
      </w:r>
      <w:r>
        <w:rPr>
          <w:rFonts w:hint="eastAsia" w:ascii="宋体" w:hAnsi="宋体"/>
          <w:sz w:val="24"/>
        </w:rPr>
        <w:t>或者电子签名</w:t>
      </w:r>
      <w:r>
        <w:rPr>
          <w:rFonts w:hint="eastAsia" w:ascii="宋体" w:hAnsi="宋体" w:cs="仿宋_GB2312"/>
          <w:sz w:val="24"/>
        </w:rPr>
        <w:t>，</w:t>
      </w:r>
      <w:bookmarkEnd w:id="156"/>
      <w:r>
        <w:rPr>
          <w:rFonts w:hint="eastAsia" w:ascii="宋体" w:hAnsi="宋体" w:cs="仿宋_GB2312"/>
          <w:sz w:val="24"/>
        </w:rPr>
        <w:t>委托代理人必须在授权委托书上签字</w:t>
      </w:r>
      <w:r>
        <w:rPr>
          <w:rFonts w:hint="eastAsia" w:ascii="宋体" w:hAnsi="宋体"/>
          <w:sz w:val="24"/>
        </w:rPr>
        <w:t>或者电子签名</w:t>
      </w:r>
      <w:r>
        <w:rPr>
          <w:rFonts w:hint="eastAsia" w:ascii="宋体" w:hAnsi="宋体" w:cs="仿宋_GB2312"/>
          <w:sz w:val="24"/>
        </w:rPr>
        <w:t>，</w:t>
      </w:r>
      <w:r>
        <w:rPr>
          <w:rFonts w:hint="eastAsia" w:ascii="宋体" w:hAnsi="宋体" w:cs="仿宋_GB2312"/>
          <w:b/>
          <w:bCs/>
          <w:sz w:val="24"/>
        </w:rPr>
        <w:t>否则按无效投标处理</w:t>
      </w:r>
      <w:r>
        <w:rPr>
          <w:rFonts w:hint="eastAsia" w:ascii="宋体" w:hAnsi="宋体" w:cs="仿宋_GB2312"/>
          <w:sz w:val="24"/>
        </w:rPr>
        <w:t>；</w:t>
      </w:r>
      <w:bookmarkEnd w:id="157"/>
    </w:p>
    <w:p w14:paraId="75F1881A">
      <w:pPr>
        <w:spacing w:line="440" w:lineRule="exact"/>
        <w:ind w:firstLine="480" w:firstLineChars="200"/>
        <w:contextualSpacing/>
        <w:jc w:val="left"/>
        <w:rPr>
          <w:rFonts w:hint="eastAsia" w:ascii="宋体" w:hAnsi="宋体"/>
          <w:sz w:val="24"/>
        </w:rPr>
      </w:pPr>
      <w:r>
        <w:rPr>
          <w:rFonts w:hint="eastAsia" w:ascii="宋体" w:hAnsi="宋体" w:cs="仿宋_GB2312"/>
          <w:sz w:val="24"/>
        </w:rPr>
        <w:t>2.法人、其他组织投标时“我方”是指“我单位”，自然人投标时“我方”是指“本人”。</w:t>
      </w:r>
    </w:p>
    <w:p w14:paraId="4DFF3392">
      <w:pPr>
        <w:snapToGrid w:val="0"/>
        <w:spacing w:before="120" w:beforeLines="50" w:after="50"/>
        <w:ind w:firstLine="566" w:firstLineChars="236"/>
        <w:jc w:val="center"/>
        <w:rPr>
          <w:rFonts w:hint="eastAsia" w:ascii="方正小标宋简体" w:hAnsi="方正小标宋简体" w:eastAsia="方正小标宋简体" w:cs="方正小标宋简体"/>
          <w:sz w:val="44"/>
          <w:szCs w:val="44"/>
        </w:rPr>
      </w:pPr>
      <w:r>
        <w:rPr>
          <w:rFonts w:ascii="宋体" w:hAnsi="宋体"/>
          <w:sz w:val="24"/>
        </w:rPr>
        <w:br w:type="page"/>
      </w:r>
      <w:r>
        <w:rPr>
          <w:rFonts w:hint="eastAsia" w:ascii="方正小标宋简体" w:hAnsi="方正小标宋简体" w:eastAsia="方正小标宋简体" w:cs="方正小标宋简体"/>
          <w:sz w:val="44"/>
          <w:szCs w:val="44"/>
        </w:rPr>
        <w:t>授权委托书</w:t>
      </w:r>
    </w:p>
    <w:p w14:paraId="526A580E">
      <w:pPr>
        <w:snapToGrid w:val="0"/>
        <w:spacing w:before="120" w:beforeLines="50" w:after="50"/>
        <w:ind w:firstLine="758" w:firstLineChars="236"/>
        <w:jc w:val="center"/>
        <w:rPr>
          <w:rFonts w:hint="eastAsia" w:ascii="宋体" w:hAnsi="宋体"/>
          <w:b/>
          <w:bCs/>
          <w:sz w:val="32"/>
          <w:szCs w:val="32"/>
        </w:rPr>
      </w:pPr>
      <w:r>
        <w:rPr>
          <w:rFonts w:hint="eastAsia" w:ascii="宋体" w:hAnsi="宋体"/>
          <w:b/>
          <w:bCs/>
          <w:sz w:val="32"/>
          <w:szCs w:val="32"/>
        </w:rPr>
        <w:t>（联合体投标格式）</w:t>
      </w:r>
    </w:p>
    <w:p w14:paraId="54C10021">
      <w:pPr>
        <w:snapToGrid w:val="0"/>
        <w:spacing w:before="120" w:beforeLines="50" w:after="50"/>
        <w:ind w:firstLine="758" w:firstLineChars="236"/>
        <w:jc w:val="center"/>
        <w:rPr>
          <w:rFonts w:hint="eastAsia" w:ascii="宋体" w:hAnsi="宋体"/>
          <w:sz w:val="24"/>
        </w:rPr>
      </w:pPr>
      <w:r>
        <w:rPr>
          <w:rFonts w:hint="eastAsia" w:ascii="宋体" w:hAnsi="宋体"/>
          <w:b/>
          <w:bCs/>
          <w:sz w:val="32"/>
          <w:szCs w:val="32"/>
        </w:rPr>
        <w:t>（如有委托时）</w:t>
      </w:r>
    </w:p>
    <w:p w14:paraId="0B2ED32C">
      <w:pPr>
        <w:spacing w:line="360" w:lineRule="auto"/>
        <w:contextualSpacing/>
        <w:jc w:val="left"/>
        <w:rPr>
          <w:rFonts w:hint="eastAsia" w:ascii="宋体" w:hAnsi="宋体"/>
          <w:sz w:val="24"/>
        </w:rPr>
      </w:pPr>
      <w:r>
        <w:rPr>
          <w:rFonts w:hint="eastAsia" w:ascii="宋体" w:hAnsi="宋体"/>
          <w:bCs/>
          <w:sz w:val="24"/>
        </w:rPr>
        <w:t>致：</w:t>
      </w:r>
      <w:r>
        <w:rPr>
          <w:rFonts w:hint="eastAsia" w:ascii="宋体" w:hAnsi="宋体"/>
          <w:sz w:val="24"/>
          <w:u w:val="single"/>
        </w:rPr>
        <w:t>采购人名称</w:t>
      </w:r>
      <w:r>
        <w:rPr>
          <w:rFonts w:hint="eastAsia" w:ascii="宋体" w:hAnsi="宋体"/>
          <w:sz w:val="24"/>
        </w:rPr>
        <w:t>：</w:t>
      </w:r>
    </w:p>
    <w:p w14:paraId="1E680904">
      <w:pPr>
        <w:spacing w:line="360" w:lineRule="auto"/>
        <w:ind w:firstLine="566" w:firstLineChars="236"/>
        <w:contextualSpacing/>
        <w:rPr>
          <w:rFonts w:hint="eastAsia" w:ascii="宋体" w:hAnsi="宋体"/>
          <w:sz w:val="24"/>
        </w:rPr>
      </w:pPr>
      <w:r>
        <w:rPr>
          <w:rFonts w:hint="eastAsia" w:ascii="宋体" w:hAnsi="宋体"/>
          <w:sz w:val="24"/>
        </w:rPr>
        <w:t xml:space="preserve">根据 </w:t>
      </w:r>
      <w:r>
        <w:rPr>
          <w:rFonts w:hint="eastAsia" w:ascii="宋体" w:hAnsi="宋体"/>
          <w:sz w:val="24"/>
          <w:u w:val="single"/>
        </w:rPr>
        <w:t xml:space="preserve"> （牵头人名称）</w:t>
      </w:r>
      <w:r>
        <w:rPr>
          <w:rFonts w:hint="eastAsia" w:ascii="宋体" w:hAnsi="宋体"/>
          <w:sz w:val="24"/>
        </w:rPr>
        <w:t>与</w:t>
      </w:r>
      <w:r>
        <w:rPr>
          <w:rFonts w:hint="eastAsia" w:ascii="宋体" w:hAnsi="宋体"/>
          <w:sz w:val="24"/>
          <w:u w:val="single"/>
        </w:rPr>
        <w:t>（联合体其他成员名称）</w:t>
      </w:r>
      <w:r>
        <w:rPr>
          <w:rFonts w:hint="eastAsia" w:ascii="宋体" w:hAnsi="宋体"/>
          <w:sz w:val="24"/>
        </w:rPr>
        <w:t>签订的《联合体投标协议书》的内容，</w:t>
      </w:r>
      <w:r>
        <w:rPr>
          <w:rFonts w:hint="eastAsia" w:ascii="宋体" w:hAnsi="宋体"/>
          <w:sz w:val="24"/>
          <w:u w:val="single"/>
        </w:rPr>
        <w:t>（牵头人名称）</w:t>
      </w:r>
      <w:r>
        <w:rPr>
          <w:rFonts w:hint="eastAsia" w:ascii="宋体" w:hAnsi="宋体"/>
          <w:sz w:val="24"/>
        </w:rPr>
        <w:t>的法定代表人</w:t>
      </w:r>
      <w:r>
        <w:rPr>
          <w:rFonts w:hint="eastAsia" w:ascii="宋体" w:hAnsi="宋体"/>
          <w:sz w:val="24"/>
          <w:u w:val="single"/>
        </w:rPr>
        <w:t>（姓名）</w:t>
      </w:r>
      <w:r>
        <w:rPr>
          <w:rFonts w:hint="eastAsia" w:ascii="宋体" w:hAnsi="宋体"/>
          <w:sz w:val="24"/>
        </w:rPr>
        <w:t>现授权委托</w:t>
      </w:r>
      <w:r>
        <w:rPr>
          <w:rFonts w:hint="eastAsia" w:ascii="宋体" w:hAnsi="宋体"/>
          <w:sz w:val="24"/>
          <w:u w:val="single"/>
        </w:rPr>
        <w:t xml:space="preserve">              （姓名）</w:t>
      </w:r>
      <w:r>
        <w:rPr>
          <w:rFonts w:hint="eastAsia" w:ascii="宋体" w:hAnsi="宋体"/>
          <w:sz w:val="24"/>
        </w:rPr>
        <w:t>以我方的名义参加</w:t>
      </w:r>
      <w:r>
        <w:rPr>
          <w:rFonts w:hint="eastAsia" w:ascii="宋体" w:hAnsi="宋体"/>
          <w:sz w:val="24"/>
          <w:u w:val="single"/>
        </w:rPr>
        <w:t xml:space="preserve">              </w:t>
      </w:r>
      <w:r>
        <w:rPr>
          <w:rFonts w:hint="eastAsia" w:ascii="宋体" w:hAnsi="宋体"/>
          <w:sz w:val="24"/>
        </w:rPr>
        <w:t>项目的投标活动，并代表我方全权办理针对上述项目的所有采购程序和环节的具体事务和签署相关文件。</w:t>
      </w:r>
    </w:p>
    <w:p w14:paraId="182EA39D">
      <w:pPr>
        <w:spacing w:line="440" w:lineRule="exact"/>
        <w:ind w:firstLine="566" w:firstLineChars="236"/>
        <w:contextualSpacing/>
        <w:rPr>
          <w:rFonts w:hint="eastAsia" w:ascii="宋体" w:hAnsi="宋体"/>
          <w:sz w:val="24"/>
        </w:rPr>
      </w:pPr>
      <w:bookmarkStart w:id="158" w:name="_Hlk65852658"/>
      <w:r>
        <w:rPr>
          <w:rFonts w:hint="eastAsia" w:ascii="宋体" w:hAnsi="宋体"/>
          <w:sz w:val="24"/>
        </w:rPr>
        <w:t>我方对委托代理人的签字或者电子签名事项负全部责任。</w:t>
      </w:r>
    </w:p>
    <w:p w14:paraId="50478A9C">
      <w:pPr>
        <w:spacing w:line="440" w:lineRule="exact"/>
        <w:ind w:firstLine="566" w:firstLineChars="236"/>
        <w:contextualSpacing/>
        <w:rPr>
          <w:rFonts w:hint="eastAsia" w:ascii="宋体" w:hAnsi="宋体"/>
          <w:sz w:val="24"/>
        </w:rPr>
      </w:pPr>
      <w:r>
        <w:rPr>
          <w:rFonts w:hint="eastAsia" w:ascii="宋体" w:hAnsi="宋体"/>
          <w:sz w:val="24"/>
        </w:rPr>
        <w:t>本授权书自签署之日起生效，在撤销授权的书面通知以前，本授权书一直有效。委托代理人在授权书有效期内签署的所有文件不因授权的撤销而失效。</w:t>
      </w:r>
    </w:p>
    <w:p w14:paraId="639D74F0">
      <w:pPr>
        <w:spacing w:line="440" w:lineRule="exact"/>
        <w:ind w:firstLine="566" w:firstLineChars="236"/>
        <w:contextualSpacing/>
        <w:rPr>
          <w:rFonts w:hint="eastAsia" w:ascii="宋体" w:hAnsi="宋体"/>
          <w:sz w:val="24"/>
        </w:rPr>
      </w:pPr>
      <w:r>
        <w:rPr>
          <w:rFonts w:hint="eastAsia" w:ascii="宋体" w:hAnsi="宋体"/>
          <w:sz w:val="24"/>
        </w:rPr>
        <w:t>委托代理人无转委托权，特此委托。</w:t>
      </w:r>
    </w:p>
    <w:p w14:paraId="2A9BF51A">
      <w:pPr>
        <w:spacing w:line="440" w:lineRule="exact"/>
        <w:ind w:firstLine="566" w:firstLineChars="236"/>
        <w:contextualSpacing/>
        <w:rPr>
          <w:rFonts w:hint="eastAsia" w:ascii="宋体" w:hAnsi="宋体"/>
          <w:sz w:val="24"/>
        </w:rPr>
      </w:pPr>
      <w:r>
        <w:rPr>
          <w:rFonts w:hint="eastAsia" w:ascii="宋体" w:hAnsi="宋体"/>
          <w:sz w:val="24"/>
        </w:rPr>
        <w:t>附：牵头人法定代表人身份证明及委托代理人有效身份证正反面复印件</w:t>
      </w:r>
    </w:p>
    <w:p w14:paraId="3C16BF16">
      <w:pPr>
        <w:spacing w:line="440" w:lineRule="exact"/>
        <w:ind w:firstLine="566" w:firstLineChars="236"/>
        <w:contextualSpacing/>
        <w:rPr>
          <w:rFonts w:hint="eastAsia" w:ascii="宋体" w:hAnsi="宋体"/>
          <w:sz w:val="24"/>
        </w:rPr>
      </w:pPr>
    </w:p>
    <w:p w14:paraId="4FAD8443">
      <w:pPr>
        <w:spacing w:line="440" w:lineRule="exact"/>
        <w:ind w:firstLine="566" w:firstLineChars="236"/>
        <w:contextualSpacing/>
        <w:rPr>
          <w:rFonts w:hint="eastAsia" w:ascii="宋体" w:hAnsi="宋体"/>
          <w:sz w:val="24"/>
        </w:rPr>
      </w:pPr>
      <w:r>
        <w:rPr>
          <w:rFonts w:hint="eastAsia" w:ascii="宋体" w:hAnsi="宋体"/>
          <w:sz w:val="24"/>
        </w:rPr>
        <w:t>牵头人法定代表人（签字或者盖章或者电子签名）：</w:t>
      </w:r>
    </w:p>
    <w:p w14:paraId="4EB7CCF0">
      <w:pPr>
        <w:spacing w:line="440" w:lineRule="exact"/>
        <w:ind w:firstLine="566" w:firstLineChars="236"/>
        <w:contextualSpacing/>
        <w:rPr>
          <w:rFonts w:hint="eastAsia" w:ascii="宋体" w:hAnsi="宋体"/>
          <w:sz w:val="24"/>
        </w:rPr>
      </w:pPr>
      <w:r>
        <w:rPr>
          <w:rFonts w:hint="eastAsia" w:ascii="宋体" w:hAnsi="宋体"/>
          <w:sz w:val="24"/>
        </w:rPr>
        <w:t>牵头人（电子签章）：</w:t>
      </w:r>
    </w:p>
    <w:p w14:paraId="7C3E01C7">
      <w:pPr>
        <w:spacing w:line="440" w:lineRule="exact"/>
        <w:ind w:firstLine="566" w:firstLineChars="236"/>
        <w:contextualSpacing/>
        <w:rPr>
          <w:rFonts w:hint="eastAsia" w:ascii="宋体" w:hAnsi="宋体"/>
          <w:sz w:val="24"/>
        </w:rPr>
      </w:pPr>
      <w:r>
        <w:rPr>
          <w:rFonts w:hint="eastAsia" w:ascii="宋体" w:hAnsi="宋体"/>
          <w:sz w:val="24"/>
        </w:rPr>
        <w:t>日期：    年   月   日</w:t>
      </w:r>
    </w:p>
    <w:p w14:paraId="71D73364">
      <w:pPr>
        <w:spacing w:line="440" w:lineRule="exact"/>
        <w:ind w:firstLine="566" w:firstLineChars="236"/>
        <w:contextualSpacing/>
        <w:rPr>
          <w:rFonts w:hint="eastAsia" w:ascii="宋体" w:hAnsi="宋体"/>
          <w:sz w:val="24"/>
        </w:rPr>
      </w:pPr>
    </w:p>
    <w:p w14:paraId="67DB6628">
      <w:pPr>
        <w:spacing w:line="440" w:lineRule="exact"/>
        <w:ind w:firstLine="566" w:firstLineChars="236"/>
        <w:contextualSpacing/>
        <w:rPr>
          <w:rFonts w:hint="eastAsia" w:ascii="宋体" w:hAnsi="宋体"/>
          <w:sz w:val="24"/>
        </w:rPr>
      </w:pPr>
      <w:r>
        <w:rPr>
          <w:rFonts w:hint="eastAsia" w:ascii="宋体" w:hAnsi="宋体"/>
          <w:sz w:val="24"/>
        </w:rPr>
        <w:t>被授权人（签字或者电子签名）：</w:t>
      </w:r>
    </w:p>
    <w:p w14:paraId="66EAFCD9">
      <w:pPr>
        <w:spacing w:line="440" w:lineRule="exact"/>
        <w:ind w:firstLine="566" w:firstLineChars="236"/>
        <w:contextualSpacing/>
        <w:rPr>
          <w:rFonts w:hint="eastAsia" w:ascii="宋体" w:hAnsi="宋体" w:cs="仿宋_GB2312"/>
          <w:sz w:val="32"/>
          <w:szCs w:val="32"/>
        </w:rPr>
      </w:pPr>
      <w:r>
        <w:rPr>
          <w:rFonts w:hint="eastAsia" w:ascii="宋体" w:hAnsi="宋体"/>
          <w:sz w:val="24"/>
        </w:rPr>
        <w:t>日期：    年   月   日</w:t>
      </w:r>
    </w:p>
    <w:p w14:paraId="5FF2F562">
      <w:pPr>
        <w:spacing w:line="440" w:lineRule="exact"/>
        <w:contextualSpacing/>
        <w:rPr>
          <w:rFonts w:hint="eastAsia" w:ascii="宋体" w:hAnsi="宋体" w:cs="仿宋_GB2312"/>
          <w:sz w:val="24"/>
        </w:rPr>
      </w:pPr>
      <w:r>
        <w:rPr>
          <w:rFonts w:hint="eastAsia" w:ascii="宋体" w:hAnsi="宋体" w:cs="仿宋_GB2312"/>
          <w:sz w:val="24"/>
        </w:rPr>
        <w:t>注：1.法定代表人必须在授权委托书上签字或者盖章</w:t>
      </w:r>
      <w:r>
        <w:rPr>
          <w:rFonts w:hint="eastAsia" w:ascii="宋体" w:hAnsi="宋体"/>
          <w:sz w:val="24"/>
        </w:rPr>
        <w:t>或者电子签名</w:t>
      </w:r>
      <w:r>
        <w:rPr>
          <w:rFonts w:hint="eastAsia" w:ascii="宋体" w:hAnsi="宋体" w:cs="仿宋_GB2312"/>
          <w:sz w:val="24"/>
        </w:rPr>
        <w:t>，委托代理人必须在授权委托书上签字</w:t>
      </w:r>
      <w:r>
        <w:rPr>
          <w:rFonts w:hint="eastAsia" w:ascii="宋体" w:hAnsi="宋体"/>
          <w:sz w:val="24"/>
        </w:rPr>
        <w:t>或者电子签名</w:t>
      </w:r>
      <w:r>
        <w:rPr>
          <w:rFonts w:hint="eastAsia" w:ascii="宋体" w:hAnsi="宋体" w:cs="仿宋_GB2312"/>
          <w:sz w:val="24"/>
        </w:rPr>
        <w:t>，</w:t>
      </w:r>
      <w:r>
        <w:rPr>
          <w:rFonts w:hint="eastAsia" w:ascii="宋体" w:hAnsi="宋体" w:cs="仿宋_GB2312"/>
          <w:b/>
          <w:bCs/>
          <w:sz w:val="24"/>
        </w:rPr>
        <w:t>否则按无效投标处理</w:t>
      </w:r>
      <w:r>
        <w:rPr>
          <w:rFonts w:hint="eastAsia" w:ascii="宋体" w:hAnsi="宋体" w:cs="仿宋_GB2312"/>
          <w:sz w:val="24"/>
        </w:rPr>
        <w:t>；</w:t>
      </w:r>
    </w:p>
    <w:p w14:paraId="06BCA7AB">
      <w:pPr>
        <w:spacing w:line="440" w:lineRule="exact"/>
        <w:ind w:firstLine="480" w:firstLineChars="200"/>
        <w:contextualSpacing/>
        <w:jc w:val="left"/>
        <w:rPr>
          <w:rFonts w:hint="eastAsia" w:ascii="宋体" w:hAnsi="宋体"/>
          <w:sz w:val="24"/>
        </w:rPr>
      </w:pPr>
      <w:r>
        <w:rPr>
          <w:rFonts w:hint="eastAsia" w:ascii="宋体" w:hAnsi="宋体" w:cs="仿宋_GB2312"/>
          <w:sz w:val="24"/>
        </w:rPr>
        <w:t>2.法人、其他组织投标时“我方”是指“我单位”，自然人投标时“我方”是指“本人”。</w:t>
      </w:r>
    </w:p>
    <w:p w14:paraId="0E78F04A">
      <w:pPr>
        <w:spacing w:line="440" w:lineRule="exact"/>
        <w:contextualSpacing/>
        <w:rPr>
          <w:rFonts w:hint="eastAsia" w:ascii="宋体" w:hAnsi="宋体"/>
          <w:sz w:val="24"/>
        </w:rPr>
      </w:pPr>
    </w:p>
    <w:bookmarkEnd w:id="158"/>
    <w:p w14:paraId="50A6FDF4">
      <w:pPr>
        <w:snapToGrid w:val="0"/>
        <w:spacing w:before="50" w:after="120" w:afterLines="50"/>
        <w:ind w:firstLine="480" w:firstLineChars="200"/>
        <w:jc w:val="left"/>
        <w:rPr>
          <w:rFonts w:hint="eastAsia" w:ascii="宋体" w:hAnsi="宋体"/>
          <w:sz w:val="24"/>
        </w:rPr>
        <w:sectPr>
          <w:footerReference r:id="rId10" w:type="default"/>
          <w:pgSz w:w="11906" w:h="16838"/>
          <w:pgMar w:top="1701" w:right="1701" w:bottom="1701" w:left="1701" w:header="851" w:footer="992" w:gutter="0"/>
          <w:pgNumType w:fmt="decimal"/>
          <w:cols w:space="720" w:num="1"/>
          <w:titlePg/>
          <w:docGrid w:linePitch="312" w:charSpace="0"/>
        </w:sectPr>
      </w:pPr>
    </w:p>
    <w:p w14:paraId="316966E3">
      <w:pPr>
        <w:rPr>
          <w:rFonts w:hint="eastAsia" w:ascii="宋体" w:hAnsi="宋体"/>
          <w:sz w:val="24"/>
        </w:rPr>
      </w:pPr>
    </w:p>
    <w:p w14:paraId="339CE5DC">
      <w:pPr>
        <w:rPr>
          <w:rFonts w:hint="eastAsia" w:ascii="宋体" w:hAnsi="宋体"/>
          <w:b/>
          <w:sz w:val="24"/>
          <w:szCs w:val="20"/>
        </w:rPr>
      </w:pPr>
      <w:r>
        <w:rPr>
          <w:rFonts w:hint="eastAsia" w:ascii="宋体" w:hAnsi="宋体"/>
          <w:b/>
          <w:sz w:val="24"/>
        </w:rPr>
        <w:t>6.商务要求偏离表格式</w:t>
      </w:r>
    </w:p>
    <w:p w14:paraId="252B0922">
      <w:pPr>
        <w:snapToGrid w:val="0"/>
        <w:spacing w:before="50"/>
        <w:jc w:val="left"/>
        <w:rPr>
          <w:rFonts w:hint="eastAsia" w:ascii="宋体" w:hAnsi="宋体"/>
          <w:sz w:val="24"/>
        </w:rPr>
      </w:pPr>
    </w:p>
    <w:p w14:paraId="7F0A1984">
      <w:pPr>
        <w:pStyle w:val="18"/>
        <w:rPr>
          <w:rFonts w:hint="eastAsia" w:hAnsi="宋体"/>
          <w:sz w:val="24"/>
          <w:szCs w:val="24"/>
        </w:rPr>
      </w:pPr>
      <w:r>
        <w:rPr>
          <w:rFonts w:hint="eastAsia" w:hAnsi="宋体"/>
          <w:sz w:val="24"/>
          <w:szCs w:val="24"/>
        </w:rPr>
        <w:t>所投分标：</w:t>
      </w:r>
      <w:r>
        <w:rPr>
          <w:rFonts w:hint="eastAsia" w:hAnsi="宋体"/>
          <w:sz w:val="24"/>
          <w:szCs w:val="24"/>
          <w:u w:val="single"/>
        </w:rPr>
        <w:t xml:space="preserve">     </w:t>
      </w:r>
      <w:r>
        <w:rPr>
          <w:rFonts w:hint="eastAsia" w:hAnsi="宋体"/>
          <w:sz w:val="24"/>
          <w:szCs w:val="24"/>
        </w:rPr>
        <w:t>分标</w:t>
      </w:r>
    </w:p>
    <w:p w14:paraId="4181D7B0">
      <w:pPr>
        <w:snapToGrid w:val="0"/>
        <w:spacing w:before="50"/>
        <w:jc w:val="left"/>
        <w:rPr>
          <w:rFonts w:hint="eastAsia" w:ascii="宋体" w:hAnsi="宋体"/>
          <w:sz w:val="24"/>
          <w:u w:val="single"/>
        </w:rPr>
      </w:pPr>
    </w:p>
    <w:tbl>
      <w:tblPr>
        <w:tblStyle w:val="36"/>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424A8D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2D3C42CC">
            <w:pPr>
              <w:snapToGrid w:val="0"/>
              <w:spacing w:before="120" w:beforeLines="50"/>
              <w:jc w:val="center"/>
              <w:rPr>
                <w:rFonts w:hint="eastAsia" w:ascii="宋体" w:hAnsi="宋体"/>
                <w:sz w:val="24"/>
              </w:rPr>
            </w:pPr>
            <w:r>
              <w:rPr>
                <w:rFonts w:hint="eastAsia" w:ascii="宋体" w:hAnsi="宋体"/>
                <w:sz w:val="24"/>
              </w:rPr>
              <w:t>项目</w:t>
            </w:r>
          </w:p>
        </w:tc>
        <w:tc>
          <w:tcPr>
            <w:tcW w:w="3336" w:type="dxa"/>
            <w:tcBorders>
              <w:top w:val="single" w:color="auto" w:sz="4" w:space="0"/>
              <w:left w:val="single" w:color="auto" w:sz="4" w:space="0"/>
              <w:bottom w:val="single" w:color="auto" w:sz="4" w:space="0"/>
              <w:right w:val="single" w:color="auto" w:sz="4" w:space="0"/>
            </w:tcBorders>
          </w:tcPr>
          <w:p w14:paraId="7BDB4700">
            <w:pPr>
              <w:snapToGrid w:val="0"/>
              <w:spacing w:before="120" w:beforeLines="50"/>
              <w:jc w:val="center"/>
              <w:rPr>
                <w:rFonts w:hint="eastAsia" w:ascii="宋体" w:hAnsi="宋体"/>
                <w:sz w:val="24"/>
              </w:rPr>
            </w:pPr>
            <w:r>
              <w:rPr>
                <w:rFonts w:hint="eastAsia" w:ascii="宋体" w:hAnsi="宋体"/>
                <w:sz w:val="24"/>
              </w:rPr>
              <w:t>采购文件商务要求</w:t>
            </w:r>
          </w:p>
        </w:tc>
        <w:tc>
          <w:tcPr>
            <w:tcW w:w="1760" w:type="dxa"/>
            <w:tcBorders>
              <w:top w:val="single" w:color="auto" w:sz="4" w:space="0"/>
              <w:left w:val="single" w:color="auto" w:sz="4" w:space="0"/>
              <w:bottom w:val="single" w:color="auto" w:sz="4" w:space="0"/>
              <w:right w:val="single" w:color="auto" w:sz="4" w:space="0"/>
            </w:tcBorders>
          </w:tcPr>
          <w:p w14:paraId="263FC25D">
            <w:pPr>
              <w:snapToGrid w:val="0"/>
              <w:spacing w:before="120" w:beforeLines="50"/>
              <w:jc w:val="center"/>
              <w:rPr>
                <w:rFonts w:hint="eastAsia" w:ascii="宋体" w:hAnsi="宋体"/>
                <w:sz w:val="24"/>
              </w:rPr>
            </w:pPr>
            <w:r>
              <w:rPr>
                <w:rFonts w:hint="eastAsia" w:ascii="宋体" w:hAnsi="宋体"/>
                <w:sz w:val="24"/>
              </w:rPr>
              <w:t>投标人的承诺</w:t>
            </w:r>
          </w:p>
        </w:tc>
        <w:tc>
          <w:tcPr>
            <w:tcW w:w="2035" w:type="dxa"/>
            <w:tcBorders>
              <w:top w:val="single" w:color="auto" w:sz="4" w:space="0"/>
              <w:left w:val="single" w:color="auto" w:sz="4" w:space="0"/>
              <w:bottom w:val="single" w:color="auto" w:sz="4" w:space="0"/>
              <w:right w:val="single" w:color="auto" w:sz="4" w:space="0"/>
            </w:tcBorders>
          </w:tcPr>
          <w:p w14:paraId="77102AE5">
            <w:pPr>
              <w:snapToGrid w:val="0"/>
              <w:spacing w:before="120" w:beforeLines="50"/>
              <w:jc w:val="center"/>
              <w:rPr>
                <w:rFonts w:hint="eastAsia" w:ascii="宋体" w:hAnsi="宋体"/>
                <w:sz w:val="24"/>
              </w:rPr>
            </w:pPr>
            <w:r>
              <w:rPr>
                <w:rFonts w:hint="eastAsia" w:ascii="宋体" w:hAnsi="宋体"/>
                <w:sz w:val="24"/>
              </w:rPr>
              <w:t>偏离说明</w:t>
            </w:r>
          </w:p>
        </w:tc>
      </w:tr>
      <w:tr w14:paraId="7CBBEF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vAlign w:val="center"/>
          </w:tcPr>
          <w:p w14:paraId="41224595">
            <w:pPr>
              <w:jc w:val="center"/>
              <w:rPr>
                <w:rFonts w:hint="eastAsia" w:ascii="宋体" w:hAnsi="宋体"/>
                <w:sz w:val="24"/>
              </w:rPr>
            </w:pPr>
          </w:p>
        </w:tc>
        <w:tc>
          <w:tcPr>
            <w:tcW w:w="3336" w:type="dxa"/>
            <w:tcBorders>
              <w:top w:val="single" w:color="auto" w:sz="4" w:space="0"/>
              <w:left w:val="single" w:color="auto" w:sz="4" w:space="0"/>
              <w:bottom w:val="single" w:color="auto" w:sz="4" w:space="0"/>
              <w:right w:val="single" w:color="auto" w:sz="4" w:space="0"/>
            </w:tcBorders>
            <w:vAlign w:val="center"/>
          </w:tcPr>
          <w:p w14:paraId="5AD42AD0">
            <w:pPr>
              <w:jc w:val="left"/>
              <w:rPr>
                <w:rFonts w:hint="eastAsia" w:ascii="宋体" w:hAnsi="宋体"/>
                <w:sz w:val="24"/>
              </w:rPr>
            </w:pPr>
          </w:p>
        </w:tc>
        <w:tc>
          <w:tcPr>
            <w:tcW w:w="1760" w:type="dxa"/>
            <w:tcBorders>
              <w:top w:val="single" w:color="auto" w:sz="4" w:space="0"/>
              <w:left w:val="single" w:color="auto" w:sz="4" w:space="0"/>
              <w:bottom w:val="single" w:color="auto" w:sz="4" w:space="0"/>
              <w:right w:val="single" w:color="auto" w:sz="4" w:space="0"/>
            </w:tcBorders>
          </w:tcPr>
          <w:p w14:paraId="187B448F">
            <w:pPr>
              <w:snapToGrid w:val="0"/>
              <w:spacing w:before="120" w:beforeLines="50"/>
              <w:jc w:val="center"/>
              <w:rPr>
                <w:rFonts w:hint="eastAsia" w:ascii="宋体" w:hAnsi="宋体"/>
                <w:sz w:val="24"/>
              </w:rPr>
            </w:pPr>
          </w:p>
        </w:tc>
        <w:tc>
          <w:tcPr>
            <w:tcW w:w="2035" w:type="dxa"/>
            <w:tcBorders>
              <w:top w:val="single" w:color="auto" w:sz="4" w:space="0"/>
              <w:left w:val="single" w:color="auto" w:sz="4" w:space="0"/>
              <w:bottom w:val="single" w:color="auto" w:sz="4" w:space="0"/>
              <w:right w:val="single" w:color="auto" w:sz="4" w:space="0"/>
            </w:tcBorders>
          </w:tcPr>
          <w:p w14:paraId="4C01D101">
            <w:pPr>
              <w:snapToGrid w:val="0"/>
              <w:spacing w:before="120" w:beforeLines="50"/>
              <w:jc w:val="center"/>
              <w:rPr>
                <w:rFonts w:hint="eastAsia" w:ascii="宋体" w:hAnsi="宋体"/>
                <w:sz w:val="24"/>
              </w:rPr>
            </w:pPr>
          </w:p>
        </w:tc>
      </w:tr>
      <w:tr w14:paraId="7BDADE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vAlign w:val="center"/>
          </w:tcPr>
          <w:p w14:paraId="50EF30E8">
            <w:pPr>
              <w:jc w:val="center"/>
              <w:rPr>
                <w:rFonts w:hint="eastAsia" w:ascii="宋体" w:hAnsi="宋体"/>
                <w:sz w:val="24"/>
              </w:rPr>
            </w:pPr>
          </w:p>
        </w:tc>
        <w:tc>
          <w:tcPr>
            <w:tcW w:w="3336" w:type="dxa"/>
            <w:tcBorders>
              <w:top w:val="single" w:color="auto" w:sz="4" w:space="0"/>
              <w:left w:val="single" w:color="auto" w:sz="4" w:space="0"/>
              <w:bottom w:val="single" w:color="auto" w:sz="4" w:space="0"/>
              <w:right w:val="single" w:color="auto" w:sz="4" w:space="0"/>
            </w:tcBorders>
            <w:vAlign w:val="center"/>
          </w:tcPr>
          <w:p w14:paraId="033412EB">
            <w:pPr>
              <w:jc w:val="left"/>
              <w:rPr>
                <w:rFonts w:hint="eastAsia" w:ascii="宋体" w:hAnsi="宋体"/>
                <w:sz w:val="24"/>
              </w:rPr>
            </w:pPr>
          </w:p>
        </w:tc>
        <w:tc>
          <w:tcPr>
            <w:tcW w:w="1760" w:type="dxa"/>
            <w:tcBorders>
              <w:top w:val="single" w:color="auto" w:sz="4" w:space="0"/>
              <w:left w:val="single" w:color="auto" w:sz="4" w:space="0"/>
              <w:bottom w:val="single" w:color="auto" w:sz="4" w:space="0"/>
              <w:right w:val="single" w:color="auto" w:sz="4" w:space="0"/>
            </w:tcBorders>
          </w:tcPr>
          <w:p w14:paraId="7FC684A7">
            <w:pPr>
              <w:snapToGrid w:val="0"/>
              <w:spacing w:before="120" w:beforeLines="50"/>
              <w:ind w:left="43"/>
              <w:jc w:val="center"/>
              <w:rPr>
                <w:rFonts w:hint="eastAsia" w:ascii="宋体" w:hAnsi="宋体"/>
                <w:sz w:val="24"/>
              </w:rPr>
            </w:pPr>
          </w:p>
        </w:tc>
        <w:tc>
          <w:tcPr>
            <w:tcW w:w="2035" w:type="dxa"/>
            <w:tcBorders>
              <w:top w:val="single" w:color="auto" w:sz="4" w:space="0"/>
              <w:left w:val="single" w:color="auto" w:sz="4" w:space="0"/>
              <w:bottom w:val="single" w:color="auto" w:sz="4" w:space="0"/>
              <w:right w:val="single" w:color="auto" w:sz="4" w:space="0"/>
            </w:tcBorders>
          </w:tcPr>
          <w:p w14:paraId="7DDBFF37">
            <w:pPr>
              <w:snapToGrid w:val="0"/>
              <w:spacing w:before="120" w:beforeLines="50"/>
              <w:ind w:left="43"/>
              <w:jc w:val="center"/>
              <w:rPr>
                <w:rFonts w:hint="eastAsia" w:ascii="宋体" w:hAnsi="宋体"/>
                <w:sz w:val="24"/>
              </w:rPr>
            </w:pPr>
          </w:p>
        </w:tc>
      </w:tr>
      <w:tr w14:paraId="7B41A4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vAlign w:val="center"/>
          </w:tcPr>
          <w:p w14:paraId="168A9EFF">
            <w:pPr>
              <w:jc w:val="center"/>
              <w:rPr>
                <w:rFonts w:hint="eastAsia" w:ascii="宋体" w:hAnsi="宋体"/>
                <w:szCs w:val="21"/>
              </w:rPr>
            </w:pPr>
          </w:p>
        </w:tc>
        <w:tc>
          <w:tcPr>
            <w:tcW w:w="3336" w:type="dxa"/>
            <w:tcBorders>
              <w:top w:val="single" w:color="auto" w:sz="4" w:space="0"/>
              <w:left w:val="single" w:color="auto" w:sz="4" w:space="0"/>
              <w:bottom w:val="single" w:color="auto" w:sz="4" w:space="0"/>
              <w:right w:val="single" w:color="auto" w:sz="4" w:space="0"/>
            </w:tcBorders>
            <w:vAlign w:val="center"/>
          </w:tcPr>
          <w:p w14:paraId="5F026218">
            <w:pPr>
              <w:jc w:val="left"/>
              <w:rPr>
                <w:rFonts w:hint="eastAsia" w:ascii="宋体" w:hAnsi="宋体"/>
                <w:sz w:val="24"/>
              </w:rPr>
            </w:pPr>
          </w:p>
        </w:tc>
        <w:tc>
          <w:tcPr>
            <w:tcW w:w="1760" w:type="dxa"/>
            <w:tcBorders>
              <w:top w:val="single" w:color="auto" w:sz="4" w:space="0"/>
              <w:left w:val="single" w:color="auto" w:sz="4" w:space="0"/>
              <w:bottom w:val="single" w:color="auto" w:sz="4" w:space="0"/>
              <w:right w:val="single" w:color="auto" w:sz="4" w:space="0"/>
            </w:tcBorders>
          </w:tcPr>
          <w:p w14:paraId="797A1B2A">
            <w:pPr>
              <w:snapToGrid w:val="0"/>
              <w:spacing w:before="120" w:beforeLines="50"/>
              <w:ind w:left="43"/>
              <w:jc w:val="center"/>
              <w:rPr>
                <w:rFonts w:hint="eastAsia" w:ascii="宋体" w:hAnsi="宋体"/>
                <w:sz w:val="24"/>
              </w:rPr>
            </w:pPr>
          </w:p>
        </w:tc>
        <w:tc>
          <w:tcPr>
            <w:tcW w:w="2035" w:type="dxa"/>
            <w:tcBorders>
              <w:top w:val="single" w:color="auto" w:sz="4" w:space="0"/>
              <w:left w:val="single" w:color="auto" w:sz="4" w:space="0"/>
              <w:bottom w:val="single" w:color="auto" w:sz="4" w:space="0"/>
              <w:right w:val="single" w:color="auto" w:sz="4" w:space="0"/>
            </w:tcBorders>
          </w:tcPr>
          <w:p w14:paraId="5C712267">
            <w:pPr>
              <w:snapToGrid w:val="0"/>
              <w:spacing w:before="120" w:beforeLines="50"/>
              <w:ind w:left="43"/>
              <w:jc w:val="center"/>
              <w:rPr>
                <w:rFonts w:hint="eastAsia" w:ascii="宋体" w:hAnsi="宋体"/>
                <w:sz w:val="24"/>
              </w:rPr>
            </w:pPr>
          </w:p>
        </w:tc>
      </w:tr>
      <w:tr w14:paraId="1EAA51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206029CE">
            <w:pPr>
              <w:snapToGrid w:val="0"/>
              <w:spacing w:before="120" w:beforeLines="50"/>
              <w:jc w:val="center"/>
              <w:rPr>
                <w:rFonts w:hint="eastAsia" w:ascii="宋体" w:hAnsi="宋体"/>
                <w:sz w:val="24"/>
              </w:rPr>
            </w:pPr>
            <w:r>
              <w:rPr>
                <w:rFonts w:hint="eastAsia" w:ascii="宋体" w:hAnsi="宋体"/>
                <w:sz w:val="24"/>
              </w:rPr>
              <w:t>…</w:t>
            </w:r>
          </w:p>
        </w:tc>
        <w:tc>
          <w:tcPr>
            <w:tcW w:w="3336" w:type="dxa"/>
            <w:tcBorders>
              <w:top w:val="single" w:color="auto" w:sz="4" w:space="0"/>
              <w:left w:val="single" w:color="auto" w:sz="4" w:space="0"/>
              <w:bottom w:val="single" w:color="auto" w:sz="4" w:space="0"/>
              <w:right w:val="single" w:color="auto" w:sz="4" w:space="0"/>
            </w:tcBorders>
          </w:tcPr>
          <w:p w14:paraId="24308F4A">
            <w:pPr>
              <w:snapToGrid w:val="0"/>
              <w:spacing w:before="120" w:beforeLines="50"/>
              <w:jc w:val="center"/>
              <w:rPr>
                <w:rFonts w:hint="eastAsia" w:ascii="宋体" w:hAnsi="宋体"/>
                <w:sz w:val="24"/>
              </w:rPr>
            </w:pPr>
            <w:r>
              <w:rPr>
                <w:rFonts w:hint="eastAsia" w:ascii="宋体" w:hAnsi="宋体"/>
                <w:sz w:val="24"/>
              </w:rPr>
              <w:t>...</w:t>
            </w:r>
          </w:p>
        </w:tc>
        <w:tc>
          <w:tcPr>
            <w:tcW w:w="1760" w:type="dxa"/>
            <w:tcBorders>
              <w:top w:val="single" w:color="auto" w:sz="4" w:space="0"/>
              <w:left w:val="single" w:color="auto" w:sz="4" w:space="0"/>
              <w:bottom w:val="single" w:color="auto" w:sz="4" w:space="0"/>
              <w:right w:val="single" w:color="auto" w:sz="4" w:space="0"/>
            </w:tcBorders>
          </w:tcPr>
          <w:p w14:paraId="75F5E059">
            <w:pPr>
              <w:snapToGrid w:val="0"/>
              <w:spacing w:before="120" w:beforeLines="50"/>
              <w:jc w:val="center"/>
              <w:rPr>
                <w:rFonts w:hint="eastAsia" w:ascii="宋体" w:hAnsi="宋体"/>
                <w:sz w:val="24"/>
              </w:rPr>
            </w:pPr>
            <w:r>
              <w:rPr>
                <w:rFonts w:hint="eastAsia" w:ascii="宋体" w:hAnsi="宋体"/>
                <w:sz w:val="24"/>
              </w:rPr>
              <w:t>...</w:t>
            </w:r>
          </w:p>
        </w:tc>
        <w:tc>
          <w:tcPr>
            <w:tcW w:w="2035" w:type="dxa"/>
            <w:tcBorders>
              <w:top w:val="single" w:color="auto" w:sz="4" w:space="0"/>
              <w:left w:val="single" w:color="auto" w:sz="4" w:space="0"/>
              <w:bottom w:val="single" w:color="auto" w:sz="4" w:space="0"/>
              <w:right w:val="single" w:color="auto" w:sz="4" w:space="0"/>
            </w:tcBorders>
          </w:tcPr>
          <w:p w14:paraId="74ACA7B2">
            <w:pPr>
              <w:snapToGrid w:val="0"/>
              <w:spacing w:before="120" w:beforeLines="50"/>
              <w:jc w:val="center"/>
              <w:rPr>
                <w:rFonts w:hint="eastAsia" w:ascii="宋体" w:hAnsi="宋体"/>
                <w:sz w:val="24"/>
              </w:rPr>
            </w:pPr>
            <w:r>
              <w:rPr>
                <w:rFonts w:hint="eastAsia" w:ascii="宋体" w:hAnsi="宋体"/>
                <w:sz w:val="24"/>
              </w:rPr>
              <w:t>...</w:t>
            </w:r>
          </w:p>
        </w:tc>
      </w:tr>
    </w:tbl>
    <w:p w14:paraId="06F6FD0A">
      <w:pPr>
        <w:pStyle w:val="14"/>
        <w:rPr>
          <w:rFonts w:hint="eastAsia" w:ascii="宋体" w:hAnsi="宋体"/>
        </w:rPr>
      </w:pPr>
      <w:r>
        <w:rPr>
          <w:rFonts w:hint="eastAsia" w:ascii="宋体" w:hAnsi="宋体"/>
        </w:rPr>
        <w:t>注：</w:t>
      </w:r>
    </w:p>
    <w:p w14:paraId="4C5615E4">
      <w:pPr>
        <w:pStyle w:val="15"/>
        <w:spacing w:line="520" w:lineRule="exact"/>
        <w:ind w:firstLine="0"/>
        <w:rPr>
          <w:rFonts w:hint="eastAsia" w:hAnsi="仿宋_GB2312" w:cs="仿宋_GB2312"/>
          <w:szCs w:val="32"/>
        </w:rPr>
      </w:pPr>
      <w:r>
        <w:rPr>
          <w:rFonts w:hint="eastAsia" w:hAnsi="宋体"/>
          <w:sz w:val="24"/>
          <w:szCs w:val="24"/>
        </w:rPr>
        <w:t>1. 说明：应对照采购文件“第二章 采购需求”中的商务要求逐条作明确的投标响应，并作出偏离说明。</w:t>
      </w:r>
    </w:p>
    <w:p w14:paraId="1D929A95">
      <w:pPr>
        <w:pStyle w:val="14"/>
        <w:rPr>
          <w:rFonts w:hint="eastAsia" w:ascii="宋体" w:hAnsi="宋体"/>
        </w:rPr>
      </w:pPr>
      <w:r>
        <w:rPr>
          <w:rFonts w:ascii="宋体" w:hAnsi="宋体"/>
        </w:rPr>
        <w:t>2.</w:t>
      </w:r>
      <w:r>
        <w:rPr>
          <w:rFonts w:hint="eastAsia" w:ascii="宋体" w:hAnsi="宋体"/>
        </w:rPr>
        <w:t>投标人应根据自身的承诺，对照采购文件要求在“偏离说明”中注明“正偏离”“负偏离”或者“无偏离”。既不属于“正偏离”也不属于“负偏离”即为“无偏离”。</w:t>
      </w:r>
    </w:p>
    <w:p w14:paraId="1C40F5F0">
      <w:pPr>
        <w:snapToGrid w:val="0"/>
        <w:spacing w:before="50" w:after="50"/>
        <w:rPr>
          <w:rFonts w:hint="eastAsia" w:ascii="宋体" w:hAnsi="宋体"/>
          <w:sz w:val="24"/>
        </w:rPr>
      </w:pPr>
    </w:p>
    <w:p w14:paraId="0327A752">
      <w:pPr>
        <w:snapToGrid w:val="0"/>
        <w:spacing w:before="50" w:after="50"/>
        <w:rPr>
          <w:rFonts w:hint="eastAsia" w:ascii="宋体" w:hAnsi="宋体"/>
          <w:sz w:val="24"/>
        </w:rPr>
      </w:pPr>
    </w:p>
    <w:p w14:paraId="234AB1EF">
      <w:pPr>
        <w:snapToGrid w:val="0"/>
        <w:spacing w:before="50" w:after="50"/>
        <w:rPr>
          <w:rFonts w:hint="eastAsia" w:ascii="宋体" w:hAnsi="宋体"/>
          <w:spacing w:val="20"/>
          <w:sz w:val="24"/>
          <w:u w:val="single"/>
        </w:rPr>
      </w:pPr>
      <w:r>
        <w:rPr>
          <w:rFonts w:hint="eastAsia" w:ascii="宋体" w:hAnsi="宋体"/>
          <w:sz w:val="24"/>
        </w:rPr>
        <w:t>法定代表人或者委托代理人</w:t>
      </w:r>
      <w:r>
        <w:rPr>
          <w:rFonts w:hint="eastAsia" w:ascii="宋体" w:hAnsi="宋体"/>
          <w:spacing w:val="20"/>
          <w:sz w:val="24"/>
        </w:rPr>
        <w:t>（签字或者电子签名）：</w:t>
      </w:r>
      <w:r>
        <w:rPr>
          <w:rFonts w:hint="eastAsia" w:ascii="宋体" w:hAnsi="宋体"/>
          <w:spacing w:val="20"/>
          <w:sz w:val="24"/>
          <w:u w:val="single"/>
        </w:rPr>
        <w:t xml:space="preserve">        </w:t>
      </w:r>
    </w:p>
    <w:p w14:paraId="0398D9B3">
      <w:pPr>
        <w:snapToGrid w:val="0"/>
        <w:spacing w:before="120" w:beforeLines="50"/>
        <w:rPr>
          <w:rFonts w:hint="eastAsia" w:ascii="宋体" w:hAnsi="宋体"/>
          <w:spacing w:val="20"/>
          <w:sz w:val="24"/>
        </w:rPr>
      </w:pPr>
      <w:r>
        <w:rPr>
          <w:rFonts w:hint="eastAsia" w:ascii="宋体" w:hAnsi="宋体"/>
          <w:spacing w:val="20"/>
          <w:sz w:val="24"/>
        </w:rPr>
        <w:t>投标人名称（电子签章）：</w:t>
      </w:r>
      <w:r>
        <w:rPr>
          <w:rFonts w:hint="eastAsia" w:ascii="宋体" w:hAnsi="宋体"/>
          <w:spacing w:val="20"/>
          <w:sz w:val="24"/>
          <w:u w:val="single"/>
        </w:rPr>
        <w:t xml:space="preserve">            </w:t>
      </w:r>
      <w:r>
        <w:rPr>
          <w:rFonts w:hint="eastAsia" w:ascii="宋体" w:hAnsi="宋体"/>
          <w:spacing w:val="20"/>
          <w:sz w:val="24"/>
        </w:rPr>
        <w:t xml:space="preserve">   </w:t>
      </w:r>
    </w:p>
    <w:p w14:paraId="19E4512A">
      <w:pPr>
        <w:snapToGrid w:val="0"/>
        <w:spacing w:before="120" w:beforeLines="50"/>
        <w:rPr>
          <w:rFonts w:hint="eastAsia" w:ascii="宋体" w:hAnsi="宋体"/>
          <w:sz w:val="24"/>
          <w:szCs w:val="20"/>
        </w:rPr>
      </w:pPr>
      <w:r>
        <w:rPr>
          <w:rFonts w:hint="eastAsia" w:ascii="宋体" w:hAnsi="宋体"/>
          <w:spacing w:val="20"/>
          <w:sz w:val="24"/>
        </w:rPr>
        <w:t>日  期：</w:t>
      </w:r>
      <w:r>
        <w:rPr>
          <w:rFonts w:hint="eastAsia" w:ascii="宋体" w:hAnsi="宋体"/>
          <w:spacing w:val="20"/>
          <w:sz w:val="24"/>
          <w:u w:val="single"/>
        </w:rPr>
        <w:t xml:space="preserve">         </w:t>
      </w:r>
    </w:p>
    <w:p w14:paraId="670A8761">
      <w:pPr>
        <w:snapToGrid w:val="0"/>
        <w:spacing w:before="120" w:beforeLines="50"/>
        <w:rPr>
          <w:rFonts w:hint="eastAsia" w:ascii="宋体" w:hAnsi="宋体"/>
          <w:sz w:val="24"/>
          <w:szCs w:val="20"/>
        </w:rPr>
      </w:pPr>
    </w:p>
    <w:p w14:paraId="19F88D40">
      <w:pPr>
        <w:snapToGrid w:val="0"/>
        <w:spacing w:before="120" w:beforeLines="50" w:after="50"/>
        <w:jc w:val="left"/>
        <w:rPr>
          <w:rFonts w:hint="eastAsia" w:ascii="宋体" w:hAnsi="宋体"/>
          <w:sz w:val="24"/>
          <w:szCs w:val="20"/>
        </w:rPr>
        <w:sectPr>
          <w:footerReference r:id="rId14" w:type="first"/>
          <w:headerReference r:id="rId11" w:type="default"/>
          <w:footerReference r:id="rId12" w:type="default"/>
          <w:footerReference r:id="rId13" w:type="even"/>
          <w:pgSz w:w="11906" w:h="16838"/>
          <w:pgMar w:top="1440" w:right="1797" w:bottom="1440" w:left="1797" w:header="851" w:footer="992" w:gutter="0"/>
          <w:pgNumType w:fmt="decimal"/>
          <w:cols w:space="720" w:num="1"/>
          <w:docGrid w:linePitch="312" w:charSpace="0"/>
        </w:sectPr>
      </w:pPr>
    </w:p>
    <w:p w14:paraId="6F4F9123">
      <w:pPr>
        <w:snapToGrid w:val="0"/>
        <w:spacing w:before="120" w:beforeLines="50" w:after="50"/>
        <w:jc w:val="left"/>
        <w:rPr>
          <w:rFonts w:hint="eastAsia" w:ascii="宋体" w:hAnsi="宋体"/>
          <w:b/>
          <w:sz w:val="24"/>
        </w:rPr>
      </w:pPr>
      <w:r>
        <w:rPr>
          <w:rFonts w:hint="eastAsia" w:ascii="宋体" w:hAnsi="宋体"/>
          <w:b/>
          <w:sz w:val="24"/>
        </w:rPr>
        <w:t>7.投标人业绩证明材料</w:t>
      </w:r>
    </w:p>
    <w:p w14:paraId="5A7FD117">
      <w:pPr>
        <w:pStyle w:val="27"/>
        <w:snapToGrid w:val="0"/>
        <w:ind w:left="480" w:hanging="480"/>
        <w:rPr>
          <w:rFonts w:hint="eastAsia" w:ascii="宋体" w:hAnsi="宋体"/>
          <w:sz w:val="24"/>
        </w:rPr>
      </w:pPr>
    </w:p>
    <w:p w14:paraId="7485566A">
      <w:pPr>
        <w:pStyle w:val="27"/>
        <w:snapToGrid w:val="0"/>
        <w:ind w:left="480" w:hanging="480"/>
        <w:rPr>
          <w:rFonts w:hint="eastAsia" w:ascii="宋体" w:hAnsi="宋体"/>
          <w:sz w:val="24"/>
        </w:rPr>
      </w:pPr>
      <w:r>
        <w:rPr>
          <w:rFonts w:hint="eastAsia" w:ascii="宋体" w:hAnsi="宋体"/>
          <w:sz w:val="24"/>
        </w:rPr>
        <w:t xml:space="preserve">投标人业绩情况一览表格式： </w:t>
      </w:r>
    </w:p>
    <w:tbl>
      <w:tblPr>
        <w:tblStyle w:val="36"/>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33"/>
        <w:gridCol w:w="1770"/>
        <w:gridCol w:w="1770"/>
        <w:gridCol w:w="2855"/>
      </w:tblGrid>
      <w:tr w14:paraId="7A65BC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0" w:hRule="atLeast"/>
        </w:trPr>
        <w:tc>
          <w:tcPr>
            <w:tcW w:w="1250" w:type="pct"/>
            <w:vMerge w:val="restart"/>
            <w:tcBorders>
              <w:top w:val="single" w:color="auto" w:sz="4" w:space="0"/>
              <w:left w:val="single" w:color="auto" w:sz="4" w:space="0"/>
              <w:bottom w:val="single" w:color="auto" w:sz="4" w:space="0"/>
              <w:right w:val="single" w:color="auto" w:sz="4" w:space="0"/>
            </w:tcBorders>
            <w:vAlign w:val="center"/>
          </w:tcPr>
          <w:p w14:paraId="3A511266">
            <w:pPr>
              <w:pStyle w:val="15"/>
              <w:spacing w:line="520" w:lineRule="exact"/>
              <w:ind w:firstLine="0"/>
              <w:jc w:val="center"/>
              <w:rPr>
                <w:rFonts w:hint="eastAsia" w:hAnsi="宋体"/>
                <w:sz w:val="24"/>
                <w:szCs w:val="24"/>
              </w:rPr>
            </w:pPr>
            <w:r>
              <w:rPr>
                <w:rFonts w:hint="eastAsia" w:hAnsi="宋体"/>
                <w:sz w:val="24"/>
                <w:szCs w:val="24"/>
              </w:rPr>
              <w:t>采购人名称</w:t>
            </w:r>
          </w:p>
        </w:tc>
        <w:tc>
          <w:tcPr>
            <w:tcW w:w="1037" w:type="pct"/>
            <w:vMerge w:val="restart"/>
            <w:tcBorders>
              <w:top w:val="single" w:color="auto" w:sz="4" w:space="0"/>
              <w:left w:val="single" w:color="auto" w:sz="4" w:space="0"/>
              <w:bottom w:val="single" w:color="auto" w:sz="4" w:space="0"/>
              <w:right w:val="single" w:color="auto" w:sz="4" w:space="0"/>
            </w:tcBorders>
            <w:vAlign w:val="center"/>
          </w:tcPr>
          <w:p w14:paraId="533BB07D">
            <w:pPr>
              <w:pStyle w:val="15"/>
              <w:spacing w:line="520" w:lineRule="exact"/>
              <w:ind w:firstLine="0"/>
              <w:jc w:val="center"/>
              <w:rPr>
                <w:rFonts w:hint="eastAsia" w:hAnsi="宋体"/>
                <w:sz w:val="24"/>
                <w:szCs w:val="24"/>
              </w:rPr>
            </w:pPr>
            <w:r>
              <w:rPr>
                <w:rFonts w:hint="eastAsia" w:hAnsi="宋体"/>
                <w:sz w:val="24"/>
                <w:szCs w:val="24"/>
              </w:rPr>
              <w:t>项目名称</w:t>
            </w:r>
          </w:p>
        </w:tc>
        <w:tc>
          <w:tcPr>
            <w:tcW w:w="1037" w:type="pct"/>
            <w:vMerge w:val="restart"/>
            <w:tcBorders>
              <w:top w:val="single" w:color="auto" w:sz="4" w:space="0"/>
              <w:left w:val="single" w:color="auto" w:sz="4" w:space="0"/>
              <w:bottom w:val="single" w:color="auto" w:sz="4" w:space="0"/>
              <w:right w:val="single" w:color="auto" w:sz="4" w:space="0"/>
            </w:tcBorders>
            <w:vAlign w:val="center"/>
          </w:tcPr>
          <w:p w14:paraId="33EE98A8">
            <w:pPr>
              <w:pStyle w:val="15"/>
              <w:spacing w:line="520" w:lineRule="exact"/>
              <w:ind w:firstLine="0"/>
              <w:jc w:val="center"/>
              <w:rPr>
                <w:rFonts w:hint="eastAsia" w:hAnsi="宋体"/>
                <w:sz w:val="24"/>
                <w:szCs w:val="24"/>
              </w:rPr>
            </w:pPr>
            <w:r>
              <w:rPr>
                <w:rFonts w:hint="eastAsia" w:hAnsi="宋体"/>
                <w:sz w:val="24"/>
                <w:szCs w:val="24"/>
              </w:rPr>
              <w:t>合同金额</w:t>
            </w:r>
          </w:p>
          <w:p w14:paraId="6363386D">
            <w:pPr>
              <w:pStyle w:val="15"/>
              <w:spacing w:line="520" w:lineRule="exact"/>
              <w:ind w:firstLine="0"/>
              <w:jc w:val="center"/>
              <w:rPr>
                <w:rFonts w:hint="eastAsia" w:hAnsi="宋体"/>
                <w:sz w:val="24"/>
                <w:szCs w:val="24"/>
              </w:rPr>
            </w:pPr>
            <w:r>
              <w:rPr>
                <w:rFonts w:hint="eastAsia" w:hAnsi="宋体"/>
                <w:sz w:val="24"/>
                <w:szCs w:val="24"/>
              </w:rPr>
              <w:t>（万元）</w:t>
            </w:r>
          </w:p>
        </w:tc>
        <w:tc>
          <w:tcPr>
            <w:tcW w:w="1673" w:type="pct"/>
            <w:vMerge w:val="restart"/>
            <w:tcBorders>
              <w:top w:val="single" w:color="auto" w:sz="4" w:space="0"/>
              <w:left w:val="single" w:color="auto" w:sz="4" w:space="0"/>
              <w:bottom w:val="single" w:color="auto" w:sz="4" w:space="0"/>
              <w:right w:val="single" w:color="auto" w:sz="4" w:space="0"/>
            </w:tcBorders>
            <w:vAlign w:val="center"/>
          </w:tcPr>
          <w:p w14:paraId="70788DCE">
            <w:pPr>
              <w:pStyle w:val="15"/>
              <w:spacing w:line="520" w:lineRule="exact"/>
              <w:ind w:firstLine="0"/>
              <w:jc w:val="center"/>
              <w:rPr>
                <w:rFonts w:hint="eastAsia" w:hAnsi="宋体"/>
                <w:sz w:val="24"/>
                <w:szCs w:val="24"/>
              </w:rPr>
            </w:pPr>
            <w:r>
              <w:rPr>
                <w:rFonts w:hint="eastAsia" w:hAnsi="宋体"/>
                <w:sz w:val="24"/>
                <w:szCs w:val="24"/>
              </w:rPr>
              <w:t>采购人联系人及</w:t>
            </w:r>
          </w:p>
          <w:p w14:paraId="5BE4FA5E">
            <w:pPr>
              <w:pStyle w:val="15"/>
              <w:spacing w:line="520" w:lineRule="exact"/>
              <w:ind w:firstLine="0"/>
              <w:jc w:val="center"/>
              <w:rPr>
                <w:rFonts w:hint="eastAsia" w:hAnsi="宋体"/>
                <w:sz w:val="24"/>
                <w:szCs w:val="24"/>
              </w:rPr>
            </w:pPr>
            <w:r>
              <w:rPr>
                <w:rFonts w:hint="eastAsia" w:hAnsi="宋体"/>
                <w:sz w:val="24"/>
                <w:szCs w:val="24"/>
              </w:rPr>
              <w:t>联系电话</w:t>
            </w:r>
          </w:p>
        </w:tc>
      </w:tr>
      <w:tr w14:paraId="28D227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vAlign w:val="center"/>
          </w:tcPr>
          <w:p w14:paraId="2C00E1E5">
            <w:pPr>
              <w:jc w:val="left"/>
              <w:rPr>
                <w:rFonts w:hint="eastAsia" w:ascii="宋体" w:hAnsi="宋体"/>
                <w:sz w:val="24"/>
              </w:rPr>
            </w:pPr>
          </w:p>
        </w:tc>
        <w:tc>
          <w:tcPr>
            <w:tcW w:w="1037" w:type="pct"/>
            <w:vMerge w:val="continue"/>
            <w:tcBorders>
              <w:top w:val="single" w:color="auto" w:sz="4" w:space="0"/>
              <w:left w:val="single" w:color="auto" w:sz="4" w:space="0"/>
              <w:bottom w:val="single" w:color="auto" w:sz="4" w:space="0"/>
              <w:right w:val="single" w:color="auto" w:sz="4" w:space="0"/>
            </w:tcBorders>
            <w:vAlign w:val="center"/>
          </w:tcPr>
          <w:p w14:paraId="38E6DD8B">
            <w:pPr>
              <w:jc w:val="left"/>
              <w:rPr>
                <w:rFonts w:hint="eastAsia" w:ascii="宋体" w:hAnsi="宋体"/>
                <w:sz w:val="24"/>
              </w:rPr>
            </w:pPr>
          </w:p>
        </w:tc>
        <w:tc>
          <w:tcPr>
            <w:tcW w:w="1037" w:type="pct"/>
            <w:vMerge w:val="continue"/>
            <w:tcBorders>
              <w:top w:val="single" w:color="auto" w:sz="4" w:space="0"/>
              <w:left w:val="single" w:color="auto" w:sz="4" w:space="0"/>
              <w:bottom w:val="single" w:color="auto" w:sz="4" w:space="0"/>
              <w:right w:val="single" w:color="auto" w:sz="4" w:space="0"/>
            </w:tcBorders>
            <w:vAlign w:val="center"/>
          </w:tcPr>
          <w:p w14:paraId="0BCDDEB0">
            <w:pPr>
              <w:jc w:val="left"/>
              <w:rPr>
                <w:rFonts w:hint="eastAsia" w:ascii="宋体" w:hAnsi="宋体"/>
                <w:sz w:val="24"/>
              </w:rPr>
            </w:pPr>
          </w:p>
        </w:tc>
        <w:tc>
          <w:tcPr>
            <w:tcW w:w="1673" w:type="pct"/>
            <w:vMerge w:val="continue"/>
            <w:tcBorders>
              <w:top w:val="single" w:color="auto" w:sz="4" w:space="0"/>
              <w:left w:val="single" w:color="auto" w:sz="4" w:space="0"/>
              <w:bottom w:val="single" w:color="auto" w:sz="4" w:space="0"/>
              <w:right w:val="single" w:color="auto" w:sz="4" w:space="0"/>
            </w:tcBorders>
            <w:vAlign w:val="center"/>
          </w:tcPr>
          <w:p w14:paraId="73E4BA76">
            <w:pPr>
              <w:jc w:val="left"/>
              <w:rPr>
                <w:rFonts w:hint="eastAsia" w:ascii="宋体" w:hAnsi="宋体"/>
                <w:sz w:val="24"/>
              </w:rPr>
            </w:pPr>
          </w:p>
        </w:tc>
      </w:tr>
      <w:tr w14:paraId="5B03C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250" w:type="pct"/>
            <w:tcBorders>
              <w:top w:val="single" w:color="auto" w:sz="4" w:space="0"/>
              <w:left w:val="single" w:color="auto" w:sz="4" w:space="0"/>
              <w:bottom w:val="single" w:color="auto" w:sz="4" w:space="0"/>
              <w:right w:val="single" w:color="auto" w:sz="4" w:space="0"/>
            </w:tcBorders>
          </w:tcPr>
          <w:p w14:paraId="213D2D92">
            <w:pPr>
              <w:snapToGrid w:val="0"/>
              <w:spacing w:line="240" w:lineRule="exact"/>
              <w:jc w:val="left"/>
              <w:rPr>
                <w:rFonts w:hint="eastAsia" w:ascii="宋体" w:hAnsi="宋体"/>
                <w:sz w:val="24"/>
              </w:rPr>
            </w:pPr>
          </w:p>
        </w:tc>
        <w:tc>
          <w:tcPr>
            <w:tcW w:w="1037" w:type="pct"/>
            <w:tcBorders>
              <w:top w:val="single" w:color="auto" w:sz="4" w:space="0"/>
              <w:left w:val="single" w:color="auto" w:sz="4" w:space="0"/>
              <w:bottom w:val="single" w:color="auto" w:sz="4" w:space="0"/>
              <w:right w:val="single" w:color="auto" w:sz="4" w:space="0"/>
            </w:tcBorders>
          </w:tcPr>
          <w:p w14:paraId="430A0D82">
            <w:pPr>
              <w:snapToGrid w:val="0"/>
              <w:spacing w:line="240" w:lineRule="exact"/>
              <w:jc w:val="left"/>
              <w:rPr>
                <w:rFonts w:hint="eastAsia" w:ascii="宋体" w:hAnsi="宋体"/>
                <w:sz w:val="24"/>
              </w:rPr>
            </w:pPr>
          </w:p>
        </w:tc>
        <w:tc>
          <w:tcPr>
            <w:tcW w:w="1037" w:type="pct"/>
            <w:tcBorders>
              <w:top w:val="single" w:color="auto" w:sz="4" w:space="0"/>
              <w:left w:val="single" w:color="auto" w:sz="4" w:space="0"/>
              <w:bottom w:val="single" w:color="auto" w:sz="4" w:space="0"/>
              <w:right w:val="single" w:color="auto" w:sz="4" w:space="0"/>
            </w:tcBorders>
          </w:tcPr>
          <w:p w14:paraId="73B51B66">
            <w:pPr>
              <w:snapToGrid w:val="0"/>
              <w:spacing w:line="240" w:lineRule="exact"/>
              <w:jc w:val="left"/>
              <w:rPr>
                <w:rFonts w:hint="eastAsia" w:ascii="宋体" w:hAnsi="宋体"/>
                <w:sz w:val="24"/>
              </w:rPr>
            </w:pPr>
          </w:p>
        </w:tc>
        <w:tc>
          <w:tcPr>
            <w:tcW w:w="1673" w:type="pct"/>
            <w:tcBorders>
              <w:top w:val="single" w:color="auto" w:sz="4" w:space="0"/>
              <w:left w:val="single" w:color="auto" w:sz="4" w:space="0"/>
              <w:bottom w:val="single" w:color="auto" w:sz="4" w:space="0"/>
              <w:right w:val="single" w:color="auto" w:sz="4" w:space="0"/>
            </w:tcBorders>
          </w:tcPr>
          <w:p w14:paraId="05E91CD5">
            <w:pPr>
              <w:snapToGrid w:val="0"/>
              <w:spacing w:line="240" w:lineRule="exact"/>
              <w:jc w:val="left"/>
              <w:rPr>
                <w:rFonts w:hint="eastAsia" w:ascii="宋体" w:hAnsi="宋体"/>
                <w:sz w:val="24"/>
              </w:rPr>
            </w:pPr>
          </w:p>
        </w:tc>
      </w:tr>
      <w:tr w14:paraId="2987D0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3AC68E06">
            <w:pPr>
              <w:snapToGrid w:val="0"/>
              <w:spacing w:before="50" w:after="120" w:afterLines="50" w:line="400" w:lineRule="exact"/>
              <w:jc w:val="left"/>
              <w:rPr>
                <w:rFonts w:hint="eastAsia" w:ascii="宋体" w:hAnsi="宋体"/>
                <w:sz w:val="24"/>
              </w:rPr>
            </w:pPr>
          </w:p>
        </w:tc>
        <w:tc>
          <w:tcPr>
            <w:tcW w:w="1037" w:type="pct"/>
            <w:tcBorders>
              <w:top w:val="single" w:color="auto" w:sz="4" w:space="0"/>
              <w:left w:val="single" w:color="auto" w:sz="4" w:space="0"/>
              <w:bottom w:val="single" w:color="auto" w:sz="4" w:space="0"/>
              <w:right w:val="single" w:color="auto" w:sz="4" w:space="0"/>
            </w:tcBorders>
          </w:tcPr>
          <w:p w14:paraId="6E436141">
            <w:pPr>
              <w:snapToGrid w:val="0"/>
              <w:spacing w:before="50" w:after="120" w:afterLines="50" w:line="400" w:lineRule="exact"/>
              <w:jc w:val="left"/>
              <w:rPr>
                <w:rFonts w:hint="eastAsia" w:ascii="宋体" w:hAnsi="宋体"/>
                <w:sz w:val="24"/>
              </w:rPr>
            </w:pPr>
          </w:p>
        </w:tc>
        <w:tc>
          <w:tcPr>
            <w:tcW w:w="1037" w:type="pct"/>
            <w:tcBorders>
              <w:top w:val="single" w:color="auto" w:sz="4" w:space="0"/>
              <w:left w:val="single" w:color="auto" w:sz="4" w:space="0"/>
              <w:bottom w:val="single" w:color="auto" w:sz="4" w:space="0"/>
              <w:right w:val="single" w:color="auto" w:sz="4" w:space="0"/>
            </w:tcBorders>
          </w:tcPr>
          <w:p w14:paraId="29F6FC17">
            <w:pPr>
              <w:snapToGrid w:val="0"/>
              <w:spacing w:before="50" w:after="120" w:afterLines="50" w:line="400" w:lineRule="exact"/>
              <w:jc w:val="left"/>
              <w:rPr>
                <w:rFonts w:hint="eastAsia" w:ascii="宋体" w:hAnsi="宋体"/>
                <w:sz w:val="24"/>
              </w:rPr>
            </w:pPr>
          </w:p>
        </w:tc>
        <w:tc>
          <w:tcPr>
            <w:tcW w:w="1673" w:type="pct"/>
            <w:tcBorders>
              <w:top w:val="single" w:color="auto" w:sz="4" w:space="0"/>
              <w:left w:val="single" w:color="auto" w:sz="4" w:space="0"/>
              <w:bottom w:val="single" w:color="auto" w:sz="4" w:space="0"/>
              <w:right w:val="single" w:color="auto" w:sz="4" w:space="0"/>
            </w:tcBorders>
          </w:tcPr>
          <w:p w14:paraId="0331D367">
            <w:pPr>
              <w:snapToGrid w:val="0"/>
              <w:spacing w:before="50" w:after="120" w:afterLines="50" w:line="400" w:lineRule="exact"/>
              <w:jc w:val="left"/>
              <w:rPr>
                <w:rFonts w:hint="eastAsia" w:ascii="宋体" w:hAnsi="宋体"/>
                <w:sz w:val="24"/>
              </w:rPr>
            </w:pPr>
          </w:p>
        </w:tc>
      </w:tr>
      <w:tr w14:paraId="54A7E9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tcPr>
          <w:p w14:paraId="5A47BD21">
            <w:pPr>
              <w:snapToGrid w:val="0"/>
              <w:spacing w:before="50" w:after="120" w:afterLines="50" w:line="400" w:lineRule="exact"/>
              <w:jc w:val="left"/>
              <w:rPr>
                <w:rFonts w:hint="eastAsia" w:ascii="宋体" w:hAnsi="宋体"/>
                <w:sz w:val="24"/>
              </w:rPr>
            </w:pPr>
          </w:p>
        </w:tc>
        <w:tc>
          <w:tcPr>
            <w:tcW w:w="1037" w:type="pct"/>
            <w:tcBorders>
              <w:top w:val="single" w:color="auto" w:sz="4" w:space="0"/>
              <w:left w:val="single" w:color="auto" w:sz="4" w:space="0"/>
              <w:bottom w:val="single" w:color="auto" w:sz="4" w:space="0"/>
              <w:right w:val="single" w:color="auto" w:sz="4" w:space="0"/>
            </w:tcBorders>
          </w:tcPr>
          <w:p w14:paraId="0D2F8E9B">
            <w:pPr>
              <w:snapToGrid w:val="0"/>
              <w:spacing w:before="50" w:after="120" w:afterLines="50" w:line="400" w:lineRule="exact"/>
              <w:jc w:val="left"/>
              <w:rPr>
                <w:rFonts w:hint="eastAsia" w:ascii="宋体" w:hAnsi="宋体"/>
                <w:sz w:val="24"/>
              </w:rPr>
            </w:pPr>
          </w:p>
        </w:tc>
        <w:tc>
          <w:tcPr>
            <w:tcW w:w="1037" w:type="pct"/>
            <w:tcBorders>
              <w:top w:val="single" w:color="auto" w:sz="4" w:space="0"/>
              <w:left w:val="single" w:color="auto" w:sz="4" w:space="0"/>
              <w:bottom w:val="single" w:color="auto" w:sz="4" w:space="0"/>
              <w:right w:val="single" w:color="auto" w:sz="4" w:space="0"/>
            </w:tcBorders>
          </w:tcPr>
          <w:p w14:paraId="747E8E32">
            <w:pPr>
              <w:snapToGrid w:val="0"/>
              <w:spacing w:before="50" w:after="120" w:afterLines="50" w:line="400" w:lineRule="exact"/>
              <w:jc w:val="left"/>
              <w:rPr>
                <w:rFonts w:hint="eastAsia" w:ascii="宋体" w:hAnsi="宋体"/>
                <w:sz w:val="24"/>
              </w:rPr>
            </w:pPr>
          </w:p>
        </w:tc>
        <w:tc>
          <w:tcPr>
            <w:tcW w:w="1673" w:type="pct"/>
            <w:tcBorders>
              <w:top w:val="single" w:color="auto" w:sz="4" w:space="0"/>
              <w:left w:val="single" w:color="auto" w:sz="4" w:space="0"/>
              <w:bottom w:val="single" w:color="auto" w:sz="4" w:space="0"/>
              <w:right w:val="single" w:color="auto" w:sz="4" w:space="0"/>
            </w:tcBorders>
          </w:tcPr>
          <w:p w14:paraId="362215B7">
            <w:pPr>
              <w:snapToGrid w:val="0"/>
              <w:spacing w:before="50" w:after="120" w:afterLines="50" w:line="400" w:lineRule="exact"/>
              <w:jc w:val="left"/>
              <w:rPr>
                <w:rFonts w:hint="eastAsia" w:ascii="宋体" w:hAnsi="宋体"/>
                <w:sz w:val="24"/>
              </w:rPr>
            </w:pPr>
          </w:p>
        </w:tc>
      </w:tr>
      <w:tr w14:paraId="12652B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48B84295">
            <w:pPr>
              <w:snapToGrid w:val="0"/>
              <w:spacing w:before="50" w:after="120" w:afterLines="50" w:line="400" w:lineRule="exact"/>
              <w:jc w:val="left"/>
              <w:rPr>
                <w:rFonts w:hint="eastAsia" w:ascii="宋体" w:hAnsi="宋体"/>
                <w:sz w:val="24"/>
              </w:rPr>
            </w:pPr>
          </w:p>
        </w:tc>
        <w:tc>
          <w:tcPr>
            <w:tcW w:w="1037" w:type="pct"/>
            <w:tcBorders>
              <w:top w:val="single" w:color="auto" w:sz="4" w:space="0"/>
              <w:left w:val="single" w:color="auto" w:sz="4" w:space="0"/>
              <w:bottom w:val="single" w:color="auto" w:sz="4" w:space="0"/>
              <w:right w:val="single" w:color="auto" w:sz="4" w:space="0"/>
            </w:tcBorders>
          </w:tcPr>
          <w:p w14:paraId="5FDF1EFA">
            <w:pPr>
              <w:snapToGrid w:val="0"/>
              <w:spacing w:before="50" w:after="120" w:afterLines="50" w:line="400" w:lineRule="exact"/>
              <w:jc w:val="left"/>
              <w:rPr>
                <w:rFonts w:hint="eastAsia" w:ascii="宋体" w:hAnsi="宋体"/>
                <w:sz w:val="24"/>
              </w:rPr>
            </w:pPr>
          </w:p>
        </w:tc>
        <w:tc>
          <w:tcPr>
            <w:tcW w:w="1037" w:type="pct"/>
            <w:tcBorders>
              <w:top w:val="single" w:color="auto" w:sz="4" w:space="0"/>
              <w:left w:val="single" w:color="auto" w:sz="4" w:space="0"/>
              <w:bottom w:val="single" w:color="auto" w:sz="4" w:space="0"/>
              <w:right w:val="single" w:color="auto" w:sz="4" w:space="0"/>
            </w:tcBorders>
          </w:tcPr>
          <w:p w14:paraId="0DB4364A">
            <w:pPr>
              <w:snapToGrid w:val="0"/>
              <w:spacing w:before="50" w:after="120" w:afterLines="50" w:line="400" w:lineRule="exact"/>
              <w:jc w:val="left"/>
              <w:rPr>
                <w:rFonts w:hint="eastAsia" w:ascii="宋体" w:hAnsi="宋体"/>
                <w:sz w:val="24"/>
              </w:rPr>
            </w:pPr>
          </w:p>
        </w:tc>
        <w:tc>
          <w:tcPr>
            <w:tcW w:w="1673" w:type="pct"/>
            <w:tcBorders>
              <w:top w:val="single" w:color="auto" w:sz="4" w:space="0"/>
              <w:left w:val="single" w:color="auto" w:sz="4" w:space="0"/>
              <w:bottom w:val="single" w:color="auto" w:sz="4" w:space="0"/>
              <w:right w:val="single" w:color="auto" w:sz="4" w:space="0"/>
            </w:tcBorders>
          </w:tcPr>
          <w:p w14:paraId="559363B6">
            <w:pPr>
              <w:snapToGrid w:val="0"/>
              <w:spacing w:before="50" w:after="120" w:afterLines="50" w:line="400" w:lineRule="exact"/>
              <w:jc w:val="left"/>
              <w:rPr>
                <w:rFonts w:hint="eastAsia" w:ascii="宋体" w:hAnsi="宋体"/>
                <w:sz w:val="24"/>
              </w:rPr>
            </w:pPr>
          </w:p>
        </w:tc>
      </w:tr>
      <w:tr w14:paraId="04C86F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4E33C3E3">
            <w:pPr>
              <w:snapToGrid w:val="0"/>
              <w:spacing w:before="50" w:after="120" w:afterLines="50" w:line="400" w:lineRule="exact"/>
              <w:jc w:val="left"/>
              <w:rPr>
                <w:rFonts w:hint="eastAsia" w:ascii="宋体" w:hAnsi="宋体"/>
                <w:sz w:val="24"/>
              </w:rPr>
            </w:pPr>
          </w:p>
        </w:tc>
        <w:tc>
          <w:tcPr>
            <w:tcW w:w="1037" w:type="pct"/>
            <w:tcBorders>
              <w:top w:val="single" w:color="auto" w:sz="4" w:space="0"/>
              <w:left w:val="single" w:color="auto" w:sz="4" w:space="0"/>
              <w:bottom w:val="single" w:color="auto" w:sz="4" w:space="0"/>
              <w:right w:val="single" w:color="auto" w:sz="4" w:space="0"/>
            </w:tcBorders>
          </w:tcPr>
          <w:p w14:paraId="32EEB8D4">
            <w:pPr>
              <w:snapToGrid w:val="0"/>
              <w:spacing w:before="50" w:after="120" w:afterLines="50" w:line="400" w:lineRule="exact"/>
              <w:jc w:val="left"/>
              <w:rPr>
                <w:rFonts w:hint="eastAsia" w:ascii="宋体" w:hAnsi="宋体"/>
                <w:sz w:val="24"/>
              </w:rPr>
            </w:pPr>
          </w:p>
        </w:tc>
        <w:tc>
          <w:tcPr>
            <w:tcW w:w="1037" w:type="pct"/>
            <w:tcBorders>
              <w:top w:val="single" w:color="auto" w:sz="4" w:space="0"/>
              <w:left w:val="single" w:color="auto" w:sz="4" w:space="0"/>
              <w:bottom w:val="single" w:color="auto" w:sz="4" w:space="0"/>
              <w:right w:val="single" w:color="auto" w:sz="4" w:space="0"/>
            </w:tcBorders>
          </w:tcPr>
          <w:p w14:paraId="0B355CEF">
            <w:pPr>
              <w:snapToGrid w:val="0"/>
              <w:spacing w:before="50" w:after="120" w:afterLines="50" w:line="400" w:lineRule="exact"/>
              <w:jc w:val="left"/>
              <w:rPr>
                <w:rFonts w:hint="eastAsia" w:ascii="宋体" w:hAnsi="宋体"/>
                <w:sz w:val="24"/>
              </w:rPr>
            </w:pPr>
          </w:p>
        </w:tc>
        <w:tc>
          <w:tcPr>
            <w:tcW w:w="1673" w:type="pct"/>
            <w:tcBorders>
              <w:top w:val="single" w:color="auto" w:sz="4" w:space="0"/>
              <w:left w:val="single" w:color="auto" w:sz="4" w:space="0"/>
              <w:bottom w:val="single" w:color="auto" w:sz="4" w:space="0"/>
              <w:right w:val="single" w:color="auto" w:sz="4" w:space="0"/>
            </w:tcBorders>
          </w:tcPr>
          <w:p w14:paraId="193AEDFB">
            <w:pPr>
              <w:snapToGrid w:val="0"/>
              <w:spacing w:before="50" w:after="120" w:afterLines="50" w:line="400" w:lineRule="exact"/>
              <w:jc w:val="left"/>
              <w:rPr>
                <w:rFonts w:hint="eastAsia" w:ascii="宋体" w:hAnsi="宋体"/>
                <w:sz w:val="24"/>
              </w:rPr>
            </w:pPr>
          </w:p>
        </w:tc>
      </w:tr>
    </w:tbl>
    <w:p w14:paraId="18703FB9">
      <w:pPr>
        <w:pStyle w:val="11"/>
        <w:spacing w:before="0" w:after="0" w:line="360" w:lineRule="auto"/>
        <w:contextualSpacing/>
        <w:rPr>
          <w:rFonts w:hint="eastAsia" w:ascii="宋体" w:hAnsi="宋体" w:eastAsia="宋体"/>
          <w:sz w:val="24"/>
          <w:szCs w:val="24"/>
        </w:rPr>
      </w:pPr>
    </w:p>
    <w:p w14:paraId="25495ED2">
      <w:pPr>
        <w:pStyle w:val="11"/>
        <w:spacing w:before="0" w:after="0" w:line="360" w:lineRule="auto"/>
        <w:contextualSpacing/>
        <w:rPr>
          <w:rFonts w:hint="eastAsia" w:ascii="宋体" w:hAnsi="宋体" w:eastAsia="宋体"/>
          <w:sz w:val="24"/>
          <w:szCs w:val="24"/>
        </w:rPr>
      </w:pPr>
      <w:r>
        <w:rPr>
          <w:rFonts w:hint="eastAsia" w:ascii="宋体" w:hAnsi="宋体" w:eastAsia="宋体"/>
          <w:sz w:val="24"/>
          <w:szCs w:val="24"/>
        </w:rPr>
        <w:t>注：</w:t>
      </w:r>
      <w:r>
        <w:rPr>
          <w:rFonts w:hint="eastAsia" w:ascii="宋体" w:hAnsi="宋体"/>
          <w:sz w:val="24"/>
        </w:rPr>
        <w:t>投标人根据评标标准具体要求附业绩证明材料。</w:t>
      </w:r>
    </w:p>
    <w:p w14:paraId="0AC76420">
      <w:pPr>
        <w:pStyle w:val="11"/>
        <w:spacing w:before="0" w:after="0" w:line="360" w:lineRule="auto"/>
        <w:contextualSpacing/>
        <w:jc w:val="left"/>
        <w:rPr>
          <w:rFonts w:hint="eastAsia" w:ascii="宋体" w:hAnsi="宋体" w:eastAsia="宋体"/>
          <w:sz w:val="24"/>
          <w:szCs w:val="24"/>
          <w:u w:val="single"/>
        </w:rPr>
      </w:pPr>
      <w:r>
        <w:rPr>
          <w:rFonts w:hint="eastAsia" w:ascii="宋体" w:hAnsi="宋体" w:eastAsia="宋体"/>
          <w:sz w:val="24"/>
          <w:szCs w:val="24"/>
        </w:rPr>
        <w:t>法定代表人或者委托代理人（签字或者电子签名）：</w:t>
      </w:r>
      <w:r>
        <w:rPr>
          <w:rFonts w:hint="eastAsia" w:ascii="宋体" w:hAnsi="宋体" w:eastAsia="宋体"/>
          <w:sz w:val="24"/>
          <w:szCs w:val="24"/>
          <w:u w:val="single"/>
        </w:rPr>
        <w:t>　　　　　</w:t>
      </w:r>
    </w:p>
    <w:p w14:paraId="1E58DE31">
      <w:pPr>
        <w:spacing w:line="360" w:lineRule="auto"/>
        <w:ind w:right="480"/>
        <w:contextualSpacing/>
        <w:jc w:val="left"/>
        <w:rPr>
          <w:rFonts w:hint="eastAsia" w:ascii="宋体" w:hAnsi="宋体"/>
          <w:sz w:val="24"/>
          <w:szCs w:val="20"/>
        </w:rPr>
      </w:pPr>
      <w:r>
        <w:rPr>
          <w:rFonts w:hint="eastAsia" w:ascii="宋体" w:hAnsi="宋体" w:cs="Arial"/>
          <w:sz w:val="24"/>
        </w:rPr>
        <w:t xml:space="preserve">投标人名称（电子签章）： </w:t>
      </w:r>
      <w:r>
        <w:rPr>
          <w:rFonts w:hint="eastAsia" w:ascii="宋体" w:hAnsi="宋体"/>
          <w:sz w:val="24"/>
          <w:u w:val="single"/>
        </w:rPr>
        <w:t xml:space="preserve">                </w:t>
      </w:r>
      <w:r>
        <w:rPr>
          <w:rFonts w:hint="eastAsia" w:ascii="宋体" w:hAnsi="宋体"/>
          <w:sz w:val="24"/>
        </w:rPr>
        <w:t xml:space="preserve">                                                               年    月    日</w:t>
      </w:r>
    </w:p>
    <w:p w14:paraId="5250CAFA">
      <w:pPr>
        <w:snapToGrid w:val="0"/>
        <w:spacing w:before="120" w:beforeLines="50" w:after="50"/>
        <w:jc w:val="left"/>
        <w:rPr>
          <w:rFonts w:hint="eastAsia" w:ascii="方正小标宋简体" w:hAnsi="方正小标宋简体" w:eastAsia="方正小标宋简体" w:cs="方正小标宋简体"/>
          <w:bCs/>
          <w:szCs w:val="21"/>
        </w:rPr>
      </w:pPr>
      <w:r>
        <w:rPr>
          <w:rFonts w:ascii="宋体" w:hAnsi="宋体"/>
          <w:sz w:val="24"/>
        </w:rPr>
        <w:br w:type="page"/>
      </w:r>
      <w:r>
        <w:rPr>
          <w:rFonts w:hint="eastAsia" w:ascii="宋体" w:hAnsi="宋体"/>
          <w:sz w:val="24"/>
        </w:rPr>
        <w:t>8.</w:t>
      </w:r>
      <w:r>
        <w:rPr>
          <w:rFonts w:hint="eastAsia" w:ascii="方正小标宋简体" w:hAnsi="方正小标宋简体" w:eastAsia="方正小标宋简体" w:cs="方正小标宋简体"/>
          <w:bCs/>
          <w:szCs w:val="21"/>
        </w:rPr>
        <w:t xml:space="preserve"> 代理服务费承诺书</w:t>
      </w:r>
    </w:p>
    <w:p w14:paraId="0087B61C">
      <w:pPr>
        <w:snapToGrid w:val="0"/>
        <w:spacing w:before="120" w:beforeLines="50" w:after="50"/>
        <w:jc w:val="left"/>
        <w:rPr>
          <w:rFonts w:hint="eastAsia" w:ascii="方正小标宋简体" w:hAnsi="方正小标宋简体" w:eastAsia="方正小标宋简体" w:cs="方正小标宋简体"/>
          <w:bCs/>
          <w:szCs w:val="21"/>
        </w:rPr>
      </w:pPr>
    </w:p>
    <w:p w14:paraId="7162091D">
      <w:pPr>
        <w:snapToGrid w:val="0"/>
        <w:spacing w:before="120"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代理服务费承诺书</w:t>
      </w:r>
    </w:p>
    <w:p w14:paraId="59049F89">
      <w:pPr>
        <w:snapToGrid w:val="0"/>
        <w:spacing w:before="120" w:beforeLines="50" w:after="50"/>
        <w:jc w:val="center"/>
        <w:rPr>
          <w:rFonts w:hint="eastAsia" w:ascii="宋体" w:hAnsi="宋体"/>
          <w:b/>
          <w:sz w:val="24"/>
        </w:rPr>
      </w:pPr>
    </w:p>
    <w:p w14:paraId="216935D8">
      <w:pPr>
        <w:spacing w:line="360" w:lineRule="auto"/>
        <w:rPr>
          <w:rFonts w:hint="eastAsia" w:ascii="宋体" w:hAnsi="宋体"/>
          <w:b/>
          <w:bCs/>
          <w:sz w:val="24"/>
        </w:rPr>
      </w:pPr>
      <w:r>
        <w:rPr>
          <w:rFonts w:hint="eastAsia" w:ascii="宋体" w:hAnsi="宋体"/>
          <w:bCs/>
          <w:sz w:val="24"/>
        </w:rPr>
        <w:t>致：</w:t>
      </w:r>
      <w:r>
        <w:rPr>
          <w:rFonts w:hint="eastAsia" w:ascii="宋体" w:hAnsi="宋体"/>
          <w:sz w:val="24"/>
          <w:u w:val="single"/>
        </w:rPr>
        <w:t>招标代理机构名称</w:t>
      </w:r>
      <w:r>
        <w:rPr>
          <w:rFonts w:hint="eastAsia" w:ascii="宋体" w:hAnsi="宋体"/>
          <w:sz w:val="24"/>
        </w:rPr>
        <w:t>：</w:t>
      </w:r>
    </w:p>
    <w:p w14:paraId="5C436899">
      <w:pPr>
        <w:spacing w:line="360" w:lineRule="auto"/>
        <w:ind w:firstLine="480" w:firstLineChars="200"/>
        <w:rPr>
          <w:rFonts w:hint="eastAsia" w:ascii="宋体" w:hAnsi="宋体"/>
          <w:sz w:val="24"/>
        </w:rPr>
      </w:pPr>
      <w:r>
        <w:rPr>
          <w:rFonts w:hint="eastAsia" w:ascii="宋体" w:hAnsi="宋体"/>
          <w:sz w:val="24"/>
        </w:rPr>
        <w:t>本单位参加了贵方组织的</w:t>
      </w:r>
      <w:r>
        <w:rPr>
          <w:rFonts w:hint="eastAsia" w:ascii="宋体" w:hAnsi="宋体"/>
          <w:sz w:val="24"/>
          <w:u w:val="single"/>
        </w:rPr>
        <w:t xml:space="preserve">  项目名称（项目编号）  </w:t>
      </w:r>
      <w:r>
        <w:rPr>
          <w:rFonts w:hint="eastAsia" w:ascii="宋体" w:hAnsi="宋体"/>
          <w:sz w:val="24"/>
        </w:rPr>
        <w:t>项目， 在此说明如下：</w:t>
      </w:r>
    </w:p>
    <w:p w14:paraId="21109A37">
      <w:pPr>
        <w:spacing w:line="360" w:lineRule="auto"/>
        <w:ind w:firstLine="360" w:firstLineChars="150"/>
        <w:rPr>
          <w:rFonts w:hint="eastAsia" w:ascii="宋体" w:hAnsi="宋体"/>
          <w:sz w:val="24"/>
        </w:rPr>
      </w:pPr>
      <w:r>
        <w:rPr>
          <w:rFonts w:hint="eastAsia" w:ascii="宋体" w:hAnsi="宋体"/>
          <w:sz w:val="24"/>
        </w:rPr>
        <w:t>1.我方承诺，若本单位中标，保证在发出中标通知书之后，按本项目采购文件的规定标准向贵单位一次性足额支付代理服务费， 在领取中标通知书后，由于被质疑、投诉或者其他原因而导致中标结果改变，我方将放弃对已缴纳的中标服务费追还的一切权利。</w:t>
      </w:r>
    </w:p>
    <w:p w14:paraId="14F8E149">
      <w:pPr>
        <w:spacing w:line="360" w:lineRule="auto"/>
        <w:ind w:firstLine="360" w:firstLineChars="150"/>
        <w:rPr>
          <w:rFonts w:hint="eastAsia" w:ascii="宋体" w:hAnsi="宋体"/>
          <w:sz w:val="24"/>
        </w:rPr>
      </w:pPr>
      <w:r>
        <w:rPr>
          <w:rFonts w:hint="eastAsia" w:ascii="宋体" w:hAnsi="宋体"/>
          <w:sz w:val="24"/>
        </w:rPr>
        <w:t>2.本单位选择第</w:t>
      </w:r>
      <w:r>
        <w:rPr>
          <w:rFonts w:hint="eastAsia" w:ascii="宋体" w:hAnsi="宋体"/>
          <w:sz w:val="24"/>
          <w:u w:val="single"/>
        </w:rPr>
        <w:t xml:space="preserve">     </w:t>
      </w:r>
      <w:r>
        <w:rPr>
          <w:rFonts w:hint="eastAsia" w:ascii="宋体" w:hAnsi="宋体"/>
          <w:sz w:val="24"/>
        </w:rPr>
        <w:t>种方式作为代理服务费开票类型：</w:t>
      </w:r>
    </w:p>
    <w:p w14:paraId="2AE774EE">
      <w:pPr>
        <w:spacing w:line="360" w:lineRule="auto"/>
        <w:ind w:firstLine="360" w:firstLineChars="150"/>
        <w:rPr>
          <w:rFonts w:hint="eastAsia" w:ascii="宋体" w:hAnsi="宋体"/>
          <w:sz w:val="24"/>
        </w:rPr>
      </w:pPr>
      <w:r>
        <w:rPr>
          <w:rFonts w:hint="eastAsia" w:ascii="宋体" w:hAnsi="宋体"/>
          <w:sz w:val="24"/>
        </w:rPr>
        <w:t>第一种方式：开具增值税普通发票。开票信息如下：</w:t>
      </w:r>
    </w:p>
    <w:p w14:paraId="0C7D85E9">
      <w:pPr>
        <w:spacing w:line="360" w:lineRule="auto"/>
        <w:ind w:firstLine="360" w:firstLineChars="150"/>
        <w:rPr>
          <w:rFonts w:hint="eastAsia" w:ascii="宋体" w:hAnsi="宋体"/>
          <w:sz w:val="24"/>
        </w:rPr>
      </w:pPr>
      <w:r>
        <w:rPr>
          <w:rFonts w:hint="eastAsia" w:ascii="宋体" w:hAnsi="宋体"/>
          <w:sz w:val="24"/>
        </w:rPr>
        <w:t>（1）公司名称</w:t>
      </w:r>
      <w:r>
        <w:rPr>
          <w:rFonts w:hint="eastAsia" w:ascii="宋体" w:hAnsi="宋体"/>
          <w:sz w:val="24"/>
          <w:u w:val="single"/>
        </w:rPr>
        <w:t xml:space="preserve">                          </w:t>
      </w:r>
      <w:r>
        <w:rPr>
          <w:rFonts w:hint="eastAsia" w:ascii="宋体" w:hAnsi="宋体"/>
          <w:sz w:val="24"/>
        </w:rPr>
        <w:t>；</w:t>
      </w:r>
    </w:p>
    <w:p w14:paraId="4686FF01">
      <w:pPr>
        <w:spacing w:line="360" w:lineRule="auto"/>
        <w:ind w:firstLine="360" w:firstLineChars="150"/>
        <w:rPr>
          <w:rFonts w:hint="eastAsia" w:ascii="宋体" w:hAnsi="宋体"/>
          <w:sz w:val="24"/>
        </w:rPr>
      </w:pPr>
      <w:r>
        <w:rPr>
          <w:rFonts w:hint="eastAsia" w:ascii="宋体" w:hAnsi="宋体"/>
          <w:sz w:val="24"/>
        </w:rPr>
        <w:t>（2）纳税人识别号</w:t>
      </w:r>
      <w:r>
        <w:rPr>
          <w:rFonts w:hint="eastAsia" w:ascii="宋体" w:hAnsi="宋体"/>
          <w:sz w:val="24"/>
          <w:u w:val="single"/>
        </w:rPr>
        <w:t xml:space="preserve">                      </w:t>
      </w:r>
      <w:r>
        <w:rPr>
          <w:rFonts w:hint="eastAsia" w:ascii="宋体" w:hAnsi="宋体"/>
          <w:sz w:val="24"/>
        </w:rPr>
        <w:t>。</w:t>
      </w:r>
    </w:p>
    <w:p w14:paraId="43F1AE84">
      <w:pPr>
        <w:spacing w:line="360" w:lineRule="auto"/>
        <w:ind w:firstLine="360" w:firstLineChars="150"/>
        <w:rPr>
          <w:rFonts w:hint="eastAsia" w:ascii="宋体" w:hAnsi="宋体"/>
          <w:sz w:val="24"/>
        </w:rPr>
      </w:pPr>
      <w:r>
        <w:rPr>
          <w:rFonts w:hint="eastAsia" w:ascii="宋体" w:hAnsi="宋体"/>
          <w:sz w:val="24"/>
        </w:rPr>
        <w:t>第二种方式：开具增值税专用发票，开票信息如下：</w:t>
      </w:r>
    </w:p>
    <w:p w14:paraId="29C0E009">
      <w:pPr>
        <w:spacing w:line="360" w:lineRule="auto"/>
        <w:ind w:firstLine="360" w:firstLineChars="150"/>
        <w:rPr>
          <w:rFonts w:hint="eastAsia" w:ascii="宋体" w:hAnsi="宋体"/>
          <w:sz w:val="24"/>
        </w:rPr>
      </w:pPr>
      <w:r>
        <w:rPr>
          <w:rFonts w:hint="eastAsia" w:ascii="宋体" w:hAnsi="宋体"/>
          <w:sz w:val="24"/>
        </w:rPr>
        <w:t>（1）公司名称</w:t>
      </w:r>
      <w:r>
        <w:rPr>
          <w:rFonts w:hint="eastAsia" w:ascii="宋体" w:hAnsi="宋体"/>
          <w:sz w:val="24"/>
          <w:u w:val="single"/>
        </w:rPr>
        <w:t xml:space="preserve">                          </w:t>
      </w:r>
      <w:r>
        <w:rPr>
          <w:rFonts w:hint="eastAsia" w:ascii="宋体" w:hAnsi="宋体"/>
          <w:sz w:val="24"/>
        </w:rPr>
        <w:t>；</w:t>
      </w:r>
    </w:p>
    <w:p w14:paraId="675F8A31">
      <w:pPr>
        <w:spacing w:line="360" w:lineRule="auto"/>
        <w:ind w:firstLine="360" w:firstLineChars="150"/>
        <w:rPr>
          <w:rFonts w:hint="eastAsia" w:ascii="宋体" w:hAnsi="宋体"/>
          <w:sz w:val="24"/>
        </w:rPr>
      </w:pPr>
      <w:r>
        <w:rPr>
          <w:rFonts w:hint="eastAsia" w:ascii="宋体" w:hAnsi="宋体"/>
          <w:sz w:val="24"/>
        </w:rPr>
        <w:t>（2）纳税人识别号</w:t>
      </w:r>
      <w:r>
        <w:rPr>
          <w:rFonts w:hint="eastAsia" w:ascii="宋体" w:hAnsi="宋体"/>
          <w:sz w:val="24"/>
          <w:u w:val="single"/>
        </w:rPr>
        <w:t xml:space="preserve">                      </w:t>
      </w:r>
      <w:r>
        <w:rPr>
          <w:rFonts w:hint="eastAsia" w:ascii="宋体" w:hAnsi="宋体"/>
          <w:sz w:val="24"/>
        </w:rPr>
        <w:t>；</w:t>
      </w:r>
    </w:p>
    <w:p w14:paraId="57455A3B">
      <w:pPr>
        <w:spacing w:line="360" w:lineRule="auto"/>
        <w:ind w:firstLine="360" w:firstLineChars="150"/>
        <w:rPr>
          <w:rFonts w:hint="eastAsia" w:ascii="宋体" w:hAnsi="宋体"/>
          <w:sz w:val="24"/>
        </w:rPr>
      </w:pPr>
      <w:r>
        <w:rPr>
          <w:rFonts w:hint="eastAsia" w:ascii="宋体" w:hAnsi="宋体"/>
          <w:sz w:val="24"/>
        </w:rPr>
        <w:t>（3）在税局登记的地址</w:t>
      </w:r>
      <w:r>
        <w:rPr>
          <w:rFonts w:hint="eastAsia" w:ascii="宋体" w:hAnsi="宋体"/>
          <w:sz w:val="24"/>
          <w:u w:val="single"/>
        </w:rPr>
        <w:t xml:space="preserve">                  </w:t>
      </w:r>
      <w:r>
        <w:rPr>
          <w:rFonts w:hint="eastAsia" w:ascii="宋体" w:hAnsi="宋体"/>
          <w:sz w:val="24"/>
        </w:rPr>
        <w:t>；</w:t>
      </w:r>
    </w:p>
    <w:p w14:paraId="1AA380DF">
      <w:pPr>
        <w:spacing w:line="360" w:lineRule="auto"/>
        <w:ind w:firstLine="360" w:firstLineChars="150"/>
        <w:rPr>
          <w:rFonts w:hint="eastAsia" w:ascii="宋体" w:hAnsi="宋体"/>
          <w:sz w:val="24"/>
        </w:rPr>
      </w:pPr>
      <w:r>
        <w:rPr>
          <w:rFonts w:hint="eastAsia" w:ascii="宋体" w:hAnsi="宋体"/>
          <w:sz w:val="24"/>
        </w:rPr>
        <w:t>（4）在税局登记的电话</w:t>
      </w:r>
      <w:r>
        <w:rPr>
          <w:rFonts w:hint="eastAsia" w:ascii="宋体" w:hAnsi="宋体"/>
          <w:sz w:val="24"/>
          <w:u w:val="single"/>
        </w:rPr>
        <w:t xml:space="preserve">                  </w:t>
      </w:r>
      <w:r>
        <w:rPr>
          <w:rFonts w:hint="eastAsia" w:ascii="宋体" w:hAnsi="宋体"/>
          <w:sz w:val="24"/>
        </w:rPr>
        <w:t>；</w:t>
      </w:r>
    </w:p>
    <w:p w14:paraId="0D93B305">
      <w:pPr>
        <w:spacing w:line="360" w:lineRule="auto"/>
        <w:ind w:firstLine="360" w:firstLineChars="150"/>
        <w:rPr>
          <w:rFonts w:hint="eastAsia" w:ascii="宋体" w:hAnsi="宋体"/>
          <w:sz w:val="24"/>
        </w:rPr>
      </w:pPr>
      <w:r>
        <w:rPr>
          <w:rFonts w:hint="eastAsia" w:ascii="宋体" w:hAnsi="宋体"/>
          <w:sz w:val="24"/>
        </w:rPr>
        <w:t>（5）开户银行</w:t>
      </w:r>
      <w:r>
        <w:rPr>
          <w:rFonts w:hint="eastAsia" w:ascii="宋体" w:hAnsi="宋体"/>
          <w:sz w:val="24"/>
          <w:u w:val="single"/>
        </w:rPr>
        <w:t xml:space="preserve">                          </w:t>
      </w:r>
      <w:r>
        <w:rPr>
          <w:rFonts w:hint="eastAsia" w:ascii="宋体" w:hAnsi="宋体"/>
          <w:sz w:val="24"/>
        </w:rPr>
        <w:t>；</w:t>
      </w:r>
    </w:p>
    <w:p w14:paraId="76478FA5">
      <w:pPr>
        <w:spacing w:line="360" w:lineRule="auto"/>
        <w:ind w:firstLine="360" w:firstLineChars="150"/>
        <w:rPr>
          <w:rFonts w:hint="eastAsia" w:ascii="宋体" w:hAnsi="宋体"/>
          <w:sz w:val="24"/>
        </w:rPr>
      </w:pPr>
      <w:r>
        <w:rPr>
          <w:rFonts w:hint="eastAsia" w:ascii="宋体" w:hAnsi="宋体"/>
          <w:sz w:val="24"/>
        </w:rPr>
        <w:t>（6）银行账户</w:t>
      </w:r>
      <w:r>
        <w:rPr>
          <w:rFonts w:hint="eastAsia" w:ascii="宋体" w:hAnsi="宋体"/>
          <w:sz w:val="24"/>
          <w:u w:val="single"/>
        </w:rPr>
        <w:t xml:space="preserve">                          </w:t>
      </w:r>
      <w:r>
        <w:rPr>
          <w:rFonts w:hint="eastAsia" w:ascii="宋体" w:hAnsi="宋体"/>
          <w:sz w:val="24"/>
        </w:rPr>
        <w:t>。</w:t>
      </w:r>
    </w:p>
    <w:p w14:paraId="325E9C10">
      <w:pPr>
        <w:spacing w:line="440" w:lineRule="exact"/>
        <w:rPr>
          <w:rFonts w:hint="eastAsia" w:ascii="宋体" w:hAnsi="宋体"/>
          <w:sz w:val="24"/>
        </w:rPr>
      </w:pPr>
    </w:p>
    <w:p w14:paraId="7295D3AC">
      <w:pPr>
        <w:spacing w:line="440" w:lineRule="exact"/>
        <w:rPr>
          <w:rFonts w:hint="eastAsia" w:ascii="宋体" w:hAnsi="宋体"/>
          <w:sz w:val="24"/>
        </w:rPr>
      </w:pPr>
    </w:p>
    <w:p w14:paraId="78E660B9">
      <w:pPr>
        <w:spacing w:line="440" w:lineRule="exact"/>
        <w:rPr>
          <w:rFonts w:hint="eastAsia" w:ascii="宋体" w:hAnsi="宋体"/>
          <w:sz w:val="24"/>
        </w:rPr>
      </w:pPr>
    </w:p>
    <w:p w14:paraId="39198122">
      <w:pPr>
        <w:snapToGrid w:val="0"/>
        <w:spacing w:line="360" w:lineRule="auto"/>
        <w:ind w:left="-2" w:leftChars="-1" w:right="-817" w:rightChars="-389" w:firstLine="1920" w:firstLineChars="800"/>
        <w:rPr>
          <w:rFonts w:hint="eastAsia" w:ascii="宋体" w:hAnsi="宋体"/>
          <w:sz w:val="24"/>
        </w:rPr>
      </w:pPr>
      <w:r>
        <w:rPr>
          <w:rFonts w:hint="eastAsia" w:ascii="宋体" w:hAnsi="宋体"/>
          <w:sz w:val="24"/>
        </w:rPr>
        <w:t xml:space="preserve">法定代表人或者委托代理人（签字或者电子签名）： </w:t>
      </w:r>
    </w:p>
    <w:p w14:paraId="227BCCCC">
      <w:pPr>
        <w:snapToGrid w:val="0"/>
        <w:spacing w:line="360" w:lineRule="auto"/>
        <w:ind w:left="-3" w:leftChars="-15" w:right="-817" w:rightChars="-389" w:hanging="28" w:hangingChars="12"/>
        <w:rPr>
          <w:rFonts w:hint="eastAsia" w:ascii="宋体" w:hAnsi="宋体"/>
          <w:sz w:val="24"/>
        </w:rPr>
      </w:pPr>
      <w:r>
        <w:rPr>
          <w:rFonts w:hint="eastAsia" w:ascii="宋体" w:hAnsi="宋体"/>
          <w:sz w:val="24"/>
        </w:rPr>
        <w:t xml:space="preserve">                                      供应商公章（电子签章）：</w:t>
      </w:r>
    </w:p>
    <w:p w14:paraId="026C609D">
      <w:pPr>
        <w:snapToGrid w:val="0"/>
        <w:spacing w:line="360" w:lineRule="auto"/>
        <w:ind w:right="480" w:firstLine="240" w:firstLineChars="100"/>
        <w:jc w:val="left"/>
        <w:rPr>
          <w:rFonts w:hint="eastAsia" w:ascii="宋体" w:hAnsi="宋体"/>
          <w:szCs w:val="21"/>
        </w:rPr>
        <w:sectPr>
          <w:pgSz w:w="11906" w:h="16838"/>
          <w:pgMar w:top="1440" w:right="1797" w:bottom="1440" w:left="1797" w:header="851" w:footer="992" w:gutter="0"/>
          <w:pgNumType w:fmt="decimal"/>
          <w:cols w:space="720" w:num="1"/>
        </w:sectPr>
      </w:pPr>
      <w:r>
        <w:rPr>
          <w:rFonts w:hint="eastAsia" w:ascii="宋体" w:hAnsi="宋体"/>
          <w:sz w:val="24"/>
        </w:rPr>
        <w:t xml:space="preserve">                                    日期：    年   月   日</w:t>
      </w:r>
    </w:p>
    <w:p w14:paraId="12C32AD9">
      <w:pPr>
        <w:snapToGrid w:val="0"/>
        <w:spacing w:before="165" w:beforeLines="50" w:after="50"/>
        <w:jc w:val="left"/>
        <w:rPr>
          <w:rFonts w:hint="eastAsia" w:ascii="宋体" w:hAnsi="宋体"/>
          <w:b/>
          <w:sz w:val="24"/>
        </w:rPr>
      </w:pPr>
      <w:r>
        <w:rPr>
          <w:rFonts w:hint="eastAsia" w:ascii="宋体" w:hAnsi="宋体"/>
          <w:b/>
          <w:sz w:val="24"/>
        </w:rPr>
        <w:t>9.技术要求偏离表格式</w:t>
      </w:r>
    </w:p>
    <w:p w14:paraId="644F8912">
      <w:pPr>
        <w:snapToGrid w:val="0"/>
        <w:spacing w:before="165" w:beforeLines="50" w:after="50"/>
        <w:ind w:left="142"/>
        <w:jc w:val="left"/>
        <w:rPr>
          <w:rFonts w:hint="eastAsia" w:ascii="宋体" w:hAnsi="宋体"/>
          <w:b/>
          <w:sz w:val="24"/>
        </w:rPr>
      </w:pPr>
    </w:p>
    <w:p w14:paraId="5A4A57E5">
      <w:pPr>
        <w:snapToGrid w:val="0"/>
        <w:spacing w:before="165" w:beforeLines="50" w:after="50"/>
        <w:ind w:left="142"/>
        <w:jc w:val="center"/>
        <w:rPr>
          <w:rFonts w:hint="eastAsia" w:ascii="宋体" w:hAnsi="宋体"/>
          <w:b/>
          <w:sz w:val="32"/>
          <w:szCs w:val="32"/>
        </w:rPr>
      </w:pPr>
      <w:r>
        <w:rPr>
          <w:rFonts w:hint="eastAsia" w:ascii="宋体" w:hAnsi="宋体"/>
          <w:b/>
          <w:sz w:val="32"/>
          <w:szCs w:val="32"/>
        </w:rPr>
        <w:t>技术要求偏离表</w:t>
      </w:r>
    </w:p>
    <w:p w14:paraId="711ADCA8">
      <w:pPr>
        <w:pStyle w:val="18"/>
        <w:rPr>
          <w:rFonts w:hint="eastAsia" w:hAnsi="宋体"/>
          <w:sz w:val="24"/>
          <w:szCs w:val="24"/>
        </w:rPr>
      </w:pPr>
      <w:r>
        <w:rPr>
          <w:rFonts w:hint="eastAsia" w:hAnsi="宋体"/>
          <w:sz w:val="24"/>
          <w:szCs w:val="24"/>
        </w:rPr>
        <w:t>所投分标：</w:t>
      </w:r>
      <w:r>
        <w:rPr>
          <w:rFonts w:hint="eastAsia" w:hAnsi="宋体"/>
          <w:sz w:val="24"/>
          <w:szCs w:val="24"/>
          <w:u w:val="single"/>
        </w:rPr>
        <w:t xml:space="preserve">     </w:t>
      </w:r>
      <w:r>
        <w:rPr>
          <w:rFonts w:hint="eastAsia" w:hAnsi="宋体"/>
          <w:sz w:val="24"/>
          <w:szCs w:val="24"/>
        </w:rPr>
        <w:t>分标</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6CFC6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2E900B86">
            <w:pPr>
              <w:pStyle w:val="18"/>
              <w:spacing w:line="400" w:lineRule="exact"/>
              <w:jc w:val="center"/>
              <w:rPr>
                <w:rFonts w:hint="eastAsia" w:hAnsi="宋体" w:cs="Courier New"/>
                <w:sz w:val="24"/>
                <w:szCs w:val="24"/>
              </w:rPr>
            </w:pPr>
            <w:r>
              <w:rPr>
                <w:rFonts w:hint="eastAsia" w:hAnsi="宋体" w:cs="Courier New"/>
                <w:sz w:val="24"/>
                <w:szCs w:val="24"/>
              </w:rPr>
              <w:t>项号</w:t>
            </w:r>
          </w:p>
        </w:tc>
        <w:tc>
          <w:tcPr>
            <w:tcW w:w="2143" w:type="dxa"/>
            <w:vAlign w:val="center"/>
          </w:tcPr>
          <w:p w14:paraId="6716DC22">
            <w:pPr>
              <w:pStyle w:val="18"/>
              <w:spacing w:line="400" w:lineRule="exact"/>
              <w:jc w:val="center"/>
              <w:rPr>
                <w:rFonts w:hint="eastAsia" w:hAnsi="宋体" w:cs="Courier New"/>
                <w:sz w:val="24"/>
                <w:szCs w:val="24"/>
              </w:rPr>
            </w:pPr>
            <w:r>
              <w:rPr>
                <w:rFonts w:hint="eastAsia" w:hAnsi="宋体" w:cs="Courier New"/>
                <w:sz w:val="24"/>
                <w:szCs w:val="24"/>
              </w:rPr>
              <w:t>标的的名称</w:t>
            </w:r>
          </w:p>
        </w:tc>
        <w:tc>
          <w:tcPr>
            <w:tcW w:w="1834" w:type="dxa"/>
            <w:vAlign w:val="center"/>
          </w:tcPr>
          <w:p w14:paraId="7307F6FD">
            <w:pPr>
              <w:pStyle w:val="18"/>
              <w:spacing w:line="400" w:lineRule="exact"/>
              <w:jc w:val="center"/>
              <w:rPr>
                <w:rFonts w:hint="eastAsia" w:hAnsi="宋体" w:cs="Courier New"/>
                <w:sz w:val="24"/>
                <w:szCs w:val="24"/>
              </w:rPr>
            </w:pPr>
            <w:r>
              <w:rPr>
                <w:rFonts w:hint="eastAsia" w:hAnsi="宋体" w:cs="Courier New"/>
                <w:sz w:val="24"/>
                <w:szCs w:val="24"/>
              </w:rPr>
              <w:t>技术要求</w:t>
            </w:r>
          </w:p>
        </w:tc>
        <w:tc>
          <w:tcPr>
            <w:tcW w:w="2181" w:type="dxa"/>
            <w:vAlign w:val="center"/>
          </w:tcPr>
          <w:p w14:paraId="139B44AB">
            <w:pPr>
              <w:pStyle w:val="18"/>
              <w:spacing w:line="400" w:lineRule="exact"/>
              <w:jc w:val="center"/>
              <w:rPr>
                <w:rFonts w:hint="eastAsia" w:hAnsi="宋体" w:cs="Courier New"/>
                <w:sz w:val="24"/>
                <w:szCs w:val="24"/>
              </w:rPr>
            </w:pPr>
            <w:r>
              <w:rPr>
                <w:rFonts w:hint="eastAsia" w:hAnsi="宋体" w:cs="Courier New"/>
                <w:sz w:val="24"/>
                <w:szCs w:val="24"/>
              </w:rPr>
              <w:t>投标响应</w:t>
            </w:r>
          </w:p>
        </w:tc>
        <w:tc>
          <w:tcPr>
            <w:tcW w:w="1934" w:type="dxa"/>
            <w:vAlign w:val="center"/>
          </w:tcPr>
          <w:p w14:paraId="46A6183B">
            <w:pPr>
              <w:pStyle w:val="18"/>
              <w:spacing w:line="400" w:lineRule="exact"/>
              <w:jc w:val="center"/>
              <w:rPr>
                <w:rFonts w:hint="eastAsia" w:hAnsi="宋体" w:cs="Courier New"/>
                <w:sz w:val="24"/>
                <w:szCs w:val="24"/>
              </w:rPr>
            </w:pPr>
            <w:r>
              <w:rPr>
                <w:rFonts w:hint="eastAsia" w:hAnsi="宋体" w:cs="Courier New"/>
                <w:sz w:val="24"/>
                <w:szCs w:val="24"/>
              </w:rPr>
              <w:t>偏离说明</w:t>
            </w:r>
          </w:p>
        </w:tc>
      </w:tr>
      <w:tr w14:paraId="4DA2B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B034CBB">
            <w:pPr>
              <w:pStyle w:val="18"/>
              <w:spacing w:line="600" w:lineRule="exact"/>
              <w:jc w:val="center"/>
              <w:rPr>
                <w:rFonts w:hint="eastAsia" w:hAnsi="宋体" w:cs="Courier New"/>
                <w:sz w:val="24"/>
                <w:szCs w:val="24"/>
              </w:rPr>
            </w:pPr>
          </w:p>
        </w:tc>
        <w:tc>
          <w:tcPr>
            <w:tcW w:w="2143" w:type="dxa"/>
            <w:vAlign w:val="center"/>
          </w:tcPr>
          <w:p w14:paraId="38A376AE">
            <w:pPr>
              <w:pStyle w:val="18"/>
              <w:spacing w:line="600" w:lineRule="exact"/>
              <w:jc w:val="center"/>
              <w:rPr>
                <w:rFonts w:hint="eastAsia" w:hAnsi="宋体" w:cs="Courier New"/>
                <w:sz w:val="24"/>
                <w:szCs w:val="24"/>
              </w:rPr>
            </w:pPr>
          </w:p>
        </w:tc>
        <w:tc>
          <w:tcPr>
            <w:tcW w:w="1834" w:type="dxa"/>
            <w:vAlign w:val="center"/>
          </w:tcPr>
          <w:p w14:paraId="720CB565">
            <w:pPr>
              <w:pStyle w:val="18"/>
              <w:spacing w:line="600" w:lineRule="exact"/>
              <w:jc w:val="center"/>
              <w:rPr>
                <w:rFonts w:hint="eastAsia" w:hAnsi="宋体" w:cs="Courier New"/>
                <w:sz w:val="24"/>
                <w:szCs w:val="24"/>
              </w:rPr>
            </w:pPr>
          </w:p>
        </w:tc>
        <w:tc>
          <w:tcPr>
            <w:tcW w:w="2181" w:type="dxa"/>
            <w:vAlign w:val="center"/>
          </w:tcPr>
          <w:p w14:paraId="6C97C8C4">
            <w:pPr>
              <w:pStyle w:val="18"/>
              <w:spacing w:line="600" w:lineRule="exact"/>
              <w:jc w:val="center"/>
              <w:rPr>
                <w:rFonts w:hint="eastAsia" w:hAnsi="宋体" w:cs="Courier New"/>
                <w:sz w:val="24"/>
                <w:szCs w:val="24"/>
              </w:rPr>
            </w:pPr>
          </w:p>
        </w:tc>
        <w:tc>
          <w:tcPr>
            <w:tcW w:w="1934" w:type="dxa"/>
            <w:vAlign w:val="center"/>
          </w:tcPr>
          <w:p w14:paraId="15FE08C2">
            <w:pPr>
              <w:pStyle w:val="18"/>
              <w:spacing w:line="600" w:lineRule="exact"/>
              <w:jc w:val="center"/>
              <w:rPr>
                <w:rFonts w:hint="eastAsia" w:hAnsi="宋体" w:cs="Courier New"/>
                <w:sz w:val="24"/>
                <w:szCs w:val="24"/>
              </w:rPr>
            </w:pPr>
          </w:p>
        </w:tc>
      </w:tr>
      <w:tr w14:paraId="2D8B1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54E776E">
            <w:pPr>
              <w:pStyle w:val="18"/>
              <w:spacing w:line="600" w:lineRule="exact"/>
              <w:rPr>
                <w:rFonts w:hint="eastAsia" w:hAnsi="宋体" w:cs="Courier New"/>
                <w:sz w:val="24"/>
                <w:szCs w:val="24"/>
              </w:rPr>
            </w:pPr>
          </w:p>
        </w:tc>
        <w:tc>
          <w:tcPr>
            <w:tcW w:w="2143" w:type="dxa"/>
          </w:tcPr>
          <w:p w14:paraId="5E48AE2C">
            <w:pPr>
              <w:pStyle w:val="18"/>
              <w:spacing w:line="600" w:lineRule="exact"/>
              <w:rPr>
                <w:rFonts w:hint="eastAsia" w:hAnsi="宋体" w:cs="Courier New"/>
                <w:sz w:val="24"/>
                <w:szCs w:val="24"/>
              </w:rPr>
            </w:pPr>
          </w:p>
        </w:tc>
        <w:tc>
          <w:tcPr>
            <w:tcW w:w="1834" w:type="dxa"/>
          </w:tcPr>
          <w:p w14:paraId="254EA787">
            <w:pPr>
              <w:pStyle w:val="18"/>
              <w:spacing w:line="600" w:lineRule="exact"/>
              <w:rPr>
                <w:rFonts w:hint="eastAsia" w:hAnsi="宋体" w:cs="Courier New"/>
                <w:sz w:val="24"/>
                <w:szCs w:val="24"/>
              </w:rPr>
            </w:pPr>
          </w:p>
        </w:tc>
        <w:tc>
          <w:tcPr>
            <w:tcW w:w="2181" w:type="dxa"/>
          </w:tcPr>
          <w:p w14:paraId="557D9BD7">
            <w:pPr>
              <w:pStyle w:val="18"/>
              <w:spacing w:line="600" w:lineRule="exact"/>
              <w:rPr>
                <w:rFonts w:hint="eastAsia" w:hAnsi="宋体" w:cs="Courier New"/>
                <w:sz w:val="24"/>
                <w:szCs w:val="24"/>
              </w:rPr>
            </w:pPr>
          </w:p>
        </w:tc>
        <w:tc>
          <w:tcPr>
            <w:tcW w:w="1934" w:type="dxa"/>
          </w:tcPr>
          <w:p w14:paraId="4ED070FB">
            <w:pPr>
              <w:pStyle w:val="18"/>
              <w:spacing w:line="600" w:lineRule="exact"/>
              <w:rPr>
                <w:rFonts w:hint="eastAsia" w:hAnsi="宋体" w:cs="Courier New"/>
                <w:sz w:val="24"/>
                <w:szCs w:val="24"/>
              </w:rPr>
            </w:pPr>
          </w:p>
        </w:tc>
      </w:tr>
      <w:tr w14:paraId="190D5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4C6DD97C">
            <w:pPr>
              <w:pStyle w:val="18"/>
              <w:spacing w:line="600" w:lineRule="exact"/>
              <w:rPr>
                <w:rFonts w:hint="eastAsia" w:hAnsi="宋体" w:cs="Courier New"/>
                <w:sz w:val="24"/>
                <w:szCs w:val="24"/>
              </w:rPr>
            </w:pPr>
          </w:p>
        </w:tc>
        <w:tc>
          <w:tcPr>
            <w:tcW w:w="2143" w:type="dxa"/>
          </w:tcPr>
          <w:p w14:paraId="2D3D3BB8">
            <w:pPr>
              <w:pStyle w:val="18"/>
              <w:spacing w:line="600" w:lineRule="exact"/>
              <w:rPr>
                <w:rFonts w:hint="eastAsia" w:hAnsi="宋体" w:cs="Courier New"/>
                <w:sz w:val="24"/>
                <w:szCs w:val="24"/>
              </w:rPr>
            </w:pPr>
          </w:p>
        </w:tc>
        <w:tc>
          <w:tcPr>
            <w:tcW w:w="1834" w:type="dxa"/>
          </w:tcPr>
          <w:p w14:paraId="2128DB3C">
            <w:pPr>
              <w:pStyle w:val="18"/>
              <w:spacing w:line="600" w:lineRule="exact"/>
              <w:rPr>
                <w:rFonts w:hint="eastAsia" w:hAnsi="宋体" w:cs="Courier New"/>
                <w:sz w:val="24"/>
                <w:szCs w:val="24"/>
              </w:rPr>
            </w:pPr>
          </w:p>
        </w:tc>
        <w:tc>
          <w:tcPr>
            <w:tcW w:w="2181" w:type="dxa"/>
          </w:tcPr>
          <w:p w14:paraId="376F5B06">
            <w:pPr>
              <w:pStyle w:val="18"/>
              <w:spacing w:line="600" w:lineRule="exact"/>
              <w:rPr>
                <w:rFonts w:hint="eastAsia" w:hAnsi="宋体" w:cs="Courier New"/>
                <w:sz w:val="24"/>
                <w:szCs w:val="24"/>
              </w:rPr>
            </w:pPr>
          </w:p>
        </w:tc>
        <w:tc>
          <w:tcPr>
            <w:tcW w:w="1934" w:type="dxa"/>
          </w:tcPr>
          <w:p w14:paraId="4603C0EF">
            <w:pPr>
              <w:pStyle w:val="18"/>
              <w:spacing w:line="600" w:lineRule="exact"/>
              <w:rPr>
                <w:rFonts w:hint="eastAsia" w:hAnsi="宋体" w:cs="Courier New"/>
                <w:sz w:val="24"/>
                <w:szCs w:val="24"/>
              </w:rPr>
            </w:pPr>
          </w:p>
        </w:tc>
      </w:tr>
      <w:tr w14:paraId="751FB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30AE055B">
            <w:pPr>
              <w:pStyle w:val="18"/>
              <w:spacing w:line="600" w:lineRule="exact"/>
              <w:rPr>
                <w:rFonts w:hint="eastAsia" w:hAnsi="宋体" w:cs="Courier New"/>
                <w:sz w:val="24"/>
                <w:szCs w:val="24"/>
              </w:rPr>
            </w:pPr>
          </w:p>
        </w:tc>
        <w:tc>
          <w:tcPr>
            <w:tcW w:w="2143" w:type="dxa"/>
          </w:tcPr>
          <w:p w14:paraId="1F104894">
            <w:pPr>
              <w:pStyle w:val="18"/>
              <w:spacing w:line="600" w:lineRule="exact"/>
              <w:rPr>
                <w:rFonts w:hint="eastAsia" w:hAnsi="宋体" w:cs="Courier New"/>
                <w:sz w:val="24"/>
                <w:szCs w:val="24"/>
              </w:rPr>
            </w:pPr>
          </w:p>
        </w:tc>
        <w:tc>
          <w:tcPr>
            <w:tcW w:w="1834" w:type="dxa"/>
          </w:tcPr>
          <w:p w14:paraId="4EBD2B68">
            <w:pPr>
              <w:pStyle w:val="18"/>
              <w:spacing w:line="600" w:lineRule="exact"/>
              <w:rPr>
                <w:rFonts w:hint="eastAsia" w:hAnsi="宋体" w:cs="Courier New"/>
                <w:sz w:val="24"/>
                <w:szCs w:val="24"/>
              </w:rPr>
            </w:pPr>
          </w:p>
        </w:tc>
        <w:tc>
          <w:tcPr>
            <w:tcW w:w="2181" w:type="dxa"/>
          </w:tcPr>
          <w:p w14:paraId="4A372639">
            <w:pPr>
              <w:pStyle w:val="18"/>
              <w:spacing w:line="600" w:lineRule="exact"/>
              <w:rPr>
                <w:rFonts w:hint="eastAsia" w:hAnsi="宋体" w:cs="Courier New"/>
                <w:sz w:val="24"/>
                <w:szCs w:val="24"/>
              </w:rPr>
            </w:pPr>
          </w:p>
        </w:tc>
        <w:tc>
          <w:tcPr>
            <w:tcW w:w="1934" w:type="dxa"/>
          </w:tcPr>
          <w:p w14:paraId="40C232B2">
            <w:pPr>
              <w:pStyle w:val="18"/>
              <w:spacing w:line="600" w:lineRule="exact"/>
              <w:rPr>
                <w:rFonts w:hint="eastAsia" w:hAnsi="宋体" w:cs="Courier New"/>
                <w:sz w:val="24"/>
                <w:szCs w:val="24"/>
              </w:rPr>
            </w:pPr>
          </w:p>
        </w:tc>
      </w:tr>
      <w:tr w14:paraId="6637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CA06C93">
            <w:pPr>
              <w:pStyle w:val="18"/>
              <w:spacing w:line="600" w:lineRule="exact"/>
              <w:rPr>
                <w:rFonts w:hint="eastAsia" w:hAnsi="宋体" w:cs="Courier New"/>
                <w:sz w:val="24"/>
                <w:szCs w:val="24"/>
              </w:rPr>
            </w:pPr>
          </w:p>
        </w:tc>
        <w:tc>
          <w:tcPr>
            <w:tcW w:w="2143" w:type="dxa"/>
          </w:tcPr>
          <w:p w14:paraId="117238D1">
            <w:pPr>
              <w:pStyle w:val="18"/>
              <w:spacing w:line="600" w:lineRule="exact"/>
              <w:rPr>
                <w:rFonts w:hint="eastAsia" w:hAnsi="宋体" w:cs="Courier New"/>
                <w:sz w:val="24"/>
                <w:szCs w:val="24"/>
              </w:rPr>
            </w:pPr>
          </w:p>
        </w:tc>
        <w:tc>
          <w:tcPr>
            <w:tcW w:w="1834" w:type="dxa"/>
          </w:tcPr>
          <w:p w14:paraId="65FA759A">
            <w:pPr>
              <w:pStyle w:val="18"/>
              <w:spacing w:line="600" w:lineRule="exact"/>
              <w:rPr>
                <w:rFonts w:hint="eastAsia" w:hAnsi="宋体" w:cs="Courier New"/>
                <w:sz w:val="24"/>
                <w:szCs w:val="24"/>
              </w:rPr>
            </w:pPr>
          </w:p>
        </w:tc>
        <w:tc>
          <w:tcPr>
            <w:tcW w:w="2181" w:type="dxa"/>
          </w:tcPr>
          <w:p w14:paraId="547E8051">
            <w:pPr>
              <w:pStyle w:val="18"/>
              <w:spacing w:line="600" w:lineRule="exact"/>
              <w:rPr>
                <w:rFonts w:hint="eastAsia" w:hAnsi="宋体" w:cs="Courier New"/>
                <w:sz w:val="24"/>
                <w:szCs w:val="24"/>
              </w:rPr>
            </w:pPr>
          </w:p>
        </w:tc>
        <w:tc>
          <w:tcPr>
            <w:tcW w:w="1934" w:type="dxa"/>
          </w:tcPr>
          <w:p w14:paraId="140D886F">
            <w:pPr>
              <w:pStyle w:val="18"/>
              <w:spacing w:line="600" w:lineRule="exact"/>
              <w:rPr>
                <w:rFonts w:hint="eastAsia" w:hAnsi="宋体" w:cs="Courier New"/>
                <w:sz w:val="24"/>
                <w:szCs w:val="24"/>
              </w:rPr>
            </w:pPr>
          </w:p>
        </w:tc>
      </w:tr>
      <w:tr w14:paraId="1D49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29EBCFA">
            <w:pPr>
              <w:pStyle w:val="18"/>
              <w:spacing w:line="600" w:lineRule="exact"/>
              <w:rPr>
                <w:rFonts w:hint="eastAsia" w:hAnsi="宋体" w:cs="Courier New"/>
                <w:sz w:val="24"/>
                <w:szCs w:val="24"/>
              </w:rPr>
            </w:pPr>
          </w:p>
        </w:tc>
        <w:tc>
          <w:tcPr>
            <w:tcW w:w="2143" w:type="dxa"/>
          </w:tcPr>
          <w:p w14:paraId="1EC47C25">
            <w:pPr>
              <w:pStyle w:val="18"/>
              <w:spacing w:line="600" w:lineRule="exact"/>
              <w:rPr>
                <w:rFonts w:hint="eastAsia" w:hAnsi="宋体" w:cs="Courier New"/>
                <w:sz w:val="24"/>
                <w:szCs w:val="24"/>
              </w:rPr>
            </w:pPr>
          </w:p>
        </w:tc>
        <w:tc>
          <w:tcPr>
            <w:tcW w:w="1834" w:type="dxa"/>
          </w:tcPr>
          <w:p w14:paraId="72DB4932">
            <w:pPr>
              <w:pStyle w:val="18"/>
              <w:spacing w:line="600" w:lineRule="exact"/>
              <w:rPr>
                <w:rFonts w:hint="eastAsia" w:hAnsi="宋体" w:cs="Courier New"/>
                <w:sz w:val="24"/>
                <w:szCs w:val="24"/>
              </w:rPr>
            </w:pPr>
          </w:p>
        </w:tc>
        <w:tc>
          <w:tcPr>
            <w:tcW w:w="2181" w:type="dxa"/>
          </w:tcPr>
          <w:p w14:paraId="6193E505">
            <w:pPr>
              <w:pStyle w:val="18"/>
              <w:spacing w:line="600" w:lineRule="exact"/>
              <w:rPr>
                <w:rFonts w:hint="eastAsia" w:hAnsi="宋体" w:cs="Courier New"/>
                <w:sz w:val="24"/>
                <w:szCs w:val="24"/>
              </w:rPr>
            </w:pPr>
          </w:p>
        </w:tc>
        <w:tc>
          <w:tcPr>
            <w:tcW w:w="1934" w:type="dxa"/>
          </w:tcPr>
          <w:p w14:paraId="01C5D35A">
            <w:pPr>
              <w:pStyle w:val="18"/>
              <w:spacing w:line="600" w:lineRule="exact"/>
              <w:rPr>
                <w:rFonts w:hint="eastAsia" w:hAnsi="宋体" w:cs="Courier New"/>
                <w:sz w:val="24"/>
                <w:szCs w:val="24"/>
              </w:rPr>
            </w:pPr>
          </w:p>
        </w:tc>
      </w:tr>
      <w:tr w14:paraId="3AB0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33FEAE1A">
            <w:pPr>
              <w:pStyle w:val="18"/>
              <w:spacing w:line="600" w:lineRule="exact"/>
              <w:rPr>
                <w:rFonts w:hint="eastAsia" w:hAnsi="宋体" w:cs="Courier New"/>
                <w:sz w:val="24"/>
                <w:szCs w:val="24"/>
              </w:rPr>
            </w:pPr>
          </w:p>
        </w:tc>
        <w:tc>
          <w:tcPr>
            <w:tcW w:w="2143" w:type="dxa"/>
          </w:tcPr>
          <w:p w14:paraId="4C69DF68">
            <w:pPr>
              <w:pStyle w:val="18"/>
              <w:spacing w:line="600" w:lineRule="exact"/>
              <w:rPr>
                <w:rFonts w:hint="eastAsia" w:hAnsi="宋体" w:cs="Courier New"/>
                <w:sz w:val="24"/>
                <w:szCs w:val="24"/>
              </w:rPr>
            </w:pPr>
          </w:p>
        </w:tc>
        <w:tc>
          <w:tcPr>
            <w:tcW w:w="1834" w:type="dxa"/>
          </w:tcPr>
          <w:p w14:paraId="14AC68F5">
            <w:pPr>
              <w:pStyle w:val="18"/>
              <w:spacing w:line="600" w:lineRule="exact"/>
              <w:rPr>
                <w:rFonts w:hint="eastAsia" w:hAnsi="宋体" w:cs="Courier New"/>
                <w:sz w:val="24"/>
                <w:szCs w:val="24"/>
              </w:rPr>
            </w:pPr>
          </w:p>
        </w:tc>
        <w:tc>
          <w:tcPr>
            <w:tcW w:w="2181" w:type="dxa"/>
          </w:tcPr>
          <w:p w14:paraId="3543401E">
            <w:pPr>
              <w:pStyle w:val="18"/>
              <w:spacing w:line="600" w:lineRule="exact"/>
              <w:rPr>
                <w:rFonts w:hint="eastAsia" w:hAnsi="宋体" w:cs="Courier New"/>
                <w:sz w:val="24"/>
                <w:szCs w:val="24"/>
              </w:rPr>
            </w:pPr>
          </w:p>
        </w:tc>
        <w:tc>
          <w:tcPr>
            <w:tcW w:w="1934" w:type="dxa"/>
          </w:tcPr>
          <w:p w14:paraId="6FFF92D1">
            <w:pPr>
              <w:pStyle w:val="18"/>
              <w:spacing w:line="600" w:lineRule="exact"/>
              <w:rPr>
                <w:rFonts w:hint="eastAsia" w:hAnsi="宋体" w:cs="Courier New"/>
                <w:sz w:val="24"/>
                <w:szCs w:val="24"/>
              </w:rPr>
            </w:pPr>
          </w:p>
        </w:tc>
      </w:tr>
    </w:tbl>
    <w:p w14:paraId="178F54FC">
      <w:pPr>
        <w:pStyle w:val="14"/>
        <w:spacing w:line="360" w:lineRule="auto"/>
        <w:contextualSpacing/>
        <w:rPr>
          <w:rFonts w:hint="eastAsia" w:ascii="宋体" w:hAnsi="宋体"/>
        </w:rPr>
      </w:pPr>
      <w:r>
        <w:rPr>
          <w:rFonts w:hint="eastAsia" w:ascii="宋体" w:hAnsi="宋体"/>
        </w:rPr>
        <w:t>注：</w:t>
      </w:r>
    </w:p>
    <w:p w14:paraId="70BBFF24">
      <w:pPr>
        <w:pStyle w:val="15"/>
        <w:spacing w:line="360" w:lineRule="auto"/>
        <w:ind w:firstLine="0"/>
        <w:contextualSpacing/>
        <w:rPr>
          <w:rFonts w:hint="eastAsia" w:hAnsi="仿宋_GB2312" w:cs="仿宋_GB2312"/>
          <w:szCs w:val="32"/>
        </w:rPr>
      </w:pPr>
      <w:r>
        <w:rPr>
          <w:rFonts w:hint="eastAsia" w:hAnsi="宋体"/>
          <w:sz w:val="24"/>
          <w:szCs w:val="24"/>
        </w:rPr>
        <w:t>1. 说明：应对照采购文件“第二章 采购需求”中的技术要求逐条作明确的投标响应，并作出偏离说明。</w:t>
      </w:r>
    </w:p>
    <w:p w14:paraId="7737FFBC">
      <w:pPr>
        <w:pStyle w:val="14"/>
        <w:spacing w:line="360" w:lineRule="auto"/>
        <w:contextualSpacing/>
        <w:rPr>
          <w:rFonts w:hint="eastAsia" w:ascii="宋体" w:hAnsi="宋体"/>
        </w:rPr>
      </w:pPr>
      <w:r>
        <w:rPr>
          <w:rFonts w:ascii="宋体" w:hAnsi="宋体"/>
        </w:rPr>
        <w:t>2.</w:t>
      </w:r>
      <w:r>
        <w:rPr>
          <w:rFonts w:hint="eastAsia" w:ascii="宋体" w:hAnsi="宋体"/>
        </w:rPr>
        <w:t>投标人应根据自身的承诺，对照采购文件要求，在“偏离说明”中注明“正偏离”“负偏离”或者“无偏离”。既不属于“正偏离”也不属于“负偏离”即为“无偏离”。</w:t>
      </w:r>
    </w:p>
    <w:p w14:paraId="3A5AD2A6">
      <w:pPr>
        <w:pStyle w:val="14"/>
        <w:spacing w:line="360" w:lineRule="auto"/>
        <w:contextualSpacing/>
        <w:rPr>
          <w:rFonts w:hint="eastAsia" w:ascii="宋体" w:hAnsi="宋体"/>
          <w:spacing w:val="20"/>
        </w:rPr>
      </w:pPr>
    </w:p>
    <w:p w14:paraId="494FEDD1">
      <w:pPr>
        <w:spacing w:line="360" w:lineRule="auto"/>
        <w:contextualSpacing/>
        <w:rPr>
          <w:rFonts w:hint="eastAsia" w:ascii="宋体" w:hAnsi="宋体"/>
          <w:spacing w:val="20"/>
          <w:sz w:val="24"/>
          <w:u w:val="single"/>
        </w:rPr>
      </w:pPr>
      <w:r>
        <w:rPr>
          <w:rFonts w:hint="eastAsia" w:ascii="宋体" w:hAnsi="宋体"/>
          <w:sz w:val="24"/>
        </w:rPr>
        <w:t>法定代表人或者委托代理人</w:t>
      </w:r>
      <w:r>
        <w:rPr>
          <w:rFonts w:hint="eastAsia" w:ascii="宋体" w:hAnsi="宋体"/>
          <w:spacing w:val="20"/>
          <w:sz w:val="24"/>
        </w:rPr>
        <w:t>（签字或者电子签名）：</w:t>
      </w:r>
      <w:r>
        <w:rPr>
          <w:rFonts w:hint="eastAsia" w:ascii="宋体" w:hAnsi="宋体"/>
          <w:spacing w:val="20"/>
          <w:sz w:val="24"/>
          <w:u w:val="single"/>
        </w:rPr>
        <w:t xml:space="preserve">        </w:t>
      </w:r>
    </w:p>
    <w:p w14:paraId="1A6337A8">
      <w:pPr>
        <w:spacing w:line="360" w:lineRule="auto"/>
        <w:contextualSpacing/>
        <w:rPr>
          <w:rFonts w:hint="eastAsia" w:ascii="宋体" w:hAnsi="宋体"/>
          <w:spacing w:val="20"/>
          <w:sz w:val="24"/>
        </w:rPr>
      </w:pPr>
      <w:r>
        <w:rPr>
          <w:rFonts w:hint="eastAsia" w:ascii="宋体" w:hAnsi="宋体"/>
          <w:spacing w:val="20"/>
          <w:sz w:val="24"/>
        </w:rPr>
        <w:t>投标人名称（电子签章）：</w:t>
      </w:r>
      <w:r>
        <w:rPr>
          <w:rFonts w:hint="eastAsia" w:ascii="宋体" w:hAnsi="宋体"/>
          <w:spacing w:val="20"/>
          <w:sz w:val="24"/>
          <w:u w:val="single"/>
        </w:rPr>
        <w:t xml:space="preserve">            </w:t>
      </w:r>
      <w:r>
        <w:rPr>
          <w:rFonts w:hint="eastAsia" w:ascii="宋体" w:hAnsi="宋体"/>
          <w:spacing w:val="20"/>
          <w:sz w:val="24"/>
        </w:rPr>
        <w:t xml:space="preserve">              </w:t>
      </w:r>
    </w:p>
    <w:p w14:paraId="6B5ADB81">
      <w:pPr>
        <w:spacing w:line="360" w:lineRule="auto"/>
        <w:contextualSpacing/>
        <w:rPr>
          <w:rFonts w:hint="eastAsia" w:ascii="宋体" w:hAnsi="宋体"/>
          <w:sz w:val="24"/>
          <w:szCs w:val="20"/>
        </w:rPr>
      </w:pPr>
      <w:r>
        <w:rPr>
          <w:rFonts w:hint="eastAsia" w:ascii="宋体" w:hAnsi="宋体"/>
          <w:spacing w:val="20"/>
          <w:sz w:val="24"/>
        </w:rPr>
        <w:t>日  期：</w:t>
      </w:r>
      <w:r>
        <w:rPr>
          <w:rFonts w:hint="eastAsia" w:ascii="宋体" w:hAnsi="宋体"/>
          <w:spacing w:val="20"/>
          <w:sz w:val="24"/>
          <w:u w:val="single"/>
        </w:rPr>
        <w:t xml:space="preserve">          </w:t>
      </w:r>
    </w:p>
    <w:p w14:paraId="17A3DBE7">
      <w:pPr>
        <w:spacing w:line="360" w:lineRule="auto"/>
        <w:contextualSpacing/>
        <w:rPr>
          <w:rFonts w:hint="eastAsia" w:ascii="宋体" w:hAnsi="宋体"/>
          <w:spacing w:val="20"/>
          <w:sz w:val="24"/>
          <w:u w:val="single"/>
        </w:rPr>
      </w:pPr>
    </w:p>
    <w:p w14:paraId="0437E019">
      <w:pPr>
        <w:spacing w:line="360" w:lineRule="auto"/>
        <w:contextualSpacing/>
        <w:rPr>
          <w:rFonts w:hint="eastAsia" w:ascii="宋体" w:hAnsi="宋体"/>
          <w:sz w:val="24"/>
          <w:szCs w:val="20"/>
        </w:rPr>
      </w:pPr>
    </w:p>
    <w:p w14:paraId="6E9CD4E1">
      <w:pPr>
        <w:snapToGrid w:val="0"/>
        <w:spacing w:before="165" w:beforeLines="50" w:after="50"/>
        <w:ind w:left="142"/>
        <w:jc w:val="left"/>
        <w:rPr>
          <w:rFonts w:hint="eastAsia" w:ascii="宋体" w:hAnsi="宋体"/>
          <w:b/>
          <w:sz w:val="24"/>
        </w:rPr>
      </w:pPr>
      <w:r>
        <w:rPr>
          <w:rFonts w:ascii="宋体" w:hAnsi="宋体"/>
          <w:b/>
          <w:sz w:val="24"/>
        </w:rPr>
        <w:br w:type="page"/>
      </w:r>
      <w:r>
        <w:rPr>
          <w:rFonts w:hint="eastAsia" w:ascii="宋体" w:hAnsi="宋体"/>
          <w:b/>
          <w:sz w:val="24"/>
        </w:rPr>
        <w:t>10.项目实施人员一览表格式</w:t>
      </w:r>
    </w:p>
    <w:p w14:paraId="119FA59D">
      <w:pPr>
        <w:snapToGrid w:val="0"/>
        <w:spacing w:before="165" w:beforeLines="50" w:after="50"/>
        <w:ind w:left="142"/>
        <w:jc w:val="left"/>
        <w:rPr>
          <w:rFonts w:hint="eastAsia" w:ascii="宋体" w:hAnsi="宋体"/>
          <w:b/>
          <w:sz w:val="24"/>
        </w:rPr>
      </w:pPr>
    </w:p>
    <w:p w14:paraId="34A144D6">
      <w:pPr>
        <w:snapToGrid w:val="0"/>
        <w:spacing w:before="165" w:beforeLines="50" w:after="50"/>
        <w:ind w:left="142"/>
        <w:jc w:val="center"/>
        <w:rPr>
          <w:rFonts w:hint="eastAsia" w:ascii="宋体" w:hAnsi="宋体"/>
          <w:b/>
          <w:sz w:val="32"/>
          <w:szCs w:val="32"/>
        </w:rPr>
      </w:pPr>
      <w:r>
        <w:rPr>
          <w:rFonts w:hint="eastAsia" w:ascii="宋体" w:hAnsi="宋体"/>
          <w:b/>
          <w:sz w:val="32"/>
          <w:szCs w:val="32"/>
        </w:rPr>
        <w:t>项目实施人员一览表</w:t>
      </w:r>
    </w:p>
    <w:p w14:paraId="29DAA68D">
      <w:pPr>
        <w:pStyle w:val="18"/>
        <w:rPr>
          <w:sz w:val="24"/>
          <w:szCs w:val="24"/>
        </w:rPr>
      </w:pPr>
      <w:r>
        <w:rPr>
          <w:rFonts w:hint="eastAsia"/>
          <w:sz w:val="24"/>
          <w:szCs w:val="24"/>
        </w:rPr>
        <w:t>所投分标：</w:t>
      </w:r>
      <w:r>
        <w:rPr>
          <w:rFonts w:hint="eastAsia"/>
          <w:sz w:val="24"/>
          <w:szCs w:val="24"/>
          <w:u w:val="single"/>
        </w:rPr>
        <w:t xml:space="preserve">     </w:t>
      </w:r>
      <w:r>
        <w:rPr>
          <w:rFonts w:hint="eastAsia"/>
          <w:sz w:val="24"/>
          <w:szCs w:val="24"/>
        </w:rPr>
        <w:t>分标</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16BB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4343CC6">
            <w:pPr>
              <w:snapToGrid w:val="0"/>
              <w:spacing w:before="50" w:after="165" w:afterLines="50"/>
              <w:jc w:val="center"/>
              <w:rPr>
                <w:rFonts w:hint="eastAsia" w:ascii="宋体" w:hAnsi="宋体"/>
                <w:sz w:val="24"/>
                <w:szCs w:val="20"/>
              </w:rPr>
            </w:pPr>
            <w:r>
              <w:rPr>
                <w:rFonts w:hint="eastAsia" w:ascii="宋体" w:hAnsi="宋体"/>
                <w:sz w:val="24"/>
                <w:szCs w:val="20"/>
              </w:rPr>
              <w:t>姓名</w:t>
            </w:r>
          </w:p>
        </w:tc>
        <w:tc>
          <w:tcPr>
            <w:tcW w:w="709" w:type="dxa"/>
            <w:vAlign w:val="center"/>
          </w:tcPr>
          <w:p w14:paraId="230C51B2">
            <w:pPr>
              <w:snapToGrid w:val="0"/>
              <w:spacing w:before="50" w:after="165" w:afterLines="50"/>
              <w:jc w:val="center"/>
              <w:rPr>
                <w:rFonts w:hint="eastAsia" w:ascii="宋体" w:hAnsi="宋体"/>
                <w:sz w:val="24"/>
                <w:szCs w:val="20"/>
              </w:rPr>
            </w:pPr>
            <w:r>
              <w:rPr>
                <w:rFonts w:hint="eastAsia" w:ascii="宋体" w:hAnsi="宋体"/>
                <w:sz w:val="24"/>
                <w:szCs w:val="20"/>
              </w:rPr>
              <w:t>职务</w:t>
            </w:r>
          </w:p>
        </w:tc>
        <w:tc>
          <w:tcPr>
            <w:tcW w:w="1701" w:type="dxa"/>
            <w:vAlign w:val="center"/>
          </w:tcPr>
          <w:p w14:paraId="2AA6E45F">
            <w:pPr>
              <w:snapToGrid w:val="0"/>
              <w:spacing w:before="50" w:after="165" w:afterLines="50"/>
              <w:jc w:val="center"/>
              <w:rPr>
                <w:rFonts w:hint="eastAsia" w:ascii="宋体" w:hAnsi="宋体"/>
                <w:sz w:val="24"/>
                <w:szCs w:val="20"/>
              </w:rPr>
            </w:pPr>
            <w:r>
              <w:rPr>
                <w:rFonts w:hint="eastAsia" w:ascii="宋体" w:hAnsi="宋体"/>
                <w:sz w:val="24"/>
                <w:szCs w:val="20"/>
              </w:rPr>
              <w:t>专业技术资格（职称）或者职业资格或者执业资格证或者其他证书</w:t>
            </w:r>
          </w:p>
        </w:tc>
        <w:tc>
          <w:tcPr>
            <w:tcW w:w="1420" w:type="dxa"/>
            <w:vAlign w:val="center"/>
          </w:tcPr>
          <w:p w14:paraId="5F93C7A8">
            <w:pPr>
              <w:snapToGrid w:val="0"/>
              <w:spacing w:before="50" w:after="165" w:afterLines="50"/>
              <w:jc w:val="center"/>
              <w:rPr>
                <w:rFonts w:hint="eastAsia" w:ascii="宋体" w:hAnsi="宋体"/>
                <w:sz w:val="24"/>
                <w:szCs w:val="20"/>
              </w:rPr>
            </w:pPr>
            <w:r>
              <w:rPr>
                <w:rFonts w:hint="eastAsia" w:ascii="宋体" w:hAnsi="宋体"/>
                <w:sz w:val="24"/>
                <w:szCs w:val="20"/>
              </w:rPr>
              <w:t>证书编号</w:t>
            </w:r>
          </w:p>
        </w:tc>
        <w:tc>
          <w:tcPr>
            <w:tcW w:w="1698" w:type="dxa"/>
            <w:vAlign w:val="center"/>
          </w:tcPr>
          <w:p w14:paraId="435F6C3F">
            <w:pPr>
              <w:snapToGrid w:val="0"/>
              <w:spacing w:before="50" w:after="165" w:afterLines="50"/>
              <w:jc w:val="center"/>
              <w:rPr>
                <w:rFonts w:hint="eastAsia" w:ascii="宋体" w:hAnsi="宋体"/>
                <w:sz w:val="24"/>
                <w:szCs w:val="20"/>
              </w:rPr>
            </w:pPr>
            <w:r>
              <w:rPr>
                <w:rFonts w:hint="eastAsia" w:ascii="宋体" w:hAnsi="宋体"/>
                <w:sz w:val="24"/>
                <w:szCs w:val="20"/>
              </w:rPr>
              <w:t>参加本单位</w:t>
            </w:r>
          </w:p>
          <w:p w14:paraId="3EC87C29">
            <w:pPr>
              <w:snapToGrid w:val="0"/>
              <w:spacing w:before="50" w:after="165" w:afterLines="50"/>
              <w:jc w:val="center"/>
              <w:rPr>
                <w:rFonts w:hint="eastAsia" w:ascii="宋体" w:hAnsi="宋体"/>
                <w:sz w:val="24"/>
                <w:szCs w:val="20"/>
              </w:rPr>
            </w:pPr>
            <w:r>
              <w:rPr>
                <w:rFonts w:hint="eastAsia" w:ascii="宋体" w:hAnsi="宋体"/>
                <w:sz w:val="24"/>
                <w:szCs w:val="20"/>
              </w:rPr>
              <w:t>工作时间</w:t>
            </w:r>
          </w:p>
        </w:tc>
        <w:tc>
          <w:tcPr>
            <w:tcW w:w="1843" w:type="dxa"/>
            <w:vAlign w:val="center"/>
          </w:tcPr>
          <w:p w14:paraId="2C50117B">
            <w:pPr>
              <w:snapToGrid w:val="0"/>
              <w:spacing w:before="50" w:after="165" w:afterLines="50"/>
              <w:jc w:val="center"/>
              <w:rPr>
                <w:rFonts w:hint="eastAsia" w:ascii="宋体" w:hAnsi="宋体"/>
                <w:sz w:val="24"/>
                <w:szCs w:val="20"/>
              </w:rPr>
            </w:pPr>
            <w:r>
              <w:rPr>
                <w:rFonts w:hint="eastAsia" w:ascii="宋体" w:hAnsi="宋体"/>
                <w:sz w:val="24"/>
                <w:szCs w:val="20"/>
              </w:rPr>
              <w:t>劳动合同编号</w:t>
            </w:r>
          </w:p>
        </w:tc>
      </w:tr>
      <w:tr w14:paraId="6574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B9F00A5">
            <w:pPr>
              <w:snapToGrid w:val="0"/>
              <w:spacing w:before="50" w:after="165" w:afterLines="50"/>
              <w:jc w:val="center"/>
              <w:rPr>
                <w:rFonts w:hint="eastAsia" w:ascii="宋体" w:hAnsi="宋体"/>
                <w:sz w:val="24"/>
                <w:szCs w:val="20"/>
              </w:rPr>
            </w:pPr>
          </w:p>
        </w:tc>
        <w:tc>
          <w:tcPr>
            <w:tcW w:w="709" w:type="dxa"/>
            <w:vAlign w:val="center"/>
          </w:tcPr>
          <w:p w14:paraId="0DE88386">
            <w:pPr>
              <w:snapToGrid w:val="0"/>
              <w:spacing w:before="50" w:after="165" w:afterLines="50"/>
              <w:jc w:val="center"/>
              <w:rPr>
                <w:rFonts w:hint="eastAsia" w:ascii="宋体" w:hAnsi="宋体"/>
                <w:sz w:val="24"/>
                <w:szCs w:val="20"/>
              </w:rPr>
            </w:pPr>
          </w:p>
        </w:tc>
        <w:tc>
          <w:tcPr>
            <w:tcW w:w="1701" w:type="dxa"/>
            <w:vAlign w:val="center"/>
          </w:tcPr>
          <w:p w14:paraId="2C0A6D65">
            <w:pPr>
              <w:snapToGrid w:val="0"/>
              <w:spacing w:before="50" w:after="165" w:afterLines="50"/>
              <w:jc w:val="center"/>
              <w:rPr>
                <w:rFonts w:hint="eastAsia" w:ascii="宋体" w:hAnsi="宋体"/>
                <w:sz w:val="24"/>
                <w:szCs w:val="20"/>
              </w:rPr>
            </w:pPr>
          </w:p>
        </w:tc>
        <w:tc>
          <w:tcPr>
            <w:tcW w:w="1420" w:type="dxa"/>
            <w:vAlign w:val="center"/>
          </w:tcPr>
          <w:p w14:paraId="27137AA2">
            <w:pPr>
              <w:snapToGrid w:val="0"/>
              <w:spacing w:before="50" w:after="165" w:afterLines="50"/>
              <w:jc w:val="center"/>
              <w:rPr>
                <w:rFonts w:hint="eastAsia" w:ascii="宋体" w:hAnsi="宋体"/>
                <w:sz w:val="24"/>
                <w:szCs w:val="20"/>
              </w:rPr>
            </w:pPr>
          </w:p>
        </w:tc>
        <w:tc>
          <w:tcPr>
            <w:tcW w:w="1698" w:type="dxa"/>
            <w:vAlign w:val="center"/>
          </w:tcPr>
          <w:p w14:paraId="31546282">
            <w:pPr>
              <w:snapToGrid w:val="0"/>
              <w:spacing w:before="50" w:after="165" w:afterLines="50"/>
              <w:jc w:val="center"/>
              <w:rPr>
                <w:rFonts w:hint="eastAsia" w:ascii="宋体" w:hAnsi="宋体"/>
                <w:sz w:val="24"/>
                <w:szCs w:val="20"/>
              </w:rPr>
            </w:pPr>
          </w:p>
        </w:tc>
        <w:tc>
          <w:tcPr>
            <w:tcW w:w="1843" w:type="dxa"/>
            <w:vAlign w:val="center"/>
          </w:tcPr>
          <w:p w14:paraId="0D53DDE9">
            <w:pPr>
              <w:snapToGrid w:val="0"/>
              <w:spacing w:before="50" w:after="165" w:afterLines="50"/>
              <w:jc w:val="center"/>
              <w:rPr>
                <w:rFonts w:hint="eastAsia" w:ascii="宋体" w:hAnsi="宋体"/>
                <w:sz w:val="24"/>
                <w:szCs w:val="20"/>
              </w:rPr>
            </w:pPr>
          </w:p>
        </w:tc>
      </w:tr>
      <w:tr w14:paraId="0259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1ED1542">
            <w:pPr>
              <w:snapToGrid w:val="0"/>
              <w:spacing w:before="50" w:after="165" w:afterLines="50"/>
              <w:jc w:val="center"/>
              <w:rPr>
                <w:rFonts w:hint="eastAsia" w:ascii="宋体" w:hAnsi="宋体"/>
                <w:sz w:val="24"/>
                <w:szCs w:val="20"/>
              </w:rPr>
            </w:pPr>
          </w:p>
        </w:tc>
        <w:tc>
          <w:tcPr>
            <w:tcW w:w="709" w:type="dxa"/>
            <w:vAlign w:val="center"/>
          </w:tcPr>
          <w:p w14:paraId="0F557081">
            <w:pPr>
              <w:snapToGrid w:val="0"/>
              <w:spacing w:before="50" w:after="165" w:afterLines="50"/>
              <w:jc w:val="center"/>
              <w:rPr>
                <w:rFonts w:hint="eastAsia" w:ascii="宋体" w:hAnsi="宋体"/>
                <w:sz w:val="24"/>
                <w:szCs w:val="20"/>
              </w:rPr>
            </w:pPr>
          </w:p>
        </w:tc>
        <w:tc>
          <w:tcPr>
            <w:tcW w:w="1701" w:type="dxa"/>
            <w:vAlign w:val="center"/>
          </w:tcPr>
          <w:p w14:paraId="5BC9AB13">
            <w:pPr>
              <w:snapToGrid w:val="0"/>
              <w:spacing w:before="50" w:after="165" w:afterLines="50"/>
              <w:jc w:val="center"/>
              <w:rPr>
                <w:rFonts w:hint="eastAsia" w:ascii="宋体" w:hAnsi="宋体"/>
                <w:sz w:val="24"/>
                <w:szCs w:val="20"/>
              </w:rPr>
            </w:pPr>
          </w:p>
        </w:tc>
        <w:tc>
          <w:tcPr>
            <w:tcW w:w="1420" w:type="dxa"/>
            <w:vAlign w:val="center"/>
          </w:tcPr>
          <w:p w14:paraId="62B4EA2B">
            <w:pPr>
              <w:snapToGrid w:val="0"/>
              <w:spacing w:before="50" w:after="165" w:afterLines="50"/>
              <w:jc w:val="center"/>
              <w:rPr>
                <w:rFonts w:hint="eastAsia" w:ascii="宋体" w:hAnsi="宋体"/>
                <w:sz w:val="24"/>
                <w:szCs w:val="20"/>
              </w:rPr>
            </w:pPr>
          </w:p>
        </w:tc>
        <w:tc>
          <w:tcPr>
            <w:tcW w:w="1698" w:type="dxa"/>
            <w:vAlign w:val="center"/>
          </w:tcPr>
          <w:p w14:paraId="51884D89">
            <w:pPr>
              <w:snapToGrid w:val="0"/>
              <w:spacing w:before="50" w:after="165" w:afterLines="50"/>
              <w:jc w:val="center"/>
              <w:rPr>
                <w:rFonts w:hint="eastAsia" w:ascii="宋体" w:hAnsi="宋体"/>
                <w:sz w:val="24"/>
                <w:szCs w:val="20"/>
              </w:rPr>
            </w:pPr>
          </w:p>
        </w:tc>
        <w:tc>
          <w:tcPr>
            <w:tcW w:w="1843" w:type="dxa"/>
            <w:vAlign w:val="center"/>
          </w:tcPr>
          <w:p w14:paraId="75135968">
            <w:pPr>
              <w:snapToGrid w:val="0"/>
              <w:spacing w:before="50" w:after="165" w:afterLines="50"/>
              <w:jc w:val="center"/>
              <w:rPr>
                <w:rFonts w:hint="eastAsia" w:ascii="宋体" w:hAnsi="宋体"/>
                <w:sz w:val="24"/>
                <w:szCs w:val="20"/>
              </w:rPr>
            </w:pPr>
          </w:p>
        </w:tc>
      </w:tr>
      <w:tr w14:paraId="2B23C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DE93F42">
            <w:pPr>
              <w:snapToGrid w:val="0"/>
              <w:spacing w:before="50" w:after="165" w:afterLines="50"/>
              <w:jc w:val="center"/>
              <w:rPr>
                <w:rFonts w:hint="eastAsia" w:ascii="宋体" w:hAnsi="宋体"/>
                <w:sz w:val="24"/>
                <w:szCs w:val="20"/>
              </w:rPr>
            </w:pPr>
          </w:p>
        </w:tc>
        <w:tc>
          <w:tcPr>
            <w:tcW w:w="709" w:type="dxa"/>
            <w:vAlign w:val="center"/>
          </w:tcPr>
          <w:p w14:paraId="082C9D26">
            <w:pPr>
              <w:snapToGrid w:val="0"/>
              <w:spacing w:before="50" w:after="165" w:afterLines="50"/>
              <w:jc w:val="center"/>
              <w:rPr>
                <w:rFonts w:hint="eastAsia" w:ascii="宋体" w:hAnsi="宋体"/>
                <w:sz w:val="24"/>
                <w:szCs w:val="20"/>
              </w:rPr>
            </w:pPr>
          </w:p>
        </w:tc>
        <w:tc>
          <w:tcPr>
            <w:tcW w:w="1701" w:type="dxa"/>
            <w:vAlign w:val="center"/>
          </w:tcPr>
          <w:p w14:paraId="329580F0">
            <w:pPr>
              <w:snapToGrid w:val="0"/>
              <w:spacing w:before="50" w:after="165" w:afterLines="50"/>
              <w:jc w:val="center"/>
              <w:rPr>
                <w:rFonts w:hint="eastAsia" w:ascii="宋体" w:hAnsi="宋体"/>
                <w:sz w:val="24"/>
                <w:szCs w:val="20"/>
              </w:rPr>
            </w:pPr>
          </w:p>
        </w:tc>
        <w:tc>
          <w:tcPr>
            <w:tcW w:w="1420" w:type="dxa"/>
            <w:vAlign w:val="center"/>
          </w:tcPr>
          <w:p w14:paraId="2C8051A1">
            <w:pPr>
              <w:snapToGrid w:val="0"/>
              <w:spacing w:before="50" w:after="165" w:afterLines="50"/>
              <w:jc w:val="center"/>
              <w:rPr>
                <w:rFonts w:hint="eastAsia" w:ascii="宋体" w:hAnsi="宋体"/>
                <w:sz w:val="24"/>
                <w:szCs w:val="20"/>
              </w:rPr>
            </w:pPr>
          </w:p>
        </w:tc>
        <w:tc>
          <w:tcPr>
            <w:tcW w:w="1698" w:type="dxa"/>
            <w:vAlign w:val="center"/>
          </w:tcPr>
          <w:p w14:paraId="51C84A2E">
            <w:pPr>
              <w:snapToGrid w:val="0"/>
              <w:spacing w:before="50" w:after="165" w:afterLines="50"/>
              <w:jc w:val="center"/>
              <w:rPr>
                <w:rFonts w:hint="eastAsia" w:ascii="宋体" w:hAnsi="宋体"/>
                <w:sz w:val="24"/>
                <w:szCs w:val="20"/>
              </w:rPr>
            </w:pPr>
          </w:p>
        </w:tc>
        <w:tc>
          <w:tcPr>
            <w:tcW w:w="1843" w:type="dxa"/>
            <w:vAlign w:val="center"/>
          </w:tcPr>
          <w:p w14:paraId="0BD2A580">
            <w:pPr>
              <w:snapToGrid w:val="0"/>
              <w:spacing w:before="50" w:after="165" w:afterLines="50"/>
              <w:jc w:val="center"/>
              <w:rPr>
                <w:rFonts w:hint="eastAsia" w:ascii="宋体" w:hAnsi="宋体"/>
                <w:sz w:val="24"/>
                <w:szCs w:val="20"/>
              </w:rPr>
            </w:pPr>
          </w:p>
        </w:tc>
      </w:tr>
    </w:tbl>
    <w:p w14:paraId="1717015E">
      <w:pPr>
        <w:snapToGrid w:val="0"/>
        <w:spacing w:before="50" w:after="165" w:afterLines="50"/>
        <w:jc w:val="left"/>
        <w:rPr>
          <w:rFonts w:hint="eastAsia" w:ascii="宋体" w:hAnsi="宋体"/>
          <w:sz w:val="24"/>
          <w:szCs w:val="20"/>
        </w:rPr>
      </w:pPr>
    </w:p>
    <w:p w14:paraId="689C33BC">
      <w:pPr>
        <w:spacing w:line="360" w:lineRule="auto"/>
        <w:contextualSpacing/>
        <w:jc w:val="left"/>
        <w:rPr>
          <w:rFonts w:hint="eastAsia" w:ascii="宋体" w:hAnsi="宋体"/>
          <w:sz w:val="24"/>
          <w:szCs w:val="20"/>
        </w:rPr>
      </w:pPr>
      <w:r>
        <w:rPr>
          <w:rFonts w:hint="eastAsia" w:ascii="宋体" w:hAnsi="宋体"/>
          <w:sz w:val="24"/>
          <w:szCs w:val="20"/>
        </w:rPr>
        <w:t>注：</w:t>
      </w:r>
    </w:p>
    <w:p w14:paraId="4B79A32A">
      <w:pPr>
        <w:spacing w:line="360" w:lineRule="auto"/>
        <w:contextualSpacing/>
        <w:jc w:val="left"/>
        <w:rPr>
          <w:rFonts w:hint="eastAsia" w:ascii="宋体" w:hAnsi="宋体"/>
          <w:sz w:val="24"/>
          <w:szCs w:val="20"/>
        </w:rPr>
      </w:pPr>
      <w:r>
        <w:rPr>
          <w:rFonts w:hint="eastAsia" w:ascii="宋体" w:hAnsi="宋体"/>
          <w:sz w:val="24"/>
          <w:szCs w:val="20"/>
        </w:rPr>
        <w:t>1.在填写时，如本表格不适合投标单位的实际情况，可根据本表格式自行制表填写。</w:t>
      </w:r>
    </w:p>
    <w:p w14:paraId="1475635E">
      <w:pPr>
        <w:spacing w:line="360" w:lineRule="auto"/>
        <w:contextualSpacing/>
        <w:jc w:val="left"/>
        <w:rPr>
          <w:rFonts w:hint="eastAsia" w:ascii="宋体" w:hAnsi="宋体"/>
          <w:sz w:val="24"/>
          <w:szCs w:val="20"/>
        </w:rPr>
      </w:pPr>
      <w:r>
        <w:rPr>
          <w:rFonts w:hint="eastAsia" w:ascii="宋体" w:hAnsi="宋体"/>
          <w:sz w:val="24"/>
          <w:szCs w:val="20"/>
        </w:rPr>
        <w:t>2.投标人应当附本表所列证书的复印件并加盖投标人电子签章。</w:t>
      </w:r>
    </w:p>
    <w:p w14:paraId="7671D035">
      <w:pPr>
        <w:spacing w:line="360" w:lineRule="auto"/>
        <w:contextualSpacing/>
        <w:jc w:val="left"/>
        <w:rPr>
          <w:rFonts w:hint="eastAsia" w:ascii="宋体" w:hAnsi="宋体"/>
          <w:sz w:val="24"/>
          <w:szCs w:val="20"/>
        </w:rPr>
      </w:pPr>
    </w:p>
    <w:p w14:paraId="074D70E7">
      <w:pPr>
        <w:spacing w:line="360" w:lineRule="auto"/>
        <w:contextualSpacing/>
        <w:rPr>
          <w:rFonts w:hint="eastAsia" w:ascii="宋体" w:hAnsi="宋体"/>
          <w:spacing w:val="20"/>
          <w:sz w:val="24"/>
          <w:szCs w:val="20"/>
          <w:u w:val="single"/>
        </w:rPr>
      </w:pPr>
      <w:r>
        <w:rPr>
          <w:rFonts w:hint="eastAsia" w:ascii="宋体" w:hAnsi="宋体"/>
          <w:sz w:val="24"/>
        </w:rPr>
        <w:t>法定代表人或者委托代理人</w:t>
      </w:r>
      <w:r>
        <w:rPr>
          <w:rFonts w:hint="eastAsia" w:ascii="宋体" w:hAnsi="宋体"/>
          <w:spacing w:val="20"/>
          <w:sz w:val="24"/>
        </w:rPr>
        <w:t>（签字或者电子签名）：</w:t>
      </w:r>
      <w:r>
        <w:rPr>
          <w:rFonts w:hint="eastAsia" w:ascii="宋体" w:hAnsi="宋体"/>
          <w:spacing w:val="20"/>
          <w:sz w:val="24"/>
          <w:u w:val="single"/>
        </w:rPr>
        <w:t xml:space="preserve">        </w:t>
      </w:r>
    </w:p>
    <w:p w14:paraId="40F0F3E8">
      <w:pPr>
        <w:spacing w:line="360" w:lineRule="auto"/>
        <w:contextualSpacing/>
        <w:jc w:val="left"/>
        <w:rPr>
          <w:rFonts w:hint="eastAsia" w:ascii="宋体" w:hAnsi="宋体"/>
          <w:spacing w:val="20"/>
          <w:sz w:val="24"/>
        </w:rPr>
      </w:pPr>
      <w:r>
        <w:rPr>
          <w:rFonts w:hint="eastAsia" w:ascii="宋体" w:hAnsi="宋体"/>
          <w:spacing w:val="20"/>
          <w:sz w:val="24"/>
        </w:rPr>
        <w:t>投标人名称（电子签章）：</w:t>
      </w:r>
      <w:r>
        <w:rPr>
          <w:rFonts w:hint="eastAsia" w:ascii="宋体" w:hAnsi="宋体"/>
          <w:spacing w:val="20"/>
          <w:sz w:val="24"/>
          <w:u w:val="single"/>
        </w:rPr>
        <w:t xml:space="preserve">            </w:t>
      </w:r>
      <w:r>
        <w:rPr>
          <w:rFonts w:hint="eastAsia" w:ascii="宋体" w:hAnsi="宋体"/>
          <w:spacing w:val="20"/>
          <w:sz w:val="24"/>
        </w:rPr>
        <w:t xml:space="preserve">              </w:t>
      </w:r>
    </w:p>
    <w:p w14:paraId="76C9E8A4">
      <w:pPr>
        <w:spacing w:line="360" w:lineRule="auto"/>
        <w:contextualSpacing/>
        <w:jc w:val="left"/>
        <w:rPr>
          <w:rFonts w:hint="eastAsia" w:ascii="宋体" w:hAnsi="宋体"/>
          <w:sz w:val="24"/>
          <w:szCs w:val="20"/>
        </w:rPr>
      </w:pPr>
      <w:r>
        <w:rPr>
          <w:rFonts w:hint="eastAsia" w:ascii="宋体" w:hAnsi="宋体"/>
          <w:spacing w:val="20"/>
          <w:sz w:val="24"/>
        </w:rPr>
        <w:t>日 期：</w:t>
      </w:r>
      <w:r>
        <w:rPr>
          <w:rFonts w:hint="eastAsia" w:ascii="宋体" w:hAnsi="宋体"/>
          <w:spacing w:val="20"/>
          <w:sz w:val="24"/>
          <w:u w:val="single"/>
        </w:rPr>
        <w:t xml:space="preserve">         </w:t>
      </w:r>
    </w:p>
    <w:p w14:paraId="3AEEC1DB">
      <w:pPr>
        <w:spacing w:line="360" w:lineRule="auto"/>
        <w:contextualSpacing/>
        <w:jc w:val="left"/>
        <w:rPr>
          <w:rFonts w:hint="eastAsia" w:ascii="宋体" w:hAnsi="宋体"/>
          <w:sz w:val="24"/>
          <w:szCs w:val="20"/>
        </w:rPr>
      </w:pPr>
    </w:p>
    <w:p w14:paraId="748FC626">
      <w:pPr>
        <w:snapToGrid w:val="0"/>
        <w:spacing w:before="50" w:after="165" w:afterLines="50"/>
        <w:jc w:val="left"/>
        <w:rPr>
          <w:rFonts w:hint="eastAsia" w:ascii="宋体" w:hAnsi="宋体"/>
          <w:sz w:val="24"/>
          <w:szCs w:val="20"/>
        </w:rPr>
      </w:pPr>
    </w:p>
    <w:p w14:paraId="4AB1869B">
      <w:pPr>
        <w:snapToGrid w:val="0"/>
        <w:spacing w:before="165" w:beforeLines="50" w:after="50"/>
        <w:jc w:val="left"/>
        <w:rPr>
          <w:rFonts w:hint="eastAsia" w:ascii="宋体" w:hAnsi="宋体"/>
          <w:sz w:val="24"/>
          <w:szCs w:val="20"/>
        </w:rPr>
      </w:pPr>
    </w:p>
    <w:p w14:paraId="1785CA3E">
      <w:pPr>
        <w:snapToGrid w:val="0"/>
        <w:spacing w:before="50" w:after="165" w:afterLines="50"/>
        <w:jc w:val="left"/>
        <w:rPr>
          <w:rFonts w:hint="eastAsia" w:ascii="宋体" w:hAnsi="宋体"/>
          <w:sz w:val="24"/>
          <w:szCs w:val="20"/>
        </w:rPr>
      </w:pPr>
    </w:p>
    <w:p w14:paraId="02AC6F83">
      <w:pPr>
        <w:rPr>
          <w:b/>
          <w:sz w:val="28"/>
          <w:szCs w:val="28"/>
        </w:rPr>
      </w:pPr>
      <w:r>
        <w:rPr>
          <w:rFonts w:ascii="宋体" w:hAnsi="宋体"/>
          <w:b/>
          <w:bCs/>
          <w:sz w:val="24"/>
        </w:rPr>
        <w:br w:type="page"/>
      </w:r>
      <w:bookmarkStart w:id="159" w:name="_Toc19686840"/>
      <w:r>
        <w:rPr>
          <w:rFonts w:hint="eastAsia"/>
          <w:b/>
          <w:sz w:val="28"/>
          <w:szCs w:val="28"/>
        </w:rPr>
        <w:t>四、其他文书、文件格式</w:t>
      </w:r>
      <w:bookmarkEnd w:id="159"/>
    </w:p>
    <w:p w14:paraId="2C3EB6E7">
      <w:pPr>
        <w:spacing w:before="165" w:beforeLines="50" w:after="165" w:afterLines="50" w:line="400" w:lineRule="exact"/>
        <w:rPr>
          <w:rFonts w:hint="eastAsia" w:ascii="宋体" w:hAnsi="宋体"/>
          <w:sz w:val="24"/>
        </w:rPr>
      </w:pPr>
    </w:p>
    <w:p w14:paraId="7CFB8C3D">
      <w:pPr>
        <w:snapToGrid w:val="0"/>
        <w:spacing w:before="165" w:beforeLines="50" w:after="50"/>
        <w:ind w:left="142"/>
        <w:jc w:val="left"/>
        <w:rPr>
          <w:rFonts w:hint="eastAsia" w:ascii="宋体" w:hAnsi="宋体"/>
          <w:b/>
          <w:spacing w:val="20"/>
          <w:sz w:val="24"/>
        </w:rPr>
      </w:pPr>
      <w:r>
        <w:rPr>
          <w:rFonts w:hint="eastAsia" w:ascii="宋体" w:hAnsi="宋体"/>
          <w:b/>
          <w:spacing w:val="20"/>
          <w:sz w:val="24"/>
        </w:rPr>
        <w:t>1.联合投标协议书格式</w:t>
      </w:r>
    </w:p>
    <w:p w14:paraId="59400C93">
      <w:pPr>
        <w:pStyle w:val="9"/>
        <w:overflowPunct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联合体协议书</w:t>
      </w:r>
    </w:p>
    <w:p w14:paraId="092F4C88">
      <w:pPr>
        <w:pStyle w:val="9"/>
        <w:overflowPunct w:val="0"/>
        <w:spacing w:line="360" w:lineRule="auto"/>
        <w:ind w:firstLine="0"/>
        <w:contextualSpacing/>
        <w:rPr>
          <w:rFonts w:hint="eastAsia" w:ascii="宋体" w:hAnsi="宋体"/>
          <w:sz w:val="24"/>
        </w:rPr>
      </w:pPr>
    </w:p>
    <w:p w14:paraId="7697AACF">
      <w:pPr>
        <w:pStyle w:val="9"/>
        <w:overflowPunct w:val="0"/>
        <w:spacing w:line="360" w:lineRule="auto"/>
        <w:contextualSpacing/>
        <w:rPr>
          <w:rFonts w:hint="eastAsia" w:ascii="宋体" w:hAnsi="宋体"/>
          <w:sz w:val="24"/>
        </w:rPr>
      </w:pPr>
      <w:r>
        <w:rPr>
          <w:rFonts w:ascii="宋体" w:hAnsi="宋体"/>
          <w:sz w:val="24"/>
          <w:u w:val="single"/>
        </w:rPr>
        <w:t xml:space="preserve"> </w:t>
      </w:r>
      <w:r>
        <w:rPr>
          <w:rFonts w:ascii="宋体" w:hAnsi="宋体"/>
          <w:sz w:val="24"/>
          <w:u w:val="single"/>
        </w:rPr>
        <w:tab/>
      </w:r>
      <w:r>
        <w:rPr>
          <w:rFonts w:hint="eastAsia" w:ascii="宋体" w:hAnsi="宋体"/>
          <w:sz w:val="24"/>
        </w:rPr>
        <w:t>（所有成员单位名称）自愿组成</w:t>
      </w:r>
      <w:r>
        <w:rPr>
          <w:rFonts w:ascii="宋体" w:hAnsi="宋体"/>
          <w:sz w:val="24"/>
          <w:u w:val="single"/>
        </w:rPr>
        <w:t xml:space="preserve"> </w:t>
      </w:r>
      <w:r>
        <w:rPr>
          <w:rFonts w:ascii="宋体" w:hAnsi="宋体"/>
          <w:sz w:val="24"/>
          <w:u w:val="single"/>
        </w:rPr>
        <w:tab/>
      </w:r>
      <w:r>
        <w:rPr>
          <w:rFonts w:hint="eastAsia" w:ascii="宋体" w:hAnsi="宋体"/>
          <w:sz w:val="24"/>
        </w:rPr>
        <w:t>（联合体名称）联合体，共同参加</w:t>
      </w:r>
      <w:r>
        <w:rPr>
          <w:rFonts w:ascii="宋体" w:hAnsi="宋体"/>
          <w:sz w:val="24"/>
          <w:u w:val="single"/>
        </w:rPr>
        <w:t xml:space="preserve"> </w:t>
      </w:r>
      <w:r>
        <w:rPr>
          <w:rFonts w:ascii="宋体" w:hAnsi="宋体"/>
          <w:sz w:val="24"/>
          <w:u w:val="single"/>
        </w:rPr>
        <w:tab/>
      </w:r>
      <w:r>
        <w:rPr>
          <w:rFonts w:hint="eastAsia" w:ascii="宋体" w:hAnsi="宋体"/>
          <w:sz w:val="24"/>
          <w:u w:val="single"/>
        </w:rPr>
        <w:t>（项</w:t>
      </w:r>
      <w:r>
        <w:rPr>
          <w:rFonts w:hint="eastAsia" w:ascii="宋体" w:hAnsi="宋体"/>
          <w:sz w:val="24"/>
        </w:rPr>
        <w:t>目名称）采购招标项目投标。现就联合体投标事宜订立如下协议。</w:t>
      </w:r>
    </w:p>
    <w:p w14:paraId="3380CA40">
      <w:pPr>
        <w:pStyle w:val="9"/>
        <w:overflowPunct w:val="0"/>
        <w:spacing w:line="360" w:lineRule="auto"/>
        <w:contextualSpacing/>
        <w:rPr>
          <w:rFonts w:hint="eastAsia" w:ascii="宋体" w:hAnsi="宋体"/>
          <w:sz w:val="24"/>
        </w:rPr>
      </w:pPr>
    </w:p>
    <w:p w14:paraId="6EDBC73F">
      <w:pPr>
        <w:pStyle w:val="9"/>
        <w:overflowPunct w:val="0"/>
        <w:spacing w:line="360" w:lineRule="auto"/>
        <w:ind w:firstLineChars="175"/>
        <w:contextualSpacing/>
        <w:rPr>
          <w:rFonts w:hint="eastAsia" w:ascii="宋体" w:hAnsi="宋体"/>
          <w:sz w:val="24"/>
        </w:rPr>
      </w:pPr>
      <w:r>
        <w:rPr>
          <w:rFonts w:ascii="宋体" w:hAnsi="宋体"/>
          <w:sz w:val="24"/>
        </w:rPr>
        <w:t xml:space="preserve">1.  </w:t>
      </w:r>
      <w:r>
        <w:rPr>
          <w:rFonts w:ascii="宋体" w:hAnsi="宋体"/>
          <w:sz w:val="24"/>
          <w:u w:val="single"/>
        </w:rPr>
        <w:t xml:space="preserve"> </w:t>
      </w:r>
      <w:r>
        <w:rPr>
          <w:rFonts w:ascii="宋体" w:hAnsi="宋体"/>
          <w:sz w:val="24"/>
          <w:u w:val="single"/>
        </w:rPr>
        <w:tab/>
      </w:r>
      <w:r>
        <w:rPr>
          <w:rFonts w:hint="eastAsia" w:ascii="宋体" w:hAnsi="宋体"/>
          <w:sz w:val="24"/>
        </w:rPr>
        <w:t>（某成员单位名称）为</w:t>
      </w:r>
      <w:r>
        <w:rPr>
          <w:rFonts w:ascii="宋体" w:hAnsi="宋体"/>
          <w:sz w:val="24"/>
          <w:u w:val="single"/>
        </w:rPr>
        <w:t xml:space="preserve"> </w:t>
      </w:r>
      <w:r>
        <w:rPr>
          <w:rFonts w:ascii="宋体" w:hAnsi="宋体"/>
          <w:sz w:val="24"/>
          <w:u w:val="single"/>
        </w:rPr>
        <w:tab/>
      </w:r>
      <w:r>
        <w:rPr>
          <w:rFonts w:hint="eastAsia" w:ascii="宋体" w:hAnsi="宋体"/>
          <w:sz w:val="24"/>
        </w:rPr>
        <w:t>（联合体名称）牵头人。</w:t>
      </w:r>
    </w:p>
    <w:p w14:paraId="0077BF77">
      <w:pPr>
        <w:pStyle w:val="9"/>
        <w:overflowPunct w:val="0"/>
        <w:spacing w:line="360" w:lineRule="auto"/>
        <w:ind w:firstLineChars="175"/>
        <w:contextualSpacing/>
        <w:rPr>
          <w:rFonts w:hint="eastAsia" w:ascii="宋体" w:hAnsi="宋体"/>
          <w:sz w:val="24"/>
        </w:rPr>
      </w:pPr>
      <w:r>
        <w:rPr>
          <w:rFonts w:ascii="宋体" w:hAnsi="宋体"/>
          <w:sz w:val="24"/>
        </w:rPr>
        <w:t>2.</w:t>
      </w:r>
      <w:r>
        <w:rPr>
          <w:rFonts w:hint="eastAsia" w:ascii="宋体" w:hAnsi="宋体"/>
          <w:sz w:val="24"/>
        </w:rPr>
        <w:t>联合体各成员授权牵头人代表联合体参加投标活动，签署文件及对文件的盖章，提交和接收相关的资料、</w:t>
      </w:r>
      <w:r>
        <w:rPr>
          <w:rFonts w:ascii="宋体" w:hAnsi="宋体"/>
          <w:sz w:val="24"/>
        </w:rPr>
        <w:t xml:space="preserve"> </w:t>
      </w:r>
      <w:r>
        <w:rPr>
          <w:rFonts w:hint="eastAsia" w:ascii="宋体" w:hAnsi="宋体"/>
          <w:sz w:val="24"/>
        </w:rPr>
        <w:t>信息及指示，进行合同谈判活动，负责合同实施阶段的组织和协调工作，以及处理与本招标项目有关的一切事宜。</w:t>
      </w:r>
    </w:p>
    <w:p w14:paraId="0CF8EA36">
      <w:pPr>
        <w:pStyle w:val="9"/>
        <w:overflowPunct w:val="0"/>
        <w:spacing w:line="360" w:lineRule="auto"/>
        <w:ind w:firstLineChars="175"/>
        <w:contextualSpacing/>
        <w:rPr>
          <w:rFonts w:hint="eastAsia" w:ascii="宋体" w:hAnsi="宋体"/>
          <w:sz w:val="24"/>
        </w:rPr>
      </w:pPr>
      <w:r>
        <w:rPr>
          <w:rFonts w:ascii="宋体" w:hAnsi="宋体"/>
          <w:sz w:val="24"/>
        </w:rPr>
        <w:t>3.</w:t>
      </w:r>
      <w:r>
        <w:rPr>
          <w:rFonts w:hint="eastAsia" w:ascii="宋体" w:hAnsi="宋体"/>
          <w:sz w:val="24"/>
        </w:rPr>
        <w:t>联合体牵头人在本项目中签署和盖章的一切文件和处理的一切事宜，联合体各成员均予以承认。</w:t>
      </w:r>
      <w:r>
        <w:rPr>
          <w:rFonts w:ascii="宋体" w:hAnsi="宋体"/>
          <w:sz w:val="24"/>
        </w:rPr>
        <w:t xml:space="preserve"> </w:t>
      </w:r>
      <w:r>
        <w:rPr>
          <w:rFonts w:hint="eastAsia" w:ascii="宋体" w:hAnsi="宋体"/>
          <w:sz w:val="24"/>
        </w:rPr>
        <w:t>联合体各成员将严格按照采购文件、投标文件和合同的要求全面履行义务，并向采购人承担连带责任。</w:t>
      </w:r>
    </w:p>
    <w:p w14:paraId="443DD303">
      <w:pPr>
        <w:pStyle w:val="9"/>
        <w:overflowPunct w:val="0"/>
        <w:spacing w:line="360" w:lineRule="auto"/>
        <w:ind w:firstLineChars="175"/>
        <w:contextualSpacing/>
        <w:rPr>
          <w:rFonts w:hint="eastAsia" w:ascii="宋体" w:hAnsi="宋体"/>
          <w:sz w:val="24"/>
        </w:rPr>
      </w:pPr>
      <w:r>
        <w:rPr>
          <w:rFonts w:ascii="宋体" w:hAnsi="宋体"/>
          <w:sz w:val="24"/>
        </w:rPr>
        <w:t>4.</w:t>
      </w:r>
      <w:r>
        <w:rPr>
          <w:rFonts w:hint="eastAsia" w:ascii="宋体" w:hAnsi="宋体"/>
          <w:sz w:val="24"/>
        </w:rPr>
        <w:t>联合体各成员单位内部的职责分工如下：</w:t>
      </w:r>
      <w:r>
        <w:rPr>
          <w:rFonts w:ascii="宋体" w:hAnsi="宋体"/>
          <w:sz w:val="24"/>
          <w:u w:val="single"/>
        </w:rPr>
        <w:t xml:space="preserve"> </w:t>
      </w:r>
      <w:r>
        <w:rPr>
          <w:rFonts w:ascii="宋体" w:hAnsi="宋体"/>
          <w:sz w:val="24"/>
          <w:u w:val="single"/>
        </w:rPr>
        <w:tab/>
      </w:r>
      <w:r>
        <w:rPr>
          <w:rFonts w:hint="eastAsia" w:ascii="宋体" w:hAnsi="宋体"/>
          <w:sz w:val="24"/>
        </w:rPr>
        <w:t>。</w:t>
      </w:r>
    </w:p>
    <w:p w14:paraId="12D504AE">
      <w:pPr>
        <w:pStyle w:val="9"/>
        <w:overflowPunct w:val="0"/>
        <w:spacing w:line="360" w:lineRule="auto"/>
        <w:ind w:firstLineChars="175"/>
        <w:contextualSpacing/>
        <w:rPr>
          <w:rFonts w:hint="eastAsia" w:ascii="宋体" w:hAnsi="宋体"/>
          <w:sz w:val="24"/>
        </w:rPr>
      </w:pPr>
      <w:r>
        <w:rPr>
          <w:rFonts w:ascii="宋体" w:hAnsi="宋体"/>
          <w:sz w:val="24"/>
        </w:rPr>
        <w:t>5.</w:t>
      </w:r>
      <w:r>
        <w:rPr>
          <w:rFonts w:hint="eastAsia" w:ascii="宋体" w:hAnsi="宋体"/>
          <w:sz w:val="24"/>
        </w:rPr>
        <w:t>本协议书自所有成员单位法定代表人或者其委托代理人签字（或者电子签名）或者盖公章之日起生效，合同履行完毕后自动失效。</w:t>
      </w:r>
    </w:p>
    <w:p w14:paraId="11213645">
      <w:pPr>
        <w:pStyle w:val="9"/>
        <w:overflowPunct w:val="0"/>
        <w:spacing w:line="360" w:lineRule="auto"/>
        <w:ind w:firstLineChars="175"/>
        <w:contextualSpacing/>
        <w:rPr>
          <w:rFonts w:hint="eastAsia" w:ascii="宋体" w:hAnsi="宋体"/>
          <w:sz w:val="24"/>
        </w:rPr>
      </w:pPr>
      <w:r>
        <w:rPr>
          <w:rFonts w:ascii="宋体" w:hAnsi="宋体"/>
          <w:sz w:val="24"/>
        </w:rPr>
        <w:t>6.</w:t>
      </w:r>
      <w:r>
        <w:rPr>
          <w:rFonts w:hint="eastAsia" w:ascii="宋体" w:hAnsi="宋体"/>
          <w:sz w:val="24"/>
        </w:rPr>
        <w:t>本协议书一式</w:t>
      </w:r>
      <w:r>
        <w:rPr>
          <w:rFonts w:ascii="宋体" w:hAnsi="宋体"/>
          <w:sz w:val="24"/>
          <w:u w:val="single"/>
        </w:rPr>
        <w:t xml:space="preserve"> </w:t>
      </w:r>
      <w:r>
        <w:rPr>
          <w:rFonts w:ascii="宋体" w:hAnsi="宋体"/>
          <w:sz w:val="24"/>
          <w:u w:val="single"/>
        </w:rPr>
        <w:tab/>
      </w:r>
      <w:r>
        <w:rPr>
          <w:rFonts w:hint="eastAsia" w:ascii="宋体" w:hAnsi="宋体"/>
          <w:sz w:val="24"/>
        </w:rPr>
        <w:t>份，联合体成员和</w:t>
      </w:r>
      <w:r>
        <w:rPr>
          <w:rFonts w:hint="eastAsia" w:ascii="宋体" w:hAnsi="宋体"/>
          <w:sz w:val="24"/>
          <w:szCs w:val="24"/>
        </w:rPr>
        <w:t>采购人</w:t>
      </w:r>
      <w:r>
        <w:rPr>
          <w:rFonts w:hint="eastAsia" w:ascii="宋体" w:hAnsi="宋体"/>
          <w:sz w:val="24"/>
        </w:rPr>
        <w:t>各执一份。</w:t>
      </w:r>
    </w:p>
    <w:p w14:paraId="422BAB3D">
      <w:pPr>
        <w:pStyle w:val="9"/>
        <w:overflowPunct w:val="0"/>
        <w:spacing w:line="360" w:lineRule="auto"/>
        <w:ind w:firstLineChars="175"/>
        <w:contextualSpacing/>
        <w:rPr>
          <w:rFonts w:hint="eastAsia" w:ascii="宋体" w:hAnsi="宋体"/>
          <w:sz w:val="24"/>
        </w:rPr>
      </w:pPr>
      <w:r>
        <w:rPr>
          <w:rFonts w:hint="eastAsia" w:ascii="宋体" w:hAnsi="宋体"/>
          <w:sz w:val="24"/>
        </w:rPr>
        <w:t>注：本协议书应附法定代表人身份证明；有委托代理的，应附授权委托书</w:t>
      </w:r>
      <w:r>
        <w:rPr>
          <w:rFonts w:hint="eastAsia" w:ascii="宋体" w:hAnsi="宋体" w:cs="仿宋_GB2312"/>
          <w:sz w:val="24"/>
        </w:rPr>
        <w:t>（格式自拟）</w:t>
      </w:r>
      <w:r>
        <w:rPr>
          <w:rFonts w:hint="eastAsia" w:ascii="宋体" w:hAnsi="宋体"/>
          <w:sz w:val="24"/>
        </w:rPr>
        <w:t>。</w:t>
      </w:r>
    </w:p>
    <w:p w14:paraId="20552984">
      <w:pPr>
        <w:pStyle w:val="9"/>
        <w:overflowPunct w:val="0"/>
        <w:spacing w:line="360" w:lineRule="auto"/>
        <w:ind w:firstLineChars="175"/>
        <w:contextualSpacing/>
        <w:rPr>
          <w:rFonts w:hint="eastAsia" w:ascii="宋体" w:hAnsi="宋体"/>
          <w:sz w:val="24"/>
        </w:rPr>
      </w:pPr>
    </w:p>
    <w:p w14:paraId="7E266512">
      <w:pPr>
        <w:pStyle w:val="9"/>
        <w:overflowPunct w:val="0"/>
        <w:spacing w:line="360" w:lineRule="auto"/>
        <w:ind w:firstLineChars="175"/>
        <w:contextualSpacing/>
        <w:rPr>
          <w:rFonts w:hint="eastAsia" w:ascii="宋体" w:hAnsi="宋体"/>
          <w:sz w:val="24"/>
        </w:rPr>
      </w:pPr>
      <w:r>
        <w:rPr>
          <w:rFonts w:hint="eastAsia" w:ascii="宋体" w:hAnsi="宋体"/>
          <w:sz w:val="24"/>
        </w:rPr>
        <w:t>联合体牵头人名称（电子签章）：</w:t>
      </w:r>
    </w:p>
    <w:p w14:paraId="2200659E">
      <w:pPr>
        <w:pStyle w:val="9"/>
        <w:overflowPunct w:val="0"/>
        <w:spacing w:line="360" w:lineRule="auto"/>
        <w:ind w:firstLineChars="175"/>
        <w:contextualSpacing/>
        <w:rPr>
          <w:rFonts w:hint="eastAsia" w:ascii="宋体" w:hAnsi="宋体"/>
          <w:sz w:val="24"/>
          <w:u w:val="single"/>
        </w:rPr>
      </w:pPr>
      <w:r>
        <w:rPr>
          <w:rFonts w:hint="eastAsia" w:ascii="宋体" w:hAnsi="宋体"/>
          <w:sz w:val="24"/>
        </w:rPr>
        <w:t>法定代表人或者其委托代理人：</w:t>
      </w:r>
      <w:r>
        <w:rPr>
          <w:rFonts w:ascii="宋体" w:hAnsi="宋体"/>
          <w:sz w:val="24"/>
          <w:u w:val="single"/>
        </w:rPr>
        <w:t xml:space="preserve"> </w:t>
      </w:r>
      <w:r>
        <w:rPr>
          <w:rFonts w:ascii="宋体" w:hAnsi="宋体"/>
          <w:sz w:val="24"/>
          <w:u w:val="single"/>
        </w:rPr>
        <w:tab/>
      </w:r>
      <w:r>
        <w:rPr>
          <w:rFonts w:hint="eastAsia" w:ascii="宋体" w:hAnsi="宋体"/>
          <w:sz w:val="24"/>
          <w:u w:val="single"/>
        </w:rPr>
        <w:t>（签字或者电子签名）</w:t>
      </w:r>
    </w:p>
    <w:p w14:paraId="04471E77">
      <w:pPr>
        <w:pStyle w:val="9"/>
        <w:overflowPunct w:val="0"/>
        <w:spacing w:line="360" w:lineRule="auto"/>
        <w:ind w:firstLineChars="175"/>
        <w:contextualSpacing/>
        <w:rPr>
          <w:rFonts w:hint="eastAsia" w:ascii="宋体" w:hAnsi="宋体"/>
          <w:sz w:val="24"/>
        </w:rPr>
      </w:pPr>
    </w:p>
    <w:p w14:paraId="37687A52">
      <w:pPr>
        <w:pStyle w:val="9"/>
        <w:overflowPunct w:val="0"/>
        <w:spacing w:line="360" w:lineRule="auto"/>
        <w:ind w:firstLineChars="175"/>
        <w:contextualSpacing/>
        <w:rPr>
          <w:rFonts w:hint="eastAsia" w:ascii="宋体" w:hAnsi="宋体"/>
          <w:sz w:val="24"/>
        </w:rPr>
      </w:pPr>
      <w:r>
        <w:rPr>
          <w:rFonts w:hint="eastAsia" w:ascii="宋体" w:hAnsi="宋体"/>
          <w:sz w:val="24"/>
        </w:rPr>
        <w:t>联合体成员名称（</w:t>
      </w:r>
      <w:r>
        <w:rPr>
          <w:rFonts w:hint="eastAsia" w:ascii="宋体" w:hAnsi="宋体" w:cs="仿宋_GB2312"/>
          <w:sz w:val="24"/>
        </w:rPr>
        <w:t>盖公章或者电子签章</w:t>
      </w:r>
      <w:r>
        <w:rPr>
          <w:rFonts w:hint="eastAsia" w:ascii="宋体" w:hAnsi="宋体"/>
          <w:sz w:val="24"/>
        </w:rPr>
        <w:t>）：</w:t>
      </w:r>
    </w:p>
    <w:p w14:paraId="3E297361">
      <w:pPr>
        <w:pStyle w:val="9"/>
        <w:overflowPunct w:val="0"/>
        <w:spacing w:line="360" w:lineRule="auto"/>
        <w:ind w:firstLineChars="175"/>
        <w:contextualSpacing/>
        <w:rPr>
          <w:rFonts w:hint="eastAsia" w:ascii="宋体" w:hAnsi="宋体"/>
          <w:sz w:val="24"/>
          <w:u w:val="single"/>
        </w:rPr>
      </w:pPr>
      <w:r>
        <w:rPr>
          <w:rFonts w:hint="eastAsia" w:ascii="宋体" w:hAnsi="宋体"/>
          <w:sz w:val="24"/>
        </w:rPr>
        <w:t>法定代表人或者其委托代理人：</w:t>
      </w:r>
      <w:r>
        <w:rPr>
          <w:rFonts w:ascii="宋体" w:hAnsi="宋体"/>
          <w:sz w:val="24"/>
          <w:u w:val="single"/>
        </w:rPr>
        <w:t xml:space="preserve"> </w:t>
      </w:r>
      <w:r>
        <w:rPr>
          <w:rFonts w:ascii="宋体" w:hAnsi="宋体"/>
          <w:sz w:val="24"/>
          <w:u w:val="single"/>
        </w:rPr>
        <w:tab/>
      </w:r>
      <w:r>
        <w:rPr>
          <w:rFonts w:hint="eastAsia" w:ascii="宋体" w:hAnsi="宋体"/>
          <w:sz w:val="24"/>
          <w:u w:val="single"/>
        </w:rPr>
        <w:t>（签字或者电子签名）</w:t>
      </w:r>
    </w:p>
    <w:p w14:paraId="573C370A">
      <w:pPr>
        <w:pStyle w:val="9"/>
        <w:overflowPunct w:val="0"/>
        <w:spacing w:line="360" w:lineRule="auto"/>
        <w:ind w:firstLineChars="175"/>
        <w:contextualSpacing/>
        <w:rPr>
          <w:rFonts w:hint="eastAsia" w:ascii="宋体" w:hAnsi="宋体"/>
          <w:sz w:val="24"/>
        </w:rPr>
      </w:pPr>
      <w:r>
        <w:rPr>
          <w:rFonts w:ascii="宋体" w:hAnsi="宋体"/>
          <w:sz w:val="24"/>
        </w:rPr>
        <w:t>……</w:t>
      </w:r>
    </w:p>
    <w:p w14:paraId="3C185C91">
      <w:pPr>
        <w:pStyle w:val="9"/>
        <w:overflowPunct w:val="0"/>
        <w:spacing w:line="360" w:lineRule="auto"/>
        <w:ind w:firstLineChars="175"/>
        <w:contextualSpacing/>
        <w:rPr>
          <w:rFonts w:hint="eastAsia" w:ascii="宋体" w:hAnsi="宋体"/>
          <w:sz w:val="24"/>
        </w:rPr>
      </w:pPr>
    </w:p>
    <w:p w14:paraId="0DA3E9AA">
      <w:pPr>
        <w:pStyle w:val="9"/>
        <w:overflowPunct w:val="0"/>
        <w:spacing w:line="360" w:lineRule="auto"/>
        <w:ind w:firstLineChars="175"/>
        <w:contextualSpacing/>
        <w:jc w:val="right"/>
        <w:rPr>
          <w:rFonts w:hint="eastAsia" w:ascii="宋体" w:hAnsi="宋体"/>
          <w:b/>
          <w:sz w:val="24"/>
        </w:rPr>
      </w:pPr>
      <w:r>
        <w:rPr>
          <w:rFonts w:ascii="宋体" w:hAnsi="宋体"/>
          <w:sz w:val="24"/>
        </w:rPr>
        <w:t xml:space="preserve"> </w:t>
      </w:r>
      <w:r>
        <w:rPr>
          <w:rFonts w:ascii="宋体" w:hAnsi="宋体"/>
          <w:sz w:val="24"/>
        </w:rPr>
        <w:tab/>
      </w:r>
      <w:r>
        <w:rPr>
          <w:rFonts w:hint="eastAsia" w:ascii="宋体" w:hAnsi="宋体"/>
          <w:sz w:val="24"/>
        </w:rPr>
        <w:t>年</w:t>
      </w:r>
      <w:r>
        <w:rPr>
          <w:rFonts w:ascii="宋体" w:hAnsi="宋体"/>
          <w:sz w:val="24"/>
        </w:rPr>
        <w:t xml:space="preserve"> </w:t>
      </w:r>
      <w:r>
        <w:rPr>
          <w:rFonts w:ascii="宋体" w:hAnsi="宋体"/>
          <w:sz w:val="24"/>
        </w:rPr>
        <w:tab/>
      </w:r>
      <w:r>
        <w:rPr>
          <w:rFonts w:hint="eastAsia" w:ascii="宋体" w:hAnsi="宋体"/>
          <w:sz w:val="24"/>
        </w:rPr>
        <w:t>月</w:t>
      </w:r>
      <w:r>
        <w:rPr>
          <w:rFonts w:ascii="宋体" w:hAnsi="宋体"/>
          <w:sz w:val="24"/>
        </w:rPr>
        <w:t xml:space="preserve"> </w:t>
      </w:r>
      <w:r>
        <w:rPr>
          <w:rFonts w:ascii="宋体" w:hAnsi="宋体"/>
          <w:sz w:val="24"/>
        </w:rPr>
        <w:tab/>
      </w:r>
      <w:r>
        <w:rPr>
          <w:rFonts w:hint="eastAsia" w:ascii="宋体" w:hAnsi="宋体"/>
          <w:sz w:val="24"/>
        </w:rPr>
        <w:t>日</w:t>
      </w:r>
    </w:p>
    <w:p w14:paraId="6447E111">
      <w:pPr>
        <w:snapToGrid w:val="0"/>
        <w:spacing w:before="165" w:beforeLines="50" w:after="50"/>
        <w:jc w:val="left"/>
      </w:pPr>
      <w:r>
        <w:rPr>
          <w:rFonts w:hint="eastAsia" w:ascii="宋体" w:hAnsi="宋体"/>
          <w:b/>
          <w:sz w:val="24"/>
        </w:rPr>
        <w:t xml:space="preserve"> 2.中小企业声明函格式</w:t>
      </w:r>
    </w:p>
    <w:p w14:paraId="34923FDD"/>
    <w:p w14:paraId="69A8D055">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中小企业声明函（服务）</w:t>
      </w:r>
    </w:p>
    <w:p w14:paraId="0C4D3EEC">
      <w:pPr>
        <w:spacing w:before="2" w:line="500" w:lineRule="exact"/>
        <w:rPr>
          <w:rFonts w:hint="eastAsia" w:ascii="宋体" w:hAnsi="宋体" w:cs="宋体"/>
          <w:b/>
          <w:bCs/>
          <w:sz w:val="24"/>
        </w:rPr>
      </w:pPr>
    </w:p>
    <w:p w14:paraId="0A73A8BF">
      <w:pPr>
        <w:pStyle w:val="3"/>
        <w:spacing w:line="500" w:lineRule="exact"/>
        <w:ind w:right="142" w:firstLine="420" w:firstLineChars="200"/>
        <w:rPr>
          <w:rFonts w:hint="eastAsia" w:ascii="宋体" w:hAnsi="宋体"/>
        </w:rPr>
      </w:pPr>
      <w:r>
        <w:rPr>
          <w:rFonts w:ascii="宋体" w:hAnsi="宋体"/>
        </w:rPr>
        <w:t>本公司（联合体）郑重声明，根据《政府采购促进中小企业发展管理办法》（财库﹝2020﹞46号）的规定，本公司（联合体）参加</w:t>
      </w:r>
      <w:r>
        <w:rPr>
          <w:rFonts w:ascii="宋体" w:hAnsi="宋体"/>
          <w:u w:val="single"/>
        </w:rPr>
        <w:t>（单位名称）</w:t>
      </w:r>
      <w:r>
        <w:rPr>
          <w:rFonts w:ascii="宋体" w:hAnsi="宋体"/>
        </w:rPr>
        <w:t>的</w:t>
      </w:r>
      <w:r>
        <w:rPr>
          <w:rFonts w:ascii="宋体" w:hAnsi="宋体"/>
          <w:u w:val="single"/>
        </w:rPr>
        <w:t>（项目名称）</w:t>
      </w:r>
      <w:r>
        <w:rPr>
          <w:rFonts w:ascii="宋体" w:hAnsi="宋体"/>
        </w:rPr>
        <w:t>采购活动，</w:t>
      </w:r>
      <w:r>
        <w:rPr>
          <w:rFonts w:hint="eastAsia" w:ascii="宋体" w:hAnsi="宋体"/>
        </w:rPr>
        <w:t>服务全部由符合政策要求的中小企业承接。相关企业（含联合体中的中小企业、签订分包意向协议的中小企业）的具体情况如下：</w:t>
      </w:r>
    </w:p>
    <w:p w14:paraId="121D6608">
      <w:pPr>
        <w:tabs>
          <w:tab w:val="left" w:pos="1384"/>
          <w:tab w:val="left" w:pos="4562"/>
          <w:tab w:val="left" w:pos="6803"/>
        </w:tabs>
        <w:spacing w:before="13" w:line="500" w:lineRule="exact"/>
        <w:ind w:right="142" w:firstLine="600" w:firstLineChars="286"/>
        <w:rPr>
          <w:rFonts w:hint="eastAsia" w:ascii="宋体" w:hAnsi="宋体"/>
          <w:szCs w:val="21"/>
        </w:rPr>
      </w:pPr>
      <w:r>
        <w:rPr>
          <w:rFonts w:ascii="宋体" w:hAnsi="宋体"/>
          <w:szCs w:val="21"/>
        </w:rPr>
        <w:t>1.</w:t>
      </w:r>
      <w:r>
        <w:rPr>
          <w:rFonts w:ascii="宋体" w:hAnsi="宋体"/>
          <w:szCs w:val="21"/>
          <w:u w:val="single"/>
        </w:rPr>
        <w:t>（标的名称）</w:t>
      </w:r>
      <w:r>
        <w:rPr>
          <w:rFonts w:ascii="宋体" w:hAnsi="宋体"/>
          <w:szCs w:val="21"/>
        </w:rPr>
        <w:t>，属于</w:t>
      </w:r>
      <w:r>
        <w:rPr>
          <w:rFonts w:ascii="宋体" w:hAnsi="宋体"/>
          <w:szCs w:val="21"/>
          <w:u w:val="single"/>
        </w:rPr>
        <w:t>（采购文件中明确的所属</w:t>
      </w:r>
      <w:r>
        <w:rPr>
          <w:rFonts w:hint="eastAsia" w:ascii="宋体" w:hAnsi="宋体"/>
          <w:szCs w:val="21"/>
          <w:u w:val="single"/>
        </w:rPr>
        <w:t>行</w:t>
      </w:r>
      <w:r>
        <w:rPr>
          <w:rFonts w:ascii="宋体" w:hAnsi="宋体"/>
          <w:szCs w:val="21"/>
          <w:u w:val="single"/>
        </w:rPr>
        <w:t>业）</w:t>
      </w:r>
      <w:r>
        <w:rPr>
          <w:rFonts w:ascii="宋体" w:hAnsi="宋体"/>
          <w:szCs w:val="21"/>
        </w:rPr>
        <w:t>；</w:t>
      </w:r>
      <w:r>
        <w:rPr>
          <w:rFonts w:hint="eastAsia" w:ascii="宋体" w:hAnsi="宋体"/>
          <w:szCs w:val="21"/>
        </w:rPr>
        <w:t>承接企业为</w:t>
      </w:r>
      <w:r>
        <w:rPr>
          <w:rFonts w:hint="eastAsia" w:ascii="宋体" w:hAnsi="宋体"/>
          <w:szCs w:val="21"/>
          <w:u w:val="single"/>
        </w:rPr>
        <w:t>（企业名称）</w:t>
      </w:r>
      <w:r>
        <w:rPr>
          <w:rFonts w:hint="eastAsia" w:ascii="宋体" w:hAnsi="宋体"/>
          <w:szCs w:val="21"/>
        </w:rPr>
        <w:t>，从业人员</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人，营业收入为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万元，资产总额为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万元</w:t>
      </w:r>
      <w:r>
        <w:rPr>
          <w:rFonts w:ascii="宋体" w:hAnsi="宋体"/>
          <w:szCs w:val="21"/>
        </w:rPr>
        <w:t>，属于</w:t>
      </w:r>
      <w:r>
        <w:rPr>
          <w:rFonts w:ascii="宋体" w:hAnsi="宋体"/>
          <w:szCs w:val="21"/>
          <w:u w:val="single"/>
        </w:rPr>
        <w:t>（中型企业、</w:t>
      </w:r>
      <w:r>
        <w:rPr>
          <w:rFonts w:hint="eastAsia" w:ascii="宋体" w:hAnsi="宋体"/>
          <w:szCs w:val="21"/>
          <w:u w:val="single"/>
        </w:rPr>
        <w:t>小型企业、微型企业）</w:t>
      </w:r>
      <w:r>
        <w:rPr>
          <w:rFonts w:hint="eastAsia" w:ascii="宋体" w:hAnsi="宋体"/>
          <w:szCs w:val="21"/>
        </w:rPr>
        <w:t>；</w:t>
      </w:r>
    </w:p>
    <w:p w14:paraId="0CDFEEB1">
      <w:pPr>
        <w:tabs>
          <w:tab w:val="left" w:pos="1065"/>
          <w:tab w:val="left" w:pos="4262"/>
          <w:tab w:val="left" w:pos="6477"/>
        </w:tabs>
        <w:spacing w:before="20" w:line="500" w:lineRule="exact"/>
        <w:ind w:right="84" w:firstLine="600" w:firstLineChars="286"/>
        <w:rPr>
          <w:rFonts w:hint="eastAsia" w:ascii="宋体" w:hAnsi="宋体"/>
          <w:szCs w:val="21"/>
          <w:u w:val="single"/>
        </w:rPr>
      </w:pPr>
      <w:r>
        <w:rPr>
          <w:rFonts w:ascii="宋体" w:hAnsi="宋体"/>
          <w:szCs w:val="21"/>
        </w:rPr>
        <w:t>2.</w:t>
      </w:r>
      <w:r>
        <w:rPr>
          <w:rFonts w:ascii="宋体" w:hAnsi="宋体"/>
          <w:szCs w:val="21"/>
          <w:u w:val="single"/>
        </w:rPr>
        <w:t>（标的名称）</w:t>
      </w:r>
      <w:r>
        <w:rPr>
          <w:rFonts w:ascii="宋体" w:hAnsi="宋体"/>
          <w:szCs w:val="21"/>
        </w:rPr>
        <w:t>，属于</w:t>
      </w:r>
      <w:r>
        <w:rPr>
          <w:rFonts w:ascii="宋体" w:hAnsi="宋体"/>
          <w:szCs w:val="21"/>
          <w:u w:val="single"/>
        </w:rPr>
        <w:t>（采购文件中明确的所属</w:t>
      </w:r>
      <w:r>
        <w:rPr>
          <w:rFonts w:hint="eastAsia" w:ascii="宋体" w:hAnsi="宋体"/>
          <w:szCs w:val="21"/>
          <w:u w:val="single"/>
        </w:rPr>
        <w:t>行业</w:t>
      </w:r>
      <w:r>
        <w:rPr>
          <w:rFonts w:ascii="宋体" w:hAnsi="宋体"/>
          <w:szCs w:val="21"/>
          <w:u w:val="single"/>
        </w:rPr>
        <w:t>）</w:t>
      </w:r>
      <w:r>
        <w:rPr>
          <w:rFonts w:ascii="宋体" w:hAnsi="宋体"/>
          <w:szCs w:val="21"/>
        </w:rPr>
        <w:t>；</w:t>
      </w:r>
      <w:r>
        <w:rPr>
          <w:rFonts w:hint="eastAsia" w:ascii="宋体" w:hAnsi="宋体"/>
          <w:szCs w:val="21"/>
        </w:rPr>
        <w:t>承接企业为</w:t>
      </w:r>
      <w:r>
        <w:rPr>
          <w:rFonts w:hint="eastAsia" w:ascii="宋体" w:hAnsi="宋体"/>
          <w:szCs w:val="21"/>
          <w:u w:val="single"/>
        </w:rPr>
        <w:t>（企业名称）</w:t>
      </w:r>
      <w:r>
        <w:rPr>
          <w:rFonts w:hint="eastAsia" w:ascii="宋体" w:hAnsi="宋体"/>
          <w:szCs w:val="21"/>
        </w:rPr>
        <w:t>，从业人员</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人，营业收入为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万元，资产总额为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万元</w:t>
      </w:r>
      <w:r>
        <w:rPr>
          <w:rFonts w:ascii="宋体" w:hAnsi="宋体"/>
          <w:szCs w:val="21"/>
        </w:rPr>
        <w:t>，属于</w:t>
      </w:r>
      <w:r>
        <w:rPr>
          <w:rFonts w:ascii="宋体" w:hAnsi="宋体"/>
          <w:szCs w:val="21"/>
          <w:u w:val="single"/>
        </w:rPr>
        <w:t>（中型企业、</w:t>
      </w:r>
      <w:r>
        <w:rPr>
          <w:rFonts w:hint="eastAsia" w:ascii="宋体" w:hAnsi="宋体"/>
          <w:szCs w:val="21"/>
          <w:u w:val="single"/>
        </w:rPr>
        <w:t>小型企业、微型企业）</w:t>
      </w:r>
      <w:r>
        <w:rPr>
          <w:rFonts w:hint="eastAsia" w:ascii="宋体" w:hAnsi="宋体"/>
          <w:szCs w:val="21"/>
        </w:rPr>
        <w:t>；</w:t>
      </w:r>
    </w:p>
    <w:p w14:paraId="05D4AF1B">
      <w:pPr>
        <w:pStyle w:val="3"/>
        <w:spacing w:before="34" w:line="500" w:lineRule="exact"/>
        <w:ind w:left="765" w:right="142" w:hanging="5"/>
        <w:rPr>
          <w:rFonts w:hint="eastAsia" w:ascii="宋体" w:hAnsi="宋体"/>
        </w:rPr>
      </w:pPr>
      <w:r>
        <w:rPr>
          <w:rFonts w:ascii="宋体" w:hAnsi="宋体"/>
        </w:rPr>
        <w:t xml:space="preserve">…… </w:t>
      </w:r>
    </w:p>
    <w:p w14:paraId="4B4E5821">
      <w:pPr>
        <w:pStyle w:val="3"/>
        <w:spacing w:before="34" w:line="500" w:lineRule="exact"/>
        <w:ind w:right="142" w:firstLine="420" w:firstLineChars="200"/>
        <w:rPr>
          <w:rFonts w:hint="eastAsia" w:ascii="宋体" w:hAnsi="宋体"/>
        </w:rPr>
      </w:pPr>
      <w:r>
        <w:rPr>
          <w:rFonts w:ascii="宋体" w:hAnsi="宋体"/>
        </w:rPr>
        <w:t>以上企业，不属于大企业的分支机构，不存在控股股东为大企业的情形，也不存在与大企业的负责人为同一人的情形。</w:t>
      </w:r>
    </w:p>
    <w:p w14:paraId="1797C21B">
      <w:pPr>
        <w:pStyle w:val="3"/>
        <w:spacing w:before="34" w:line="500" w:lineRule="exact"/>
        <w:ind w:right="142" w:firstLine="420" w:firstLineChars="200"/>
        <w:rPr>
          <w:rFonts w:hint="eastAsia" w:ascii="宋体" w:hAnsi="宋体"/>
        </w:rPr>
      </w:pPr>
      <w:r>
        <w:rPr>
          <w:rFonts w:ascii="宋体" w:hAnsi="宋体"/>
        </w:rPr>
        <w:t>本企业对上述声明内容的真实性负责。如有虚假，将依法承担相应责任。</w:t>
      </w:r>
    </w:p>
    <w:p w14:paraId="33FE50AA">
      <w:pPr>
        <w:pStyle w:val="3"/>
        <w:spacing w:before="56" w:line="500" w:lineRule="exact"/>
        <w:ind w:left="3960" w:right="1808"/>
        <w:rPr>
          <w:rFonts w:hint="eastAsia" w:ascii="宋体" w:hAnsi="宋体"/>
        </w:rPr>
      </w:pPr>
      <w:r>
        <w:rPr>
          <w:rFonts w:ascii="宋体" w:hAnsi="宋体"/>
          <w:kern w:val="24"/>
        </w:rPr>
        <w:t>企业名称（</w:t>
      </w:r>
      <w:r>
        <w:rPr>
          <w:rFonts w:hint="eastAsia" w:ascii="宋体" w:hAnsi="宋体"/>
          <w:kern w:val="24"/>
        </w:rPr>
        <w:t>电子签章</w:t>
      </w:r>
      <w:r>
        <w:rPr>
          <w:rFonts w:ascii="宋体" w:hAnsi="宋体"/>
          <w:kern w:val="24"/>
        </w:rPr>
        <w:t>）：</w:t>
      </w:r>
      <w:r>
        <w:rPr>
          <w:rFonts w:ascii="宋体" w:hAnsi="宋体"/>
        </w:rPr>
        <w:t xml:space="preserve"> </w:t>
      </w:r>
    </w:p>
    <w:p w14:paraId="3E694ED8">
      <w:pPr>
        <w:pStyle w:val="3"/>
        <w:spacing w:before="56" w:line="500" w:lineRule="exact"/>
        <w:ind w:left="3960" w:right="1808"/>
        <w:rPr>
          <w:rFonts w:hint="eastAsia" w:ascii="宋体" w:hAnsi="宋体"/>
        </w:rPr>
      </w:pPr>
      <w:r>
        <w:rPr>
          <w:rFonts w:ascii="宋体" w:hAnsi="宋体"/>
        </w:rPr>
        <w:t>日 期：</w:t>
      </w:r>
    </w:p>
    <w:p w14:paraId="69027A13">
      <w:pPr>
        <w:rPr>
          <w:rFonts w:hint="eastAsia" w:ascii="宋体" w:hAnsi="宋体"/>
          <w:sz w:val="24"/>
        </w:rPr>
      </w:pPr>
      <w:r>
        <w:rPr>
          <w:rFonts w:hint="eastAsia" w:ascii="宋体" w:hAnsi="宋体"/>
          <w:spacing w:val="6"/>
          <w:sz w:val="24"/>
        </w:rPr>
        <w:t xml:space="preserve"> </w:t>
      </w:r>
    </w:p>
    <w:p w14:paraId="1F12214B">
      <w:pPr>
        <w:ind w:firstLine="480" w:firstLineChars="200"/>
        <w:rPr>
          <w:rFonts w:hint="eastAsia" w:ascii="宋体" w:hAnsi="宋体"/>
          <w:b/>
          <w:sz w:val="24"/>
        </w:rPr>
      </w:pPr>
      <w:r>
        <w:rPr>
          <w:rFonts w:hint="eastAsia" w:ascii="宋体" w:hAnsi="宋体"/>
          <w:kern w:val="0"/>
          <w:sz w:val="24"/>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br w:type="page"/>
      </w:r>
      <w:r>
        <w:rPr>
          <w:rFonts w:hint="eastAsia" w:ascii="宋体" w:hAnsi="宋体"/>
          <w:b/>
          <w:sz w:val="24"/>
        </w:rPr>
        <w:t>3.残疾人福利性单位声明函格式</w:t>
      </w:r>
    </w:p>
    <w:p w14:paraId="1593ED6D">
      <w:pPr>
        <w:spacing w:line="588" w:lineRule="exact"/>
        <w:jc w:val="center"/>
        <w:rPr>
          <w:rFonts w:ascii="仿宋_GB2312" w:eastAsia="仿宋_GB2312"/>
          <w:b/>
          <w:spacing w:val="6"/>
          <w:sz w:val="32"/>
          <w:szCs w:val="32"/>
        </w:rPr>
      </w:pPr>
      <w:bookmarkStart w:id="160" w:name="OLE_LINK13"/>
      <w:bookmarkStart w:id="161" w:name="OLE_LINK14"/>
    </w:p>
    <w:p w14:paraId="67082465">
      <w:pPr>
        <w:spacing w:line="588" w:lineRule="exact"/>
        <w:jc w:val="center"/>
        <w:rPr>
          <w:rFonts w:hint="eastAsia" w:ascii="方正小标宋简体" w:hAnsi="方正小标宋简体" w:eastAsia="方正小标宋简体" w:cs="方正小标宋简体"/>
          <w:bCs/>
          <w:spacing w:val="6"/>
          <w:sz w:val="44"/>
          <w:szCs w:val="44"/>
        </w:rPr>
      </w:pPr>
      <w:r>
        <w:rPr>
          <w:rFonts w:hint="eastAsia" w:ascii="方正小标宋简体" w:hAnsi="方正小标宋简体" w:eastAsia="方正小标宋简体" w:cs="方正小标宋简体"/>
          <w:bCs/>
          <w:spacing w:val="6"/>
          <w:sz w:val="44"/>
          <w:szCs w:val="44"/>
        </w:rPr>
        <w:t>残疾人福利性单位声明函</w:t>
      </w:r>
    </w:p>
    <w:bookmarkEnd w:id="160"/>
    <w:bookmarkEnd w:id="161"/>
    <w:p w14:paraId="3E692091">
      <w:pPr>
        <w:spacing w:line="588" w:lineRule="exact"/>
        <w:rPr>
          <w:rFonts w:ascii="仿宋_GB2312" w:eastAsia="仿宋_GB2312"/>
          <w:b/>
          <w:spacing w:val="6"/>
          <w:sz w:val="30"/>
          <w:szCs w:val="30"/>
        </w:rPr>
      </w:pPr>
    </w:p>
    <w:p w14:paraId="62132767">
      <w:pPr>
        <w:spacing w:line="360" w:lineRule="auto"/>
        <w:ind w:firstLine="504" w:firstLineChars="200"/>
        <w:contextualSpacing/>
        <w:rPr>
          <w:rFonts w:hint="eastAsia" w:ascii="宋体" w:hAnsi="宋体"/>
          <w:spacing w:val="6"/>
          <w:sz w:val="24"/>
        </w:rPr>
      </w:pPr>
      <w:r>
        <w:rPr>
          <w:rFonts w:hint="eastAsia" w:ascii="宋体" w:hAnsi="宋体"/>
          <w:spacing w:val="6"/>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w:t>
      </w:r>
      <w:r>
        <w:rPr>
          <w:rFonts w:hint="eastAsia" w:ascii="宋体" w:hAnsi="宋体"/>
          <w:spacing w:val="-6"/>
          <w:sz w:val="24"/>
        </w:rPr>
        <w:t>疾人福利性单位制造的货物（不包括使用非残疾人福利性单位注册商标的货物）。</w:t>
      </w:r>
    </w:p>
    <w:p w14:paraId="13DB7443">
      <w:pPr>
        <w:spacing w:line="360" w:lineRule="auto"/>
        <w:ind w:firstLine="504" w:firstLineChars="200"/>
        <w:contextualSpacing/>
        <w:rPr>
          <w:rFonts w:hint="eastAsia" w:ascii="宋体" w:hAnsi="宋体"/>
          <w:spacing w:val="6"/>
          <w:sz w:val="24"/>
        </w:rPr>
      </w:pPr>
      <w:r>
        <w:rPr>
          <w:rFonts w:hint="eastAsia" w:ascii="宋体" w:hAnsi="宋体"/>
          <w:spacing w:val="6"/>
          <w:sz w:val="24"/>
        </w:rPr>
        <w:t>本单位对上述声明的真实性负责。如有虚假，将依法承担相应责任。</w:t>
      </w:r>
    </w:p>
    <w:p w14:paraId="6507D9A5">
      <w:pPr>
        <w:spacing w:line="360" w:lineRule="auto"/>
        <w:ind w:firstLine="504" w:firstLineChars="200"/>
        <w:contextualSpacing/>
        <w:rPr>
          <w:rFonts w:hint="eastAsia" w:ascii="宋体" w:hAnsi="宋体"/>
          <w:spacing w:val="6"/>
          <w:sz w:val="24"/>
        </w:rPr>
      </w:pPr>
    </w:p>
    <w:p w14:paraId="79358EB1">
      <w:pPr>
        <w:spacing w:line="360" w:lineRule="auto"/>
        <w:ind w:firstLine="504" w:firstLineChars="200"/>
        <w:contextualSpacing/>
        <w:rPr>
          <w:rFonts w:hint="eastAsia" w:ascii="宋体" w:hAnsi="宋体"/>
          <w:spacing w:val="6"/>
          <w:sz w:val="24"/>
        </w:rPr>
      </w:pPr>
    </w:p>
    <w:p w14:paraId="16B010E4">
      <w:pPr>
        <w:tabs>
          <w:tab w:val="left" w:pos="4860"/>
        </w:tabs>
        <w:spacing w:line="360" w:lineRule="auto"/>
        <w:ind w:right="1560" w:firstLine="504" w:firstLineChars="200"/>
        <w:contextualSpacing/>
        <w:jc w:val="center"/>
        <w:rPr>
          <w:rFonts w:hint="eastAsia" w:ascii="宋体" w:hAnsi="宋体"/>
          <w:spacing w:val="6"/>
          <w:sz w:val="24"/>
        </w:rPr>
      </w:pPr>
      <w:r>
        <w:rPr>
          <w:rFonts w:hint="eastAsia" w:ascii="宋体" w:hAnsi="宋体"/>
          <w:spacing w:val="6"/>
          <w:sz w:val="24"/>
        </w:rPr>
        <w:t>单位名称（电子签章）：</w:t>
      </w:r>
    </w:p>
    <w:p w14:paraId="7B84C694">
      <w:pPr>
        <w:tabs>
          <w:tab w:val="left" w:pos="4860"/>
        </w:tabs>
        <w:spacing w:line="360" w:lineRule="auto"/>
        <w:ind w:right="1560" w:firstLine="504" w:firstLineChars="200"/>
        <w:contextualSpacing/>
        <w:jc w:val="center"/>
        <w:rPr>
          <w:rFonts w:hint="eastAsia" w:ascii="宋体" w:hAnsi="宋体"/>
          <w:spacing w:val="6"/>
          <w:sz w:val="24"/>
        </w:rPr>
      </w:pPr>
      <w:r>
        <w:rPr>
          <w:rFonts w:hint="eastAsia" w:ascii="宋体" w:hAnsi="宋体"/>
          <w:spacing w:val="6"/>
          <w:sz w:val="24"/>
        </w:rPr>
        <w:t>日  期：</w:t>
      </w:r>
    </w:p>
    <w:p w14:paraId="2FC30E1C">
      <w:pPr>
        <w:spacing w:line="360" w:lineRule="auto"/>
        <w:contextualSpacing/>
        <w:rPr>
          <w:rFonts w:hint="eastAsia" w:ascii="宋体" w:hAnsi="宋体"/>
          <w:sz w:val="24"/>
        </w:rPr>
      </w:pPr>
    </w:p>
    <w:p w14:paraId="690102D7">
      <w:pPr>
        <w:spacing w:line="360" w:lineRule="auto"/>
        <w:contextualSpacing/>
        <w:rPr>
          <w:rFonts w:hint="eastAsia" w:ascii="宋体" w:hAnsi="宋体"/>
          <w:sz w:val="24"/>
        </w:rPr>
      </w:pPr>
    </w:p>
    <w:p w14:paraId="66D6D48F">
      <w:pPr>
        <w:spacing w:line="360" w:lineRule="auto"/>
        <w:contextualSpacing/>
        <w:rPr>
          <w:rFonts w:hint="eastAsia" w:ascii="宋体" w:hAnsi="宋体"/>
          <w:sz w:val="24"/>
        </w:rPr>
      </w:pPr>
    </w:p>
    <w:p w14:paraId="5AA565B6">
      <w:pPr>
        <w:spacing w:line="360" w:lineRule="auto"/>
        <w:contextualSpacing/>
        <w:rPr>
          <w:rFonts w:hint="eastAsia" w:ascii="宋体" w:hAnsi="宋体"/>
          <w:sz w:val="24"/>
        </w:rPr>
      </w:pPr>
      <w:r>
        <w:rPr>
          <w:rFonts w:hint="eastAsia" w:ascii="宋体" w:hAnsi="宋体"/>
          <w:sz w:val="24"/>
        </w:rPr>
        <w:t>注：请根据自己的真实情况出具《残疾人福利性单位声明函》。依法享受中小企业优惠政策的，采购人或者采购代理机构在公告中标结果时，同时公告其《残疾人福利性单位声明函》，接受社会监督。</w:t>
      </w:r>
    </w:p>
    <w:p w14:paraId="163BE950">
      <w:pPr>
        <w:spacing w:line="360" w:lineRule="auto"/>
        <w:jc w:val="left"/>
        <w:rPr>
          <w:rFonts w:hint="eastAsia" w:ascii="宋体" w:hAnsi="宋体"/>
          <w:b/>
          <w:bCs/>
          <w:sz w:val="32"/>
          <w:szCs w:val="32"/>
        </w:rPr>
      </w:pPr>
      <w:r>
        <w:rPr>
          <w:rFonts w:ascii="宋体" w:hAnsi="宋体"/>
          <w:sz w:val="24"/>
        </w:rPr>
        <w:br w:type="page"/>
      </w:r>
      <w:r>
        <w:rPr>
          <w:rFonts w:hint="eastAsia" w:ascii="宋体" w:hAnsi="宋体"/>
          <w:b/>
          <w:sz w:val="24"/>
        </w:rPr>
        <w:t>4.质疑函（格式）</w:t>
      </w:r>
    </w:p>
    <w:p w14:paraId="13724EA6">
      <w:pPr>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质疑函（格式）</w:t>
      </w:r>
    </w:p>
    <w:p w14:paraId="233FECB4">
      <w:pPr>
        <w:pStyle w:val="18"/>
        <w:snapToGrid w:val="0"/>
        <w:spacing w:line="360" w:lineRule="auto"/>
        <w:ind w:firstLine="482" w:firstLineChars="200"/>
        <w:rPr>
          <w:rFonts w:hint="eastAsia" w:hAnsi="宋体"/>
          <w:b/>
          <w:bCs/>
          <w:sz w:val="24"/>
          <w:szCs w:val="24"/>
        </w:rPr>
      </w:pPr>
      <w:r>
        <w:rPr>
          <w:rFonts w:hint="eastAsia" w:hAnsi="宋体"/>
          <w:b/>
          <w:bCs/>
          <w:sz w:val="24"/>
          <w:szCs w:val="24"/>
        </w:rPr>
        <w:t>一、质疑供应商基本信息：</w:t>
      </w:r>
    </w:p>
    <w:p w14:paraId="66688A48">
      <w:pPr>
        <w:pStyle w:val="18"/>
        <w:snapToGrid w:val="0"/>
        <w:spacing w:line="360" w:lineRule="auto"/>
        <w:ind w:firstLine="480" w:firstLineChars="200"/>
        <w:rPr>
          <w:rFonts w:hint="eastAsia" w:hAnsi="宋体"/>
          <w:bCs/>
          <w:sz w:val="24"/>
          <w:szCs w:val="24"/>
          <w:u w:val="single"/>
        </w:rPr>
      </w:pPr>
      <w:r>
        <w:rPr>
          <w:rFonts w:hint="eastAsia" w:hAnsi="宋体"/>
          <w:bCs/>
          <w:sz w:val="24"/>
          <w:szCs w:val="24"/>
        </w:rPr>
        <w:t>质疑供应商：</w:t>
      </w:r>
      <w:r>
        <w:rPr>
          <w:rFonts w:hint="eastAsia" w:hAnsi="宋体"/>
          <w:bCs/>
          <w:sz w:val="24"/>
          <w:szCs w:val="24"/>
          <w:u w:val="single"/>
        </w:rPr>
        <w:t xml:space="preserve">                                       </w:t>
      </w:r>
      <w:r>
        <w:rPr>
          <w:rFonts w:hint="eastAsia" w:hAnsi="宋体"/>
          <w:bCs/>
          <w:sz w:val="24"/>
          <w:szCs w:val="24"/>
        </w:rPr>
        <w:t xml:space="preserve">                 </w:t>
      </w:r>
    </w:p>
    <w:p w14:paraId="538DE4A4">
      <w:pPr>
        <w:pStyle w:val="18"/>
        <w:snapToGrid w:val="0"/>
        <w:spacing w:line="360" w:lineRule="auto"/>
        <w:ind w:firstLine="480" w:firstLineChars="20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0589446B">
      <w:pPr>
        <w:pStyle w:val="18"/>
        <w:snapToGrid w:val="0"/>
        <w:spacing w:line="360" w:lineRule="auto"/>
        <w:ind w:firstLine="480" w:firstLineChars="200"/>
        <w:rPr>
          <w:rFonts w:hint="eastAsia" w:hAnsi="宋体"/>
          <w:bCs/>
          <w:sz w:val="24"/>
          <w:szCs w:val="24"/>
        </w:rPr>
      </w:pPr>
      <w:r>
        <w:rPr>
          <w:rFonts w:hAnsi="宋体"/>
          <w:bCs/>
          <w:sz w:val="24"/>
          <w:szCs w:val="24"/>
        </w:rPr>
        <w:t>联系人</w:t>
      </w:r>
      <w:r>
        <w:rPr>
          <w:rFonts w:hint="eastAsia" w:hAnsi="宋体"/>
          <w:bCs/>
          <w:sz w:val="24"/>
          <w:szCs w:val="24"/>
        </w:rPr>
        <w:t>：</w:t>
      </w:r>
      <w:r>
        <w:rPr>
          <w:rFonts w:hint="eastAsia" w:hAnsi="宋体"/>
          <w:bCs/>
          <w:sz w:val="24"/>
          <w:szCs w:val="24"/>
          <w:u w:val="single"/>
        </w:rPr>
        <w:t xml:space="preserve">                     </w:t>
      </w: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7E12725E">
      <w:pPr>
        <w:pStyle w:val="18"/>
        <w:snapToGrid w:val="0"/>
        <w:spacing w:line="360" w:lineRule="auto"/>
        <w:ind w:firstLine="480" w:firstLineChars="200"/>
        <w:rPr>
          <w:rFonts w:hint="eastAsia" w:hAnsi="宋体"/>
          <w:bCs/>
          <w:sz w:val="24"/>
          <w:szCs w:val="24"/>
        </w:rPr>
      </w:pPr>
      <w:r>
        <w:rPr>
          <w:rFonts w:hint="eastAsia" w:hAnsi="宋体"/>
          <w:bCs/>
          <w:sz w:val="24"/>
          <w:szCs w:val="24"/>
        </w:rPr>
        <w:t>授权代表：</w:t>
      </w:r>
      <w:r>
        <w:rPr>
          <w:rFonts w:hint="eastAsia" w:hAnsi="宋体"/>
          <w:bCs/>
          <w:sz w:val="24"/>
          <w:szCs w:val="24"/>
          <w:u w:val="single"/>
        </w:rPr>
        <w:t xml:space="preserve">                      </w:t>
      </w:r>
    </w:p>
    <w:p w14:paraId="24BA7484">
      <w:pPr>
        <w:pStyle w:val="18"/>
        <w:snapToGrid w:val="0"/>
        <w:spacing w:line="360" w:lineRule="auto"/>
        <w:ind w:firstLine="480" w:firstLineChars="200"/>
        <w:rPr>
          <w:rFonts w:hint="eastAsia" w:hAnsi="宋体"/>
          <w:bCs/>
          <w:sz w:val="24"/>
          <w:szCs w:val="24"/>
          <w:u w:val="single"/>
        </w:rPr>
      </w:pP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2014A2E1">
      <w:pPr>
        <w:pStyle w:val="18"/>
        <w:snapToGrid w:val="0"/>
        <w:spacing w:line="360" w:lineRule="auto"/>
        <w:ind w:firstLine="480" w:firstLineChars="20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52B94AAF">
      <w:pPr>
        <w:pStyle w:val="18"/>
        <w:snapToGrid w:val="0"/>
        <w:spacing w:line="360" w:lineRule="auto"/>
        <w:ind w:firstLine="482" w:firstLineChars="200"/>
        <w:rPr>
          <w:rFonts w:hint="eastAsia" w:hAnsi="宋体"/>
          <w:b/>
          <w:bCs/>
          <w:sz w:val="24"/>
          <w:szCs w:val="24"/>
        </w:rPr>
      </w:pPr>
      <w:r>
        <w:rPr>
          <w:rFonts w:hint="eastAsia" w:hAnsi="宋体"/>
          <w:b/>
          <w:bCs/>
          <w:sz w:val="24"/>
          <w:szCs w:val="24"/>
        </w:rPr>
        <w:t>二、质疑项目基本情况：</w:t>
      </w:r>
    </w:p>
    <w:p w14:paraId="2972F737">
      <w:pPr>
        <w:pStyle w:val="18"/>
        <w:spacing w:line="360" w:lineRule="auto"/>
        <w:ind w:left="25" w:leftChars="12" w:firstLine="472" w:firstLineChars="197"/>
        <w:rPr>
          <w:rFonts w:hint="eastAsia" w:hAnsi="宋体"/>
          <w:sz w:val="24"/>
          <w:szCs w:val="24"/>
        </w:rPr>
      </w:pPr>
      <w:r>
        <w:rPr>
          <w:rFonts w:hint="eastAsia" w:hAnsi="宋体"/>
          <w:bCs/>
          <w:sz w:val="24"/>
          <w:szCs w:val="24"/>
        </w:rPr>
        <w:t>质疑</w:t>
      </w:r>
      <w:r>
        <w:rPr>
          <w:rFonts w:hint="eastAsia" w:hAnsi="宋体"/>
          <w:sz w:val="24"/>
          <w:szCs w:val="24"/>
        </w:rPr>
        <w:t>项目的名称：</w:t>
      </w:r>
      <w:r>
        <w:rPr>
          <w:rFonts w:hint="eastAsia" w:hAnsi="宋体"/>
          <w:bCs/>
          <w:sz w:val="24"/>
          <w:szCs w:val="24"/>
          <w:u w:val="single"/>
        </w:rPr>
        <w:t xml:space="preserve">                                     </w:t>
      </w:r>
    </w:p>
    <w:p w14:paraId="3A82B214">
      <w:pPr>
        <w:pStyle w:val="18"/>
        <w:spacing w:line="360" w:lineRule="auto"/>
        <w:ind w:left="25" w:leftChars="12" w:firstLine="472" w:firstLineChars="197"/>
        <w:rPr>
          <w:rFonts w:hint="eastAsia" w:hAnsi="宋体"/>
          <w:sz w:val="24"/>
          <w:szCs w:val="24"/>
        </w:rPr>
      </w:pPr>
      <w:r>
        <w:rPr>
          <w:rFonts w:hint="eastAsia" w:hAnsi="宋体"/>
          <w:bCs/>
          <w:sz w:val="24"/>
          <w:szCs w:val="24"/>
        </w:rPr>
        <w:t>质疑</w:t>
      </w:r>
      <w:r>
        <w:rPr>
          <w:rFonts w:hint="eastAsia" w:hAnsi="宋体"/>
          <w:sz w:val="24"/>
          <w:szCs w:val="24"/>
        </w:rPr>
        <w:t>项目的编号：</w:t>
      </w:r>
      <w:r>
        <w:rPr>
          <w:rFonts w:hint="eastAsia" w:hAnsi="宋体"/>
          <w:bCs/>
          <w:sz w:val="24"/>
          <w:szCs w:val="24"/>
          <w:u w:val="single"/>
        </w:rPr>
        <w:t xml:space="preserve">                                     </w:t>
      </w:r>
    </w:p>
    <w:p w14:paraId="42F66C7A">
      <w:pPr>
        <w:pStyle w:val="18"/>
        <w:spacing w:line="360" w:lineRule="auto"/>
        <w:ind w:left="25" w:leftChars="12" w:firstLine="472" w:firstLineChars="197"/>
        <w:rPr>
          <w:rFonts w:hint="eastAsia" w:hAnsi="宋体"/>
          <w:sz w:val="24"/>
          <w:szCs w:val="24"/>
        </w:rPr>
      </w:pPr>
      <w:r>
        <w:rPr>
          <w:rFonts w:hint="eastAsia" w:hAnsi="宋体"/>
          <w:sz w:val="24"/>
          <w:szCs w:val="24"/>
        </w:rPr>
        <w:t>采购人名称：</w:t>
      </w:r>
      <w:r>
        <w:rPr>
          <w:rFonts w:hint="eastAsia" w:hAnsi="宋体"/>
          <w:bCs/>
          <w:sz w:val="24"/>
          <w:szCs w:val="24"/>
          <w:u w:val="single"/>
        </w:rPr>
        <w:t xml:space="preserve">                                         </w:t>
      </w:r>
    </w:p>
    <w:p w14:paraId="02AC5B8A">
      <w:pPr>
        <w:pStyle w:val="18"/>
        <w:spacing w:line="360" w:lineRule="auto"/>
        <w:ind w:left="25" w:leftChars="12" w:firstLine="472" w:firstLineChars="197"/>
        <w:rPr>
          <w:rFonts w:hint="eastAsia" w:hAnsi="宋体"/>
          <w:sz w:val="24"/>
          <w:szCs w:val="24"/>
        </w:rPr>
      </w:pPr>
      <w:r>
        <w:rPr>
          <w:rFonts w:hint="eastAsia" w:hAnsi="宋体"/>
          <w:sz w:val="24"/>
          <w:szCs w:val="24"/>
        </w:rPr>
        <w:t>质疑事项：</w:t>
      </w:r>
    </w:p>
    <w:p w14:paraId="29408118">
      <w:pPr>
        <w:pStyle w:val="18"/>
        <w:spacing w:line="360" w:lineRule="auto"/>
        <w:ind w:left="25" w:leftChars="12" w:firstLine="352" w:firstLineChars="147"/>
        <w:rPr>
          <w:rFonts w:hint="eastAsia" w:hAnsi="宋体"/>
          <w:sz w:val="24"/>
          <w:szCs w:val="24"/>
        </w:rPr>
      </w:pPr>
      <w:r>
        <w:rPr>
          <w:rFonts w:hint="eastAsia" w:hAnsi="宋体"/>
          <w:sz w:val="24"/>
          <w:szCs w:val="24"/>
        </w:rPr>
        <w:t>□招标文件   招标文件获取日期：</w:t>
      </w:r>
      <w:r>
        <w:rPr>
          <w:rFonts w:hint="eastAsia" w:hAnsi="宋体"/>
          <w:bCs/>
          <w:sz w:val="24"/>
          <w:szCs w:val="24"/>
          <w:u w:val="single"/>
        </w:rPr>
        <w:t xml:space="preserve">                                   </w:t>
      </w:r>
    </w:p>
    <w:p w14:paraId="2AA545E5">
      <w:pPr>
        <w:pStyle w:val="18"/>
        <w:spacing w:line="360" w:lineRule="auto"/>
        <w:ind w:left="25" w:leftChars="12" w:firstLine="352" w:firstLineChars="147"/>
        <w:rPr>
          <w:rFonts w:hint="eastAsia" w:hAnsi="宋体"/>
          <w:sz w:val="24"/>
          <w:szCs w:val="24"/>
        </w:rPr>
      </w:pPr>
      <w:r>
        <w:rPr>
          <w:rFonts w:hint="eastAsia" w:hAnsi="宋体"/>
          <w:sz w:val="24"/>
          <w:szCs w:val="24"/>
        </w:rPr>
        <w:t xml:space="preserve">□招标过程   </w:t>
      </w:r>
    </w:p>
    <w:p w14:paraId="21773A4F">
      <w:pPr>
        <w:pStyle w:val="18"/>
        <w:spacing w:line="360" w:lineRule="auto"/>
        <w:ind w:left="25" w:leftChars="12" w:firstLine="352" w:firstLineChars="147"/>
        <w:rPr>
          <w:rFonts w:hint="eastAsia" w:hAnsi="宋体"/>
          <w:bCs/>
          <w:sz w:val="24"/>
          <w:szCs w:val="24"/>
          <w:u w:val="single"/>
        </w:rPr>
      </w:pPr>
      <w:r>
        <w:rPr>
          <w:rFonts w:hint="eastAsia" w:hAnsi="宋体"/>
          <w:sz w:val="24"/>
          <w:szCs w:val="24"/>
        </w:rPr>
        <w:t xml:space="preserve">□招标结果   </w:t>
      </w:r>
    </w:p>
    <w:p w14:paraId="7604B38D">
      <w:pPr>
        <w:pStyle w:val="18"/>
        <w:spacing w:line="360" w:lineRule="auto"/>
        <w:ind w:left="25" w:leftChars="12" w:firstLine="472" w:firstLineChars="196"/>
        <w:rPr>
          <w:rFonts w:hint="eastAsia" w:hAnsi="宋体"/>
          <w:b/>
          <w:sz w:val="24"/>
          <w:szCs w:val="24"/>
        </w:rPr>
      </w:pPr>
      <w:r>
        <w:rPr>
          <w:rFonts w:hint="eastAsia" w:hAnsi="宋体"/>
          <w:b/>
          <w:sz w:val="24"/>
          <w:szCs w:val="24"/>
        </w:rPr>
        <w:t>三、质疑事项具体内容</w:t>
      </w:r>
    </w:p>
    <w:p w14:paraId="2D6913AC">
      <w:pPr>
        <w:pStyle w:val="18"/>
        <w:spacing w:line="360" w:lineRule="auto"/>
        <w:ind w:left="25" w:leftChars="12" w:firstLine="472" w:firstLineChars="197"/>
        <w:rPr>
          <w:rFonts w:hint="eastAsia" w:hAnsi="宋体"/>
          <w:sz w:val="24"/>
          <w:szCs w:val="24"/>
        </w:rPr>
      </w:pPr>
      <w:r>
        <w:rPr>
          <w:rFonts w:hint="eastAsia" w:hAnsi="宋体"/>
          <w:sz w:val="24"/>
          <w:szCs w:val="24"/>
        </w:rPr>
        <w:t>质疑事项1：</w:t>
      </w:r>
      <w:r>
        <w:rPr>
          <w:rFonts w:hint="eastAsia" w:hAnsi="宋体"/>
          <w:bCs/>
          <w:sz w:val="24"/>
          <w:szCs w:val="24"/>
          <w:u w:val="single"/>
        </w:rPr>
        <w:t xml:space="preserve">                                                                    </w:t>
      </w:r>
    </w:p>
    <w:p w14:paraId="3324733E">
      <w:pPr>
        <w:pStyle w:val="18"/>
        <w:spacing w:line="360" w:lineRule="auto"/>
        <w:ind w:left="25" w:leftChars="12" w:firstLine="472" w:firstLineChars="197"/>
        <w:rPr>
          <w:rFonts w:hint="eastAsia" w:hAnsi="宋体"/>
          <w:sz w:val="24"/>
          <w:szCs w:val="24"/>
        </w:rPr>
      </w:pPr>
      <w:r>
        <w:rPr>
          <w:rFonts w:hint="eastAsia" w:hAnsi="宋体"/>
          <w:sz w:val="24"/>
          <w:szCs w:val="24"/>
        </w:rPr>
        <w:t>事实依据：</w:t>
      </w:r>
      <w:r>
        <w:rPr>
          <w:rFonts w:hint="eastAsia" w:hAnsi="宋体"/>
          <w:bCs/>
          <w:sz w:val="24"/>
          <w:szCs w:val="24"/>
          <w:u w:val="single"/>
        </w:rPr>
        <w:t xml:space="preserve">                                                                      </w:t>
      </w:r>
    </w:p>
    <w:p w14:paraId="1865EF7C">
      <w:pPr>
        <w:pStyle w:val="18"/>
        <w:spacing w:line="360" w:lineRule="auto"/>
        <w:ind w:left="25" w:leftChars="12" w:firstLine="472" w:firstLineChars="197"/>
        <w:rPr>
          <w:rFonts w:hint="eastAsia" w:hAnsi="宋体"/>
          <w:sz w:val="24"/>
          <w:szCs w:val="24"/>
        </w:rPr>
      </w:pPr>
      <w:r>
        <w:rPr>
          <w:rFonts w:hint="eastAsia" w:hAnsi="宋体"/>
          <w:sz w:val="24"/>
          <w:szCs w:val="24"/>
        </w:rPr>
        <w:t>法律依据：</w:t>
      </w:r>
      <w:r>
        <w:rPr>
          <w:rFonts w:hint="eastAsia" w:hAnsi="宋体"/>
          <w:sz w:val="24"/>
          <w:szCs w:val="24"/>
          <w:u w:val="single"/>
        </w:rPr>
        <w:t xml:space="preserve">                                                        </w:t>
      </w:r>
      <w:r>
        <w:rPr>
          <w:rFonts w:hint="eastAsia" w:hAnsi="宋体"/>
          <w:bCs/>
          <w:sz w:val="24"/>
          <w:szCs w:val="24"/>
          <w:u w:val="single"/>
        </w:rPr>
        <w:t xml:space="preserve">               </w:t>
      </w:r>
    </w:p>
    <w:p w14:paraId="19A13959">
      <w:pPr>
        <w:pStyle w:val="18"/>
        <w:spacing w:line="360" w:lineRule="auto"/>
        <w:ind w:left="25" w:leftChars="12" w:firstLine="472" w:firstLineChars="197"/>
        <w:rPr>
          <w:rFonts w:hint="eastAsia" w:hAnsi="宋体"/>
          <w:sz w:val="24"/>
          <w:szCs w:val="24"/>
        </w:rPr>
      </w:pPr>
      <w:r>
        <w:rPr>
          <w:rFonts w:hint="eastAsia" w:hAnsi="宋体"/>
          <w:sz w:val="24"/>
          <w:szCs w:val="24"/>
        </w:rPr>
        <w:t>质疑事项2</w:t>
      </w:r>
    </w:p>
    <w:p w14:paraId="5921C1E1">
      <w:pPr>
        <w:pStyle w:val="18"/>
        <w:spacing w:line="360" w:lineRule="auto"/>
        <w:ind w:left="25" w:leftChars="12" w:firstLine="472" w:firstLineChars="197"/>
        <w:rPr>
          <w:rFonts w:hint="eastAsia" w:hAnsi="宋体"/>
          <w:sz w:val="24"/>
          <w:szCs w:val="24"/>
        </w:rPr>
      </w:pPr>
      <w:r>
        <w:rPr>
          <w:rFonts w:hAnsi="宋体"/>
          <w:sz w:val="24"/>
          <w:szCs w:val="24"/>
        </w:rPr>
        <w:t>……</w:t>
      </w:r>
    </w:p>
    <w:p w14:paraId="7F17B791">
      <w:pPr>
        <w:pStyle w:val="18"/>
        <w:spacing w:line="360" w:lineRule="auto"/>
        <w:ind w:left="25" w:leftChars="12" w:firstLine="472" w:firstLineChars="197"/>
        <w:rPr>
          <w:rFonts w:hint="eastAsia" w:hAnsi="宋体"/>
          <w:sz w:val="24"/>
          <w:szCs w:val="24"/>
        </w:rPr>
      </w:pPr>
      <w:r>
        <w:rPr>
          <w:rFonts w:hint="eastAsia" w:hAnsi="宋体"/>
          <w:sz w:val="24"/>
          <w:szCs w:val="24"/>
        </w:rPr>
        <w:t>四、与质疑事项相关的质疑请求：</w:t>
      </w:r>
    </w:p>
    <w:p w14:paraId="4BEA25EB">
      <w:pPr>
        <w:pStyle w:val="18"/>
        <w:spacing w:line="360" w:lineRule="auto"/>
        <w:ind w:left="25" w:leftChars="12" w:firstLine="472" w:firstLineChars="197"/>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70BD861B">
      <w:pPr>
        <w:pStyle w:val="18"/>
        <w:spacing w:line="360" w:lineRule="auto"/>
        <w:ind w:left="25" w:leftChars="12" w:firstLine="352" w:firstLineChars="147"/>
        <w:rPr>
          <w:rFonts w:hint="eastAsia" w:hAnsi="宋体"/>
          <w:sz w:val="24"/>
          <w:szCs w:val="24"/>
        </w:rPr>
      </w:pPr>
    </w:p>
    <w:p w14:paraId="31CE9C91">
      <w:pPr>
        <w:pStyle w:val="18"/>
        <w:spacing w:line="360" w:lineRule="auto"/>
        <w:ind w:left="25" w:leftChars="12" w:firstLine="472" w:firstLineChars="197"/>
        <w:rPr>
          <w:rFonts w:hint="eastAsia" w:hAnsi="宋体"/>
          <w:sz w:val="24"/>
          <w:szCs w:val="24"/>
        </w:rPr>
      </w:pPr>
      <w:r>
        <w:rPr>
          <w:rFonts w:hint="eastAsia" w:hAnsi="宋体"/>
          <w:sz w:val="24"/>
          <w:szCs w:val="24"/>
        </w:rPr>
        <w:t>签字（签章）：                                       公章：</w:t>
      </w:r>
    </w:p>
    <w:p w14:paraId="5E5929BC">
      <w:pPr>
        <w:pStyle w:val="18"/>
        <w:spacing w:line="360" w:lineRule="auto"/>
        <w:ind w:left="25" w:leftChars="12" w:firstLine="352" w:firstLineChars="147"/>
        <w:rPr>
          <w:rFonts w:hint="eastAsia" w:hAnsi="宋体"/>
          <w:sz w:val="24"/>
          <w:szCs w:val="24"/>
        </w:rPr>
      </w:pPr>
    </w:p>
    <w:p w14:paraId="1DA300F1">
      <w:pPr>
        <w:pStyle w:val="18"/>
        <w:spacing w:line="360" w:lineRule="auto"/>
        <w:ind w:left="25" w:leftChars="12" w:firstLine="472" w:firstLineChars="197"/>
        <w:rPr>
          <w:rFonts w:hint="eastAsia" w:hAnsi="宋体"/>
          <w:sz w:val="24"/>
          <w:szCs w:val="24"/>
        </w:rPr>
      </w:pPr>
      <w:r>
        <w:rPr>
          <w:rFonts w:hint="eastAsia" w:hAnsi="宋体"/>
          <w:sz w:val="24"/>
          <w:szCs w:val="24"/>
        </w:rPr>
        <w:t>日期：</w:t>
      </w:r>
    </w:p>
    <w:p w14:paraId="1167E9C2">
      <w:pPr>
        <w:pStyle w:val="18"/>
        <w:snapToGrid w:val="0"/>
        <w:spacing w:line="360" w:lineRule="auto"/>
        <w:rPr>
          <w:rFonts w:hint="eastAsia" w:hAnsi="宋体"/>
          <w:b/>
          <w:sz w:val="24"/>
          <w:szCs w:val="24"/>
        </w:rPr>
      </w:pPr>
    </w:p>
    <w:p w14:paraId="5A7F6089">
      <w:pPr>
        <w:pStyle w:val="18"/>
        <w:snapToGrid w:val="0"/>
        <w:spacing w:line="360" w:lineRule="auto"/>
        <w:rPr>
          <w:rFonts w:hint="eastAsia" w:hAnsi="宋体"/>
          <w:b/>
          <w:sz w:val="24"/>
          <w:szCs w:val="24"/>
        </w:rPr>
      </w:pPr>
      <w:r>
        <w:rPr>
          <w:rFonts w:hint="eastAsia" w:hAnsi="宋体"/>
          <w:b/>
          <w:sz w:val="24"/>
          <w:szCs w:val="24"/>
        </w:rPr>
        <w:t>说明：</w:t>
      </w:r>
    </w:p>
    <w:p w14:paraId="63A75649">
      <w:pPr>
        <w:pStyle w:val="18"/>
        <w:spacing w:line="360" w:lineRule="auto"/>
        <w:ind w:left="25" w:leftChars="12" w:firstLine="354" w:firstLineChars="147"/>
        <w:rPr>
          <w:rFonts w:hint="eastAsia"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14:paraId="25A62BA7">
      <w:pPr>
        <w:pStyle w:val="18"/>
        <w:spacing w:line="360" w:lineRule="auto"/>
        <w:ind w:left="25" w:leftChars="12" w:firstLine="354" w:firstLineChars="147"/>
        <w:rPr>
          <w:rFonts w:hint="eastAsia" w:hAnsi="宋体"/>
          <w:b/>
          <w:sz w:val="24"/>
          <w:szCs w:val="24"/>
        </w:rPr>
      </w:pPr>
      <w:r>
        <w:rPr>
          <w:rFonts w:hint="eastAsia" w:hAnsi="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2E5662E">
      <w:pPr>
        <w:pStyle w:val="18"/>
        <w:spacing w:line="360" w:lineRule="auto"/>
        <w:ind w:left="25" w:leftChars="12" w:firstLine="354" w:firstLineChars="147"/>
        <w:rPr>
          <w:rFonts w:hint="eastAsia" w:hAnsi="宋体"/>
          <w:b/>
          <w:sz w:val="24"/>
          <w:szCs w:val="24"/>
        </w:rPr>
      </w:pPr>
      <w:r>
        <w:rPr>
          <w:rFonts w:hint="eastAsia" w:hAnsi="宋体"/>
          <w:b/>
          <w:sz w:val="24"/>
          <w:szCs w:val="24"/>
        </w:rPr>
        <w:t>3.质疑函的质疑事项应具体、明确，并有必要的事实依据和法律依据。</w:t>
      </w:r>
    </w:p>
    <w:p w14:paraId="658DDB9C">
      <w:pPr>
        <w:pStyle w:val="18"/>
        <w:spacing w:line="360" w:lineRule="auto"/>
        <w:ind w:left="25" w:leftChars="12" w:firstLine="354" w:firstLineChars="147"/>
        <w:rPr>
          <w:rFonts w:hint="eastAsia" w:hAnsi="宋体"/>
          <w:b/>
          <w:sz w:val="24"/>
          <w:szCs w:val="24"/>
        </w:rPr>
      </w:pPr>
      <w:r>
        <w:rPr>
          <w:rFonts w:hint="eastAsia" w:hAnsi="宋体"/>
          <w:b/>
          <w:sz w:val="24"/>
          <w:szCs w:val="24"/>
        </w:rPr>
        <w:t>4.质疑函的质疑请求应与质疑事项相关。</w:t>
      </w:r>
    </w:p>
    <w:p w14:paraId="0E2ED4E7">
      <w:pPr>
        <w:pStyle w:val="18"/>
        <w:spacing w:line="360" w:lineRule="auto"/>
        <w:ind w:left="25" w:leftChars="12" w:firstLine="354" w:firstLineChars="147"/>
        <w:rPr>
          <w:rFonts w:hint="eastAsia" w:hAnsi="宋体"/>
          <w:b/>
        </w:rPr>
      </w:pPr>
      <w:r>
        <w:rPr>
          <w:rFonts w:hint="eastAsia" w:hAnsi="宋体"/>
          <w:b/>
          <w:sz w:val="24"/>
          <w:szCs w:val="24"/>
        </w:rPr>
        <w:t>5.质疑供应商为法人或者其他组织的，质疑函应由法定代表人、主要负责人，或者其授权代表签字或者盖章，并加盖公章。</w:t>
      </w:r>
    </w:p>
    <w:p w14:paraId="35AA649B">
      <w:pPr>
        <w:spacing w:line="460" w:lineRule="exact"/>
        <w:rPr>
          <w:rFonts w:eastAsia="隶书"/>
          <w:sz w:val="44"/>
        </w:rPr>
      </w:pPr>
    </w:p>
    <w:p w14:paraId="64E25B1C">
      <w:pPr>
        <w:spacing w:line="360" w:lineRule="auto"/>
        <w:jc w:val="left"/>
        <w:rPr>
          <w:rFonts w:hint="eastAsia" w:ascii="宋体" w:hAnsi="宋体"/>
          <w:b/>
          <w:sz w:val="24"/>
        </w:rPr>
      </w:pPr>
      <w:r>
        <w:rPr>
          <w:rFonts w:ascii="宋体" w:hAnsi="宋体"/>
          <w:b/>
          <w:sz w:val="24"/>
        </w:rPr>
        <w:br w:type="page"/>
      </w:r>
      <w:r>
        <w:rPr>
          <w:rFonts w:hint="eastAsia" w:ascii="宋体" w:hAnsi="宋体"/>
          <w:b/>
          <w:sz w:val="24"/>
        </w:rPr>
        <w:t>5.投诉书（格式）</w:t>
      </w:r>
    </w:p>
    <w:p w14:paraId="5ACE21FA">
      <w:pPr>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投诉书（格式）</w:t>
      </w:r>
    </w:p>
    <w:p w14:paraId="30FA67BC">
      <w:pPr>
        <w:pStyle w:val="18"/>
        <w:snapToGrid w:val="0"/>
        <w:spacing w:line="360" w:lineRule="auto"/>
        <w:ind w:firstLine="482" w:firstLineChars="200"/>
        <w:rPr>
          <w:rFonts w:hint="eastAsia" w:hAnsi="宋体"/>
          <w:b/>
          <w:bCs/>
          <w:sz w:val="24"/>
          <w:szCs w:val="24"/>
        </w:rPr>
      </w:pPr>
      <w:r>
        <w:rPr>
          <w:rFonts w:hint="eastAsia" w:hAnsi="宋体"/>
          <w:b/>
          <w:bCs/>
          <w:sz w:val="24"/>
          <w:szCs w:val="24"/>
        </w:rPr>
        <w:t>一、投诉相关主体基本情况：</w:t>
      </w:r>
    </w:p>
    <w:p w14:paraId="116A7110">
      <w:pPr>
        <w:pStyle w:val="18"/>
        <w:snapToGrid w:val="0"/>
        <w:spacing w:line="360" w:lineRule="auto"/>
        <w:ind w:firstLine="480" w:firstLineChars="200"/>
        <w:jc w:val="left"/>
        <w:rPr>
          <w:rFonts w:hint="eastAsia" w:hAnsi="宋体"/>
          <w:bCs/>
          <w:sz w:val="24"/>
          <w:szCs w:val="24"/>
          <w:u w:val="single"/>
        </w:rPr>
      </w:pPr>
      <w:r>
        <w:rPr>
          <w:rFonts w:hint="eastAsia" w:hAnsi="宋体"/>
          <w:bCs/>
          <w:sz w:val="24"/>
          <w:szCs w:val="24"/>
        </w:rPr>
        <w:t>投标人：</w:t>
      </w:r>
      <w:r>
        <w:rPr>
          <w:rFonts w:hint="eastAsia" w:hAnsi="宋体"/>
          <w:bCs/>
          <w:sz w:val="24"/>
          <w:szCs w:val="24"/>
          <w:u w:val="single"/>
        </w:rPr>
        <w:t xml:space="preserve">                                                                        </w:t>
      </w:r>
      <w:r>
        <w:rPr>
          <w:rFonts w:hint="eastAsia" w:hAnsi="宋体"/>
          <w:bCs/>
          <w:sz w:val="24"/>
          <w:szCs w:val="24"/>
        </w:rPr>
        <w:t xml:space="preserve">                 </w:t>
      </w:r>
    </w:p>
    <w:p w14:paraId="3B803D84">
      <w:pPr>
        <w:pStyle w:val="18"/>
        <w:snapToGrid w:val="0"/>
        <w:spacing w:line="360" w:lineRule="auto"/>
        <w:ind w:firstLine="480" w:firstLineChars="200"/>
        <w:jc w:val="left"/>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41C4CE77">
      <w:pPr>
        <w:pStyle w:val="18"/>
        <w:snapToGrid w:val="0"/>
        <w:spacing w:line="360" w:lineRule="auto"/>
        <w:ind w:firstLine="480" w:firstLineChars="200"/>
        <w:jc w:val="left"/>
        <w:rPr>
          <w:rFonts w:hint="eastAsia" w:hAnsi="宋体"/>
          <w:bCs/>
          <w:sz w:val="24"/>
          <w:szCs w:val="24"/>
          <w:u w:val="single"/>
        </w:rPr>
      </w:pPr>
      <w:r>
        <w:rPr>
          <w:rFonts w:hint="eastAsia" w:hAnsi="宋体"/>
          <w:bCs/>
          <w:sz w:val="24"/>
          <w:szCs w:val="24"/>
        </w:rPr>
        <w:t>法定代表人/主要负责人：</w:t>
      </w:r>
      <w:r>
        <w:rPr>
          <w:rFonts w:hint="eastAsia" w:hAnsi="宋体"/>
          <w:bCs/>
          <w:sz w:val="24"/>
          <w:szCs w:val="24"/>
          <w:u w:val="single"/>
        </w:rPr>
        <w:t xml:space="preserve">                                                         </w:t>
      </w:r>
    </w:p>
    <w:p w14:paraId="36317915">
      <w:pPr>
        <w:pStyle w:val="18"/>
        <w:snapToGrid w:val="0"/>
        <w:spacing w:line="360" w:lineRule="auto"/>
        <w:ind w:firstLine="480" w:firstLineChars="200"/>
        <w:jc w:val="left"/>
        <w:rPr>
          <w:rFonts w:hint="eastAsia" w:hAnsi="宋体"/>
          <w:bCs/>
          <w:sz w:val="24"/>
          <w:szCs w:val="24"/>
        </w:rPr>
      </w:pP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22FEE9E8">
      <w:pPr>
        <w:pStyle w:val="18"/>
        <w:snapToGrid w:val="0"/>
        <w:spacing w:line="360" w:lineRule="auto"/>
        <w:ind w:firstLine="480" w:firstLineChars="200"/>
        <w:jc w:val="left"/>
        <w:rPr>
          <w:rFonts w:hint="eastAsia" w:hAnsi="宋体"/>
          <w:bCs/>
          <w:sz w:val="24"/>
          <w:szCs w:val="24"/>
          <w:u w:val="single"/>
        </w:rPr>
      </w:pPr>
      <w:r>
        <w:rPr>
          <w:rFonts w:hint="eastAsia" w:hAnsi="宋体"/>
          <w:bCs/>
          <w:sz w:val="24"/>
          <w:szCs w:val="24"/>
        </w:rPr>
        <w:t>授权代表：</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28602381">
      <w:pPr>
        <w:pStyle w:val="18"/>
        <w:snapToGrid w:val="0"/>
        <w:spacing w:line="360" w:lineRule="auto"/>
        <w:ind w:firstLine="480" w:firstLineChars="200"/>
        <w:jc w:val="left"/>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p>
    <w:p w14:paraId="0B3EC483">
      <w:pPr>
        <w:pStyle w:val="18"/>
        <w:snapToGrid w:val="0"/>
        <w:spacing w:line="360" w:lineRule="auto"/>
        <w:ind w:firstLine="480" w:firstLineChars="200"/>
        <w:jc w:val="left"/>
        <w:rPr>
          <w:rFonts w:hint="eastAsia"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0205955C">
      <w:pPr>
        <w:pStyle w:val="18"/>
        <w:snapToGrid w:val="0"/>
        <w:spacing w:line="360" w:lineRule="auto"/>
        <w:ind w:firstLine="480" w:firstLineChars="200"/>
        <w:jc w:val="left"/>
        <w:rPr>
          <w:rFonts w:hint="eastAsia" w:hAnsi="宋体"/>
          <w:bCs/>
          <w:sz w:val="24"/>
          <w:szCs w:val="24"/>
        </w:rPr>
      </w:pPr>
      <w:r>
        <w:rPr>
          <w:rFonts w:hint="eastAsia" w:hAnsi="宋体"/>
          <w:bCs/>
          <w:sz w:val="24"/>
          <w:szCs w:val="24"/>
        </w:rPr>
        <w:t>被投诉人1：</w:t>
      </w:r>
    </w:p>
    <w:p w14:paraId="2B3F8DA4">
      <w:pPr>
        <w:pStyle w:val="18"/>
        <w:snapToGrid w:val="0"/>
        <w:spacing w:line="360" w:lineRule="auto"/>
        <w:ind w:firstLine="480" w:firstLineChars="200"/>
        <w:jc w:val="left"/>
        <w:rPr>
          <w:rFonts w:hint="eastAsia" w:hAnsi="宋体"/>
          <w:bCs/>
          <w:sz w:val="24"/>
          <w:szCs w:val="24"/>
          <w:u w:val="single"/>
        </w:rPr>
      </w:pPr>
      <w:r>
        <w:rPr>
          <w:rFonts w:hint="eastAsia" w:hAnsi="宋体"/>
          <w:bCs/>
          <w:sz w:val="24"/>
          <w:szCs w:val="24"/>
        </w:rPr>
        <w:t>地址：</w:t>
      </w:r>
      <w:r>
        <w:rPr>
          <w:rFonts w:hint="eastAsia" w:hAnsi="宋体"/>
          <w:bCs/>
          <w:sz w:val="24"/>
          <w:szCs w:val="24"/>
          <w:u w:val="single"/>
        </w:rPr>
        <w:t xml:space="preserve">                                                            </w:t>
      </w:r>
    </w:p>
    <w:p w14:paraId="40298E4B">
      <w:pPr>
        <w:pStyle w:val="18"/>
        <w:snapToGrid w:val="0"/>
        <w:spacing w:line="360" w:lineRule="auto"/>
        <w:ind w:firstLine="480" w:firstLineChars="200"/>
        <w:jc w:val="left"/>
        <w:rPr>
          <w:rFonts w:hint="eastAsia"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1544A931">
      <w:pPr>
        <w:pStyle w:val="18"/>
        <w:snapToGrid w:val="0"/>
        <w:spacing w:line="360" w:lineRule="auto"/>
        <w:ind w:firstLine="480" w:firstLineChars="200"/>
        <w:jc w:val="left"/>
        <w:rPr>
          <w:rFonts w:hint="eastAsia" w:hAnsi="宋体"/>
          <w:bCs/>
          <w:sz w:val="24"/>
          <w:szCs w:val="24"/>
          <w:u w:val="single"/>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061B7D65">
      <w:pPr>
        <w:pStyle w:val="18"/>
        <w:snapToGrid w:val="0"/>
        <w:spacing w:line="360" w:lineRule="auto"/>
        <w:ind w:firstLine="480" w:firstLineChars="200"/>
        <w:jc w:val="left"/>
        <w:rPr>
          <w:rFonts w:hint="eastAsia" w:hAnsi="宋体"/>
          <w:bCs/>
          <w:sz w:val="24"/>
          <w:szCs w:val="24"/>
        </w:rPr>
      </w:pPr>
      <w:r>
        <w:rPr>
          <w:rFonts w:hint="eastAsia" w:hAnsi="宋体"/>
          <w:bCs/>
          <w:sz w:val="24"/>
          <w:szCs w:val="24"/>
        </w:rPr>
        <w:t>被投诉人2：</w:t>
      </w:r>
    </w:p>
    <w:p w14:paraId="67A62ED5">
      <w:pPr>
        <w:pStyle w:val="18"/>
        <w:snapToGrid w:val="0"/>
        <w:spacing w:line="360" w:lineRule="auto"/>
        <w:ind w:firstLine="480" w:firstLineChars="200"/>
        <w:jc w:val="left"/>
        <w:rPr>
          <w:rFonts w:hint="eastAsia" w:hAnsi="宋体"/>
          <w:bCs/>
          <w:sz w:val="24"/>
          <w:szCs w:val="24"/>
        </w:rPr>
      </w:pPr>
      <w:r>
        <w:rPr>
          <w:rFonts w:hAnsi="宋体"/>
          <w:bCs/>
          <w:sz w:val="24"/>
          <w:szCs w:val="24"/>
        </w:rPr>
        <w:t>……</w:t>
      </w:r>
    </w:p>
    <w:p w14:paraId="6D5F827C">
      <w:pPr>
        <w:pStyle w:val="18"/>
        <w:snapToGrid w:val="0"/>
        <w:spacing w:line="360" w:lineRule="auto"/>
        <w:ind w:firstLine="480" w:firstLineChars="200"/>
        <w:jc w:val="left"/>
        <w:rPr>
          <w:rFonts w:hint="eastAsia" w:hAnsi="宋体"/>
          <w:bCs/>
          <w:sz w:val="24"/>
          <w:szCs w:val="24"/>
          <w:u w:val="single"/>
        </w:rPr>
      </w:pPr>
      <w:r>
        <w:rPr>
          <w:rFonts w:hint="eastAsia" w:hAnsi="宋体"/>
          <w:bCs/>
          <w:sz w:val="24"/>
          <w:szCs w:val="24"/>
        </w:rPr>
        <w:t>相关供应商：</w:t>
      </w:r>
      <w:r>
        <w:rPr>
          <w:rFonts w:hint="eastAsia" w:hAnsi="宋体"/>
          <w:bCs/>
          <w:sz w:val="24"/>
          <w:szCs w:val="24"/>
          <w:u w:val="single"/>
        </w:rPr>
        <w:t xml:space="preserve">                                                                       </w:t>
      </w:r>
    </w:p>
    <w:p w14:paraId="041DB87A">
      <w:pPr>
        <w:pStyle w:val="18"/>
        <w:snapToGrid w:val="0"/>
        <w:spacing w:line="360" w:lineRule="auto"/>
        <w:ind w:firstLine="480" w:firstLineChars="200"/>
        <w:jc w:val="left"/>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p>
    <w:p w14:paraId="033AC351">
      <w:pPr>
        <w:pStyle w:val="18"/>
        <w:snapToGrid w:val="0"/>
        <w:spacing w:line="360" w:lineRule="auto"/>
        <w:ind w:firstLine="480" w:firstLineChars="200"/>
        <w:jc w:val="left"/>
        <w:rPr>
          <w:rFonts w:hint="eastAsia"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r>
        <w:rPr>
          <w:rFonts w:hint="eastAsia" w:hAnsi="宋体"/>
          <w:bCs/>
          <w:sz w:val="24"/>
          <w:szCs w:val="24"/>
        </w:rPr>
        <w:t xml:space="preserve">                </w:t>
      </w:r>
    </w:p>
    <w:p w14:paraId="0063A73D">
      <w:pPr>
        <w:pStyle w:val="18"/>
        <w:snapToGrid w:val="0"/>
        <w:spacing w:line="360" w:lineRule="auto"/>
        <w:ind w:firstLine="482" w:firstLineChars="200"/>
        <w:rPr>
          <w:rFonts w:hint="eastAsia" w:hAnsi="宋体"/>
          <w:b/>
          <w:bCs/>
          <w:sz w:val="24"/>
          <w:szCs w:val="24"/>
        </w:rPr>
      </w:pPr>
      <w:r>
        <w:rPr>
          <w:rFonts w:hint="eastAsia" w:hAnsi="宋体"/>
          <w:b/>
          <w:bCs/>
          <w:sz w:val="24"/>
          <w:szCs w:val="24"/>
        </w:rPr>
        <w:t>二、投诉项目基本情况：</w:t>
      </w:r>
    </w:p>
    <w:p w14:paraId="0A13741B">
      <w:pPr>
        <w:pStyle w:val="18"/>
        <w:spacing w:line="360" w:lineRule="auto"/>
        <w:ind w:left="25" w:leftChars="12" w:firstLine="472" w:firstLineChars="197"/>
        <w:rPr>
          <w:rFonts w:hint="eastAsia" w:hAnsi="宋体"/>
          <w:sz w:val="24"/>
          <w:szCs w:val="24"/>
        </w:rPr>
      </w:pPr>
      <w:r>
        <w:rPr>
          <w:rFonts w:hint="eastAsia" w:hAnsi="宋体"/>
          <w:sz w:val="24"/>
          <w:szCs w:val="24"/>
        </w:rPr>
        <w:t>招标项目的名称：</w:t>
      </w:r>
      <w:r>
        <w:rPr>
          <w:rFonts w:hint="eastAsia" w:hAnsi="宋体"/>
          <w:bCs/>
          <w:sz w:val="24"/>
          <w:szCs w:val="24"/>
          <w:u w:val="single"/>
        </w:rPr>
        <w:t xml:space="preserve">                                                                   </w:t>
      </w:r>
    </w:p>
    <w:p w14:paraId="2759E8FA">
      <w:pPr>
        <w:pStyle w:val="18"/>
        <w:spacing w:line="360" w:lineRule="auto"/>
        <w:ind w:left="25" w:leftChars="12" w:firstLine="472" w:firstLineChars="197"/>
        <w:rPr>
          <w:rFonts w:hint="eastAsia" w:hAnsi="宋体"/>
          <w:sz w:val="24"/>
          <w:szCs w:val="24"/>
        </w:rPr>
      </w:pPr>
      <w:r>
        <w:rPr>
          <w:rFonts w:hint="eastAsia" w:hAnsi="宋体"/>
          <w:sz w:val="24"/>
          <w:szCs w:val="24"/>
        </w:rPr>
        <w:t>招标项目的编号：</w:t>
      </w:r>
      <w:r>
        <w:rPr>
          <w:rFonts w:hint="eastAsia" w:hAnsi="宋体"/>
          <w:bCs/>
          <w:sz w:val="24"/>
          <w:szCs w:val="24"/>
          <w:u w:val="single"/>
        </w:rPr>
        <w:t xml:space="preserve">                                          </w:t>
      </w:r>
    </w:p>
    <w:p w14:paraId="3F4B78C0">
      <w:pPr>
        <w:pStyle w:val="18"/>
        <w:spacing w:line="360" w:lineRule="auto"/>
        <w:ind w:left="25" w:leftChars="12" w:firstLine="472" w:firstLineChars="197"/>
        <w:rPr>
          <w:rFonts w:hint="eastAsia" w:hAnsi="宋体"/>
          <w:bCs/>
          <w:sz w:val="24"/>
          <w:szCs w:val="24"/>
          <w:u w:val="single"/>
        </w:rPr>
      </w:pPr>
      <w:r>
        <w:rPr>
          <w:rFonts w:hint="eastAsia" w:hAnsi="宋体"/>
          <w:sz w:val="24"/>
          <w:szCs w:val="24"/>
        </w:rPr>
        <w:t>采购人名称：</w:t>
      </w:r>
      <w:r>
        <w:rPr>
          <w:rFonts w:hint="eastAsia" w:hAnsi="宋体"/>
          <w:bCs/>
          <w:sz w:val="24"/>
          <w:szCs w:val="24"/>
          <w:u w:val="single"/>
        </w:rPr>
        <w:t xml:space="preserve">                                                                        </w:t>
      </w:r>
    </w:p>
    <w:p w14:paraId="4D643022">
      <w:pPr>
        <w:pStyle w:val="18"/>
        <w:spacing w:line="360" w:lineRule="auto"/>
        <w:ind w:left="25" w:leftChars="12" w:firstLine="472" w:firstLineChars="197"/>
        <w:rPr>
          <w:rFonts w:hint="eastAsia" w:hAnsi="宋体"/>
          <w:bCs/>
          <w:sz w:val="24"/>
          <w:szCs w:val="24"/>
          <w:u w:val="single"/>
        </w:rPr>
      </w:pPr>
      <w:r>
        <w:rPr>
          <w:rFonts w:hint="eastAsia" w:hAnsi="宋体"/>
          <w:sz w:val="24"/>
          <w:szCs w:val="24"/>
        </w:rPr>
        <w:t>代理机构名称：</w:t>
      </w:r>
      <w:r>
        <w:rPr>
          <w:rFonts w:hint="eastAsia" w:hAnsi="宋体"/>
          <w:bCs/>
          <w:sz w:val="24"/>
          <w:szCs w:val="24"/>
          <w:u w:val="single"/>
        </w:rPr>
        <w:t xml:space="preserve">                                                                      </w:t>
      </w:r>
    </w:p>
    <w:p w14:paraId="17976A5C">
      <w:pPr>
        <w:pStyle w:val="18"/>
        <w:spacing w:line="360" w:lineRule="auto"/>
        <w:ind w:left="25" w:leftChars="12" w:firstLine="472" w:firstLineChars="197"/>
        <w:rPr>
          <w:rFonts w:hint="eastAsia" w:hAnsi="宋体"/>
          <w:bCs/>
          <w:sz w:val="24"/>
          <w:szCs w:val="24"/>
          <w:u w:val="single"/>
        </w:rPr>
      </w:pPr>
      <w:r>
        <w:rPr>
          <w:rFonts w:hint="eastAsia" w:hAnsi="宋体"/>
          <w:sz w:val="24"/>
          <w:szCs w:val="24"/>
        </w:rPr>
        <w:t>招标</w:t>
      </w:r>
      <w:r>
        <w:rPr>
          <w:rFonts w:hint="eastAsia" w:hAnsi="宋体"/>
          <w:bCs/>
          <w:sz w:val="24"/>
          <w:szCs w:val="24"/>
        </w:rPr>
        <w:t>文件公告：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26D81561">
      <w:pPr>
        <w:pStyle w:val="18"/>
        <w:spacing w:line="360" w:lineRule="auto"/>
        <w:ind w:left="25" w:leftChars="12" w:firstLine="472" w:firstLineChars="197"/>
        <w:rPr>
          <w:rFonts w:hint="eastAsia" w:hAnsi="宋体"/>
          <w:b/>
          <w:sz w:val="24"/>
          <w:szCs w:val="24"/>
        </w:rPr>
      </w:pPr>
      <w:r>
        <w:rPr>
          <w:rFonts w:hint="eastAsia" w:hAnsi="宋体"/>
          <w:sz w:val="24"/>
        </w:rPr>
        <w:t>招标</w:t>
      </w:r>
      <w:r>
        <w:rPr>
          <w:rFonts w:hint="eastAsia" w:hAnsi="宋体"/>
          <w:bCs/>
          <w:sz w:val="24"/>
        </w:rPr>
        <w:t>结果公告：</w:t>
      </w:r>
      <w:r>
        <w:rPr>
          <w:rFonts w:hint="eastAsia" w:hAnsi="宋体"/>
          <w:bCs/>
          <w:sz w:val="24"/>
          <w:u w:val="single"/>
        </w:rPr>
        <w:t>是</w:t>
      </w:r>
      <w:r>
        <w:rPr>
          <w:rFonts w:hAnsi="宋体"/>
          <w:bCs/>
          <w:sz w:val="24"/>
          <w:u w:val="single"/>
        </w:rPr>
        <w:t>/</w:t>
      </w:r>
      <w:r>
        <w:rPr>
          <w:rFonts w:hint="eastAsia" w:hAnsi="宋体"/>
          <w:bCs/>
          <w:sz w:val="24"/>
          <w:u w:val="single"/>
        </w:rPr>
        <w:t>否</w:t>
      </w:r>
      <w:r>
        <w:rPr>
          <w:rFonts w:hint="eastAsia" w:hAnsi="宋体"/>
          <w:bCs/>
          <w:sz w:val="24"/>
        </w:rPr>
        <w:t>公告期限：</w:t>
      </w:r>
      <w:r>
        <w:rPr>
          <w:rFonts w:hAnsi="宋体"/>
          <w:bCs/>
          <w:sz w:val="24"/>
          <w:u w:val="single"/>
        </w:rPr>
        <w:t xml:space="preserve">                                      </w:t>
      </w:r>
      <w:r>
        <w:rPr>
          <w:rFonts w:hint="eastAsia" w:hAnsi="宋体"/>
          <w:bCs/>
          <w:sz w:val="24"/>
          <w:szCs w:val="24"/>
          <w:u w:val="single"/>
        </w:rPr>
        <w:t xml:space="preserve">              </w:t>
      </w:r>
    </w:p>
    <w:p w14:paraId="4AB8E86E">
      <w:pPr>
        <w:pStyle w:val="18"/>
        <w:spacing w:line="360" w:lineRule="auto"/>
        <w:ind w:left="25" w:leftChars="12" w:firstLine="472" w:firstLineChars="196"/>
        <w:rPr>
          <w:rFonts w:hint="eastAsia" w:hAnsi="宋体"/>
          <w:b/>
          <w:sz w:val="24"/>
          <w:szCs w:val="24"/>
        </w:rPr>
      </w:pPr>
      <w:r>
        <w:rPr>
          <w:rFonts w:hint="eastAsia" w:hAnsi="宋体"/>
          <w:b/>
          <w:sz w:val="24"/>
          <w:szCs w:val="24"/>
        </w:rPr>
        <w:t>三、质疑基本情况</w:t>
      </w:r>
    </w:p>
    <w:p w14:paraId="32B994A9">
      <w:pPr>
        <w:pStyle w:val="18"/>
        <w:spacing w:line="360" w:lineRule="auto"/>
        <w:ind w:left="25" w:leftChars="12" w:firstLine="480" w:firstLineChars="200"/>
        <w:rPr>
          <w:rFonts w:hint="eastAsia" w:hAnsi="宋体"/>
          <w:sz w:val="24"/>
          <w:szCs w:val="24"/>
        </w:rPr>
      </w:pPr>
      <w:r>
        <w:rPr>
          <w:rFonts w:hint="eastAsia" w:hAnsi="宋体"/>
          <w:sz w:val="24"/>
          <w:szCs w:val="24"/>
        </w:rPr>
        <w:t>投诉人于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日，向</w:t>
      </w:r>
      <w:r>
        <w:rPr>
          <w:rFonts w:hint="eastAsia" w:hAnsi="宋体"/>
          <w:sz w:val="24"/>
          <w:szCs w:val="24"/>
          <w:u w:val="single"/>
        </w:rPr>
        <w:t xml:space="preserve">                                </w:t>
      </w:r>
      <w:r>
        <w:rPr>
          <w:rFonts w:hint="eastAsia" w:hAnsi="宋体"/>
          <w:sz w:val="24"/>
          <w:szCs w:val="24"/>
        </w:rPr>
        <w:t>提出质疑，质疑事项为：</w:t>
      </w:r>
    </w:p>
    <w:p w14:paraId="1488E2ED">
      <w:pPr>
        <w:pStyle w:val="18"/>
        <w:spacing w:line="360" w:lineRule="auto"/>
        <w:ind w:firstLine="241"/>
        <w:rPr>
          <w:rFonts w:hint="eastAsia" w:hAnsi="宋体"/>
          <w:bCs/>
          <w:sz w:val="24"/>
          <w:szCs w:val="24"/>
          <w:u w:val="single"/>
        </w:rPr>
      </w:pPr>
      <w:r>
        <w:rPr>
          <w:rFonts w:hint="eastAsia" w:hAnsi="宋体"/>
          <w:sz w:val="24"/>
          <w:szCs w:val="24"/>
        </w:rPr>
        <w:t xml:space="preserve">    </w:t>
      </w:r>
      <w:r>
        <w:rPr>
          <w:rFonts w:hint="eastAsia" w:hAnsi="宋体"/>
          <w:bCs/>
          <w:sz w:val="24"/>
          <w:szCs w:val="24"/>
          <w:u w:val="single"/>
        </w:rPr>
        <w:t xml:space="preserve">                                                                                      </w:t>
      </w:r>
    </w:p>
    <w:p w14:paraId="6276552B">
      <w:pPr>
        <w:pStyle w:val="18"/>
        <w:spacing w:line="360" w:lineRule="auto"/>
        <w:ind w:firstLine="241"/>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70AE3FDD">
      <w:pPr>
        <w:pStyle w:val="18"/>
        <w:spacing w:line="360" w:lineRule="auto"/>
        <w:ind w:firstLine="480" w:firstLineChars="200"/>
        <w:rPr>
          <w:rFonts w:hint="eastAsia" w:hAnsi="宋体"/>
          <w:sz w:val="24"/>
          <w:szCs w:val="24"/>
        </w:rPr>
      </w:pPr>
      <w:r>
        <w:rPr>
          <w:rFonts w:hint="eastAsia" w:hAnsi="宋体"/>
          <w:bCs/>
          <w:sz w:val="24"/>
          <w:szCs w:val="24"/>
          <w:u w:val="single"/>
        </w:rPr>
        <w:t>采购人/代理机构</w:t>
      </w:r>
      <w:r>
        <w:rPr>
          <w:rFonts w:hint="eastAsia" w:hAnsi="宋体"/>
          <w:bCs/>
          <w:sz w:val="24"/>
          <w:szCs w:val="24"/>
        </w:rPr>
        <w:t>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r>
        <w:rPr>
          <w:rFonts w:hint="eastAsia" w:hAnsi="宋体"/>
          <w:bCs/>
          <w:sz w:val="24"/>
          <w:szCs w:val="24"/>
        </w:rPr>
        <w:t xml:space="preserve">就质疑事项作出了答复/没有在法定期限内作出答复。                                                                                             </w:t>
      </w:r>
    </w:p>
    <w:p w14:paraId="67D4FB0B">
      <w:pPr>
        <w:pStyle w:val="18"/>
        <w:spacing w:line="360" w:lineRule="auto"/>
        <w:ind w:left="25" w:leftChars="12" w:firstLine="472" w:firstLineChars="196"/>
        <w:rPr>
          <w:rFonts w:hint="eastAsia" w:hAnsi="宋体"/>
          <w:b/>
          <w:sz w:val="24"/>
          <w:szCs w:val="24"/>
        </w:rPr>
      </w:pPr>
      <w:r>
        <w:rPr>
          <w:rFonts w:hint="eastAsia" w:hAnsi="宋体"/>
          <w:b/>
          <w:sz w:val="24"/>
          <w:szCs w:val="24"/>
        </w:rPr>
        <w:t>四、投诉事项具体内容</w:t>
      </w:r>
    </w:p>
    <w:p w14:paraId="70AFB547">
      <w:pPr>
        <w:pStyle w:val="18"/>
        <w:spacing w:line="360" w:lineRule="auto"/>
        <w:ind w:left="25" w:leftChars="12" w:firstLine="472" w:firstLineChars="197"/>
        <w:rPr>
          <w:rFonts w:hint="eastAsia" w:hAnsi="宋体"/>
          <w:bCs/>
          <w:sz w:val="24"/>
          <w:szCs w:val="24"/>
          <w:u w:val="single"/>
        </w:rPr>
      </w:pPr>
      <w:r>
        <w:rPr>
          <w:rFonts w:hint="eastAsia" w:hAnsi="宋体"/>
          <w:sz w:val="24"/>
          <w:szCs w:val="24"/>
        </w:rPr>
        <w:t>投诉事项1：</w:t>
      </w:r>
      <w:r>
        <w:rPr>
          <w:rFonts w:hint="eastAsia" w:hAnsi="宋体"/>
          <w:bCs/>
          <w:sz w:val="24"/>
          <w:szCs w:val="24"/>
          <w:u w:val="single"/>
        </w:rPr>
        <w:t xml:space="preserve">                                                                           </w:t>
      </w:r>
    </w:p>
    <w:p w14:paraId="1FCA4E4B">
      <w:pPr>
        <w:pStyle w:val="18"/>
        <w:spacing w:line="360" w:lineRule="auto"/>
        <w:ind w:firstLine="480" w:firstLineChars="200"/>
        <w:rPr>
          <w:rFonts w:hint="eastAsia" w:hAnsi="宋体"/>
          <w:bCs/>
          <w:sz w:val="24"/>
          <w:szCs w:val="24"/>
          <w:u w:val="single"/>
        </w:rPr>
      </w:pPr>
      <w:r>
        <w:rPr>
          <w:rFonts w:hint="eastAsia" w:hAnsi="宋体"/>
          <w:bCs/>
          <w:sz w:val="24"/>
          <w:szCs w:val="24"/>
        </w:rPr>
        <w:t>事实依据：</w:t>
      </w:r>
      <w:r>
        <w:rPr>
          <w:rFonts w:hint="eastAsia" w:hAnsi="宋体"/>
          <w:sz w:val="24"/>
          <w:szCs w:val="24"/>
        </w:rPr>
        <w:t xml:space="preserve"> </w:t>
      </w:r>
      <w:r>
        <w:rPr>
          <w:rFonts w:hint="eastAsia" w:hAnsi="宋体"/>
          <w:bCs/>
          <w:sz w:val="24"/>
          <w:szCs w:val="24"/>
          <w:u w:val="single"/>
        </w:rPr>
        <w:t xml:space="preserve">                                                                                      </w:t>
      </w:r>
    </w:p>
    <w:p w14:paraId="2F2A637F">
      <w:pPr>
        <w:pStyle w:val="18"/>
        <w:spacing w:line="360" w:lineRule="auto"/>
        <w:ind w:left="25" w:leftChars="12" w:firstLine="472" w:firstLineChars="197"/>
        <w:rPr>
          <w:rFonts w:hint="eastAsia" w:hAnsi="宋体"/>
          <w:sz w:val="24"/>
          <w:szCs w:val="24"/>
        </w:rPr>
      </w:pPr>
      <w:r>
        <w:rPr>
          <w:rFonts w:hint="eastAsia" w:hAnsi="宋体"/>
          <w:bCs/>
          <w:sz w:val="24"/>
          <w:szCs w:val="24"/>
          <w:u w:val="single"/>
        </w:rPr>
        <w:t xml:space="preserve">                                                                                        </w:t>
      </w:r>
    </w:p>
    <w:p w14:paraId="0837C739">
      <w:pPr>
        <w:pStyle w:val="18"/>
        <w:spacing w:line="360" w:lineRule="auto"/>
        <w:ind w:firstLine="480" w:firstLineChars="200"/>
        <w:rPr>
          <w:rFonts w:hint="eastAsia" w:hAnsi="宋体"/>
          <w:bCs/>
          <w:sz w:val="24"/>
          <w:szCs w:val="24"/>
          <w:u w:val="single"/>
        </w:rPr>
      </w:pPr>
      <w:r>
        <w:rPr>
          <w:rFonts w:hint="eastAsia" w:hAnsi="宋体"/>
          <w:bCs/>
          <w:sz w:val="24"/>
          <w:szCs w:val="24"/>
        </w:rPr>
        <w:t>法律依据：</w:t>
      </w:r>
      <w:r>
        <w:rPr>
          <w:rFonts w:hint="eastAsia" w:hAnsi="宋体"/>
          <w:sz w:val="24"/>
          <w:szCs w:val="24"/>
        </w:rPr>
        <w:t xml:space="preserve"> </w:t>
      </w:r>
      <w:r>
        <w:rPr>
          <w:rFonts w:hint="eastAsia" w:hAnsi="宋体"/>
          <w:bCs/>
          <w:sz w:val="24"/>
          <w:szCs w:val="24"/>
          <w:u w:val="single"/>
        </w:rPr>
        <w:t xml:space="preserve">                                                                                      </w:t>
      </w:r>
    </w:p>
    <w:p w14:paraId="5EE27F24">
      <w:pPr>
        <w:pStyle w:val="18"/>
        <w:spacing w:line="360" w:lineRule="auto"/>
        <w:ind w:left="25" w:leftChars="12" w:firstLine="352" w:firstLineChars="147"/>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32347314">
      <w:pPr>
        <w:pStyle w:val="18"/>
        <w:spacing w:line="360" w:lineRule="auto"/>
        <w:ind w:left="25" w:leftChars="12" w:firstLine="472" w:firstLineChars="197"/>
        <w:rPr>
          <w:rFonts w:hint="eastAsia" w:hAnsi="宋体"/>
          <w:bCs/>
          <w:sz w:val="24"/>
          <w:szCs w:val="24"/>
        </w:rPr>
      </w:pPr>
      <w:r>
        <w:rPr>
          <w:rFonts w:hint="eastAsia" w:hAnsi="宋体"/>
          <w:sz w:val="24"/>
          <w:szCs w:val="24"/>
        </w:rPr>
        <w:t xml:space="preserve">投诉事项2  </w:t>
      </w:r>
      <w:r>
        <w:rPr>
          <w:rFonts w:hint="eastAsia" w:hAnsi="宋体"/>
          <w:bCs/>
          <w:sz w:val="24"/>
          <w:szCs w:val="24"/>
        </w:rPr>
        <w:t xml:space="preserve">   </w:t>
      </w:r>
    </w:p>
    <w:p w14:paraId="212F886E">
      <w:pPr>
        <w:pStyle w:val="18"/>
        <w:spacing w:line="360" w:lineRule="auto"/>
        <w:ind w:left="25" w:leftChars="12" w:firstLine="472" w:firstLineChars="197"/>
        <w:rPr>
          <w:rFonts w:hint="eastAsia" w:hAnsi="宋体"/>
          <w:bCs/>
          <w:sz w:val="24"/>
          <w:szCs w:val="24"/>
        </w:rPr>
      </w:pPr>
      <w:r>
        <w:rPr>
          <w:rFonts w:hAnsi="宋体"/>
          <w:bCs/>
          <w:sz w:val="24"/>
          <w:szCs w:val="24"/>
        </w:rPr>
        <w:t>……</w:t>
      </w:r>
    </w:p>
    <w:p w14:paraId="3791A659">
      <w:pPr>
        <w:pStyle w:val="18"/>
        <w:spacing w:line="360" w:lineRule="auto"/>
        <w:ind w:left="25" w:leftChars="12" w:firstLine="472" w:firstLineChars="196"/>
        <w:rPr>
          <w:rFonts w:hint="eastAsia" w:hAnsi="宋体"/>
          <w:b/>
          <w:sz w:val="24"/>
          <w:szCs w:val="24"/>
        </w:rPr>
      </w:pPr>
      <w:r>
        <w:rPr>
          <w:rFonts w:hint="eastAsia" w:hAnsi="宋体"/>
          <w:b/>
          <w:sz w:val="24"/>
          <w:szCs w:val="24"/>
        </w:rPr>
        <w:t>五、与投诉事项相关的投诉请求：</w:t>
      </w:r>
    </w:p>
    <w:p w14:paraId="69A77B9F">
      <w:pPr>
        <w:pStyle w:val="18"/>
        <w:spacing w:line="360" w:lineRule="auto"/>
        <w:ind w:left="25" w:leftChars="12" w:firstLine="472" w:firstLineChars="197"/>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593E740D">
      <w:pPr>
        <w:pStyle w:val="18"/>
        <w:spacing w:line="360" w:lineRule="auto"/>
        <w:ind w:left="25" w:leftChars="12" w:firstLine="352" w:firstLineChars="147"/>
        <w:rPr>
          <w:rFonts w:hint="eastAsia" w:hAnsi="宋体"/>
          <w:sz w:val="24"/>
          <w:szCs w:val="24"/>
        </w:rPr>
      </w:pPr>
    </w:p>
    <w:p w14:paraId="4BF70923">
      <w:pPr>
        <w:pStyle w:val="18"/>
        <w:spacing w:line="360" w:lineRule="auto"/>
        <w:ind w:left="25" w:leftChars="12" w:firstLine="472" w:firstLineChars="197"/>
        <w:rPr>
          <w:rFonts w:hint="eastAsia" w:hAnsi="宋体"/>
          <w:sz w:val="24"/>
          <w:szCs w:val="24"/>
        </w:rPr>
      </w:pPr>
      <w:r>
        <w:rPr>
          <w:rFonts w:hint="eastAsia" w:hAnsi="宋体"/>
          <w:sz w:val="24"/>
          <w:szCs w:val="24"/>
        </w:rPr>
        <w:t>签字（签章）：                                       公章：</w:t>
      </w:r>
    </w:p>
    <w:p w14:paraId="5F266B90">
      <w:pPr>
        <w:pStyle w:val="18"/>
        <w:spacing w:line="360" w:lineRule="auto"/>
        <w:ind w:left="25" w:leftChars="12" w:firstLine="472" w:firstLineChars="197"/>
        <w:rPr>
          <w:rFonts w:hint="eastAsia" w:hAnsi="宋体"/>
          <w:sz w:val="24"/>
          <w:szCs w:val="24"/>
        </w:rPr>
      </w:pPr>
      <w:r>
        <w:rPr>
          <w:rFonts w:hint="eastAsia" w:hAnsi="宋体"/>
          <w:sz w:val="24"/>
          <w:szCs w:val="24"/>
        </w:rPr>
        <w:t>日期：</w:t>
      </w:r>
    </w:p>
    <w:p w14:paraId="5FF96A12">
      <w:pPr>
        <w:pStyle w:val="18"/>
        <w:spacing w:line="360" w:lineRule="auto"/>
        <w:ind w:left="25" w:leftChars="12" w:firstLine="472" w:firstLineChars="197"/>
        <w:rPr>
          <w:rFonts w:hint="eastAsia" w:hAnsi="宋体"/>
          <w:b/>
          <w:sz w:val="24"/>
          <w:szCs w:val="24"/>
        </w:rPr>
      </w:pPr>
      <w:r>
        <w:rPr>
          <w:rFonts w:hint="eastAsia" w:hAnsi="宋体"/>
          <w:bCs/>
          <w:sz w:val="24"/>
          <w:szCs w:val="24"/>
        </w:rPr>
        <w:t xml:space="preserve">                                                                                </w:t>
      </w:r>
      <w:r>
        <w:rPr>
          <w:rFonts w:hint="eastAsia" w:hAnsi="宋体"/>
          <w:b/>
          <w:sz w:val="24"/>
          <w:szCs w:val="24"/>
        </w:rPr>
        <w:t>说明：</w:t>
      </w:r>
    </w:p>
    <w:p w14:paraId="7E6730EB">
      <w:pPr>
        <w:pStyle w:val="18"/>
        <w:spacing w:line="360" w:lineRule="auto"/>
        <w:ind w:left="25" w:leftChars="12" w:firstLine="354" w:firstLineChars="147"/>
        <w:rPr>
          <w:rFonts w:hint="eastAsia"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14:paraId="57CC954A">
      <w:pPr>
        <w:pStyle w:val="18"/>
        <w:spacing w:line="360" w:lineRule="auto"/>
        <w:ind w:left="25" w:leftChars="12" w:firstLine="354" w:firstLineChars="147"/>
        <w:rPr>
          <w:rFonts w:hint="eastAsia"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E8823B4">
      <w:pPr>
        <w:pStyle w:val="18"/>
        <w:spacing w:line="360" w:lineRule="auto"/>
        <w:ind w:left="25" w:leftChars="12" w:firstLine="354" w:firstLineChars="147"/>
        <w:rPr>
          <w:rFonts w:hint="eastAsia" w:hAnsi="宋体"/>
          <w:b/>
          <w:sz w:val="24"/>
          <w:szCs w:val="24"/>
        </w:rPr>
      </w:pPr>
      <w:r>
        <w:rPr>
          <w:rFonts w:hint="eastAsia" w:hAnsi="宋体"/>
          <w:b/>
          <w:sz w:val="24"/>
          <w:szCs w:val="24"/>
        </w:rPr>
        <w:t>3.投诉书应简要列明质疑事项，质疑函、质疑答复等作为附件材料提供。</w:t>
      </w:r>
    </w:p>
    <w:p w14:paraId="27CE98D8">
      <w:pPr>
        <w:pStyle w:val="18"/>
        <w:spacing w:line="360" w:lineRule="auto"/>
        <w:ind w:left="25" w:leftChars="12" w:firstLine="354" w:firstLineChars="147"/>
        <w:rPr>
          <w:rFonts w:hint="eastAsia" w:hAnsi="宋体"/>
          <w:b/>
          <w:sz w:val="24"/>
          <w:szCs w:val="24"/>
        </w:rPr>
      </w:pPr>
      <w:r>
        <w:rPr>
          <w:rFonts w:hint="eastAsia" w:hAnsi="宋体"/>
          <w:b/>
          <w:sz w:val="24"/>
          <w:szCs w:val="24"/>
        </w:rPr>
        <w:t>4.投诉书的投诉事项应具体、明确，并有必要的事实依据和法律依据。</w:t>
      </w:r>
    </w:p>
    <w:p w14:paraId="3BCA51E3">
      <w:pPr>
        <w:pStyle w:val="18"/>
        <w:spacing w:line="360" w:lineRule="auto"/>
        <w:ind w:left="25" w:leftChars="12" w:firstLine="354" w:firstLineChars="147"/>
        <w:rPr>
          <w:rFonts w:hint="eastAsia" w:hAnsi="宋体"/>
          <w:b/>
          <w:sz w:val="24"/>
          <w:szCs w:val="24"/>
        </w:rPr>
      </w:pPr>
      <w:r>
        <w:rPr>
          <w:rFonts w:hint="eastAsia" w:hAnsi="宋体"/>
          <w:b/>
          <w:sz w:val="24"/>
          <w:szCs w:val="24"/>
        </w:rPr>
        <w:t>5.投诉书的投诉请求应与投诉事项相关。</w:t>
      </w:r>
    </w:p>
    <w:p w14:paraId="5BB44CE0">
      <w:pPr>
        <w:pStyle w:val="18"/>
        <w:spacing w:line="360" w:lineRule="auto"/>
        <w:ind w:left="25" w:leftChars="12" w:firstLine="354" w:firstLineChars="147"/>
      </w:pPr>
      <w:r>
        <w:rPr>
          <w:rFonts w:hint="eastAsia" w:hAnsi="宋体"/>
          <w:b/>
          <w:sz w:val="24"/>
          <w:szCs w:val="24"/>
        </w:rPr>
        <w:t>6.投诉人为法人或者其他组织的，投诉书应由法定代表人、主要负责人，或者其授权代表签字或者盖章，并加盖公章。</w:t>
      </w:r>
    </w:p>
    <w:sectPr>
      <w:footerReference r:id="rId17" w:type="first"/>
      <w:footerReference r:id="rId15" w:type="default"/>
      <w:footerReference r:id="rId16" w:type="even"/>
      <w:pgSz w:w="11906" w:h="16838"/>
      <w:pgMar w:top="1134" w:right="1134" w:bottom="1134" w:left="1134" w:header="720" w:footer="720" w:gutter="0"/>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仿宋_GB2312"/>
    <w:panose1 w:val="0201060103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938E5">
    <w:pPr>
      <w:pStyle w:val="23"/>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7DC2E7">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77DC2E7">
                    <w:pPr>
                      <w:pStyle w:val="23"/>
                    </w:pPr>
                    <w:r>
                      <w:fldChar w:fldCharType="begin"/>
                    </w:r>
                    <w:r>
                      <w:instrText xml:space="preserve"> PAGE  \* MERGEFORMAT </w:instrText>
                    </w:r>
                    <w:r>
                      <w:fldChar w:fldCharType="separate"/>
                    </w:r>
                    <w:r>
                      <w:t>1</w:t>
                    </w:r>
                    <w:r>
                      <w:fldChar w:fldCharType="end"/>
                    </w:r>
                  </w:p>
                </w:txbxContent>
              </v:textbox>
            </v:shape>
          </w:pict>
        </mc:Fallback>
      </mc:AlternateContent>
    </w:r>
  </w:p>
  <w:p w14:paraId="71185D6A">
    <w:pPr>
      <w:pStyle w:val="2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FD6EC">
    <w:pPr>
      <w:pStyle w:val="23"/>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47D4E5">
                          <w:pPr>
                            <w:pStyle w:val="23"/>
                            <w:jc w:val="center"/>
                          </w:pPr>
                          <w:r>
                            <w:fldChar w:fldCharType="begin"/>
                          </w:r>
                          <w:r>
                            <w:instrText xml:space="preserve"> PAGE   \* MERGEFORMAT </w:instrText>
                          </w:r>
                          <w:r>
                            <w:fldChar w:fldCharType="separate"/>
                          </w:r>
                          <w:r>
                            <w:rPr>
                              <w:lang w:val="zh-CN"/>
                            </w:rP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047D4E5">
                    <w:pPr>
                      <w:pStyle w:val="23"/>
                      <w:jc w:val="center"/>
                    </w:pPr>
                    <w:r>
                      <w:fldChar w:fldCharType="begin"/>
                    </w:r>
                    <w:r>
                      <w:instrText xml:space="preserve"> PAGE   \* MERGEFORMAT </w:instrText>
                    </w:r>
                    <w:r>
                      <w:fldChar w:fldCharType="separate"/>
                    </w:r>
                    <w:r>
                      <w:rPr>
                        <w:lang w:val="zh-CN"/>
                      </w:rPr>
                      <w:t>76</w:t>
                    </w:r>
                    <w:r>
                      <w:fldChar w:fldCharType="end"/>
                    </w:r>
                  </w:p>
                </w:txbxContent>
              </v:textbox>
            </v:shape>
          </w:pict>
        </mc:Fallback>
      </mc:AlternateContent>
    </w:r>
  </w:p>
  <w:p w14:paraId="0BE4FA69">
    <w:pPr>
      <w:pStyle w:val="2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14594">
    <w:pPr>
      <w:pStyle w:val="23"/>
      <w:framePr w:wrap="around" w:vAnchor="text" w:hAnchor="margin" w:xAlign="center" w:y="1"/>
      <w:rPr>
        <w:rStyle w:val="40"/>
      </w:rPr>
    </w:pPr>
    <w:r>
      <w:fldChar w:fldCharType="begin"/>
    </w:r>
    <w:r>
      <w:rPr>
        <w:rStyle w:val="40"/>
      </w:rPr>
      <w:instrText xml:space="preserve">PAGE  </w:instrText>
    </w:r>
    <w:r>
      <w:fldChar w:fldCharType="end"/>
    </w:r>
  </w:p>
  <w:p w14:paraId="0EA6E342">
    <w:pPr>
      <w:pStyle w:val="23"/>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0224F">
    <w:pPr>
      <w:pStyle w:val="23"/>
      <w:framePr w:wrap="around" w:vAnchor="text" w:hAnchor="margin" w:xAlign="right" w:y="1"/>
      <w:rPr>
        <w:rStyle w:val="40"/>
      </w:rPr>
    </w:pPr>
    <w:r>
      <w:fldChar w:fldCharType="begin"/>
    </w:r>
    <w:r>
      <w:rPr>
        <w:rStyle w:val="40"/>
      </w:rPr>
      <w:instrText xml:space="preserve">PAGE  </w:instrText>
    </w:r>
    <w:r>
      <w:fldChar w:fldCharType="separate"/>
    </w:r>
    <w:r>
      <w:rPr>
        <w:rStyle w:val="40"/>
      </w:rPr>
      <w:t>122</w:t>
    </w:r>
    <w:r>
      <w:fldChar w:fldCharType="end"/>
    </w:r>
  </w:p>
  <w:p w14:paraId="1B40DF9B">
    <w:pPr>
      <w:pStyle w:val="23"/>
      <w:ind w:right="360"/>
      <w:jc w:val="both"/>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82F9B">
    <w:pPr>
      <w:pStyle w:val="23"/>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0C6513">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E0C6513">
                    <w:pPr>
                      <w:pStyle w:val="23"/>
                    </w:pPr>
                    <w:r>
                      <w:fldChar w:fldCharType="begin"/>
                    </w:r>
                    <w:r>
                      <w:instrText xml:space="preserve"> PAGE  \* MERGEFORMAT </w:instrText>
                    </w:r>
                    <w:r>
                      <w:fldChar w:fldCharType="separate"/>
                    </w:r>
                    <w:r>
                      <w:t>1</w:t>
                    </w:r>
                    <w:r>
                      <w:fldChar w:fldCharType="end"/>
                    </w:r>
                  </w:p>
                </w:txbxContent>
              </v:textbox>
            </v:shape>
          </w:pict>
        </mc:Fallback>
      </mc:AlternateContent>
    </w:r>
  </w:p>
  <w:p w14:paraId="36E71551">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EC3B6">
    <w:pPr>
      <w:pStyle w:val="2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15BC882">
                          <w:pPr>
                            <w:pStyle w:val="23"/>
                          </w:pPr>
                          <w:r>
                            <w:fldChar w:fldCharType="begin"/>
                          </w:r>
                          <w:r>
                            <w:instrText xml:space="preserve"> PAGE  \* MERGEFORMAT </w:instrText>
                          </w:r>
                          <w:r>
                            <w:fldChar w:fldCharType="separate"/>
                          </w:r>
                          <w:r>
                            <w:t>42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wVircYBAACb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bBWKtxgEAAJsDAAAOAAAAAAAAAAEAIAAAAB4BAABkcnMvZTJvRG9jLnht&#10;bFBLBQYAAAAABgAGAFkBAABWBQAAAAA=&#10;">
              <v:fill on="f" focussize="0,0"/>
              <v:stroke on="f"/>
              <v:imagedata o:title=""/>
              <o:lock v:ext="edit" aspectratio="f"/>
              <v:textbox inset="0mm,0mm,0mm,0mm" style="mso-fit-shape-to-text:t;">
                <w:txbxContent>
                  <w:p w14:paraId="315BC882">
                    <w:pPr>
                      <w:pStyle w:val="23"/>
                    </w:pPr>
                    <w:r>
                      <w:fldChar w:fldCharType="begin"/>
                    </w:r>
                    <w:r>
                      <w:instrText xml:space="preserve"> PAGE  \* MERGEFORMAT </w:instrText>
                    </w:r>
                    <w:r>
                      <w:fldChar w:fldCharType="separate"/>
                    </w:r>
                    <w:r>
                      <w:t>42</w:t>
                    </w:r>
                    <w:r>
                      <w:fldChar w:fldCharType="end"/>
                    </w:r>
                  </w:p>
                </w:txbxContent>
              </v:textbox>
            </v:shape>
          </w:pict>
        </mc:Fallback>
      </mc:AlternateContent>
    </w:r>
  </w:p>
  <w:p w14:paraId="11971FA5">
    <w:pPr>
      <w:pStyle w:val="2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354E6">
    <w:pPr>
      <w:pStyle w:val="23"/>
      <w:framePr w:wrap="around" w:vAnchor="text" w:hAnchor="margin" w:xAlign="center" w:y="1"/>
      <w:rPr>
        <w:rStyle w:val="40"/>
      </w:rPr>
    </w:pPr>
    <w:r>
      <w:fldChar w:fldCharType="begin"/>
    </w:r>
    <w:r>
      <w:rPr>
        <w:rStyle w:val="40"/>
      </w:rPr>
      <w:instrText xml:space="preserve">PAGE  </w:instrText>
    </w:r>
    <w:r>
      <w:fldChar w:fldCharType="end"/>
    </w:r>
  </w:p>
  <w:p w14:paraId="64DCE786">
    <w:pPr>
      <w:pStyle w:val="2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AAE9D">
    <w:pPr>
      <w:pStyle w:val="23"/>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FF5B9B8">
                          <w:pPr>
                            <w:pStyle w:val="23"/>
                          </w:pPr>
                          <w:r>
                            <w:fldChar w:fldCharType="begin"/>
                          </w:r>
                          <w:r>
                            <w:instrText xml:space="preserve"> PAGE  \* MERGEFORMAT </w:instrText>
                          </w:r>
                          <w:r>
                            <w:fldChar w:fldCharType="separate"/>
                          </w:r>
                          <w:r>
                            <w:t>48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4FF5B9B8">
                    <w:pPr>
                      <w:pStyle w:val="23"/>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7B13B">
    <w:pPr>
      <w:spacing w:line="176" w:lineRule="auto"/>
      <w:ind w:left="4674"/>
      <w:rPr>
        <w:rFonts w:eastAsia="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98F7B9C">
                          <w:pPr>
                            <w:pStyle w:val="23"/>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cOrUyAgAAZQ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b9w6tTICAABlBAAADgAAAAAAAAABACAAAAAfAQAAZHJzL2Uyb0RvYy54bWxQSwUG&#10;AAAAAAYABgBZAQAAwwUAAAAA&#10;">
              <v:fill on="f" focussize="0,0"/>
              <v:stroke on="f" weight="0.5pt"/>
              <v:imagedata o:title=""/>
              <o:lock v:ext="edit" aspectratio="f"/>
              <v:textbox inset="0mm,0mm,0mm,0mm" style="mso-fit-shape-to-text:t;">
                <w:txbxContent>
                  <w:p w14:paraId="798F7B9C">
                    <w:pPr>
                      <w:pStyle w:val="23"/>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558FF">
    <w:pPr>
      <w:pStyle w:val="23"/>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10DA248">
                          <w:pPr>
                            <w:pStyle w:val="23"/>
                          </w:pPr>
                          <w:r>
                            <w:fldChar w:fldCharType="begin"/>
                          </w:r>
                          <w:r>
                            <w:instrText xml:space="preserve"> PAGE  \* MERGEFORMAT </w:instrText>
                          </w:r>
                          <w:r>
                            <w:fldChar w:fldCharType="separate"/>
                          </w:r>
                          <w:r>
                            <w:t>67</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aDCsYBAACb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sdoMKxgEAAJsDAAAOAAAAAAAAAAEAIAAAAB4BAABkcnMvZTJvRG9jLnht&#10;bFBLBQYAAAAABgAGAFkBAABWBQAAAAA=&#10;">
              <v:fill on="f" focussize="0,0"/>
              <v:stroke on="f"/>
              <v:imagedata o:title=""/>
              <o:lock v:ext="edit" aspectratio="f"/>
              <v:textbox inset="0mm,0mm,0mm,0mm" style="mso-fit-shape-to-text:t;">
                <w:txbxContent>
                  <w:p w14:paraId="010DA248">
                    <w:pPr>
                      <w:pStyle w:val="23"/>
                    </w:pPr>
                    <w:r>
                      <w:fldChar w:fldCharType="begin"/>
                    </w:r>
                    <w:r>
                      <w:instrText xml:space="preserve"> PAGE  \* MERGEFORMAT </w:instrText>
                    </w:r>
                    <w:r>
                      <w:fldChar w:fldCharType="separate"/>
                    </w:r>
                    <w:r>
                      <w:t>67</w:t>
                    </w:r>
                    <w:r>
                      <w:fldChar w:fldCharType="end"/>
                    </w:r>
                  </w:p>
                </w:txbxContent>
              </v:textbox>
            </v:shape>
          </w:pict>
        </mc:Fallback>
      </mc:AlternateContent>
    </w:r>
  </w:p>
  <w:p w14:paraId="52741896">
    <w:pPr>
      <w:pStyle w:val="2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014D1">
    <w:pPr>
      <w:pStyle w:val="23"/>
      <w:framePr w:wrap="around" w:vAnchor="text" w:hAnchor="margin" w:xAlign="center" w:y="1"/>
      <w:rPr>
        <w:rStyle w:val="40"/>
      </w:rPr>
    </w:pPr>
    <w:r>
      <w:fldChar w:fldCharType="begin"/>
    </w:r>
    <w:r>
      <w:rPr>
        <w:rStyle w:val="40"/>
      </w:rPr>
      <w:instrText xml:space="preserve">PAGE  </w:instrText>
    </w:r>
    <w:r>
      <w:fldChar w:fldCharType="end"/>
    </w:r>
  </w:p>
  <w:p w14:paraId="735B929B">
    <w:pPr>
      <w:pStyle w:val="2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FF4E6">
    <w:pPr>
      <w:pStyle w:val="23"/>
      <w:framePr w:wrap="around" w:vAnchor="text" w:hAnchor="margin" w:xAlign="right" w:y="1"/>
      <w:rPr>
        <w:rStyle w:val="40"/>
      </w:rPr>
    </w:pPr>
    <w:r>
      <w:fldChar w:fldCharType="begin"/>
    </w:r>
    <w:r>
      <w:rPr>
        <w:rStyle w:val="40"/>
      </w:rPr>
      <w:instrText xml:space="preserve">PAGE  </w:instrText>
    </w:r>
    <w:r>
      <w:fldChar w:fldCharType="separate"/>
    </w:r>
    <w:r>
      <w:rPr>
        <w:rStyle w:val="40"/>
      </w:rPr>
      <w:t>122</w:t>
    </w:r>
    <w:r>
      <w:fldChar w:fldCharType="end"/>
    </w:r>
  </w:p>
  <w:p w14:paraId="6F42E55B">
    <w:pPr>
      <w:pStyle w:val="23"/>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4BC94">
    <w:r>
      <w:rPr>
        <w:rFonts w:hint="eastAsia"/>
      </w:rPr>
      <w:t xml:space="preserve">                                                          </w:t>
    </w:r>
  </w:p>
  <w:p w14:paraId="1BB3710E">
    <w:pPr>
      <w:pStyle w:val="24"/>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CE5BC">
    <w:pPr>
      <w:pStyle w:val="24"/>
      <w:pBdr>
        <w:bottom w:val="none" w:color="auto" w:sz="0" w:space="0"/>
      </w:pBdr>
      <w:tabs>
        <w:tab w:val="center" w:pos="0"/>
        <w:tab w:val="left" w:pos="8306"/>
        <w:tab w:val="clear" w:pos="4153"/>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A0743">
    <w:pPr>
      <w:pStyle w:val="24"/>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2B3990"/>
    <w:multiLevelType w:val="singleLevel"/>
    <w:tmpl w:val="952B3990"/>
    <w:lvl w:ilvl="0" w:tentative="0">
      <w:start w:val="1"/>
      <w:numFmt w:val="decimal"/>
      <w:suff w:val="nothing"/>
      <w:lvlText w:val="（%1）"/>
      <w:lvlJc w:val="left"/>
      <w:pPr>
        <w:tabs>
          <w:tab w:val="left" w:pos="0"/>
        </w:tabs>
        <w:ind w:left="425" w:hanging="425"/>
      </w:pPr>
      <w:rPr>
        <w:rFonts w:hint="default"/>
      </w:rPr>
    </w:lvl>
  </w:abstractNum>
  <w:abstractNum w:abstractNumId="1">
    <w:nsid w:val="C82C5DF5"/>
    <w:multiLevelType w:val="singleLevel"/>
    <w:tmpl w:val="C82C5DF5"/>
    <w:lvl w:ilvl="0" w:tentative="0">
      <w:start w:val="2"/>
      <w:numFmt w:val="chineseCounting"/>
      <w:suff w:val="nothing"/>
      <w:lvlText w:val="（%1）"/>
      <w:lvlJc w:val="left"/>
      <w:rPr>
        <w:rFonts w:hint="eastAsia"/>
      </w:rPr>
    </w:lvl>
  </w:abstractNum>
  <w:abstractNum w:abstractNumId="2">
    <w:nsid w:val="DA4DB682"/>
    <w:multiLevelType w:val="singleLevel"/>
    <w:tmpl w:val="DA4DB682"/>
    <w:lvl w:ilvl="0" w:tentative="0">
      <w:start w:val="1"/>
      <w:numFmt w:val="decimal"/>
      <w:suff w:val="nothing"/>
      <w:lvlText w:val="%1）"/>
      <w:lvlJc w:val="left"/>
      <w:pPr>
        <w:tabs>
          <w:tab w:val="left" w:pos="0"/>
        </w:tabs>
        <w:ind w:left="0" w:firstLine="0"/>
      </w:pPr>
      <w:rPr>
        <w:rFonts w:hint="default"/>
      </w:rPr>
    </w:lvl>
  </w:abstractNum>
  <w:abstractNum w:abstractNumId="3">
    <w:nsid w:val="FFFEFB80"/>
    <w:multiLevelType w:val="singleLevel"/>
    <w:tmpl w:val="FFFEFB80"/>
    <w:lvl w:ilvl="0" w:tentative="0">
      <w:start w:val="11"/>
      <w:numFmt w:val="chineseCounting"/>
      <w:suff w:val="nothing"/>
      <w:lvlText w:val="%1、"/>
      <w:lvlJc w:val="left"/>
      <w:rPr>
        <w:rFonts w:hint="eastAsia"/>
      </w:rPr>
    </w:lvl>
  </w:abstractNum>
  <w:abstractNum w:abstractNumId="4">
    <w:nsid w:val="061D1B42"/>
    <w:multiLevelType w:val="singleLevel"/>
    <w:tmpl w:val="061D1B42"/>
    <w:lvl w:ilvl="0" w:tentative="0">
      <w:start w:val="1"/>
      <w:numFmt w:val="decimal"/>
      <w:suff w:val="nothing"/>
      <w:lvlText w:val="（%1）"/>
      <w:lvlJc w:val="left"/>
      <w:pPr>
        <w:tabs>
          <w:tab w:val="left" w:pos="0"/>
        </w:tabs>
      </w:pPr>
      <w:rPr>
        <w:rFonts w:hint="default"/>
      </w:rPr>
    </w:lvl>
  </w:abstractNum>
  <w:abstractNum w:abstractNumId="5">
    <w:nsid w:val="1249282A"/>
    <w:multiLevelType w:val="singleLevel"/>
    <w:tmpl w:val="1249282A"/>
    <w:lvl w:ilvl="0" w:tentative="0">
      <w:start w:val="1"/>
      <w:numFmt w:val="decimal"/>
      <w:suff w:val="nothing"/>
      <w:lvlText w:val="（%1）"/>
      <w:lvlJc w:val="left"/>
      <w:pPr>
        <w:tabs>
          <w:tab w:val="left" w:pos="0"/>
        </w:tabs>
        <w:ind w:left="425" w:hanging="425"/>
      </w:pPr>
      <w:rPr>
        <w:rFonts w:hint="default"/>
      </w:rPr>
    </w:lvl>
  </w:abstractNum>
  <w:abstractNum w:abstractNumId="6">
    <w:nsid w:val="35136CC9"/>
    <w:multiLevelType w:val="singleLevel"/>
    <w:tmpl w:val="35136CC9"/>
    <w:lvl w:ilvl="0" w:tentative="0">
      <w:start w:val="1"/>
      <w:numFmt w:val="decimal"/>
      <w:suff w:val="nothing"/>
      <w:lvlText w:val="（%1）"/>
      <w:lvlJc w:val="left"/>
      <w:pPr>
        <w:tabs>
          <w:tab w:val="left" w:pos="0"/>
        </w:tabs>
        <w:ind w:left="425" w:hanging="425"/>
      </w:pPr>
      <w:rPr>
        <w:rFonts w:hint="default"/>
      </w:rPr>
    </w:lvl>
  </w:abstractNum>
  <w:abstractNum w:abstractNumId="7">
    <w:nsid w:val="382C43F4"/>
    <w:multiLevelType w:val="singleLevel"/>
    <w:tmpl w:val="382C43F4"/>
    <w:lvl w:ilvl="0" w:tentative="0">
      <w:start w:val="1"/>
      <w:numFmt w:val="decimal"/>
      <w:suff w:val="nothing"/>
      <w:lvlText w:val="%1）"/>
      <w:lvlJc w:val="left"/>
      <w:pPr>
        <w:tabs>
          <w:tab w:val="left" w:pos="0"/>
        </w:tabs>
        <w:ind w:left="0" w:firstLine="0"/>
      </w:pPr>
      <w:rPr>
        <w:rFonts w:hint="default"/>
      </w:rPr>
    </w:lvl>
  </w:abstractNum>
  <w:abstractNum w:abstractNumId="8">
    <w:nsid w:val="38F81C10"/>
    <w:multiLevelType w:val="singleLevel"/>
    <w:tmpl w:val="38F81C10"/>
    <w:lvl w:ilvl="0" w:tentative="0">
      <w:start w:val="1"/>
      <w:numFmt w:val="decimal"/>
      <w:suff w:val="nothing"/>
      <w:lvlText w:val="%1）"/>
      <w:lvlJc w:val="left"/>
      <w:pPr>
        <w:tabs>
          <w:tab w:val="left" w:pos="0"/>
        </w:tabs>
        <w:ind w:left="0" w:firstLine="0"/>
      </w:pPr>
      <w:rPr>
        <w:rFonts w:hint="default"/>
      </w:rPr>
    </w:lvl>
  </w:abstractNum>
  <w:abstractNum w:abstractNumId="9">
    <w:nsid w:val="3D5109C9"/>
    <w:multiLevelType w:val="singleLevel"/>
    <w:tmpl w:val="3D5109C9"/>
    <w:lvl w:ilvl="0" w:tentative="0">
      <w:start w:val="1"/>
      <w:numFmt w:val="decimal"/>
      <w:suff w:val="nothing"/>
      <w:lvlText w:val="（%1）"/>
      <w:lvlJc w:val="left"/>
      <w:pPr>
        <w:tabs>
          <w:tab w:val="left" w:pos="0"/>
        </w:tabs>
        <w:ind w:left="425" w:hanging="425"/>
      </w:pPr>
      <w:rPr>
        <w:rFonts w:hint="default"/>
      </w:rPr>
    </w:lvl>
  </w:abstractNum>
  <w:abstractNum w:abstractNumId="10">
    <w:nsid w:val="4C601917"/>
    <w:multiLevelType w:val="singleLevel"/>
    <w:tmpl w:val="4C601917"/>
    <w:lvl w:ilvl="0" w:tentative="0">
      <w:start w:val="1"/>
      <w:numFmt w:val="decimal"/>
      <w:suff w:val="nothing"/>
      <w:lvlText w:val="（%1）"/>
      <w:lvlJc w:val="left"/>
    </w:lvl>
  </w:abstractNum>
  <w:abstractNum w:abstractNumId="11">
    <w:nsid w:val="4FD31870"/>
    <w:multiLevelType w:val="multilevel"/>
    <w:tmpl w:val="4FD31870"/>
    <w:lvl w:ilvl="0" w:tentative="0">
      <w:start w:val="1"/>
      <w:numFmt w:val="decimal"/>
      <w:lvlText w:val="%1"/>
      <w:lvlJc w:val="right"/>
      <w:pPr>
        <w:ind w:left="416" w:hanging="132"/>
      </w:pPr>
      <w:rPr>
        <w:rFonts w:hint="eastAsia" w:ascii="宋体" w:hAnsi="宋体" w:eastAsia="宋体"/>
        <w:b w:val="0"/>
        <w:i w:val="0"/>
        <w:sz w:val="21"/>
      </w:rPr>
    </w:lvl>
    <w:lvl w:ilvl="1" w:tentative="0">
      <w:start w:val="1"/>
      <w:numFmt w:val="lowerLetter"/>
      <w:lvlText w:val="%2)"/>
      <w:lvlJc w:val="left"/>
      <w:pPr>
        <w:ind w:left="836" w:hanging="420"/>
      </w:pPr>
    </w:lvl>
    <w:lvl w:ilvl="2" w:tentative="0">
      <w:start w:val="1"/>
      <w:numFmt w:val="lowerRoman"/>
      <w:lvlText w:val="%3."/>
      <w:lvlJc w:val="right"/>
      <w:pPr>
        <w:ind w:left="1256" w:hanging="420"/>
      </w:pPr>
    </w:lvl>
    <w:lvl w:ilvl="3" w:tentative="0">
      <w:start w:val="1"/>
      <w:numFmt w:val="decimal"/>
      <w:lvlText w:val="%4."/>
      <w:lvlJc w:val="left"/>
      <w:pPr>
        <w:ind w:left="1676" w:hanging="420"/>
      </w:pPr>
    </w:lvl>
    <w:lvl w:ilvl="4" w:tentative="0">
      <w:start w:val="1"/>
      <w:numFmt w:val="lowerLetter"/>
      <w:lvlText w:val="%5)"/>
      <w:lvlJc w:val="left"/>
      <w:pPr>
        <w:ind w:left="2096" w:hanging="420"/>
      </w:pPr>
    </w:lvl>
    <w:lvl w:ilvl="5" w:tentative="0">
      <w:start w:val="1"/>
      <w:numFmt w:val="lowerRoman"/>
      <w:lvlText w:val="%6."/>
      <w:lvlJc w:val="right"/>
      <w:pPr>
        <w:ind w:left="2516" w:hanging="420"/>
      </w:pPr>
    </w:lvl>
    <w:lvl w:ilvl="6" w:tentative="0">
      <w:start w:val="1"/>
      <w:numFmt w:val="decimal"/>
      <w:lvlText w:val="%7."/>
      <w:lvlJc w:val="left"/>
      <w:pPr>
        <w:ind w:left="2936" w:hanging="420"/>
      </w:pPr>
    </w:lvl>
    <w:lvl w:ilvl="7" w:tentative="0">
      <w:start w:val="1"/>
      <w:numFmt w:val="lowerLetter"/>
      <w:lvlText w:val="%8)"/>
      <w:lvlJc w:val="left"/>
      <w:pPr>
        <w:ind w:left="3356" w:hanging="420"/>
      </w:pPr>
    </w:lvl>
    <w:lvl w:ilvl="8" w:tentative="0">
      <w:start w:val="1"/>
      <w:numFmt w:val="lowerRoman"/>
      <w:lvlText w:val="%9."/>
      <w:lvlJc w:val="right"/>
      <w:pPr>
        <w:ind w:left="3776" w:hanging="420"/>
      </w:pPr>
    </w:lvl>
  </w:abstractNum>
  <w:abstractNum w:abstractNumId="12">
    <w:nsid w:val="5FABD14B"/>
    <w:multiLevelType w:val="singleLevel"/>
    <w:tmpl w:val="5FABD14B"/>
    <w:lvl w:ilvl="0" w:tentative="0">
      <w:start w:val="1"/>
      <w:numFmt w:val="decimal"/>
      <w:suff w:val="nothing"/>
      <w:lvlText w:val="（%1）"/>
      <w:lvlJc w:val="left"/>
    </w:lvl>
  </w:abstractNum>
  <w:abstractNum w:abstractNumId="13">
    <w:nsid w:val="66E674C0"/>
    <w:multiLevelType w:val="singleLevel"/>
    <w:tmpl w:val="66E674C0"/>
    <w:lvl w:ilvl="0" w:tentative="0">
      <w:start w:val="1"/>
      <w:numFmt w:val="decimal"/>
      <w:suff w:val="nothing"/>
      <w:lvlText w:val="（%1）"/>
      <w:lvlJc w:val="left"/>
    </w:lvl>
  </w:abstractNum>
  <w:abstractNum w:abstractNumId="14">
    <w:nsid w:val="6EF6FF13"/>
    <w:multiLevelType w:val="singleLevel"/>
    <w:tmpl w:val="6EF6FF13"/>
    <w:lvl w:ilvl="0" w:tentative="0">
      <w:start w:val="1"/>
      <w:numFmt w:val="decimal"/>
      <w:suff w:val="nothing"/>
      <w:lvlText w:val="%1）"/>
      <w:lvlJc w:val="left"/>
      <w:pPr>
        <w:tabs>
          <w:tab w:val="left" w:pos="0"/>
        </w:tabs>
        <w:ind w:left="0" w:firstLine="0"/>
      </w:pPr>
      <w:rPr>
        <w:rFonts w:hint="default"/>
      </w:rPr>
    </w:lvl>
  </w:abstractNum>
  <w:num w:numId="1">
    <w:abstractNumId w:val="11"/>
  </w:num>
  <w:num w:numId="2">
    <w:abstractNumId w:val="1"/>
  </w:num>
  <w:num w:numId="3">
    <w:abstractNumId w:val="4"/>
  </w:num>
  <w:num w:numId="4">
    <w:abstractNumId w:val="9"/>
  </w:num>
  <w:num w:numId="5">
    <w:abstractNumId w:val="0"/>
  </w:num>
  <w:num w:numId="6">
    <w:abstractNumId w:val="7"/>
  </w:num>
  <w:num w:numId="7">
    <w:abstractNumId w:val="8"/>
  </w:num>
  <w:num w:numId="8">
    <w:abstractNumId w:val="2"/>
  </w:num>
  <w:num w:numId="9">
    <w:abstractNumId w:val="14"/>
  </w:num>
  <w:num w:numId="10">
    <w:abstractNumId w:val="6"/>
  </w:num>
  <w:num w:numId="11">
    <w:abstractNumId w:val="5"/>
  </w:num>
  <w:num w:numId="12">
    <w:abstractNumId w:val="13"/>
  </w:num>
  <w:num w:numId="13">
    <w:abstractNumId w:val="10"/>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33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E3Y2MwMGM3Y2U2MjI1YWY0Yjc2ZTUwYWVhZjM1MDMifQ=="/>
  </w:docVars>
  <w:rsids>
    <w:rsidRoot w:val="00172A27"/>
    <w:rsid w:val="0000096C"/>
    <w:rsid w:val="00000CDB"/>
    <w:rsid w:val="00001CDA"/>
    <w:rsid w:val="00004344"/>
    <w:rsid w:val="00005909"/>
    <w:rsid w:val="000207D5"/>
    <w:rsid w:val="00022127"/>
    <w:rsid w:val="00024E82"/>
    <w:rsid w:val="00027659"/>
    <w:rsid w:val="00030800"/>
    <w:rsid w:val="00031652"/>
    <w:rsid w:val="00034A7D"/>
    <w:rsid w:val="00035197"/>
    <w:rsid w:val="00035F9C"/>
    <w:rsid w:val="000401CD"/>
    <w:rsid w:val="00044EDB"/>
    <w:rsid w:val="00054304"/>
    <w:rsid w:val="000553BC"/>
    <w:rsid w:val="00056551"/>
    <w:rsid w:val="0006218D"/>
    <w:rsid w:val="00063F24"/>
    <w:rsid w:val="00065AF0"/>
    <w:rsid w:val="00066EA9"/>
    <w:rsid w:val="00066FE1"/>
    <w:rsid w:val="00074D5F"/>
    <w:rsid w:val="00076A60"/>
    <w:rsid w:val="00077BF5"/>
    <w:rsid w:val="00081789"/>
    <w:rsid w:val="00085A0D"/>
    <w:rsid w:val="00091465"/>
    <w:rsid w:val="00091613"/>
    <w:rsid w:val="00092A54"/>
    <w:rsid w:val="00092F65"/>
    <w:rsid w:val="0009317E"/>
    <w:rsid w:val="00093B18"/>
    <w:rsid w:val="00094E84"/>
    <w:rsid w:val="000A2A37"/>
    <w:rsid w:val="000A7A4B"/>
    <w:rsid w:val="000B5A03"/>
    <w:rsid w:val="000C302E"/>
    <w:rsid w:val="000C5D44"/>
    <w:rsid w:val="000D5F48"/>
    <w:rsid w:val="000D7284"/>
    <w:rsid w:val="000E6783"/>
    <w:rsid w:val="000F1BBE"/>
    <w:rsid w:val="001031E7"/>
    <w:rsid w:val="00104021"/>
    <w:rsid w:val="00104245"/>
    <w:rsid w:val="001108AC"/>
    <w:rsid w:val="00110DD2"/>
    <w:rsid w:val="0011187C"/>
    <w:rsid w:val="00115EF7"/>
    <w:rsid w:val="00116FC9"/>
    <w:rsid w:val="00120C46"/>
    <w:rsid w:val="00125837"/>
    <w:rsid w:val="001306A8"/>
    <w:rsid w:val="00140B14"/>
    <w:rsid w:val="00140CE8"/>
    <w:rsid w:val="00143DA6"/>
    <w:rsid w:val="00151CEE"/>
    <w:rsid w:val="0015209C"/>
    <w:rsid w:val="00153F82"/>
    <w:rsid w:val="001551E7"/>
    <w:rsid w:val="00170AA7"/>
    <w:rsid w:val="00172A27"/>
    <w:rsid w:val="00173852"/>
    <w:rsid w:val="00174F9B"/>
    <w:rsid w:val="00177D95"/>
    <w:rsid w:val="00181460"/>
    <w:rsid w:val="00182C28"/>
    <w:rsid w:val="0018337B"/>
    <w:rsid w:val="00190F4C"/>
    <w:rsid w:val="00193D49"/>
    <w:rsid w:val="0019577E"/>
    <w:rsid w:val="00196B29"/>
    <w:rsid w:val="001B1366"/>
    <w:rsid w:val="001B2BDE"/>
    <w:rsid w:val="001B2FAE"/>
    <w:rsid w:val="001B604F"/>
    <w:rsid w:val="001C2E44"/>
    <w:rsid w:val="001D047F"/>
    <w:rsid w:val="001E0216"/>
    <w:rsid w:val="001E0590"/>
    <w:rsid w:val="001E3E3A"/>
    <w:rsid w:val="001E4E53"/>
    <w:rsid w:val="001E6153"/>
    <w:rsid w:val="001E6C5D"/>
    <w:rsid w:val="001E7AB6"/>
    <w:rsid w:val="001F330A"/>
    <w:rsid w:val="001F4D3C"/>
    <w:rsid w:val="00201770"/>
    <w:rsid w:val="00204164"/>
    <w:rsid w:val="00204F25"/>
    <w:rsid w:val="00205999"/>
    <w:rsid w:val="00207350"/>
    <w:rsid w:val="00207DB7"/>
    <w:rsid w:val="00221909"/>
    <w:rsid w:val="002230A4"/>
    <w:rsid w:val="00231EAB"/>
    <w:rsid w:val="00232E04"/>
    <w:rsid w:val="00236055"/>
    <w:rsid w:val="00236B7D"/>
    <w:rsid w:val="00241686"/>
    <w:rsid w:val="00242C6C"/>
    <w:rsid w:val="00244627"/>
    <w:rsid w:val="002563B4"/>
    <w:rsid w:val="0025753A"/>
    <w:rsid w:val="00262C01"/>
    <w:rsid w:val="00267004"/>
    <w:rsid w:val="002738BD"/>
    <w:rsid w:val="002867CF"/>
    <w:rsid w:val="00293976"/>
    <w:rsid w:val="00297271"/>
    <w:rsid w:val="002B3400"/>
    <w:rsid w:val="002B4610"/>
    <w:rsid w:val="002C0483"/>
    <w:rsid w:val="002C1328"/>
    <w:rsid w:val="002C27F2"/>
    <w:rsid w:val="002C38A0"/>
    <w:rsid w:val="002C7DD7"/>
    <w:rsid w:val="002D2EF2"/>
    <w:rsid w:val="002E0A18"/>
    <w:rsid w:val="002E6BA4"/>
    <w:rsid w:val="002F55FD"/>
    <w:rsid w:val="002F667D"/>
    <w:rsid w:val="003014B1"/>
    <w:rsid w:val="003051FD"/>
    <w:rsid w:val="00305816"/>
    <w:rsid w:val="00315EB2"/>
    <w:rsid w:val="003162D6"/>
    <w:rsid w:val="00316994"/>
    <w:rsid w:val="00320B19"/>
    <w:rsid w:val="00322C10"/>
    <w:rsid w:val="00327461"/>
    <w:rsid w:val="00330EE9"/>
    <w:rsid w:val="003331F5"/>
    <w:rsid w:val="00337A9F"/>
    <w:rsid w:val="00344631"/>
    <w:rsid w:val="00346976"/>
    <w:rsid w:val="00347950"/>
    <w:rsid w:val="00353905"/>
    <w:rsid w:val="00355191"/>
    <w:rsid w:val="00366E54"/>
    <w:rsid w:val="0037075A"/>
    <w:rsid w:val="00371C87"/>
    <w:rsid w:val="0037336B"/>
    <w:rsid w:val="00380673"/>
    <w:rsid w:val="003809BA"/>
    <w:rsid w:val="00384EB6"/>
    <w:rsid w:val="003868E3"/>
    <w:rsid w:val="0039417D"/>
    <w:rsid w:val="003A3917"/>
    <w:rsid w:val="003A56F9"/>
    <w:rsid w:val="003A622A"/>
    <w:rsid w:val="003B031E"/>
    <w:rsid w:val="003B31F1"/>
    <w:rsid w:val="003B7C9A"/>
    <w:rsid w:val="003C027A"/>
    <w:rsid w:val="003C393F"/>
    <w:rsid w:val="003D3465"/>
    <w:rsid w:val="003D478D"/>
    <w:rsid w:val="003D7400"/>
    <w:rsid w:val="003E0AD4"/>
    <w:rsid w:val="003E1425"/>
    <w:rsid w:val="003E64C1"/>
    <w:rsid w:val="003F1067"/>
    <w:rsid w:val="003F1F9C"/>
    <w:rsid w:val="003F280E"/>
    <w:rsid w:val="003F7B0D"/>
    <w:rsid w:val="004029ED"/>
    <w:rsid w:val="00403AA3"/>
    <w:rsid w:val="0040651A"/>
    <w:rsid w:val="00431C3B"/>
    <w:rsid w:val="00435268"/>
    <w:rsid w:val="0044023A"/>
    <w:rsid w:val="004437ED"/>
    <w:rsid w:val="0044600A"/>
    <w:rsid w:val="00447BDE"/>
    <w:rsid w:val="00450ADB"/>
    <w:rsid w:val="00452102"/>
    <w:rsid w:val="004531C4"/>
    <w:rsid w:val="0046694A"/>
    <w:rsid w:val="0046760D"/>
    <w:rsid w:val="00467833"/>
    <w:rsid w:val="00474447"/>
    <w:rsid w:val="004820E2"/>
    <w:rsid w:val="004853B6"/>
    <w:rsid w:val="004861BA"/>
    <w:rsid w:val="00486E44"/>
    <w:rsid w:val="0049027F"/>
    <w:rsid w:val="004925A4"/>
    <w:rsid w:val="004929AD"/>
    <w:rsid w:val="004A0443"/>
    <w:rsid w:val="004A5F2A"/>
    <w:rsid w:val="004A6736"/>
    <w:rsid w:val="004B49D2"/>
    <w:rsid w:val="004C5B3E"/>
    <w:rsid w:val="004E126C"/>
    <w:rsid w:val="004F5BCD"/>
    <w:rsid w:val="005033B8"/>
    <w:rsid w:val="00503A40"/>
    <w:rsid w:val="00506840"/>
    <w:rsid w:val="00511A25"/>
    <w:rsid w:val="00513200"/>
    <w:rsid w:val="00517D40"/>
    <w:rsid w:val="00520861"/>
    <w:rsid w:val="00521880"/>
    <w:rsid w:val="00525C35"/>
    <w:rsid w:val="005279FB"/>
    <w:rsid w:val="00532BF5"/>
    <w:rsid w:val="0053541C"/>
    <w:rsid w:val="005458AD"/>
    <w:rsid w:val="0054778A"/>
    <w:rsid w:val="0055409E"/>
    <w:rsid w:val="00554A36"/>
    <w:rsid w:val="00562514"/>
    <w:rsid w:val="00564C6D"/>
    <w:rsid w:val="00576E04"/>
    <w:rsid w:val="0057733C"/>
    <w:rsid w:val="00581AC2"/>
    <w:rsid w:val="00583AC0"/>
    <w:rsid w:val="00584BFC"/>
    <w:rsid w:val="005873D0"/>
    <w:rsid w:val="005917A6"/>
    <w:rsid w:val="005932B6"/>
    <w:rsid w:val="00596F89"/>
    <w:rsid w:val="005B53A3"/>
    <w:rsid w:val="005C06FA"/>
    <w:rsid w:val="005D54D6"/>
    <w:rsid w:val="005D6CCE"/>
    <w:rsid w:val="005E671C"/>
    <w:rsid w:val="005F6F86"/>
    <w:rsid w:val="00600743"/>
    <w:rsid w:val="006048A4"/>
    <w:rsid w:val="00605362"/>
    <w:rsid w:val="006064F7"/>
    <w:rsid w:val="006068F0"/>
    <w:rsid w:val="00606C3B"/>
    <w:rsid w:val="00622C28"/>
    <w:rsid w:val="00626CA8"/>
    <w:rsid w:val="006271A0"/>
    <w:rsid w:val="006301C4"/>
    <w:rsid w:val="006308CC"/>
    <w:rsid w:val="00631BAB"/>
    <w:rsid w:val="006406A8"/>
    <w:rsid w:val="00640B4E"/>
    <w:rsid w:val="00641D5B"/>
    <w:rsid w:val="00644AAD"/>
    <w:rsid w:val="00653CDE"/>
    <w:rsid w:val="00656442"/>
    <w:rsid w:val="006612A5"/>
    <w:rsid w:val="00661DA0"/>
    <w:rsid w:val="006632E6"/>
    <w:rsid w:val="00670E85"/>
    <w:rsid w:val="0067703D"/>
    <w:rsid w:val="006831E3"/>
    <w:rsid w:val="00691B1A"/>
    <w:rsid w:val="00695425"/>
    <w:rsid w:val="006A101B"/>
    <w:rsid w:val="006A6DC8"/>
    <w:rsid w:val="006B57A8"/>
    <w:rsid w:val="006C015A"/>
    <w:rsid w:val="006C2360"/>
    <w:rsid w:val="006C55A9"/>
    <w:rsid w:val="006C5999"/>
    <w:rsid w:val="006D0A1B"/>
    <w:rsid w:val="006D6A62"/>
    <w:rsid w:val="006F0015"/>
    <w:rsid w:val="00707FF2"/>
    <w:rsid w:val="00715456"/>
    <w:rsid w:val="00717D53"/>
    <w:rsid w:val="0072132B"/>
    <w:rsid w:val="0072351B"/>
    <w:rsid w:val="00730FBB"/>
    <w:rsid w:val="0073261C"/>
    <w:rsid w:val="00736625"/>
    <w:rsid w:val="00744B4B"/>
    <w:rsid w:val="00745BFF"/>
    <w:rsid w:val="0074683F"/>
    <w:rsid w:val="007549ED"/>
    <w:rsid w:val="0075643C"/>
    <w:rsid w:val="00756DD1"/>
    <w:rsid w:val="00757B36"/>
    <w:rsid w:val="00761289"/>
    <w:rsid w:val="00761EA6"/>
    <w:rsid w:val="00767154"/>
    <w:rsid w:val="00773B6C"/>
    <w:rsid w:val="00773FEE"/>
    <w:rsid w:val="00781DF2"/>
    <w:rsid w:val="00790B95"/>
    <w:rsid w:val="007937A3"/>
    <w:rsid w:val="007B4684"/>
    <w:rsid w:val="007C09EA"/>
    <w:rsid w:val="007C170D"/>
    <w:rsid w:val="007C2309"/>
    <w:rsid w:val="007C3B9F"/>
    <w:rsid w:val="007C4D61"/>
    <w:rsid w:val="007D5273"/>
    <w:rsid w:val="007D6581"/>
    <w:rsid w:val="007D6EBC"/>
    <w:rsid w:val="007F0A33"/>
    <w:rsid w:val="007F1D2B"/>
    <w:rsid w:val="007F4D7D"/>
    <w:rsid w:val="007F717F"/>
    <w:rsid w:val="008176CE"/>
    <w:rsid w:val="008232D5"/>
    <w:rsid w:val="00823F88"/>
    <w:rsid w:val="0082700E"/>
    <w:rsid w:val="008300D6"/>
    <w:rsid w:val="008416BF"/>
    <w:rsid w:val="00843D45"/>
    <w:rsid w:val="00852105"/>
    <w:rsid w:val="0085544C"/>
    <w:rsid w:val="008604A4"/>
    <w:rsid w:val="008606F1"/>
    <w:rsid w:val="00860D9E"/>
    <w:rsid w:val="00862516"/>
    <w:rsid w:val="0086784A"/>
    <w:rsid w:val="008811BB"/>
    <w:rsid w:val="00884C48"/>
    <w:rsid w:val="0089747C"/>
    <w:rsid w:val="008974F2"/>
    <w:rsid w:val="008A2903"/>
    <w:rsid w:val="008A6161"/>
    <w:rsid w:val="008C4798"/>
    <w:rsid w:val="008D3FFB"/>
    <w:rsid w:val="008D43F8"/>
    <w:rsid w:val="008E268A"/>
    <w:rsid w:val="008E3451"/>
    <w:rsid w:val="008E53FF"/>
    <w:rsid w:val="00904A9B"/>
    <w:rsid w:val="00905884"/>
    <w:rsid w:val="00913ABE"/>
    <w:rsid w:val="00920D6C"/>
    <w:rsid w:val="009276D5"/>
    <w:rsid w:val="00942D58"/>
    <w:rsid w:val="00942FDE"/>
    <w:rsid w:val="00952863"/>
    <w:rsid w:val="009528FA"/>
    <w:rsid w:val="0096166D"/>
    <w:rsid w:val="00986C7E"/>
    <w:rsid w:val="009911B9"/>
    <w:rsid w:val="009924D4"/>
    <w:rsid w:val="009961B0"/>
    <w:rsid w:val="009963BC"/>
    <w:rsid w:val="009A2C02"/>
    <w:rsid w:val="009A5ADB"/>
    <w:rsid w:val="009A6C00"/>
    <w:rsid w:val="009B644A"/>
    <w:rsid w:val="009B67C7"/>
    <w:rsid w:val="009C3D9F"/>
    <w:rsid w:val="009C60E6"/>
    <w:rsid w:val="009D5E30"/>
    <w:rsid w:val="009D64B0"/>
    <w:rsid w:val="009D78FE"/>
    <w:rsid w:val="009E0DF2"/>
    <w:rsid w:val="009E2765"/>
    <w:rsid w:val="009E2C4C"/>
    <w:rsid w:val="009E509B"/>
    <w:rsid w:val="009E5F55"/>
    <w:rsid w:val="009F48CE"/>
    <w:rsid w:val="009F5431"/>
    <w:rsid w:val="009F5C57"/>
    <w:rsid w:val="00A079C6"/>
    <w:rsid w:val="00A11791"/>
    <w:rsid w:val="00A15437"/>
    <w:rsid w:val="00A207B9"/>
    <w:rsid w:val="00A317A2"/>
    <w:rsid w:val="00A31C07"/>
    <w:rsid w:val="00A31E32"/>
    <w:rsid w:val="00A35D90"/>
    <w:rsid w:val="00A37ECC"/>
    <w:rsid w:val="00A41DC7"/>
    <w:rsid w:val="00A4364F"/>
    <w:rsid w:val="00A438EE"/>
    <w:rsid w:val="00A5424F"/>
    <w:rsid w:val="00A54EBE"/>
    <w:rsid w:val="00A56CB5"/>
    <w:rsid w:val="00A64717"/>
    <w:rsid w:val="00A748C9"/>
    <w:rsid w:val="00A77398"/>
    <w:rsid w:val="00A80C51"/>
    <w:rsid w:val="00A81EDF"/>
    <w:rsid w:val="00A83A62"/>
    <w:rsid w:val="00A929CC"/>
    <w:rsid w:val="00A9536F"/>
    <w:rsid w:val="00A95495"/>
    <w:rsid w:val="00A955F2"/>
    <w:rsid w:val="00AA0FBE"/>
    <w:rsid w:val="00AA4479"/>
    <w:rsid w:val="00AA48D1"/>
    <w:rsid w:val="00AB7E31"/>
    <w:rsid w:val="00AD2F5B"/>
    <w:rsid w:val="00AD464B"/>
    <w:rsid w:val="00AD7E81"/>
    <w:rsid w:val="00AE0FF5"/>
    <w:rsid w:val="00AE127D"/>
    <w:rsid w:val="00AF12E5"/>
    <w:rsid w:val="00AF7D70"/>
    <w:rsid w:val="00B017FE"/>
    <w:rsid w:val="00B05D04"/>
    <w:rsid w:val="00B17E63"/>
    <w:rsid w:val="00B17F7F"/>
    <w:rsid w:val="00B20869"/>
    <w:rsid w:val="00B211ED"/>
    <w:rsid w:val="00B319D0"/>
    <w:rsid w:val="00B33B3B"/>
    <w:rsid w:val="00B46613"/>
    <w:rsid w:val="00B50B55"/>
    <w:rsid w:val="00B52B37"/>
    <w:rsid w:val="00B548FD"/>
    <w:rsid w:val="00B556FB"/>
    <w:rsid w:val="00B56361"/>
    <w:rsid w:val="00B61746"/>
    <w:rsid w:val="00B62005"/>
    <w:rsid w:val="00B67934"/>
    <w:rsid w:val="00B76FFB"/>
    <w:rsid w:val="00B77817"/>
    <w:rsid w:val="00B7795B"/>
    <w:rsid w:val="00B77961"/>
    <w:rsid w:val="00B803FE"/>
    <w:rsid w:val="00B84C74"/>
    <w:rsid w:val="00B94CF1"/>
    <w:rsid w:val="00BA2379"/>
    <w:rsid w:val="00BA6F13"/>
    <w:rsid w:val="00BB3A8E"/>
    <w:rsid w:val="00BB5CD0"/>
    <w:rsid w:val="00BB7111"/>
    <w:rsid w:val="00BC0690"/>
    <w:rsid w:val="00BC4D83"/>
    <w:rsid w:val="00BC6D1F"/>
    <w:rsid w:val="00BD1CD3"/>
    <w:rsid w:val="00BE0F5B"/>
    <w:rsid w:val="00BE242C"/>
    <w:rsid w:val="00BF2DE4"/>
    <w:rsid w:val="00BF4E4B"/>
    <w:rsid w:val="00BF7045"/>
    <w:rsid w:val="00C03881"/>
    <w:rsid w:val="00C03EC3"/>
    <w:rsid w:val="00C051BA"/>
    <w:rsid w:val="00C052AB"/>
    <w:rsid w:val="00C114D9"/>
    <w:rsid w:val="00C115C2"/>
    <w:rsid w:val="00C12A33"/>
    <w:rsid w:val="00C20A8B"/>
    <w:rsid w:val="00C234FA"/>
    <w:rsid w:val="00C31DD3"/>
    <w:rsid w:val="00C3405B"/>
    <w:rsid w:val="00C510B7"/>
    <w:rsid w:val="00C54574"/>
    <w:rsid w:val="00C67F26"/>
    <w:rsid w:val="00C72985"/>
    <w:rsid w:val="00C73607"/>
    <w:rsid w:val="00C7554B"/>
    <w:rsid w:val="00C7749B"/>
    <w:rsid w:val="00C82DE7"/>
    <w:rsid w:val="00C90F87"/>
    <w:rsid w:val="00C91EA9"/>
    <w:rsid w:val="00CB10A1"/>
    <w:rsid w:val="00CB1671"/>
    <w:rsid w:val="00CB3128"/>
    <w:rsid w:val="00CB582D"/>
    <w:rsid w:val="00CB63FC"/>
    <w:rsid w:val="00CB78F3"/>
    <w:rsid w:val="00CC1E96"/>
    <w:rsid w:val="00CC7527"/>
    <w:rsid w:val="00CD60E2"/>
    <w:rsid w:val="00CF37DE"/>
    <w:rsid w:val="00CF45D0"/>
    <w:rsid w:val="00CF4883"/>
    <w:rsid w:val="00CF6FCC"/>
    <w:rsid w:val="00D0620B"/>
    <w:rsid w:val="00D06972"/>
    <w:rsid w:val="00D21461"/>
    <w:rsid w:val="00D22BE5"/>
    <w:rsid w:val="00D30B85"/>
    <w:rsid w:val="00D37A63"/>
    <w:rsid w:val="00D44310"/>
    <w:rsid w:val="00D44B33"/>
    <w:rsid w:val="00D556A1"/>
    <w:rsid w:val="00D563C2"/>
    <w:rsid w:val="00D57164"/>
    <w:rsid w:val="00D57281"/>
    <w:rsid w:val="00D65967"/>
    <w:rsid w:val="00D732AF"/>
    <w:rsid w:val="00D777F1"/>
    <w:rsid w:val="00D8185B"/>
    <w:rsid w:val="00D8194A"/>
    <w:rsid w:val="00D82F3E"/>
    <w:rsid w:val="00D969A3"/>
    <w:rsid w:val="00DA584A"/>
    <w:rsid w:val="00DB6895"/>
    <w:rsid w:val="00DC7AB8"/>
    <w:rsid w:val="00DD525D"/>
    <w:rsid w:val="00DD5508"/>
    <w:rsid w:val="00DE0E0D"/>
    <w:rsid w:val="00DE5E63"/>
    <w:rsid w:val="00DE675A"/>
    <w:rsid w:val="00E1452E"/>
    <w:rsid w:val="00E35316"/>
    <w:rsid w:val="00E375E1"/>
    <w:rsid w:val="00E40A3B"/>
    <w:rsid w:val="00E431DF"/>
    <w:rsid w:val="00E54657"/>
    <w:rsid w:val="00E6697F"/>
    <w:rsid w:val="00E74681"/>
    <w:rsid w:val="00E77CF4"/>
    <w:rsid w:val="00E8042B"/>
    <w:rsid w:val="00E820A0"/>
    <w:rsid w:val="00E9217F"/>
    <w:rsid w:val="00E9496E"/>
    <w:rsid w:val="00E95E2C"/>
    <w:rsid w:val="00E96765"/>
    <w:rsid w:val="00E97D09"/>
    <w:rsid w:val="00EA009B"/>
    <w:rsid w:val="00EA04B7"/>
    <w:rsid w:val="00EA0937"/>
    <w:rsid w:val="00EA7723"/>
    <w:rsid w:val="00EB17F3"/>
    <w:rsid w:val="00EB215F"/>
    <w:rsid w:val="00EB28CA"/>
    <w:rsid w:val="00EB57D6"/>
    <w:rsid w:val="00EC5445"/>
    <w:rsid w:val="00EC7A16"/>
    <w:rsid w:val="00EE1688"/>
    <w:rsid w:val="00EE23CC"/>
    <w:rsid w:val="00EF36D5"/>
    <w:rsid w:val="00EF3F63"/>
    <w:rsid w:val="00EF4C13"/>
    <w:rsid w:val="00EF6EEB"/>
    <w:rsid w:val="00F04417"/>
    <w:rsid w:val="00F072C2"/>
    <w:rsid w:val="00F1066F"/>
    <w:rsid w:val="00F12947"/>
    <w:rsid w:val="00F21207"/>
    <w:rsid w:val="00F5110A"/>
    <w:rsid w:val="00F52FF2"/>
    <w:rsid w:val="00F53FD4"/>
    <w:rsid w:val="00F56BEA"/>
    <w:rsid w:val="00F72D89"/>
    <w:rsid w:val="00F74F31"/>
    <w:rsid w:val="00F95FE2"/>
    <w:rsid w:val="00FA0D4F"/>
    <w:rsid w:val="00FA3C12"/>
    <w:rsid w:val="00FB02D1"/>
    <w:rsid w:val="00FB3A1E"/>
    <w:rsid w:val="00FB3C91"/>
    <w:rsid w:val="00FB4DCC"/>
    <w:rsid w:val="00FB6647"/>
    <w:rsid w:val="00FD3F1A"/>
    <w:rsid w:val="00FD442A"/>
    <w:rsid w:val="00FD6406"/>
    <w:rsid w:val="00FE5FE9"/>
    <w:rsid w:val="00FF0F02"/>
    <w:rsid w:val="01987FE8"/>
    <w:rsid w:val="02532161"/>
    <w:rsid w:val="02EC459C"/>
    <w:rsid w:val="049F343C"/>
    <w:rsid w:val="04C41D81"/>
    <w:rsid w:val="04FC07BA"/>
    <w:rsid w:val="07743A9C"/>
    <w:rsid w:val="08997EFF"/>
    <w:rsid w:val="08C5350C"/>
    <w:rsid w:val="091F198A"/>
    <w:rsid w:val="095D1551"/>
    <w:rsid w:val="09616F12"/>
    <w:rsid w:val="09A3577C"/>
    <w:rsid w:val="09A43161"/>
    <w:rsid w:val="09CD219B"/>
    <w:rsid w:val="09ED576F"/>
    <w:rsid w:val="0A650C83"/>
    <w:rsid w:val="0A762E91"/>
    <w:rsid w:val="0AB92E73"/>
    <w:rsid w:val="0AFF69E2"/>
    <w:rsid w:val="0CFA63F5"/>
    <w:rsid w:val="0D69705B"/>
    <w:rsid w:val="0DE75C6E"/>
    <w:rsid w:val="0F0071CD"/>
    <w:rsid w:val="0F6E2388"/>
    <w:rsid w:val="13442658"/>
    <w:rsid w:val="15035321"/>
    <w:rsid w:val="15B55C69"/>
    <w:rsid w:val="16452CBB"/>
    <w:rsid w:val="165E3C4B"/>
    <w:rsid w:val="168503A9"/>
    <w:rsid w:val="16B23119"/>
    <w:rsid w:val="16DE7B91"/>
    <w:rsid w:val="17870262"/>
    <w:rsid w:val="178A6818"/>
    <w:rsid w:val="181E6DC2"/>
    <w:rsid w:val="18493992"/>
    <w:rsid w:val="195668EF"/>
    <w:rsid w:val="19A60971"/>
    <w:rsid w:val="1B2C0C6E"/>
    <w:rsid w:val="1BF8186D"/>
    <w:rsid w:val="1C167AAF"/>
    <w:rsid w:val="1C7845F5"/>
    <w:rsid w:val="1FD746B4"/>
    <w:rsid w:val="216750D4"/>
    <w:rsid w:val="21A67760"/>
    <w:rsid w:val="21D544E9"/>
    <w:rsid w:val="226C530A"/>
    <w:rsid w:val="22C04851"/>
    <w:rsid w:val="23897365"/>
    <w:rsid w:val="23DF33FD"/>
    <w:rsid w:val="245B3C6C"/>
    <w:rsid w:val="245E4322"/>
    <w:rsid w:val="25100723"/>
    <w:rsid w:val="2677791D"/>
    <w:rsid w:val="27400656"/>
    <w:rsid w:val="279A3B69"/>
    <w:rsid w:val="281F201A"/>
    <w:rsid w:val="28B9246E"/>
    <w:rsid w:val="28BB61E6"/>
    <w:rsid w:val="29113701"/>
    <w:rsid w:val="29AA1DB7"/>
    <w:rsid w:val="2B006133"/>
    <w:rsid w:val="2B8054C5"/>
    <w:rsid w:val="2CC76DFB"/>
    <w:rsid w:val="2CE61358"/>
    <w:rsid w:val="2E192781"/>
    <w:rsid w:val="2EB3170E"/>
    <w:rsid w:val="2F464330"/>
    <w:rsid w:val="2F7F38D0"/>
    <w:rsid w:val="2F9E5F1A"/>
    <w:rsid w:val="30BD0622"/>
    <w:rsid w:val="30C93104"/>
    <w:rsid w:val="30E738F1"/>
    <w:rsid w:val="31556AAC"/>
    <w:rsid w:val="33BF0BD0"/>
    <w:rsid w:val="348E0C53"/>
    <w:rsid w:val="34B1049E"/>
    <w:rsid w:val="353635E0"/>
    <w:rsid w:val="3647730B"/>
    <w:rsid w:val="3B797A7C"/>
    <w:rsid w:val="3C487939"/>
    <w:rsid w:val="3D3566C6"/>
    <w:rsid w:val="3E1D0952"/>
    <w:rsid w:val="3F870779"/>
    <w:rsid w:val="40932B84"/>
    <w:rsid w:val="41B55959"/>
    <w:rsid w:val="4389125B"/>
    <w:rsid w:val="43B0545B"/>
    <w:rsid w:val="443A4442"/>
    <w:rsid w:val="44CA4BFA"/>
    <w:rsid w:val="45E561F9"/>
    <w:rsid w:val="46EC14FF"/>
    <w:rsid w:val="48641E5E"/>
    <w:rsid w:val="487A4EA5"/>
    <w:rsid w:val="4B257098"/>
    <w:rsid w:val="4B3F0159"/>
    <w:rsid w:val="4B8D6ED7"/>
    <w:rsid w:val="4BD56D10"/>
    <w:rsid w:val="4CF3569F"/>
    <w:rsid w:val="4D083EE4"/>
    <w:rsid w:val="4E2D65F1"/>
    <w:rsid w:val="4E7B76FB"/>
    <w:rsid w:val="4E836D27"/>
    <w:rsid w:val="4E9B7A20"/>
    <w:rsid w:val="4EA209A6"/>
    <w:rsid w:val="4F6E725F"/>
    <w:rsid w:val="504970E8"/>
    <w:rsid w:val="5075308D"/>
    <w:rsid w:val="52554E55"/>
    <w:rsid w:val="53A005FD"/>
    <w:rsid w:val="551A1728"/>
    <w:rsid w:val="5536081F"/>
    <w:rsid w:val="554F18E1"/>
    <w:rsid w:val="572D17AE"/>
    <w:rsid w:val="57C42E5F"/>
    <w:rsid w:val="590301F9"/>
    <w:rsid w:val="59736107"/>
    <w:rsid w:val="5AA4447D"/>
    <w:rsid w:val="5AA91A93"/>
    <w:rsid w:val="5AB521E6"/>
    <w:rsid w:val="5ABF6EB9"/>
    <w:rsid w:val="5B307ABF"/>
    <w:rsid w:val="5B871DD5"/>
    <w:rsid w:val="5BCA3A6F"/>
    <w:rsid w:val="5C2F421A"/>
    <w:rsid w:val="5D373670"/>
    <w:rsid w:val="5FDEEF9B"/>
    <w:rsid w:val="5FEDF9DA"/>
    <w:rsid w:val="5FF3993B"/>
    <w:rsid w:val="60472BFF"/>
    <w:rsid w:val="61A36538"/>
    <w:rsid w:val="62A02B74"/>
    <w:rsid w:val="62AF1C11"/>
    <w:rsid w:val="62CC27C3"/>
    <w:rsid w:val="63F90AB2"/>
    <w:rsid w:val="63FE69AC"/>
    <w:rsid w:val="65B14764"/>
    <w:rsid w:val="66106E6A"/>
    <w:rsid w:val="68071FA4"/>
    <w:rsid w:val="69006D22"/>
    <w:rsid w:val="691C78D4"/>
    <w:rsid w:val="6A8E7759"/>
    <w:rsid w:val="6A9811DC"/>
    <w:rsid w:val="6AE9700D"/>
    <w:rsid w:val="6B915874"/>
    <w:rsid w:val="6C001DF8"/>
    <w:rsid w:val="6D022717"/>
    <w:rsid w:val="6D1C4347"/>
    <w:rsid w:val="6E6E472E"/>
    <w:rsid w:val="6FA86B63"/>
    <w:rsid w:val="716D6F1F"/>
    <w:rsid w:val="72917A22"/>
    <w:rsid w:val="72D45DD3"/>
    <w:rsid w:val="72FB0CA2"/>
    <w:rsid w:val="734B7734"/>
    <w:rsid w:val="7379604F"/>
    <w:rsid w:val="740F42BD"/>
    <w:rsid w:val="74BB5967"/>
    <w:rsid w:val="75457F23"/>
    <w:rsid w:val="760477CC"/>
    <w:rsid w:val="76A31809"/>
    <w:rsid w:val="76DB492B"/>
    <w:rsid w:val="781629BD"/>
    <w:rsid w:val="78362761"/>
    <w:rsid w:val="78657FA9"/>
    <w:rsid w:val="78EE6DFA"/>
    <w:rsid w:val="7AF81F4F"/>
    <w:rsid w:val="7BE8791B"/>
    <w:rsid w:val="7DFA06E2"/>
    <w:rsid w:val="7E6B7A4D"/>
    <w:rsid w:val="7E8D29AE"/>
    <w:rsid w:val="7F4B3463"/>
    <w:rsid w:val="7FF56A5D"/>
    <w:rsid w:val="CDD68587"/>
    <w:rsid w:val="FAFD0F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qFormat="1" w:unhideWhenUsed="0"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3"/>
    <w:qFormat/>
    <w:uiPriority w:val="9"/>
    <w:pPr>
      <w:keepNext/>
      <w:keepLines/>
      <w:spacing w:before="340" w:after="330" w:line="576" w:lineRule="auto"/>
      <w:outlineLvl w:val="0"/>
    </w:pPr>
    <w:rPr>
      <w:b/>
      <w:bCs/>
      <w:kern w:val="44"/>
      <w:sz w:val="44"/>
      <w:szCs w:val="44"/>
    </w:rPr>
  </w:style>
  <w:style w:type="paragraph" w:styleId="5">
    <w:name w:val="heading 2"/>
    <w:basedOn w:val="1"/>
    <w:next w:val="1"/>
    <w:link w:val="64"/>
    <w:qFormat/>
    <w:uiPriority w:val="0"/>
    <w:pPr>
      <w:keepNext/>
      <w:keepLines/>
      <w:spacing w:before="260" w:after="260" w:line="413" w:lineRule="auto"/>
      <w:outlineLvl w:val="1"/>
    </w:pPr>
    <w:rPr>
      <w:rFonts w:ascii="Arial" w:hAnsi="Arial" w:eastAsia="黑体"/>
      <w:b/>
      <w:bCs/>
      <w:sz w:val="32"/>
      <w:szCs w:val="32"/>
    </w:rPr>
  </w:style>
  <w:style w:type="paragraph" w:styleId="6">
    <w:name w:val="heading 3"/>
    <w:basedOn w:val="1"/>
    <w:next w:val="1"/>
    <w:link w:val="48"/>
    <w:qFormat/>
    <w:uiPriority w:val="9"/>
    <w:pPr>
      <w:keepNext/>
      <w:keepLines/>
      <w:spacing w:line="600" w:lineRule="exact"/>
      <w:ind w:firstLine="643" w:firstLineChars="200"/>
      <w:outlineLvl w:val="2"/>
    </w:pPr>
    <w:rPr>
      <w:b/>
      <w:bCs/>
      <w:sz w:val="32"/>
      <w:szCs w:val="32"/>
    </w:rPr>
  </w:style>
  <w:style w:type="paragraph" w:styleId="7">
    <w:name w:val="heading 4"/>
    <w:basedOn w:val="1"/>
    <w:next w:val="1"/>
    <w:link w:val="49"/>
    <w:qFormat/>
    <w:uiPriority w:val="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8">
    <w:name w:val="heading 5"/>
    <w:basedOn w:val="1"/>
    <w:next w:val="9"/>
    <w:link w:val="50"/>
    <w:qFormat/>
    <w:uiPriority w:val="9"/>
    <w:pPr>
      <w:keepNext/>
      <w:keepLines/>
      <w:spacing w:before="280" w:after="290" w:line="376" w:lineRule="auto"/>
      <w:outlineLvl w:val="4"/>
    </w:pPr>
    <w:rPr>
      <w:b/>
      <w:bCs/>
      <w:sz w:val="28"/>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2"/>
    <w:link w:val="54"/>
    <w:unhideWhenUsed/>
    <w:qFormat/>
    <w:uiPriority w:val="99"/>
    <w:pPr>
      <w:spacing w:after="120"/>
    </w:pPr>
  </w:style>
  <w:style w:type="paragraph" w:styleId="9">
    <w:name w:val="Normal Indent"/>
    <w:basedOn w:val="1"/>
    <w:unhideWhenUsed/>
    <w:qFormat/>
    <w:uiPriority w:val="99"/>
    <w:pPr>
      <w:ind w:firstLine="420"/>
    </w:pPr>
    <w:rPr>
      <w:szCs w:val="20"/>
    </w:rPr>
  </w:style>
  <w:style w:type="paragraph" w:styleId="10">
    <w:name w:val="toc 7"/>
    <w:basedOn w:val="1"/>
    <w:next w:val="1"/>
    <w:unhideWhenUsed/>
    <w:qFormat/>
    <w:uiPriority w:val="39"/>
    <w:pPr>
      <w:jc w:val="left"/>
    </w:pPr>
    <w:rPr>
      <w:rFonts w:ascii="Calibri" w:hAnsi="Calibri"/>
      <w:sz w:val="22"/>
      <w:szCs w:val="22"/>
    </w:rPr>
  </w:style>
  <w:style w:type="paragraph" w:styleId="11">
    <w:name w:val="caption"/>
    <w:basedOn w:val="1"/>
    <w:next w:val="1"/>
    <w:qFormat/>
    <w:uiPriority w:val="35"/>
    <w:pPr>
      <w:spacing w:before="152" w:after="160"/>
    </w:pPr>
    <w:rPr>
      <w:rFonts w:ascii="Arial" w:hAnsi="Arial" w:eastAsia="黑体" w:cs="Arial"/>
      <w:sz w:val="20"/>
      <w:szCs w:val="20"/>
    </w:rPr>
  </w:style>
  <w:style w:type="paragraph" w:styleId="12">
    <w:name w:val="Document Map"/>
    <w:basedOn w:val="1"/>
    <w:link w:val="51"/>
    <w:unhideWhenUsed/>
    <w:qFormat/>
    <w:uiPriority w:val="99"/>
    <w:rPr>
      <w:rFonts w:ascii="宋体"/>
      <w:sz w:val="18"/>
      <w:szCs w:val="18"/>
    </w:rPr>
  </w:style>
  <w:style w:type="paragraph" w:styleId="13">
    <w:name w:val="annotation text"/>
    <w:basedOn w:val="1"/>
    <w:link w:val="52"/>
    <w:unhideWhenUsed/>
    <w:qFormat/>
    <w:uiPriority w:val="99"/>
    <w:pPr>
      <w:jc w:val="left"/>
    </w:pPr>
  </w:style>
  <w:style w:type="paragraph" w:styleId="14">
    <w:name w:val="Body Text 3"/>
    <w:basedOn w:val="1"/>
    <w:link w:val="53"/>
    <w:unhideWhenUsed/>
    <w:qFormat/>
    <w:uiPriority w:val="99"/>
    <w:pPr>
      <w:spacing w:after="120"/>
    </w:pPr>
    <w:rPr>
      <w:sz w:val="16"/>
      <w:szCs w:val="16"/>
    </w:rPr>
  </w:style>
  <w:style w:type="paragraph" w:styleId="15">
    <w:name w:val="Body Text Indent"/>
    <w:basedOn w:val="1"/>
    <w:link w:val="55"/>
    <w:unhideWhenUsed/>
    <w:qFormat/>
    <w:uiPriority w:val="99"/>
    <w:pPr>
      <w:spacing w:line="200" w:lineRule="exact"/>
      <w:ind w:firstLine="301"/>
    </w:pPr>
    <w:rPr>
      <w:rFonts w:ascii="宋体" w:hAnsi="Courier New"/>
      <w:spacing w:val="-4"/>
      <w:sz w:val="18"/>
      <w:szCs w:val="20"/>
    </w:rPr>
  </w:style>
  <w:style w:type="paragraph" w:styleId="16">
    <w:name w:val="toc 5"/>
    <w:basedOn w:val="1"/>
    <w:next w:val="1"/>
    <w:unhideWhenUsed/>
    <w:qFormat/>
    <w:uiPriority w:val="39"/>
    <w:pPr>
      <w:jc w:val="left"/>
    </w:pPr>
    <w:rPr>
      <w:rFonts w:ascii="Calibri" w:hAnsi="Calibri"/>
      <w:sz w:val="22"/>
      <w:szCs w:val="22"/>
    </w:rPr>
  </w:style>
  <w:style w:type="paragraph" w:styleId="17">
    <w:name w:val="toc 3"/>
    <w:basedOn w:val="1"/>
    <w:next w:val="1"/>
    <w:unhideWhenUsed/>
    <w:qFormat/>
    <w:uiPriority w:val="39"/>
    <w:pPr>
      <w:jc w:val="left"/>
    </w:pPr>
    <w:rPr>
      <w:rFonts w:ascii="Calibri" w:hAnsi="Calibri"/>
      <w:smallCaps/>
      <w:sz w:val="22"/>
      <w:szCs w:val="22"/>
    </w:rPr>
  </w:style>
  <w:style w:type="paragraph" w:styleId="18">
    <w:name w:val="Plain Text"/>
    <w:basedOn w:val="1"/>
    <w:link w:val="56"/>
    <w:unhideWhenUsed/>
    <w:qFormat/>
    <w:uiPriority w:val="0"/>
    <w:rPr>
      <w:rFonts w:ascii="宋体" w:hAnsi="Courier New"/>
      <w:szCs w:val="20"/>
    </w:rPr>
  </w:style>
  <w:style w:type="paragraph" w:styleId="19">
    <w:name w:val="toc 8"/>
    <w:basedOn w:val="1"/>
    <w:next w:val="1"/>
    <w:unhideWhenUsed/>
    <w:qFormat/>
    <w:uiPriority w:val="39"/>
    <w:pPr>
      <w:jc w:val="left"/>
    </w:pPr>
    <w:rPr>
      <w:rFonts w:ascii="Calibri" w:hAnsi="Calibri"/>
      <w:sz w:val="22"/>
      <w:szCs w:val="22"/>
    </w:rPr>
  </w:style>
  <w:style w:type="paragraph" w:styleId="20">
    <w:name w:val="Date"/>
    <w:basedOn w:val="1"/>
    <w:next w:val="1"/>
    <w:link w:val="57"/>
    <w:unhideWhenUsed/>
    <w:qFormat/>
    <w:uiPriority w:val="99"/>
    <w:pPr>
      <w:ind w:left="100" w:leftChars="2500"/>
    </w:pPr>
  </w:style>
  <w:style w:type="paragraph" w:styleId="21">
    <w:name w:val="Body Text Indent 2"/>
    <w:basedOn w:val="1"/>
    <w:link w:val="58"/>
    <w:unhideWhenUsed/>
    <w:qFormat/>
    <w:uiPriority w:val="99"/>
    <w:pPr>
      <w:spacing w:after="120" w:line="480" w:lineRule="auto"/>
      <w:ind w:left="420" w:leftChars="200"/>
    </w:pPr>
  </w:style>
  <w:style w:type="paragraph" w:styleId="22">
    <w:name w:val="Balloon Text"/>
    <w:basedOn w:val="1"/>
    <w:link w:val="59"/>
    <w:unhideWhenUsed/>
    <w:qFormat/>
    <w:uiPriority w:val="99"/>
    <w:rPr>
      <w:sz w:val="18"/>
      <w:szCs w:val="18"/>
    </w:rPr>
  </w:style>
  <w:style w:type="paragraph" w:styleId="23">
    <w:name w:val="footer"/>
    <w:basedOn w:val="1"/>
    <w:link w:val="65"/>
    <w:unhideWhenUsed/>
    <w:qFormat/>
    <w:uiPriority w:val="99"/>
    <w:pPr>
      <w:tabs>
        <w:tab w:val="center" w:pos="4153"/>
        <w:tab w:val="right" w:pos="8306"/>
      </w:tabs>
      <w:snapToGrid w:val="0"/>
      <w:jc w:val="left"/>
    </w:pPr>
    <w:rPr>
      <w:sz w:val="18"/>
      <w:szCs w:val="18"/>
    </w:rPr>
  </w:style>
  <w:style w:type="paragraph" w:styleId="24">
    <w:name w:val="header"/>
    <w:basedOn w:val="1"/>
    <w:link w:val="66"/>
    <w:unhideWhenUsed/>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unhideWhenUsed/>
    <w:qFormat/>
    <w:uiPriority w:val="39"/>
    <w:pPr>
      <w:spacing w:before="360" w:after="360"/>
      <w:jc w:val="left"/>
    </w:pPr>
    <w:rPr>
      <w:rFonts w:ascii="Calibri" w:hAnsi="Calibri"/>
      <w:b/>
      <w:bCs/>
      <w:caps/>
      <w:sz w:val="22"/>
      <w:szCs w:val="22"/>
      <w:u w:val="single"/>
    </w:rPr>
  </w:style>
  <w:style w:type="paragraph" w:styleId="26">
    <w:name w:val="toc 4"/>
    <w:basedOn w:val="1"/>
    <w:next w:val="1"/>
    <w:unhideWhenUsed/>
    <w:qFormat/>
    <w:uiPriority w:val="39"/>
    <w:pPr>
      <w:jc w:val="left"/>
    </w:pPr>
    <w:rPr>
      <w:rFonts w:ascii="Calibri" w:hAnsi="Calibri"/>
      <w:sz w:val="22"/>
      <w:szCs w:val="22"/>
    </w:rPr>
  </w:style>
  <w:style w:type="paragraph" w:styleId="27">
    <w:name w:val="List"/>
    <w:basedOn w:val="1"/>
    <w:unhideWhenUsed/>
    <w:qFormat/>
    <w:uiPriority w:val="99"/>
    <w:pPr>
      <w:ind w:left="200" w:hanging="200" w:hangingChars="200"/>
    </w:pPr>
    <w:rPr>
      <w:sz w:val="28"/>
    </w:rPr>
  </w:style>
  <w:style w:type="paragraph" w:styleId="28">
    <w:name w:val="footnote text"/>
    <w:basedOn w:val="1"/>
    <w:qFormat/>
    <w:uiPriority w:val="99"/>
    <w:pPr>
      <w:snapToGrid w:val="0"/>
      <w:jc w:val="left"/>
    </w:pPr>
    <w:rPr>
      <w:sz w:val="18"/>
      <w:szCs w:val="18"/>
    </w:rPr>
  </w:style>
  <w:style w:type="paragraph" w:styleId="29">
    <w:name w:val="toc 6"/>
    <w:basedOn w:val="1"/>
    <w:next w:val="1"/>
    <w:unhideWhenUsed/>
    <w:qFormat/>
    <w:uiPriority w:val="39"/>
    <w:pPr>
      <w:jc w:val="left"/>
    </w:pPr>
    <w:rPr>
      <w:rFonts w:ascii="Calibri" w:hAnsi="Calibri"/>
      <w:sz w:val="22"/>
      <w:szCs w:val="22"/>
    </w:rPr>
  </w:style>
  <w:style w:type="paragraph" w:styleId="30">
    <w:name w:val="toc 2"/>
    <w:basedOn w:val="1"/>
    <w:next w:val="1"/>
    <w:unhideWhenUsed/>
    <w:qFormat/>
    <w:uiPriority w:val="39"/>
    <w:pPr>
      <w:jc w:val="left"/>
    </w:pPr>
    <w:rPr>
      <w:rFonts w:ascii="Calibri" w:hAnsi="Calibri"/>
      <w:b/>
      <w:bCs/>
      <w:smallCaps/>
      <w:sz w:val="22"/>
      <w:szCs w:val="22"/>
    </w:rPr>
  </w:style>
  <w:style w:type="paragraph" w:styleId="31">
    <w:name w:val="toc 9"/>
    <w:basedOn w:val="1"/>
    <w:next w:val="1"/>
    <w:unhideWhenUsed/>
    <w:qFormat/>
    <w:uiPriority w:val="39"/>
    <w:pPr>
      <w:jc w:val="left"/>
    </w:pPr>
    <w:rPr>
      <w:rFonts w:ascii="Calibri" w:hAnsi="Calibri"/>
      <w:sz w:val="22"/>
      <w:szCs w:val="22"/>
    </w:rPr>
  </w:style>
  <w:style w:type="paragraph" w:styleId="32">
    <w:name w:val="Normal (Web)"/>
    <w:basedOn w:val="1"/>
    <w:qFormat/>
    <w:uiPriority w:val="99"/>
    <w:pPr>
      <w:widowControl/>
      <w:spacing w:before="100" w:beforeAutospacing="1" w:after="100" w:afterAutospacing="1"/>
      <w:jc w:val="left"/>
    </w:pPr>
    <w:rPr>
      <w:rFonts w:ascii="宋体" w:hAnsi="宋体"/>
      <w:kern w:val="0"/>
      <w:sz w:val="24"/>
    </w:rPr>
  </w:style>
  <w:style w:type="paragraph" w:styleId="33">
    <w:name w:val="Title"/>
    <w:basedOn w:val="1"/>
    <w:next w:val="1"/>
    <w:qFormat/>
    <w:uiPriority w:val="0"/>
    <w:pPr>
      <w:spacing w:before="240" w:after="60"/>
      <w:jc w:val="center"/>
      <w:outlineLvl w:val="0"/>
    </w:pPr>
    <w:rPr>
      <w:rFonts w:eastAsia="黑体" w:asciiTheme="majorHAnsi" w:hAnsiTheme="majorHAnsi" w:cstheme="majorBidi"/>
      <w:b/>
      <w:bCs/>
      <w:sz w:val="32"/>
      <w:szCs w:val="32"/>
    </w:rPr>
  </w:style>
  <w:style w:type="paragraph" w:styleId="34">
    <w:name w:val="annotation subject"/>
    <w:basedOn w:val="13"/>
    <w:next w:val="13"/>
    <w:link w:val="62"/>
    <w:unhideWhenUsed/>
    <w:qFormat/>
    <w:uiPriority w:val="99"/>
    <w:rPr>
      <w:b/>
      <w:bCs/>
    </w:rPr>
  </w:style>
  <w:style w:type="paragraph" w:styleId="35">
    <w:name w:val="Body Text First Indent 2"/>
    <w:basedOn w:val="1"/>
    <w:qFormat/>
    <w:uiPriority w:val="0"/>
    <w:pPr>
      <w:ind w:firstLine="420" w:firstLineChars="200"/>
    </w:pPr>
  </w:style>
  <w:style w:type="table" w:styleId="37">
    <w:name w:val="Table Grid"/>
    <w:basedOn w:val="3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22"/>
    <w:rPr>
      <w:rFonts w:ascii="Times New Roman" w:hAnsi="Times New Roman" w:eastAsia="宋体" w:cs="Times New Roman"/>
      <w:b/>
    </w:rPr>
  </w:style>
  <w:style w:type="character" w:styleId="40">
    <w:name w:val="page number"/>
    <w:unhideWhenUsed/>
    <w:qFormat/>
    <w:uiPriority w:val="99"/>
  </w:style>
  <w:style w:type="character" w:styleId="41">
    <w:name w:val="FollowedHyperlink"/>
    <w:unhideWhenUsed/>
    <w:qFormat/>
    <w:uiPriority w:val="99"/>
    <w:rPr>
      <w:color w:val="800080"/>
      <w:u w:val="single"/>
    </w:rPr>
  </w:style>
  <w:style w:type="character" w:styleId="42">
    <w:name w:val="Hyperlink"/>
    <w:unhideWhenUsed/>
    <w:qFormat/>
    <w:uiPriority w:val="99"/>
    <w:rPr>
      <w:color w:val="0000FF"/>
      <w:u w:val="single"/>
    </w:rPr>
  </w:style>
  <w:style w:type="character" w:styleId="43">
    <w:name w:val="annotation reference"/>
    <w:unhideWhenUsed/>
    <w:qFormat/>
    <w:uiPriority w:val="99"/>
    <w:rPr>
      <w:sz w:val="21"/>
      <w:szCs w:val="21"/>
    </w:rPr>
  </w:style>
  <w:style w:type="character" w:customStyle="1" w:styleId="44">
    <w:name w:val="标题 2 字符"/>
    <w:qFormat/>
    <w:uiPriority w:val="0"/>
    <w:rPr>
      <w:rFonts w:ascii="Arial" w:hAnsi="Arial" w:eastAsia="黑体"/>
      <w:b/>
      <w:bCs/>
      <w:kern w:val="2"/>
      <w:sz w:val="32"/>
      <w:szCs w:val="32"/>
    </w:rPr>
  </w:style>
  <w:style w:type="character" w:customStyle="1" w:styleId="45">
    <w:name w:val="标题 1 字符"/>
    <w:qFormat/>
    <w:uiPriority w:val="0"/>
    <w:rPr>
      <w:b/>
      <w:bCs/>
      <w:kern w:val="44"/>
      <w:sz w:val="44"/>
      <w:szCs w:val="44"/>
    </w:rPr>
  </w:style>
  <w:style w:type="character" w:customStyle="1" w:styleId="46">
    <w:name w:val="标题 1 字符1"/>
    <w:qFormat/>
    <w:uiPriority w:val="0"/>
    <w:rPr>
      <w:b/>
      <w:bCs/>
      <w:kern w:val="44"/>
      <w:sz w:val="44"/>
      <w:szCs w:val="44"/>
    </w:rPr>
  </w:style>
  <w:style w:type="character" w:customStyle="1" w:styleId="47">
    <w:name w:val="标题 2 字符1"/>
    <w:qFormat/>
    <w:uiPriority w:val="0"/>
    <w:rPr>
      <w:rFonts w:ascii="Arial" w:hAnsi="Arial" w:eastAsia="黑体"/>
      <w:b/>
      <w:bCs/>
      <w:kern w:val="2"/>
      <w:sz w:val="32"/>
      <w:szCs w:val="32"/>
    </w:rPr>
  </w:style>
  <w:style w:type="character" w:customStyle="1" w:styleId="48">
    <w:name w:val="标题 3 字符1"/>
    <w:link w:val="6"/>
    <w:qFormat/>
    <w:uiPriority w:val="0"/>
    <w:rPr>
      <w:b/>
      <w:bCs/>
      <w:kern w:val="2"/>
      <w:sz w:val="32"/>
      <w:szCs w:val="32"/>
    </w:rPr>
  </w:style>
  <w:style w:type="character" w:customStyle="1" w:styleId="49">
    <w:name w:val="标题 4 字符1"/>
    <w:link w:val="7"/>
    <w:qFormat/>
    <w:uiPriority w:val="0"/>
    <w:rPr>
      <w:rFonts w:ascii="Arial" w:eastAsia="黑体"/>
      <w:sz w:val="28"/>
    </w:rPr>
  </w:style>
  <w:style w:type="character" w:customStyle="1" w:styleId="50">
    <w:name w:val="标题 5 字符1"/>
    <w:link w:val="8"/>
    <w:qFormat/>
    <w:uiPriority w:val="9"/>
    <w:rPr>
      <w:b/>
      <w:bCs/>
      <w:kern w:val="2"/>
      <w:sz w:val="28"/>
      <w:szCs w:val="28"/>
    </w:rPr>
  </w:style>
  <w:style w:type="character" w:customStyle="1" w:styleId="51">
    <w:name w:val="文档结构图 字符1"/>
    <w:link w:val="12"/>
    <w:qFormat/>
    <w:uiPriority w:val="0"/>
    <w:rPr>
      <w:rFonts w:ascii="宋体"/>
      <w:kern w:val="2"/>
      <w:sz w:val="18"/>
      <w:szCs w:val="18"/>
    </w:rPr>
  </w:style>
  <w:style w:type="character" w:customStyle="1" w:styleId="52">
    <w:name w:val="批注文字 字符2"/>
    <w:link w:val="13"/>
    <w:qFormat/>
    <w:uiPriority w:val="0"/>
    <w:rPr>
      <w:kern w:val="2"/>
      <w:sz w:val="21"/>
      <w:szCs w:val="24"/>
    </w:rPr>
  </w:style>
  <w:style w:type="character" w:customStyle="1" w:styleId="53">
    <w:name w:val="正文文本 3 字符1"/>
    <w:link w:val="14"/>
    <w:qFormat/>
    <w:uiPriority w:val="99"/>
    <w:rPr>
      <w:kern w:val="2"/>
      <w:sz w:val="16"/>
      <w:szCs w:val="16"/>
    </w:rPr>
  </w:style>
  <w:style w:type="character" w:customStyle="1" w:styleId="54">
    <w:name w:val="正文文本 字符1"/>
    <w:link w:val="3"/>
    <w:qFormat/>
    <w:uiPriority w:val="99"/>
    <w:rPr>
      <w:kern w:val="2"/>
      <w:sz w:val="21"/>
      <w:szCs w:val="24"/>
    </w:rPr>
  </w:style>
  <w:style w:type="character" w:customStyle="1" w:styleId="55">
    <w:name w:val="正文文本缩进 字符1"/>
    <w:link w:val="15"/>
    <w:qFormat/>
    <w:uiPriority w:val="0"/>
    <w:rPr>
      <w:rFonts w:ascii="宋体" w:hAnsi="Courier New" w:eastAsia="宋体"/>
      <w:spacing w:val="-4"/>
      <w:kern w:val="2"/>
      <w:sz w:val="18"/>
      <w:lang w:val="en-US" w:eastAsia="zh-CN" w:bidi="ar-SA"/>
    </w:rPr>
  </w:style>
  <w:style w:type="character" w:customStyle="1" w:styleId="56">
    <w:name w:val="纯文本 字符3"/>
    <w:link w:val="18"/>
    <w:qFormat/>
    <w:uiPriority w:val="0"/>
    <w:rPr>
      <w:rFonts w:ascii="宋体" w:hAnsi="Courier New" w:eastAsia="宋体"/>
      <w:kern w:val="2"/>
      <w:sz w:val="21"/>
      <w:lang w:val="en-US" w:eastAsia="zh-CN" w:bidi="ar-SA"/>
    </w:rPr>
  </w:style>
  <w:style w:type="character" w:customStyle="1" w:styleId="57">
    <w:name w:val="日期 字符1"/>
    <w:link w:val="20"/>
    <w:qFormat/>
    <w:uiPriority w:val="0"/>
    <w:rPr>
      <w:kern w:val="2"/>
      <w:sz w:val="21"/>
      <w:szCs w:val="24"/>
    </w:rPr>
  </w:style>
  <w:style w:type="character" w:customStyle="1" w:styleId="58">
    <w:name w:val="正文文本缩进 2 字符1"/>
    <w:link w:val="21"/>
    <w:qFormat/>
    <w:uiPriority w:val="0"/>
    <w:rPr>
      <w:kern w:val="2"/>
      <w:sz w:val="21"/>
      <w:szCs w:val="24"/>
    </w:rPr>
  </w:style>
  <w:style w:type="character" w:customStyle="1" w:styleId="59">
    <w:name w:val="批注框文本 字符1"/>
    <w:link w:val="22"/>
    <w:qFormat/>
    <w:uiPriority w:val="0"/>
    <w:rPr>
      <w:kern w:val="2"/>
      <w:sz w:val="18"/>
      <w:szCs w:val="18"/>
    </w:rPr>
  </w:style>
  <w:style w:type="character" w:customStyle="1" w:styleId="60">
    <w:name w:val="页脚 字符2"/>
    <w:qFormat/>
    <w:uiPriority w:val="99"/>
    <w:rPr>
      <w:kern w:val="2"/>
      <w:sz w:val="18"/>
      <w:szCs w:val="18"/>
    </w:rPr>
  </w:style>
  <w:style w:type="character" w:customStyle="1" w:styleId="61">
    <w:name w:val="页眉 字符2"/>
    <w:qFormat/>
    <w:uiPriority w:val="99"/>
    <w:rPr>
      <w:kern w:val="2"/>
      <w:sz w:val="18"/>
      <w:szCs w:val="18"/>
    </w:rPr>
  </w:style>
  <w:style w:type="character" w:customStyle="1" w:styleId="62">
    <w:name w:val="批注主题 字符1"/>
    <w:link w:val="34"/>
    <w:qFormat/>
    <w:uiPriority w:val="99"/>
    <w:rPr>
      <w:b/>
      <w:bCs/>
      <w:kern w:val="2"/>
      <w:sz w:val="21"/>
      <w:szCs w:val="24"/>
    </w:rPr>
  </w:style>
  <w:style w:type="character" w:customStyle="1" w:styleId="63">
    <w:name w:val="标题 1 字符2"/>
    <w:link w:val="4"/>
    <w:qFormat/>
    <w:uiPriority w:val="9"/>
    <w:rPr>
      <w:rFonts w:ascii="Times New Roman" w:hAnsi="Times New Roman" w:eastAsia="宋体" w:cs="Times New Roman"/>
      <w:b/>
      <w:bCs/>
      <w:kern w:val="44"/>
      <w:sz w:val="44"/>
      <w:szCs w:val="44"/>
    </w:rPr>
  </w:style>
  <w:style w:type="character" w:customStyle="1" w:styleId="64">
    <w:name w:val="标题 2 字符2"/>
    <w:link w:val="5"/>
    <w:qFormat/>
    <w:uiPriority w:val="0"/>
    <w:rPr>
      <w:rFonts w:ascii="Cambria" w:hAnsi="Cambria" w:eastAsia="宋体" w:cs="Times New Roman"/>
      <w:b/>
      <w:bCs/>
      <w:sz w:val="32"/>
      <w:szCs w:val="32"/>
    </w:rPr>
  </w:style>
  <w:style w:type="character" w:customStyle="1" w:styleId="65">
    <w:name w:val="页脚 字符3"/>
    <w:link w:val="23"/>
    <w:qFormat/>
    <w:uiPriority w:val="99"/>
    <w:rPr>
      <w:rFonts w:ascii="Times New Roman" w:hAnsi="Times New Roman" w:eastAsia="宋体" w:cs="Times New Roman"/>
      <w:sz w:val="18"/>
      <w:szCs w:val="18"/>
    </w:rPr>
  </w:style>
  <w:style w:type="character" w:customStyle="1" w:styleId="66">
    <w:name w:val="页眉 字符3"/>
    <w:link w:val="24"/>
    <w:qFormat/>
    <w:uiPriority w:val="99"/>
    <w:rPr>
      <w:rFonts w:ascii="Times New Roman" w:hAnsi="Times New Roman" w:eastAsia="宋体" w:cs="Times New Roman"/>
      <w:sz w:val="18"/>
      <w:szCs w:val="18"/>
    </w:rPr>
  </w:style>
  <w:style w:type="character" w:customStyle="1" w:styleId="67">
    <w:name w:val="页眉 字符"/>
    <w:qFormat/>
    <w:uiPriority w:val="99"/>
    <w:rPr>
      <w:rFonts w:ascii="Times New Roman" w:hAnsi="Times New Roman"/>
      <w:kern w:val="2"/>
      <w:sz w:val="18"/>
      <w:szCs w:val="18"/>
    </w:rPr>
  </w:style>
  <w:style w:type="character" w:customStyle="1" w:styleId="68">
    <w:name w:val="Char Char1"/>
    <w:qFormat/>
    <w:uiPriority w:val="0"/>
    <w:rPr>
      <w:rFonts w:ascii="宋体" w:hAnsi="Courier New" w:eastAsia="宋体"/>
      <w:kern w:val="2"/>
      <w:sz w:val="21"/>
      <w:lang w:val="en-US" w:eastAsia="zh-CN" w:bidi="ar-SA"/>
    </w:rPr>
  </w:style>
  <w:style w:type="character" w:customStyle="1" w:styleId="69">
    <w:name w:val="纯文本 字符2"/>
    <w:qFormat/>
    <w:uiPriority w:val="0"/>
    <w:rPr>
      <w:rFonts w:ascii="宋体" w:hAnsi="Courier New" w:eastAsia="宋体" w:cs="Courier New"/>
      <w:szCs w:val="21"/>
    </w:rPr>
  </w:style>
  <w:style w:type="character" w:customStyle="1" w:styleId="70">
    <w:name w:val="正文文本_"/>
    <w:link w:val="71"/>
    <w:qFormat/>
    <w:uiPriority w:val="0"/>
    <w:rPr>
      <w:rFonts w:ascii="MingLiU" w:hAnsi="MingLiU" w:eastAsia="MingLiU" w:cs="MingLiU"/>
      <w:spacing w:val="9"/>
      <w:sz w:val="19"/>
      <w:szCs w:val="19"/>
      <w:shd w:val="clear" w:color="auto" w:fill="FFFFFF"/>
    </w:rPr>
  </w:style>
  <w:style w:type="paragraph" w:customStyle="1" w:styleId="71">
    <w:name w:val="正文文本1"/>
    <w:basedOn w:val="1"/>
    <w:link w:val="70"/>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72">
    <w:name w:val="纯文本 Char1"/>
    <w:link w:val="73"/>
    <w:qFormat/>
    <w:uiPriority w:val="0"/>
    <w:rPr>
      <w:rFonts w:ascii="宋体" w:hAnsi="Courier New" w:eastAsia="宋体"/>
      <w:kern w:val="2"/>
      <w:sz w:val="21"/>
      <w:lang w:val="en-US" w:eastAsia="zh-CN" w:bidi="ar-SA"/>
    </w:rPr>
  </w:style>
  <w:style w:type="paragraph" w:customStyle="1" w:styleId="73">
    <w:name w:val="纯文本1"/>
    <w:basedOn w:val="1"/>
    <w:link w:val="72"/>
    <w:qFormat/>
    <w:uiPriority w:val="0"/>
    <w:rPr>
      <w:rFonts w:ascii="宋体" w:hAnsi="Courier New"/>
      <w:szCs w:val="20"/>
    </w:rPr>
  </w:style>
  <w:style w:type="character" w:customStyle="1" w:styleId="74">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7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6">
    <w:name w:val="页脚 字符"/>
    <w:qFormat/>
    <w:uiPriority w:val="99"/>
    <w:rPr>
      <w:sz w:val="18"/>
      <w:szCs w:val="18"/>
    </w:rPr>
  </w:style>
  <w:style w:type="character" w:customStyle="1" w:styleId="77">
    <w:name w:val="批注文字 字符1"/>
    <w:qFormat/>
    <w:uiPriority w:val="0"/>
    <w:rPr>
      <w:rFonts w:ascii="Times New Roman" w:hAnsi="Times New Roman"/>
      <w:kern w:val="2"/>
      <w:sz w:val="21"/>
      <w:szCs w:val="24"/>
    </w:rPr>
  </w:style>
  <w:style w:type="character" w:customStyle="1" w:styleId="78">
    <w:name w:val="正文2 Char Char"/>
    <w:link w:val="79"/>
    <w:qFormat/>
    <w:uiPriority w:val="0"/>
    <w:rPr>
      <w:kern w:val="2"/>
      <w:sz w:val="24"/>
    </w:rPr>
  </w:style>
  <w:style w:type="paragraph" w:customStyle="1" w:styleId="79">
    <w:name w:val="正文2"/>
    <w:basedOn w:val="1"/>
    <w:link w:val="78"/>
    <w:qFormat/>
    <w:uiPriority w:val="0"/>
    <w:pPr>
      <w:adjustRightInd w:val="0"/>
      <w:spacing w:before="156" w:line="360" w:lineRule="auto"/>
      <w:ind w:firstLine="510" w:firstLineChars="200"/>
    </w:pPr>
    <w:rPr>
      <w:sz w:val="24"/>
      <w:szCs w:val="20"/>
    </w:rPr>
  </w:style>
  <w:style w:type="character" w:customStyle="1" w:styleId="80">
    <w:name w:val="纯文本 Char_0"/>
    <w:link w:val="81"/>
    <w:qFormat/>
    <w:uiPriority w:val="0"/>
    <w:rPr>
      <w:rFonts w:ascii="宋体" w:hAnsi="Courier New"/>
      <w:kern w:val="2"/>
      <w:sz w:val="21"/>
      <w:szCs w:val="21"/>
    </w:rPr>
  </w:style>
  <w:style w:type="paragraph" w:customStyle="1" w:styleId="81">
    <w:name w:val="纯文本_0_0"/>
    <w:basedOn w:val="1"/>
    <w:link w:val="80"/>
    <w:qFormat/>
    <w:uiPriority w:val="0"/>
    <w:rPr>
      <w:rFonts w:ascii="宋体" w:hAnsi="Courier New"/>
      <w:szCs w:val="21"/>
    </w:rPr>
  </w:style>
  <w:style w:type="character" w:customStyle="1" w:styleId="82">
    <w:name w:val="批注文字 Char1"/>
    <w:qFormat/>
    <w:uiPriority w:val="0"/>
    <w:rPr>
      <w:rFonts w:ascii="Times New Roman" w:hAnsi="Times New Roman"/>
      <w:kern w:val="2"/>
      <w:sz w:val="21"/>
      <w:szCs w:val="24"/>
    </w:rPr>
  </w:style>
  <w:style w:type="paragraph" w:styleId="83">
    <w:name w:val="List Paragraph"/>
    <w:basedOn w:val="1"/>
    <w:qFormat/>
    <w:uiPriority w:val="34"/>
    <w:pPr>
      <w:ind w:firstLine="420" w:firstLineChars="200"/>
    </w:pPr>
  </w:style>
  <w:style w:type="paragraph" w:customStyle="1" w:styleId="84">
    <w:name w:val="Char Char Char1 Char Char Char Char Char Char Char"/>
    <w:basedOn w:val="1"/>
    <w:qFormat/>
    <w:uiPriority w:val="0"/>
  </w:style>
  <w:style w:type="paragraph" w:customStyle="1" w:styleId="85">
    <w:name w:val="Char Char Char"/>
    <w:basedOn w:val="1"/>
    <w:qFormat/>
    <w:uiPriority w:val="0"/>
    <w:rPr>
      <w:szCs w:val="20"/>
    </w:rPr>
  </w:style>
  <w:style w:type="paragraph" w:customStyle="1" w:styleId="86">
    <w:name w:val="Char Char Char Char Char Char Char Char Char Char Char Char"/>
    <w:basedOn w:val="1"/>
    <w:qFormat/>
    <w:uiPriority w:val="0"/>
    <w:pPr>
      <w:widowControl/>
      <w:spacing w:after="160" w:line="240" w:lineRule="exact"/>
      <w:jc w:val="left"/>
    </w:pPr>
  </w:style>
  <w:style w:type="paragraph" w:customStyle="1" w:styleId="87">
    <w:name w:val="列出段落1"/>
    <w:basedOn w:val="1"/>
    <w:qFormat/>
    <w:uiPriority w:val="34"/>
    <w:pPr>
      <w:spacing w:before="100" w:beforeAutospacing="1" w:after="100" w:afterAutospacing="1" w:line="360" w:lineRule="auto"/>
      <w:ind w:firstLine="420" w:firstLineChars="200"/>
    </w:pPr>
  </w:style>
  <w:style w:type="paragraph" w:customStyle="1" w:styleId="88">
    <w:name w:val="_Style 86"/>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9">
    <w:name w:val="样式 标题 2 + 非加粗 首行缩进:  2 字符"/>
    <w:basedOn w:val="5"/>
    <w:qFormat/>
    <w:uiPriority w:val="0"/>
    <w:pPr>
      <w:spacing w:before="0" w:after="0" w:line="600" w:lineRule="exact"/>
      <w:ind w:firstLine="640" w:firstLineChars="200"/>
      <w:jc w:val="left"/>
    </w:pPr>
    <w:rPr>
      <w:rFonts w:cs="宋体"/>
      <w:b w:val="0"/>
      <w:bCs w:val="0"/>
      <w:szCs w:val="20"/>
    </w:rPr>
  </w:style>
  <w:style w:type="paragraph" w:customStyle="1" w:styleId="90">
    <w:name w:val="Table Paragraph"/>
    <w:basedOn w:val="1"/>
    <w:qFormat/>
    <w:uiPriority w:val="1"/>
    <w:pPr>
      <w:jc w:val="left"/>
    </w:pPr>
    <w:rPr>
      <w:rFonts w:ascii="Calibri" w:hAnsi="Calibri"/>
      <w:kern w:val="0"/>
      <w:sz w:val="22"/>
      <w:szCs w:val="22"/>
      <w:lang w:eastAsia="en-US"/>
    </w:rPr>
  </w:style>
  <w:style w:type="paragraph" w:customStyle="1" w:styleId="91">
    <w:name w:val="Char"/>
    <w:basedOn w:val="1"/>
    <w:qFormat/>
    <w:uiPriority w:val="0"/>
    <w:rPr>
      <w:szCs w:val="21"/>
    </w:rPr>
  </w:style>
  <w:style w:type="paragraph" w:customStyle="1" w:styleId="92">
    <w:name w:val="Char Char Char Char Char Char Char"/>
    <w:basedOn w:val="1"/>
    <w:qFormat/>
    <w:uiPriority w:val="0"/>
  </w:style>
  <w:style w:type="paragraph" w:customStyle="1" w:styleId="93">
    <w:name w:val="Char Char Char Char Char Char Char1"/>
    <w:basedOn w:val="1"/>
    <w:qFormat/>
    <w:uiPriority w:val="0"/>
  </w:style>
  <w:style w:type="paragraph" w:customStyle="1" w:styleId="94">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95">
    <w:name w:val="Char Char Char Char Char Char Char Char Char Char Char Char1"/>
    <w:basedOn w:val="1"/>
    <w:qFormat/>
    <w:uiPriority w:val="0"/>
    <w:pPr>
      <w:widowControl/>
      <w:spacing w:after="160" w:line="240" w:lineRule="exact"/>
      <w:jc w:val="left"/>
    </w:pPr>
  </w:style>
  <w:style w:type="paragraph" w:customStyle="1" w:styleId="96">
    <w:name w:val="表格文字"/>
    <w:basedOn w:val="1"/>
    <w:next w:val="3"/>
    <w:qFormat/>
    <w:uiPriority w:val="0"/>
    <w:pPr>
      <w:adjustRightInd w:val="0"/>
      <w:spacing w:line="420" w:lineRule="atLeast"/>
      <w:jc w:val="left"/>
      <w:textAlignment w:val="baseline"/>
    </w:pPr>
    <w:rPr>
      <w:kern w:val="0"/>
    </w:rPr>
  </w:style>
  <w:style w:type="paragraph" w:customStyle="1" w:styleId="97">
    <w:name w:val="_Style 95"/>
    <w:qFormat/>
    <w:uiPriority w:val="0"/>
    <w:rPr>
      <w:rFonts w:ascii="Times New Roman" w:hAnsi="Times New Roman" w:eastAsia="宋体" w:cs="Times New Roman"/>
      <w:kern w:val="2"/>
      <w:sz w:val="21"/>
      <w:szCs w:val="24"/>
      <w:lang w:val="en-US" w:eastAsia="zh-CN" w:bidi="ar-SA"/>
    </w:rPr>
  </w:style>
  <w:style w:type="paragraph" w:customStyle="1" w:styleId="98">
    <w:name w:val="正文段"/>
    <w:basedOn w:val="1"/>
    <w:qFormat/>
    <w:uiPriority w:val="0"/>
    <w:pPr>
      <w:widowControl/>
      <w:snapToGrid w:val="0"/>
      <w:spacing w:after="156" w:afterLines="50"/>
      <w:ind w:firstLine="200" w:firstLineChars="200"/>
    </w:pPr>
    <w:rPr>
      <w:kern w:val="0"/>
      <w:sz w:val="24"/>
      <w:szCs w:val="20"/>
    </w:rPr>
  </w:style>
  <w:style w:type="paragraph" w:customStyle="1" w:styleId="99">
    <w:name w:val="Char Char Char Char"/>
    <w:basedOn w:val="1"/>
    <w:qFormat/>
    <w:uiPriority w:val="0"/>
    <w:pPr>
      <w:widowControl/>
      <w:spacing w:after="160" w:line="240" w:lineRule="exact"/>
      <w:jc w:val="left"/>
    </w:pPr>
  </w:style>
  <w:style w:type="paragraph" w:customStyle="1" w:styleId="100">
    <w:name w:val="Char1"/>
    <w:basedOn w:val="1"/>
    <w:qFormat/>
    <w:uiPriority w:val="0"/>
  </w:style>
  <w:style w:type="paragraph" w:customStyle="1" w:styleId="101">
    <w:name w:val="Char Char Char Char1"/>
    <w:basedOn w:val="1"/>
    <w:qFormat/>
    <w:uiPriority w:val="0"/>
    <w:pPr>
      <w:widowControl/>
      <w:spacing w:after="160" w:line="240" w:lineRule="exact"/>
      <w:jc w:val="left"/>
    </w:pPr>
  </w:style>
  <w:style w:type="paragraph" w:customStyle="1" w:styleId="102">
    <w:name w:val="样式 标题 1 + 居中 段前: 0 磅 段后: 0 磅 行距: 固定值 30 磅"/>
    <w:basedOn w:val="4"/>
    <w:qFormat/>
    <w:uiPriority w:val="0"/>
    <w:pPr>
      <w:spacing w:before="0" w:after="0" w:line="600" w:lineRule="exact"/>
      <w:jc w:val="center"/>
    </w:pPr>
    <w:rPr>
      <w:rFonts w:cs="宋体"/>
      <w:szCs w:val="20"/>
    </w:rPr>
  </w:style>
  <w:style w:type="paragraph" w:customStyle="1" w:styleId="103">
    <w:name w:val="正文缩进1"/>
    <w:basedOn w:val="1"/>
    <w:next w:val="15"/>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04">
    <w:name w:val="p0"/>
    <w:basedOn w:val="1"/>
    <w:qFormat/>
    <w:uiPriority w:val="0"/>
    <w:pPr>
      <w:widowControl/>
    </w:pPr>
    <w:rPr>
      <w:kern w:val="0"/>
      <w:szCs w:val="21"/>
    </w:rPr>
  </w:style>
  <w:style w:type="paragraph" w:customStyle="1" w:styleId="105">
    <w:name w:val="默认段落字体 Para Char Char Char Char Char Char Char Char Char1 Char Char Char Char"/>
    <w:basedOn w:val="1"/>
    <w:qFormat/>
    <w:uiPriority w:val="0"/>
    <w:rPr>
      <w:rFonts w:ascii="Tahoma" w:hAnsi="Tahoma"/>
      <w:sz w:val="24"/>
      <w:szCs w:val="20"/>
    </w:rPr>
  </w:style>
  <w:style w:type="character" w:customStyle="1" w:styleId="106">
    <w:name w:val="正文文本 字符"/>
    <w:qFormat/>
    <w:uiPriority w:val="99"/>
    <w:rPr>
      <w:kern w:val="2"/>
      <w:sz w:val="21"/>
      <w:szCs w:val="24"/>
    </w:rPr>
  </w:style>
  <w:style w:type="character" w:customStyle="1" w:styleId="107">
    <w:name w:val="纯文本 字符"/>
    <w:qFormat/>
    <w:uiPriority w:val="0"/>
    <w:rPr>
      <w:rFonts w:ascii="宋体" w:hAnsi="Courier New"/>
      <w:kern w:val="2"/>
      <w:sz w:val="21"/>
    </w:rPr>
  </w:style>
  <w:style w:type="character" w:customStyle="1" w:styleId="108">
    <w:name w:val="标题 3 字符"/>
    <w:qFormat/>
    <w:uiPriority w:val="0"/>
    <w:rPr>
      <w:b/>
      <w:bCs/>
      <w:kern w:val="2"/>
      <w:sz w:val="32"/>
      <w:szCs w:val="32"/>
    </w:rPr>
  </w:style>
  <w:style w:type="character" w:customStyle="1" w:styleId="109">
    <w:name w:val="标题 4 字符"/>
    <w:qFormat/>
    <w:uiPriority w:val="0"/>
    <w:rPr>
      <w:rFonts w:ascii="Arial" w:eastAsia="黑体"/>
      <w:sz w:val="28"/>
    </w:rPr>
  </w:style>
  <w:style w:type="character" w:customStyle="1" w:styleId="110">
    <w:name w:val="标题 5 字符"/>
    <w:qFormat/>
    <w:uiPriority w:val="9"/>
    <w:rPr>
      <w:b/>
      <w:bCs/>
      <w:kern w:val="2"/>
      <w:sz w:val="28"/>
      <w:szCs w:val="28"/>
    </w:rPr>
  </w:style>
  <w:style w:type="character" w:customStyle="1" w:styleId="111">
    <w:name w:val="文档结构图 字符"/>
    <w:qFormat/>
    <w:uiPriority w:val="0"/>
    <w:rPr>
      <w:rFonts w:ascii="宋体"/>
      <w:kern w:val="2"/>
      <w:sz w:val="18"/>
      <w:szCs w:val="18"/>
    </w:rPr>
  </w:style>
  <w:style w:type="character" w:customStyle="1" w:styleId="112">
    <w:name w:val="批注文字 字符"/>
    <w:qFormat/>
    <w:uiPriority w:val="0"/>
    <w:rPr>
      <w:kern w:val="2"/>
      <w:sz w:val="21"/>
      <w:szCs w:val="24"/>
    </w:rPr>
  </w:style>
  <w:style w:type="character" w:customStyle="1" w:styleId="113">
    <w:name w:val="正文文本 3 字符"/>
    <w:qFormat/>
    <w:uiPriority w:val="99"/>
    <w:rPr>
      <w:kern w:val="2"/>
      <w:sz w:val="16"/>
      <w:szCs w:val="16"/>
    </w:rPr>
  </w:style>
  <w:style w:type="character" w:customStyle="1" w:styleId="114">
    <w:name w:val="正文文本缩进 字符"/>
    <w:qFormat/>
    <w:uiPriority w:val="0"/>
    <w:rPr>
      <w:rFonts w:ascii="宋体" w:hAnsi="Courier New"/>
      <w:spacing w:val="-4"/>
      <w:kern w:val="2"/>
      <w:sz w:val="18"/>
    </w:rPr>
  </w:style>
  <w:style w:type="character" w:customStyle="1" w:styleId="115">
    <w:name w:val="日期 字符"/>
    <w:qFormat/>
    <w:uiPriority w:val="0"/>
    <w:rPr>
      <w:kern w:val="2"/>
      <w:sz w:val="21"/>
      <w:szCs w:val="24"/>
    </w:rPr>
  </w:style>
  <w:style w:type="character" w:customStyle="1" w:styleId="116">
    <w:name w:val="正文文本缩进 2 字符"/>
    <w:qFormat/>
    <w:uiPriority w:val="0"/>
    <w:rPr>
      <w:kern w:val="2"/>
      <w:sz w:val="21"/>
      <w:szCs w:val="24"/>
    </w:rPr>
  </w:style>
  <w:style w:type="character" w:customStyle="1" w:styleId="117">
    <w:name w:val="批注框文本 字符"/>
    <w:qFormat/>
    <w:uiPriority w:val="0"/>
    <w:rPr>
      <w:kern w:val="2"/>
      <w:sz w:val="18"/>
      <w:szCs w:val="18"/>
    </w:rPr>
  </w:style>
  <w:style w:type="character" w:customStyle="1" w:styleId="118">
    <w:name w:val="页脚 字符1"/>
    <w:qFormat/>
    <w:uiPriority w:val="99"/>
    <w:rPr>
      <w:kern w:val="2"/>
      <w:sz w:val="18"/>
      <w:szCs w:val="18"/>
    </w:rPr>
  </w:style>
  <w:style w:type="character" w:customStyle="1" w:styleId="119">
    <w:name w:val="页眉 字符1"/>
    <w:qFormat/>
    <w:uiPriority w:val="99"/>
    <w:rPr>
      <w:kern w:val="2"/>
      <w:sz w:val="18"/>
      <w:szCs w:val="18"/>
    </w:rPr>
  </w:style>
  <w:style w:type="character" w:customStyle="1" w:styleId="120">
    <w:name w:val="批注主题 字符"/>
    <w:qFormat/>
    <w:uiPriority w:val="99"/>
    <w:rPr>
      <w:b/>
      <w:bCs/>
      <w:kern w:val="2"/>
      <w:sz w:val="21"/>
      <w:szCs w:val="24"/>
    </w:rPr>
  </w:style>
  <w:style w:type="paragraph" w:customStyle="1" w:styleId="121">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2">
    <w:name w:val="纯文本 字符1"/>
    <w:semiHidden/>
    <w:qFormat/>
    <w:locked/>
    <w:uiPriority w:val="0"/>
    <w:rPr>
      <w:rFonts w:ascii="宋体" w:hAnsi="Courier New"/>
      <w:kern w:val="2"/>
      <w:sz w:val="21"/>
    </w:rPr>
  </w:style>
  <w:style w:type="paragraph" w:customStyle="1" w:styleId="123">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24">
    <w:name w:val="Default"/>
    <w:qFormat/>
    <w:uiPriority w:val="0"/>
    <w:pPr>
      <w:widowControl w:val="0"/>
      <w:autoSpaceDE w:val="0"/>
      <w:autoSpaceDN w:val="0"/>
      <w:adjustRightInd w:val="0"/>
    </w:pPr>
    <w:rPr>
      <w:rFonts w:ascii="方正小标宋简体" w:hAnsi="方正小标宋简体" w:eastAsia="方正小标宋简体" w:cs="Times New Roman"/>
      <w:color w:val="000000"/>
      <w:sz w:val="24"/>
      <w:szCs w:val="22"/>
      <w:lang w:val="en-US" w:eastAsia="zh-CN" w:bidi="ar-SA"/>
    </w:rPr>
  </w:style>
  <w:style w:type="paragraph" w:customStyle="1" w:styleId="125">
    <w:name w:val="Table Text"/>
    <w:qFormat/>
    <w:uiPriority w:val="0"/>
    <w:pPr>
      <w:snapToGrid w:val="0"/>
      <w:spacing w:before="80" w:after="80"/>
    </w:pPr>
    <w:rPr>
      <w:rFonts w:ascii="Arial" w:hAnsi="Arial" w:eastAsia="宋体" w:cs="Arial"/>
      <w:sz w:val="18"/>
      <w:szCs w:val="18"/>
      <w:lang w:val="en-US" w:eastAsia="zh-CN" w:bidi="ar-SA"/>
    </w:rPr>
  </w:style>
  <w:style w:type="table" w:customStyle="1" w:styleId="126">
    <w:name w:val="Table Normal"/>
    <w:unhideWhenUsed/>
    <w:qFormat/>
    <w:uiPriority w:val="0"/>
    <w:tblPr>
      <w:tblCellMar>
        <w:top w:w="0" w:type="dxa"/>
        <w:left w:w="0" w:type="dxa"/>
        <w:bottom w:w="0" w:type="dxa"/>
        <w:right w:w="0" w:type="dxa"/>
      </w:tblCellMar>
    </w:tblPr>
  </w:style>
  <w:style w:type="character" w:customStyle="1" w:styleId="127">
    <w:name w:val="xdrichtextbox2"/>
    <w:qFormat/>
    <w:uiPriority w:val="0"/>
  </w:style>
  <w:style w:type="paragraph" w:customStyle="1" w:styleId="128">
    <w:name w:val="一、级标题"/>
    <w:basedOn w:val="1"/>
    <w:qFormat/>
    <w:uiPriority w:val="0"/>
    <w:pPr>
      <w:ind w:firstLine="880" w:firstLineChars="200"/>
    </w:pPr>
    <w:rPr>
      <w:rFonts w:ascii="黑体" w:hAnsi="黑体" w:eastAsia="黑体" w:cs="仿宋_GB2312"/>
      <w:sz w:val="32"/>
      <w:szCs w:val="32"/>
    </w:rPr>
  </w:style>
  <w:style w:type="paragraph" w:customStyle="1" w:styleId="129">
    <w:name w:val="p15"/>
    <w:basedOn w:val="1"/>
    <w:qFormat/>
    <w:uiPriority w:val="0"/>
    <w:pPr>
      <w:widowControl/>
    </w:pPr>
    <w:rPr>
      <w:rFonts w:ascii="宋体" w:hAnsi="宋体" w:cs="宋体"/>
      <w:kern w:val="0"/>
      <w:szCs w:val="21"/>
    </w:rPr>
  </w:style>
  <w:style w:type="paragraph" w:customStyle="1" w:styleId="130">
    <w:name w:val="0正文"/>
    <w:qFormat/>
    <w:uiPriority w:val="0"/>
    <w:pPr>
      <w:widowControl w:val="0"/>
      <w:spacing w:line="360" w:lineRule="auto"/>
      <w:ind w:firstLine="200" w:firstLineChars="200"/>
    </w:pPr>
    <w:rPr>
      <w:rFonts w:ascii="Calibri" w:hAnsi="Calibri" w:eastAsia="宋体" w:cs="Times New Roman"/>
      <w:sz w:val="24"/>
      <w:szCs w:val="22"/>
      <w:lang w:val="en-US" w:eastAsia="zh-CN" w:bidi="ar-SA"/>
    </w:rPr>
  </w:style>
  <w:style w:type="paragraph" w:customStyle="1" w:styleId="131">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3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admin</Company>
  <Pages>89</Pages>
  <Words>49542</Words>
  <Characters>52010</Characters>
  <Lines>427</Lines>
  <Paragraphs>120</Paragraphs>
  <TotalTime>17</TotalTime>
  <ScaleCrop>false</ScaleCrop>
  <LinksUpToDate>false</LinksUpToDate>
  <CharactersWithSpaces>57789</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2026-07-06T15:12:00Z</dcterms:created>
  <dc:creator>丁琳</dc:creator>
  <cp:lastModifiedBy>奉云</cp:lastModifiedBy>
  <cp:lastPrinted>2026-03-05T23:11:00Z</cp:lastPrinted>
  <dcterms:modified xsi:type="dcterms:W3CDTF">2026-08-04T07:58:52Z</dcterms:modified>
  <dc:title>南财采管〔2012〕3号</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C56346087A7D4B90A8C8D43998A9B8A6_13</vt:lpwstr>
  </property>
  <property fmtid="{D5CDD505-2E9C-101B-9397-08002B2CF9AE}" pid="4" name="KSOTemplateDocerSaveRecord">
    <vt:lpwstr>eyJoZGlkIjoiZjYyMThmOTExNWMyZjFkNWE5NDUwMTJiNDgwYTM0ZWUiLCJ1c2VySWQiOiI3MTE5ODQ3NDkifQ==</vt:lpwstr>
  </property>
</Properties>
</file>