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1C6A2D">
      <w:pPr>
        <w:pStyle w:val="19"/>
        <w:kinsoku w:val="0"/>
        <w:overflowPunct w:val="0"/>
        <w:rPr>
          <w:color w:val="auto"/>
          <w:highlight w:val="none"/>
        </w:rPr>
      </w:pPr>
      <w:bookmarkStart w:id="0" w:name="_Toc183682338"/>
      <w:bookmarkStart w:id="1" w:name="_Toc217446030"/>
      <w:r>
        <w:rPr>
          <w:rFonts w:hint="eastAsia"/>
          <w:color w:val="auto"/>
          <w:highlight w:val="none"/>
          <w:lang w:eastAsia="zh-CN"/>
        </w:rPr>
        <w:drawing>
          <wp:anchor distT="0" distB="0" distL="114300" distR="114300" simplePos="0" relativeHeight="251662336" behindDoc="1" locked="0" layoutInCell="1" allowOverlap="1">
            <wp:simplePos x="0" y="0"/>
            <wp:positionH relativeFrom="column">
              <wp:posOffset>-901065</wp:posOffset>
            </wp:positionH>
            <wp:positionV relativeFrom="paragraph">
              <wp:posOffset>-983615</wp:posOffset>
            </wp:positionV>
            <wp:extent cx="7574915" cy="10854690"/>
            <wp:effectExtent l="0" t="0" r="6985" b="381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18"/>
                    <a:stretch>
                      <a:fillRect/>
                    </a:stretch>
                  </pic:blipFill>
                  <pic:spPr>
                    <a:xfrm>
                      <a:off x="0" y="0"/>
                      <a:ext cx="7574915" cy="10854690"/>
                    </a:xfrm>
                    <a:prstGeom prst="rect">
                      <a:avLst/>
                    </a:prstGeom>
                  </pic:spPr>
                </pic:pic>
              </a:graphicData>
            </a:graphic>
          </wp:anchor>
        </w:drawing>
      </w:r>
      <w:r>
        <w:rPr>
          <w:color w:val="auto"/>
          <w:highlight w:val="none"/>
        </w:rPr>
        <w:t xml:space="preserve"> </w:t>
      </w:r>
    </w:p>
    <w:p w14:paraId="520B3865">
      <w:pPr>
        <w:tabs>
          <w:tab w:val="left" w:pos="1710"/>
        </w:tabs>
        <w:rPr>
          <w:color w:val="auto"/>
          <w:highlight w:val="none"/>
        </w:rPr>
      </w:pPr>
    </w:p>
    <w:p w14:paraId="108AB8C7">
      <w:pPr>
        <w:tabs>
          <w:tab w:val="left" w:pos="1710"/>
        </w:tabs>
        <w:rPr>
          <w:color w:val="auto"/>
          <w:highlight w:val="none"/>
        </w:rPr>
      </w:pPr>
    </w:p>
    <w:p w14:paraId="2658D768">
      <w:pPr>
        <w:tabs>
          <w:tab w:val="left" w:pos="1710"/>
        </w:tabs>
        <w:rPr>
          <w:color w:val="auto"/>
          <w:highlight w:val="none"/>
        </w:rPr>
      </w:pPr>
    </w:p>
    <w:p w14:paraId="7DD2E9F2">
      <w:pPr>
        <w:tabs>
          <w:tab w:val="left" w:pos="1710"/>
        </w:tabs>
        <w:rPr>
          <w:color w:val="auto"/>
          <w:highlight w:val="none"/>
        </w:rPr>
      </w:pPr>
    </w:p>
    <w:p w14:paraId="0FEDE1ED">
      <w:pPr>
        <w:tabs>
          <w:tab w:val="left" w:pos="1710"/>
        </w:tabs>
        <w:rPr>
          <w:color w:val="auto"/>
          <w:highlight w:val="none"/>
        </w:rPr>
      </w:pPr>
      <w:r>
        <w:rPr>
          <w:rFonts w:hint="eastAsia" w:eastAsia="宋体"/>
          <w:color w:val="auto"/>
          <w:highlight w:val="none"/>
          <w:lang w:eastAsia="zh-CN"/>
        </w:rPr>
        <w:drawing>
          <wp:anchor distT="0" distB="0" distL="114300" distR="114300" simplePos="0" relativeHeight="251661312" behindDoc="0" locked="0" layoutInCell="1" allowOverlap="1">
            <wp:simplePos x="0" y="0"/>
            <wp:positionH relativeFrom="column">
              <wp:posOffset>534035</wp:posOffset>
            </wp:positionH>
            <wp:positionV relativeFrom="paragraph">
              <wp:posOffset>34290</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19"/>
                    <a:stretch>
                      <a:fillRect/>
                    </a:stretch>
                  </pic:blipFill>
                  <pic:spPr>
                    <a:xfrm>
                      <a:off x="0" y="0"/>
                      <a:ext cx="4654550" cy="584200"/>
                    </a:xfrm>
                    <a:prstGeom prst="rect">
                      <a:avLst/>
                    </a:prstGeom>
                  </pic:spPr>
                </pic:pic>
              </a:graphicData>
            </a:graphic>
          </wp:anchor>
        </w:drawing>
      </w:r>
    </w:p>
    <w:p w14:paraId="1B003C51">
      <w:pPr>
        <w:tabs>
          <w:tab w:val="left" w:pos="1710"/>
        </w:tabs>
        <w:rPr>
          <w:color w:val="auto"/>
          <w:highlight w:val="none"/>
        </w:rPr>
      </w:pPr>
    </w:p>
    <w:p w14:paraId="4361BFD2">
      <w:pPr>
        <w:tabs>
          <w:tab w:val="left" w:pos="1710"/>
        </w:tabs>
        <w:rPr>
          <w:color w:val="auto"/>
          <w:highlight w:val="none"/>
        </w:rPr>
      </w:pPr>
    </w:p>
    <w:p w14:paraId="7546FB67">
      <w:pPr>
        <w:tabs>
          <w:tab w:val="left" w:pos="1710"/>
        </w:tabs>
        <w:rPr>
          <w:color w:val="auto"/>
          <w:highlight w:val="none"/>
        </w:rPr>
      </w:pPr>
    </w:p>
    <w:p w14:paraId="23590435">
      <w:pPr>
        <w:tabs>
          <w:tab w:val="left" w:pos="1710"/>
        </w:tabs>
        <w:rPr>
          <w:color w:val="auto"/>
          <w:highlight w:val="none"/>
        </w:rPr>
      </w:pPr>
    </w:p>
    <w:p w14:paraId="6629107B">
      <w:pPr>
        <w:tabs>
          <w:tab w:val="left" w:pos="1710"/>
        </w:tabs>
        <w:rPr>
          <w:color w:val="auto"/>
          <w:highlight w:val="none"/>
        </w:rPr>
      </w:pPr>
    </w:p>
    <w:p w14:paraId="7096B151">
      <w:pPr>
        <w:tabs>
          <w:tab w:val="left" w:pos="1710"/>
        </w:tabs>
        <w:rPr>
          <w:color w:val="auto"/>
          <w:highlight w:val="none"/>
        </w:rPr>
      </w:pPr>
    </w:p>
    <w:p w14:paraId="02B8E730">
      <w:pPr>
        <w:tabs>
          <w:tab w:val="left" w:pos="1710"/>
        </w:tabs>
        <w:rPr>
          <w:color w:val="auto"/>
          <w:highlight w:val="none"/>
        </w:rPr>
      </w:pPr>
    </w:p>
    <w:p w14:paraId="5DDC704C">
      <w:pPr>
        <w:tabs>
          <w:tab w:val="left" w:pos="1710"/>
        </w:tabs>
        <w:rPr>
          <w:color w:val="auto"/>
          <w:highlight w:val="none"/>
        </w:rPr>
      </w:pPr>
    </w:p>
    <w:p w14:paraId="37C0E993">
      <w:pPr>
        <w:tabs>
          <w:tab w:val="left" w:pos="1710"/>
        </w:tabs>
        <w:rPr>
          <w:color w:val="auto"/>
          <w:highlight w:val="none"/>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5"/>
        <w:gridCol w:w="5895"/>
      </w:tblGrid>
      <w:tr w14:paraId="28CB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1" w:hRule="atLeast"/>
          <w:jc w:val="center"/>
        </w:trPr>
        <w:tc>
          <w:tcPr>
            <w:tcW w:w="8640" w:type="dxa"/>
            <w:gridSpan w:val="2"/>
            <w:tcBorders>
              <w:top w:val="nil"/>
              <w:left w:val="nil"/>
              <w:right w:val="nil"/>
            </w:tcBorders>
            <w:noWrap w:val="0"/>
            <w:vAlign w:val="top"/>
          </w:tcPr>
          <w:p w14:paraId="47309876">
            <w:pPr>
              <w:snapToGrid w:val="0"/>
              <w:spacing w:line="240" w:lineRule="atLeast"/>
              <w:jc w:val="center"/>
              <w:rPr>
                <w:b/>
                <w:color w:val="auto"/>
                <w:sz w:val="60"/>
                <w:szCs w:val="60"/>
                <w:highlight w:val="none"/>
              </w:rPr>
            </w:pPr>
            <w:r>
              <w:rPr>
                <w:rFonts w:hint="eastAsia"/>
                <w:b/>
                <w:color w:val="auto"/>
                <w:sz w:val="60"/>
                <w:szCs w:val="60"/>
                <w:highlight w:val="none"/>
              </w:rPr>
              <w:t>招</w:t>
            </w:r>
            <w:r>
              <w:rPr>
                <w:rFonts w:hint="eastAsia"/>
                <w:b/>
                <w:color w:val="auto"/>
                <w:sz w:val="60"/>
                <w:szCs w:val="60"/>
                <w:highlight w:val="none"/>
                <w:lang w:val="en-US" w:eastAsia="zh-CN"/>
              </w:rPr>
              <w:t xml:space="preserve">  </w:t>
            </w:r>
            <w:r>
              <w:rPr>
                <w:rFonts w:hint="eastAsia"/>
                <w:b/>
                <w:color w:val="auto"/>
                <w:sz w:val="60"/>
                <w:szCs w:val="60"/>
                <w:highlight w:val="none"/>
              </w:rPr>
              <w:t>标</w:t>
            </w:r>
            <w:r>
              <w:rPr>
                <w:rFonts w:hint="eastAsia"/>
                <w:b/>
                <w:color w:val="auto"/>
                <w:sz w:val="60"/>
                <w:szCs w:val="60"/>
                <w:highlight w:val="none"/>
                <w:lang w:val="en-US" w:eastAsia="zh-CN"/>
              </w:rPr>
              <w:t xml:space="preserve">  </w:t>
            </w:r>
            <w:r>
              <w:rPr>
                <w:b/>
                <w:color w:val="auto"/>
                <w:sz w:val="60"/>
                <w:szCs w:val="60"/>
                <w:highlight w:val="none"/>
              </w:rPr>
              <w:t>文</w:t>
            </w:r>
            <w:r>
              <w:rPr>
                <w:rFonts w:hint="eastAsia"/>
                <w:b/>
                <w:color w:val="auto"/>
                <w:sz w:val="60"/>
                <w:szCs w:val="60"/>
                <w:highlight w:val="none"/>
                <w:lang w:val="en-US" w:eastAsia="zh-CN"/>
              </w:rPr>
              <w:t xml:space="preserve">  </w:t>
            </w:r>
            <w:r>
              <w:rPr>
                <w:b/>
                <w:color w:val="auto"/>
                <w:sz w:val="60"/>
                <w:szCs w:val="60"/>
                <w:highlight w:val="none"/>
              </w:rPr>
              <w:t>件</w:t>
            </w:r>
          </w:p>
        </w:tc>
      </w:tr>
      <w:tr w14:paraId="11A3A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exact"/>
          <w:jc w:val="center"/>
        </w:trPr>
        <w:tc>
          <w:tcPr>
            <w:tcW w:w="2745" w:type="dxa"/>
            <w:noWrap w:val="0"/>
            <w:vAlign w:val="center"/>
          </w:tcPr>
          <w:p w14:paraId="69C7E078">
            <w:pPr>
              <w:rPr>
                <w:b/>
                <w:color w:val="auto"/>
                <w:sz w:val="32"/>
                <w:szCs w:val="32"/>
                <w:highlight w:val="none"/>
              </w:rPr>
            </w:pPr>
            <w:r>
              <w:rPr>
                <w:b/>
                <w:color w:val="auto"/>
                <w:sz w:val="32"/>
                <w:szCs w:val="32"/>
                <w:highlight w:val="none"/>
              </w:rPr>
              <w:t>项目名称：</w:t>
            </w:r>
          </w:p>
        </w:tc>
        <w:tc>
          <w:tcPr>
            <w:tcW w:w="5895" w:type="dxa"/>
            <w:noWrap w:val="0"/>
            <w:vAlign w:val="center"/>
          </w:tcPr>
          <w:p w14:paraId="0794A5D7">
            <w:pPr>
              <w:rPr>
                <w:rFonts w:hint="eastAsia" w:eastAsia="宋体"/>
                <w:b/>
                <w:color w:val="auto"/>
                <w:sz w:val="32"/>
                <w:szCs w:val="32"/>
                <w:highlight w:val="none"/>
                <w:lang w:eastAsia="zh-CN"/>
              </w:rPr>
            </w:pPr>
            <w:r>
              <w:rPr>
                <w:rFonts w:hint="eastAsia"/>
                <w:b/>
                <w:color w:val="auto"/>
                <w:sz w:val="32"/>
                <w:szCs w:val="32"/>
                <w:highlight w:val="none"/>
                <w:lang w:eastAsia="zh-CN"/>
              </w:rPr>
              <w:t>广西壮族自治区人工影响天气水资源保障工程-机动集成作业系统</w:t>
            </w:r>
          </w:p>
        </w:tc>
      </w:tr>
      <w:tr w14:paraId="00375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exact"/>
          <w:jc w:val="center"/>
        </w:trPr>
        <w:tc>
          <w:tcPr>
            <w:tcW w:w="2745" w:type="dxa"/>
            <w:noWrap w:val="0"/>
            <w:vAlign w:val="center"/>
          </w:tcPr>
          <w:p w14:paraId="6112CAC4">
            <w:pPr>
              <w:rPr>
                <w:b/>
                <w:color w:val="auto"/>
                <w:sz w:val="32"/>
                <w:szCs w:val="32"/>
                <w:highlight w:val="none"/>
              </w:rPr>
            </w:pPr>
            <w:r>
              <w:rPr>
                <w:b/>
                <w:color w:val="auto"/>
                <w:sz w:val="32"/>
                <w:szCs w:val="32"/>
                <w:highlight w:val="none"/>
              </w:rPr>
              <w:t>项目编号：</w:t>
            </w:r>
          </w:p>
        </w:tc>
        <w:tc>
          <w:tcPr>
            <w:tcW w:w="5895" w:type="dxa"/>
            <w:noWrap w:val="0"/>
            <w:vAlign w:val="center"/>
          </w:tcPr>
          <w:p w14:paraId="51DCDB7A">
            <w:pPr>
              <w:rPr>
                <w:rFonts w:hint="eastAsia" w:eastAsia="宋体"/>
                <w:b/>
                <w:color w:val="auto"/>
                <w:sz w:val="32"/>
                <w:szCs w:val="32"/>
                <w:highlight w:val="none"/>
                <w:lang w:eastAsia="zh-CN"/>
              </w:rPr>
            </w:pPr>
            <w:r>
              <w:rPr>
                <w:rFonts w:hint="eastAsia"/>
                <w:b/>
                <w:color w:val="auto"/>
                <w:sz w:val="32"/>
                <w:szCs w:val="32"/>
                <w:highlight w:val="none"/>
                <w:lang w:eastAsia="zh-CN"/>
              </w:rPr>
              <w:t>GXZC2026-G1-001472-JDZB</w:t>
            </w:r>
          </w:p>
        </w:tc>
      </w:tr>
      <w:tr w14:paraId="62E19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exact"/>
          <w:jc w:val="center"/>
        </w:trPr>
        <w:tc>
          <w:tcPr>
            <w:tcW w:w="2745" w:type="dxa"/>
            <w:noWrap w:val="0"/>
            <w:vAlign w:val="center"/>
          </w:tcPr>
          <w:p w14:paraId="76E4E463">
            <w:pPr>
              <w:rPr>
                <w:b/>
                <w:color w:val="auto"/>
                <w:sz w:val="32"/>
                <w:szCs w:val="32"/>
                <w:highlight w:val="none"/>
              </w:rPr>
            </w:pPr>
            <w:r>
              <w:rPr>
                <w:b/>
                <w:color w:val="auto"/>
                <w:sz w:val="32"/>
                <w:szCs w:val="32"/>
                <w:highlight w:val="none"/>
              </w:rPr>
              <w:t>联系电话：</w:t>
            </w:r>
          </w:p>
        </w:tc>
        <w:tc>
          <w:tcPr>
            <w:tcW w:w="5895" w:type="dxa"/>
            <w:noWrap w:val="0"/>
            <w:vAlign w:val="center"/>
          </w:tcPr>
          <w:p w14:paraId="018683FC">
            <w:pPr>
              <w:rPr>
                <w:b/>
                <w:color w:val="auto"/>
                <w:sz w:val="32"/>
                <w:szCs w:val="32"/>
                <w:highlight w:val="none"/>
              </w:rPr>
            </w:pPr>
            <w:r>
              <w:rPr>
                <w:rFonts w:hint="eastAsia"/>
                <w:b/>
                <w:color w:val="auto"/>
                <w:sz w:val="32"/>
                <w:szCs w:val="32"/>
                <w:highlight w:val="none"/>
              </w:rPr>
              <w:t>0771-2808981</w:t>
            </w:r>
          </w:p>
        </w:tc>
      </w:tr>
    </w:tbl>
    <w:p w14:paraId="4E3654C9">
      <w:pPr>
        <w:tabs>
          <w:tab w:val="left" w:pos="1710"/>
        </w:tabs>
        <w:rPr>
          <w:color w:val="auto"/>
          <w:highlight w:val="none"/>
        </w:rPr>
      </w:pPr>
    </w:p>
    <w:p w14:paraId="7D5CBD10">
      <w:pPr>
        <w:rPr>
          <w:color w:val="auto"/>
          <w:highlight w:val="none"/>
        </w:rPr>
      </w:pPr>
    </w:p>
    <w:p w14:paraId="0A04569D">
      <w:pPr>
        <w:rPr>
          <w:color w:val="auto"/>
          <w:highlight w:val="none"/>
        </w:rPr>
      </w:pPr>
    </w:p>
    <w:p w14:paraId="087EC08C">
      <w:pPr>
        <w:widowControl/>
        <w:jc w:val="left"/>
        <w:rPr>
          <w:rFonts w:hint="eastAsia" w:ascii="宋体" w:hAnsi="宋体" w:cs="宋体"/>
          <w:color w:val="auto"/>
          <w:kern w:val="0"/>
          <w:sz w:val="24"/>
          <w:highlight w:val="none"/>
        </w:rPr>
      </w:pPr>
    </w:p>
    <w:p w14:paraId="166DDBD8">
      <w:pPr>
        <w:rPr>
          <w:color w:val="auto"/>
          <w:highlight w:val="none"/>
        </w:rPr>
      </w:pPr>
    </w:p>
    <w:p w14:paraId="4312E085">
      <w:pPr>
        <w:rPr>
          <w:color w:val="auto"/>
          <w:highlight w:val="none"/>
        </w:rPr>
      </w:pPr>
    </w:p>
    <w:p w14:paraId="5C7AED42">
      <w:pPr>
        <w:rPr>
          <w:color w:val="auto"/>
          <w:highlight w:val="none"/>
        </w:rPr>
      </w:pPr>
    </w:p>
    <w:p w14:paraId="77E932FB">
      <w:pPr>
        <w:rPr>
          <w:color w:val="auto"/>
          <w:highlight w:val="none"/>
        </w:rPr>
      </w:pPr>
    </w:p>
    <w:p w14:paraId="4FA05E6B">
      <w:pPr>
        <w:rPr>
          <w:color w:val="auto"/>
          <w:highlight w:val="none"/>
        </w:rPr>
      </w:pPr>
    </w:p>
    <w:p w14:paraId="15508254">
      <w:pPr>
        <w:rPr>
          <w:color w:val="auto"/>
          <w:highlight w:val="none"/>
        </w:rPr>
      </w:pPr>
    </w:p>
    <w:p w14:paraId="53908E5C">
      <w:pPr>
        <w:rPr>
          <w:color w:val="auto"/>
          <w:highlight w:val="none"/>
        </w:rPr>
      </w:pPr>
    </w:p>
    <w:p w14:paraId="1F924E4F">
      <w:pPr>
        <w:rPr>
          <w:color w:val="auto"/>
          <w:highlight w:val="none"/>
        </w:rPr>
      </w:pPr>
    </w:p>
    <w:p w14:paraId="6BA8A424">
      <w:pPr>
        <w:rPr>
          <w:color w:val="auto"/>
          <w:highlight w:val="none"/>
        </w:rPr>
      </w:pPr>
    </w:p>
    <w:p w14:paraId="33D545C8">
      <w:pPr>
        <w:rPr>
          <w:color w:val="auto"/>
          <w:highlight w:val="none"/>
        </w:rPr>
      </w:pPr>
    </w:p>
    <w:p w14:paraId="44115DF1">
      <w:pPr>
        <w:rPr>
          <w:color w:val="auto"/>
          <w:highlight w:val="none"/>
        </w:rPr>
      </w:pPr>
    </w:p>
    <w:tbl>
      <w:tblPr>
        <w:tblStyle w:val="51"/>
        <w:tblW w:w="0" w:type="auto"/>
        <w:jc w:val="center"/>
        <w:tblLayout w:type="fixed"/>
        <w:tblCellMar>
          <w:top w:w="0" w:type="dxa"/>
          <w:left w:w="108" w:type="dxa"/>
          <w:bottom w:w="0" w:type="dxa"/>
          <w:right w:w="108" w:type="dxa"/>
        </w:tblCellMar>
      </w:tblPr>
      <w:tblGrid>
        <w:gridCol w:w="2707"/>
        <w:gridCol w:w="6"/>
        <w:gridCol w:w="5571"/>
      </w:tblGrid>
      <w:tr w14:paraId="38D754C8">
        <w:tblPrEx>
          <w:tblCellMar>
            <w:top w:w="0" w:type="dxa"/>
            <w:left w:w="108" w:type="dxa"/>
            <w:bottom w:w="0" w:type="dxa"/>
            <w:right w:w="108" w:type="dxa"/>
          </w:tblCellMar>
        </w:tblPrEx>
        <w:trPr>
          <w:trHeight w:val="703" w:hRule="atLeast"/>
          <w:jc w:val="center"/>
        </w:trPr>
        <w:tc>
          <w:tcPr>
            <w:tcW w:w="2707" w:type="dxa"/>
            <w:noWrap w:val="0"/>
            <w:vAlign w:val="center"/>
          </w:tcPr>
          <w:p w14:paraId="74875133">
            <w:pPr>
              <w:autoSpaceDE w:val="0"/>
              <w:autoSpaceDN w:val="0"/>
              <w:adjustRightInd w:val="0"/>
              <w:jc w:val="right"/>
              <w:rPr>
                <w:b/>
                <w:color w:val="auto"/>
                <w:sz w:val="32"/>
                <w:szCs w:val="32"/>
                <w:highlight w:val="none"/>
              </w:rPr>
            </w:pPr>
            <w:r>
              <w:rPr>
                <w:b/>
                <w:color w:val="auto"/>
                <w:sz w:val="32"/>
                <w:szCs w:val="32"/>
                <w:highlight w:val="none"/>
              </w:rPr>
              <w:t xml:space="preserve">  采购人：</w:t>
            </w:r>
          </w:p>
        </w:tc>
        <w:tc>
          <w:tcPr>
            <w:tcW w:w="5577" w:type="dxa"/>
            <w:gridSpan w:val="2"/>
            <w:noWrap w:val="0"/>
            <w:vAlign w:val="center"/>
          </w:tcPr>
          <w:p w14:paraId="0FD93F01">
            <w:pPr>
              <w:autoSpaceDE w:val="0"/>
              <w:autoSpaceDN w:val="0"/>
              <w:adjustRightInd w:val="0"/>
              <w:jc w:val="left"/>
              <w:rPr>
                <w:b/>
                <w:color w:val="auto"/>
                <w:sz w:val="32"/>
                <w:szCs w:val="32"/>
                <w:highlight w:val="none"/>
              </w:rPr>
            </w:pPr>
            <w:r>
              <w:rPr>
                <w:rFonts w:hint="eastAsia"/>
                <w:b/>
                <w:color w:val="auto"/>
                <w:sz w:val="32"/>
                <w:szCs w:val="32"/>
                <w:highlight w:val="none"/>
              </w:rPr>
              <w:t>广西壮族自治区人工影响天气办公室</w:t>
            </w:r>
          </w:p>
        </w:tc>
      </w:tr>
      <w:tr w14:paraId="05992319">
        <w:tblPrEx>
          <w:tblCellMar>
            <w:top w:w="0" w:type="dxa"/>
            <w:left w:w="108" w:type="dxa"/>
            <w:bottom w:w="0" w:type="dxa"/>
            <w:right w:w="108" w:type="dxa"/>
          </w:tblCellMar>
        </w:tblPrEx>
        <w:trPr>
          <w:trHeight w:val="703" w:hRule="atLeast"/>
          <w:jc w:val="center"/>
        </w:trPr>
        <w:tc>
          <w:tcPr>
            <w:tcW w:w="2713" w:type="dxa"/>
            <w:gridSpan w:val="2"/>
            <w:noWrap w:val="0"/>
            <w:vAlign w:val="top"/>
          </w:tcPr>
          <w:p w14:paraId="193F86D0">
            <w:pPr>
              <w:autoSpaceDE w:val="0"/>
              <w:autoSpaceDN w:val="0"/>
              <w:adjustRightInd w:val="0"/>
              <w:jc w:val="right"/>
              <w:rPr>
                <w:b/>
                <w:color w:val="auto"/>
                <w:sz w:val="32"/>
                <w:szCs w:val="32"/>
                <w:highlight w:val="none"/>
              </w:rPr>
            </w:pPr>
            <w:r>
              <w:rPr>
                <w:b/>
                <w:color w:val="auto"/>
                <w:sz w:val="32"/>
                <w:szCs w:val="32"/>
                <w:highlight w:val="none"/>
              </w:rPr>
              <w:t>采购代理机构：</w:t>
            </w:r>
          </w:p>
        </w:tc>
        <w:tc>
          <w:tcPr>
            <w:tcW w:w="5571" w:type="dxa"/>
            <w:noWrap w:val="0"/>
            <w:vAlign w:val="top"/>
          </w:tcPr>
          <w:p w14:paraId="366377A4">
            <w:pPr>
              <w:autoSpaceDE w:val="0"/>
              <w:autoSpaceDN w:val="0"/>
              <w:adjustRightInd w:val="0"/>
              <w:rPr>
                <w:b/>
                <w:color w:val="auto"/>
                <w:sz w:val="32"/>
                <w:szCs w:val="32"/>
                <w:highlight w:val="none"/>
                <w:u w:val="single"/>
              </w:rPr>
            </w:pPr>
            <w:r>
              <w:rPr>
                <w:b/>
                <w:color w:val="auto"/>
                <w:sz w:val="32"/>
                <w:szCs w:val="32"/>
                <w:highlight w:val="none"/>
              </w:rPr>
              <w:t>广西机电设备招标有限公司</w:t>
            </w:r>
          </w:p>
        </w:tc>
      </w:tr>
    </w:tbl>
    <w:p w14:paraId="77C59285">
      <w:pPr>
        <w:rPr>
          <w:color w:val="auto"/>
          <w:highlight w:val="none"/>
        </w:rPr>
      </w:pPr>
    </w:p>
    <w:p w14:paraId="09A3CC41">
      <w:pPr>
        <w:ind w:firstLine="321" w:firstLineChars="100"/>
        <w:jc w:val="center"/>
        <w:rPr>
          <w:b/>
          <w:color w:val="auto"/>
          <w:sz w:val="32"/>
          <w:szCs w:val="32"/>
          <w:highlight w:val="none"/>
        </w:rPr>
        <w:sectPr>
          <w:headerReference r:id="rId4" w:type="first"/>
          <w:footerReference r:id="rId6" w:type="first"/>
          <w:headerReference r:id="rId3" w:type="default"/>
          <w:footerReference r:id="rId5" w:type="default"/>
          <w:pgSz w:w="11906" w:h="16838"/>
          <w:pgMar w:top="1418" w:right="1418" w:bottom="1246" w:left="1418" w:header="851" w:footer="992" w:gutter="0"/>
          <w:pgBorders>
            <w:top w:val="none" w:sz="0" w:space="0"/>
            <w:left w:val="none" w:sz="0" w:space="0"/>
            <w:bottom w:val="none" w:sz="0" w:space="0"/>
            <w:right w:val="none" w:sz="0" w:space="0"/>
          </w:pgBorders>
          <w:pgNumType w:start="0"/>
          <w:cols w:space="720" w:num="1"/>
          <w:titlePg/>
          <w:docGrid w:linePitch="312" w:charSpace="0"/>
        </w:sectPr>
      </w:pPr>
      <w:r>
        <w:rPr>
          <w:b/>
          <w:color w:val="auto"/>
          <w:sz w:val="32"/>
          <w:szCs w:val="32"/>
          <w:highlight w:val="none"/>
        </w:rPr>
        <w:t>202</w:t>
      </w:r>
      <w:r>
        <w:rPr>
          <w:rFonts w:hint="eastAsia"/>
          <w:b/>
          <w:color w:val="auto"/>
          <w:sz w:val="32"/>
          <w:szCs w:val="32"/>
          <w:highlight w:val="none"/>
          <w:lang w:val="en-US" w:eastAsia="zh-CN"/>
        </w:rPr>
        <w:t>6</w:t>
      </w:r>
      <w:r>
        <w:rPr>
          <w:b/>
          <w:color w:val="auto"/>
          <w:sz w:val="32"/>
          <w:szCs w:val="32"/>
          <w:highlight w:val="none"/>
        </w:rPr>
        <w:t>年</w:t>
      </w:r>
      <w:r>
        <w:rPr>
          <w:rFonts w:hint="eastAsia"/>
          <w:b/>
          <w:color w:val="auto"/>
          <w:sz w:val="32"/>
          <w:szCs w:val="32"/>
          <w:highlight w:val="none"/>
          <w:lang w:val="en-US" w:eastAsia="zh-CN"/>
        </w:rPr>
        <w:t>5</w:t>
      </w:r>
      <w:r>
        <w:rPr>
          <w:b/>
          <w:color w:val="auto"/>
          <w:sz w:val="32"/>
          <w:szCs w:val="32"/>
          <w:highlight w:val="none"/>
        </w:rPr>
        <w:t>月</w:t>
      </w:r>
    </w:p>
    <w:p w14:paraId="5DC41224">
      <w:pPr>
        <w:spacing w:line="360" w:lineRule="auto"/>
        <w:rPr>
          <w:b/>
          <w:color w:val="auto"/>
          <w:sz w:val="24"/>
          <w:highlight w:val="none"/>
        </w:rPr>
      </w:pPr>
    </w:p>
    <w:p w14:paraId="20600D61">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2" w:name="_Toc32099"/>
      <w:bookmarkStart w:id="3" w:name="_Toc11354"/>
      <w:bookmarkStart w:id="4" w:name="_Toc10015"/>
      <w:bookmarkStart w:id="5" w:name="_Toc6293"/>
      <w:bookmarkStart w:id="6" w:name="_Toc6931"/>
      <w:bookmarkStart w:id="7" w:name="_Toc9310"/>
      <w:r>
        <w:rPr>
          <w:rFonts w:ascii="Times New Roman" w:hAnsi="Times New Roman" w:cs="Times New Roman"/>
          <w:color w:val="auto"/>
          <w:sz w:val="32"/>
          <w:szCs w:val="32"/>
          <w:highlight w:val="none"/>
        </w:rPr>
        <w:t>目    录</w:t>
      </w:r>
      <w:bookmarkEnd w:id="2"/>
      <w:bookmarkEnd w:id="3"/>
      <w:bookmarkEnd w:id="4"/>
      <w:bookmarkEnd w:id="5"/>
      <w:bookmarkEnd w:id="6"/>
      <w:bookmarkEnd w:id="7"/>
    </w:p>
    <w:p w14:paraId="481C5935">
      <w:pPr>
        <w:pStyle w:val="34"/>
        <w:tabs>
          <w:tab w:val="right" w:leader="dot" w:pos="9354"/>
          <w:tab w:val="clear" w:pos="8398"/>
        </w:tabs>
        <w:rPr>
          <w:color w:val="auto"/>
          <w:highlight w:val="none"/>
        </w:rPr>
      </w:pPr>
      <w:r>
        <w:rPr>
          <w:rFonts w:ascii="Times New Roman" w:hAnsi="Times New Roman"/>
          <w:color w:val="auto"/>
          <w:highlight w:val="none"/>
        </w:rPr>
        <w:fldChar w:fldCharType="begin"/>
      </w:r>
      <w:r>
        <w:rPr>
          <w:rStyle w:val="57"/>
          <w:rFonts w:ascii="Times New Roman" w:hAnsi="Times New Roman"/>
          <w:color w:val="auto"/>
          <w:highlight w:val="none"/>
        </w:rPr>
        <w:instrText xml:space="preserve"> TOC \o "1-1" \h \z \u </w:instrText>
      </w:r>
      <w:r>
        <w:rPr>
          <w:rFonts w:ascii="Times New Roman" w:hAnsi="Times New Roman"/>
          <w:color w:val="auto"/>
          <w:highlight w:val="none"/>
        </w:rPr>
        <w:fldChar w:fldCharType="separate"/>
      </w:r>
      <w:r>
        <w:rPr>
          <w:rFonts w:ascii="Times New Roman" w:hAnsi="Times New Roman"/>
          <w:color w:val="auto"/>
          <w:highlight w:val="none"/>
        </w:rPr>
        <w:fldChar w:fldCharType="begin"/>
      </w:r>
      <w:r>
        <w:rPr>
          <w:rFonts w:ascii="Times New Roman" w:hAnsi="Times New Roman"/>
          <w:color w:val="auto"/>
          <w:highlight w:val="none"/>
        </w:rPr>
        <w:instrText xml:space="preserve"> HYPERLINK \l _Toc16641 </w:instrText>
      </w:r>
      <w:r>
        <w:rPr>
          <w:rFonts w:ascii="Times New Roman" w:hAnsi="Times New Roman"/>
          <w:color w:val="auto"/>
          <w:highlight w:val="none"/>
        </w:rPr>
        <w:fldChar w:fldCharType="separate"/>
      </w:r>
      <w:r>
        <w:rPr>
          <w:rFonts w:ascii="Times New Roman" w:hAnsi="Times New Roman" w:cs="Times New Roman"/>
          <w:color w:val="auto"/>
          <w:szCs w:val="32"/>
          <w:highlight w:val="none"/>
        </w:rPr>
        <w:t>第</w:t>
      </w:r>
      <w:r>
        <w:rPr>
          <w:rFonts w:hint="eastAsia" w:ascii="Times New Roman" w:hAnsi="Times New Roman" w:cs="Times New Roman"/>
          <w:color w:val="auto"/>
          <w:szCs w:val="32"/>
          <w:highlight w:val="none"/>
        </w:rPr>
        <w:t>一</w:t>
      </w:r>
      <w:r>
        <w:rPr>
          <w:rFonts w:ascii="Times New Roman" w:hAnsi="Times New Roman" w:cs="Times New Roman"/>
          <w:color w:val="auto"/>
          <w:szCs w:val="32"/>
          <w:highlight w:val="none"/>
        </w:rPr>
        <w:t xml:space="preserve">章  </w:t>
      </w:r>
      <w:r>
        <w:rPr>
          <w:rFonts w:hint="eastAsia" w:ascii="Times New Roman" w:hAnsi="Times New Roman" w:cs="Times New Roman"/>
          <w:color w:val="auto"/>
          <w:szCs w:val="32"/>
          <w:highlight w:val="none"/>
        </w:rPr>
        <w:t>招标公告</w:t>
      </w:r>
      <w:r>
        <w:rPr>
          <w:color w:val="auto"/>
          <w:highlight w:val="none"/>
        </w:rPr>
        <w:tab/>
      </w:r>
      <w:r>
        <w:rPr>
          <w:color w:val="auto"/>
          <w:highlight w:val="none"/>
        </w:rPr>
        <w:fldChar w:fldCharType="begin"/>
      </w:r>
      <w:r>
        <w:rPr>
          <w:color w:val="auto"/>
          <w:highlight w:val="none"/>
        </w:rPr>
        <w:instrText xml:space="preserve"> PAGEREF _Toc16641 \h </w:instrText>
      </w:r>
      <w:r>
        <w:rPr>
          <w:color w:val="auto"/>
          <w:highlight w:val="none"/>
        </w:rPr>
        <w:fldChar w:fldCharType="separate"/>
      </w:r>
      <w:r>
        <w:rPr>
          <w:color w:val="auto"/>
          <w:highlight w:val="none"/>
        </w:rPr>
        <w:t>1</w:t>
      </w:r>
      <w:r>
        <w:rPr>
          <w:color w:val="auto"/>
          <w:highlight w:val="none"/>
        </w:rPr>
        <w:fldChar w:fldCharType="end"/>
      </w:r>
      <w:r>
        <w:rPr>
          <w:rFonts w:ascii="Times New Roman" w:hAnsi="Times New Roman"/>
          <w:color w:val="auto"/>
          <w:highlight w:val="none"/>
        </w:rPr>
        <w:fldChar w:fldCharType="end"/>
      </w:r>
    </w:p>
    <w:p w14:paraId="2BFB6D96">
      <w:pPr>
        <w:pStyle w:val="34"/>
        <w:tabs>
          <w:tab w:val="right" w:leader="dot" w:pos="9354"/>
          <w:tab w:val="clear" w:pos="8398"/>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_Toc30082 </w:instrText>
      </w:r>
      <w:r>
        <w:rPr>
          <w:rFonts w:ascii="Times New Roman" w:hAnsi="Times New Roman"/>
          <w:color w:val="auto"/>
          <w:highlight w:val="none"/>
        </w:rPr>
        <w:fldChar w:fldCharType="separate"/>
      </w:r>
      <w:r>
        <w:rPr>
          <w:rFonts w:ascii="Times New Roman" w:hAnsi="Times New Roman" w:cs="Times New Roman"/>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_Toc30082 \h </w:instrText>
      </w:r>
      <w:r>
        <w:rPr>
          <w:color w:val="auto"/>
          <w:highlight w:val="none"/>
        </w:rPr>
        <w:fldChar w:fldCharType="separate"/>
      </w:r>
      <w:r>
        <w:rPr>
          <w:color w:val="auto"/>
          <w:highlight w:val="none"/>
        </w:rPr>
        <w:t>4</w:t>
      </w:r>
      <w:r>
        <w:rPr>
          <w:color w:val="auto"/>
          <w:highlight w:val="none"/>
        </w:rPr>
        <w:fldChar w:fldCharType="end"/>
      </w:r>
      <w:r>
        <w:rPr>
          <w:rFonts w:ascii="Times New Roman" w:hAnsi="Times New Roman"/>
          <w:color w:val="auto"/>
          <w:highlight w:val="none"/>
        </w:rPr>
        <w:fldChar w:fldCharType="end"/>
      </w:r>
    </w:p>
    <w:p w14:paraId="3D9C1AE1">
      <w:pPr>
        <w:pStyle w:val="34"/>
        <w:tabs>
          <w:tab w:val="right" w:leader="dot" w:pos="9354"/>
          <w:tab w:val="clear" w:pos="8398"/>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_Toc13625 </w:instrText>
      </w:r>
      <w:r>
        <w:rPr>
          <w:rFonts w:ascii="Times New Roman" w:hAnsi="Times New Roman"/>
          <w:color w:val="auto"/>
          <w:highlight w:val="none"/>
        </w:rPr>
        <w:fldChar w:fldCharType="separate"/>
      </w:r>
      <w:r>
        <w:rPr>
          <w:rFonts w:ascii="Times New Roman" w:hAnsi="Times New Roman" w:cs="Times New Roman"/>
          <w:color w:val="auto"/>
          <w:szCs w:val="32"/>
          <w:highlight w:val="none"/>
        </w:rPr>
        <w:t xml:space="preserve">第三章  </w:t>
      </w:r>
      <w:r>
        <w:rPr>
          <w:rFonts w:hint="eastAsia" w:ascii="Times New Roman" w:hAnsi="Times New Roman" w:cs="Times New Roman"/>
          <w:color w:val="auto"/>
          <w:szCs w:val="32"/>
          <w:highlight w:val="none"/>
        </w:rPr>
        <w:t>投标人</w:t>
      </w:r>
      <w:r>
        <w:rPr>
          <w:rFonts w:ascii="Times New Roman" w:hAnsi="Times New Roman" w:cs="Times New Roman"/>
          <w:color w:val="auto"/>
          <w:szCs w:val="32"/>
          <w:highlight w:val="none"/>
        </w:rPr>
        <w:t>须知</w:t>
      </w:r>
      <w:r>
        <w:rPr>
          <w:color w:val="auto"/>
          <w:highlight w:val="none"/>
        </w:rPr>
        <w:tab/>
      </w:r>
      <w:r>
        <w:rPr>
          <w:color w:val="auto"/>
          <w:highlight w:val="none"/>
        </w:rPr>
        <w:fldChar w:fldCharType="begin"/>
      </w:r>
      <w:r>
        <w:rPr>
          <w:color w:val="auto"/>
          <w:highlight w:val="none"/>
        </w:rPr>
        <w:instrText xml:space="preserve"> PAGEREF _Toc13625 \h </w:instrText>
      </w:r>
      <w:r>
        <w:rPr>
          <w:color w:val="auto"/>
          <w:highlight w:val="none"/>
        </w:rPr>
        <w:fldChar w:fldCharType="separate"/>
      </w:r>
      <w:r>
        <w:rPr>
          <w:color w:val="auto"/>
          <w:highlight w:val="none"/>
        </w:rPr>
        <w:t>66</w:t>
      </w:r>
      <w:r>
        <w:rPr>
          <w:color w:val="auto"/>
          <w:highlight w:val="none"/>
        </w:rPr>
        <w:fldChar w:fldCharType="end"/>
      </w:r>
      <w:r>
        <w:rPr>
          <w:rFonts w:ascii="Times New Roman" w:hAnsi="Times New Roman"/>
          <w:color w:val="auto"/>
          <w:highlight w:val="none"/>
        </w:rPr>
        <w:fldChar w:fldCharType="end"/>
      </w:r>
    </w:p>
    <w:p w14:paraId="48DD11EF">
      <w:pPr>
        <w:pStyle w:val="34"/>
        <w:tabs>
          <w:tab w:val="right" w:leader="dot" w:pos="9354"/>
          <w:tab w:val="clear" w:pos="8398"/>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_Toc3784 </w:instrText>
      </w:r>
      <w:r>
        <w:rPr>
          <w:rFonts w:ascii="Times New Roman" w:hAnsi="Times New Roman"/>
          <w:color w:val="auto"/>
          <w:highlight w:val="none"/>
        </w:rPr>
        <w:fldChar w:fldCharType="separate"/>
      </w:r>
      <w:r>
        <w:rPr>
          <w:rFonts w:ascii="Times New Roman" w:hAnsi="Times New Roman" w:cs="Times New Roman"/>
          <w:color w:val="auto"/>
          <w:szCs w:val="32"/>
          <w:highlight w:val="none"/>
        </w:rPr>
        <w:t>第四章  评审方法及标准</w:t>
      </w:r>
      <w:r>
        <w:rPr>
          <w:color w:val="auto"/>
          <w:highlight w:val="none"/>
        </w:rPr>
        <w:tab/>
      </w:r>
      <w:r>
        <w:rPr>
          <w:color w:val="auto"/>
          <w:highlight w:val="none"/>
        </w:rPr>
        <w:fldChar w:fldCharType="begin"/>
      </w:r>
      <w:r>
        <w:rPr>
          <w:color w:val="auto"/>
          <w:highlight w:val="none"/>
        </w:rPr>
        <w:instrText xml:space="preserve"> PAGEREF _Toc3784 \h </w:instrText>
      </w:r>
      <w:r>
        <w:rPr>
          <w:color w:val="auto"/>
          <w:highlight w:val="none"/>
        </w:rPr>
        <w:fldChar w:fldCharType="separate"/>
      </w:r>
      <w:r>
        <w:rPr>
          <w:color w:val="auto"/>
          <w:highlight w:val="none"/>
        </w:rPr>
        <w:t>86</w:t>
      </w:r>
      <w:r>
        <w:rPr>
          <w:color w:val="auto"/>
          <w:highlight w:val="none"/>
        </w:rPr>
        <w:fldChar w:fldCharType="end"/>
      </w:r>
      <w:r>
        <w:rPr>
          <w:rFonts w:ascii="Times New Roman" w:hAnsi="Times New Roman"/>
          <w:color w:val="auto"/>
          <w:highlight w:val="none"/>
        </w:rPr>
        <w:fldChar w:fldCharType="end"/>
      </w:r>
    </w:p>
    <w:p w14:paraId="180BE7A2">
      <w:pPr>
        <w:pStyle w:val="34"/>
        <w:tabs>
          <w:tab w:val="right" w:leader="dot" w:pos="9354"/>
          <w:tab w:val="clear" w:pos="8398"/>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_Toc20741 </w:instrText>
      </w:r>
      <w:r>
        <w:rPr>
          <w:rFonts w:ascii="Times New Roman" w:hAnsi="Times New Roman"/>
          <w:color w:val="auto"/>
          <w:highlight w:val="none"/>
        </w:rPr>
        <w:fldChar w:fldCharType="separate"/>
      </w:r>
      <w:r>
        <w:rPr>
          <w:rFonts w:ascii="Times New Roman" w:hAnsi="Times New Roman" w:cs="Times New Roman"/>
          <w:color w:val="auto"/>
          <w:szCs w:val="32"/>
          <w:highlight w:val="none"/>
        </w:rPr>
        <w:t>第五章  合同主要条款格式</w:t>
      </w:r>
      <w:r>
        <w:rPr>
          <w:color w:val="auto"/>
          <w:highlight w:val="none"/>
        </w:rPr>
        <w:tab/>
      </w:r>
      <w:r>
        <w:rPr>
          <w:color w:val="auto"/>
          <w:highlight w:val="none"/>
        </w:rPr>
        <w:fldChar w:fldCharType="begin"/>
      </w:r>
      <w:r>
        <w:rPr>
          <w:color w:val="auto"/>
          <w:highlight w:val="none"/>
        </w:rPr>
        <w:instrText xml:space="preserve"> PAGEREF _Toc20741 \h </w:instrText>
      </w:r>
      <w:r>
        <w:rPr>
          <w:color w:val="auto"/>
          <w:highlight w:val="none"/>
        </w:rPr>
        <w:fldChar w:fldCharType="separate"/>
      </w:r>
      <w:r>
        <w:rPr>
          <w:color w:val="auto"/>
          <w:highlight w:val="none"/>
        </w:rPr>
        <w:t>93</w:t>
      </w:r>
      <w:r>
        <w:rPr>
          <w:color w:val="auto"/>
          <w:highlight w:val="none"/>
        </w:rPr>
        <w:fldChar w:fldCharType="end"/>
      </w:r>
      <w:r>
        <w:rPr>
          <w:rFonts w:ascii="Times New Roman" w:hAnsi="Times New Roman"/>
          <w:color w:val="auto"/>
          <w:highlight w:val="none"/>
        </w:rPr>
        <w:fldChar w:fldCharType="end"/>
      </w:r>
    </w:p>
    <w:p w14:paraId="5949FEA4">
      <w:pPr>
        <w:pStyle w:val="34"/>
        <w:tabs>
          <w:tab w:val="right" w:leader="dot" w:pos="9354"/>
          <w:tab w:val="clear" w:pos="8398"/>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_Toc1049 </w:instrText>
      </w:r>
      <w:r>
        <w:rPr>
          <w:rFonts w:ascii="Times New Roman" w:hAnsi="Times New Roman"/>
          <w:color w:val="auto"/>
          <w:highlight w:val="none"/>
        </w:rPr>
        <w:fldChar w:fldCharType="separate"/>
      </w:r>
      <w:r>
        <w:rPr>
          <w:rFonts w:ascii="Times New Roman" w:hAnsi="Times New Roman" w:cs="Times New Roman"/>
          <w:color w:val="auto"/>
          <w:szCs w:val="32"/>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_Toc1049 \h </w:instrText>
      </w:r>
      <w:r>
        <w:rPr>
          <w:color w:val="auto"/>
          <w:highlight w:val="none"/>
        </w:rPr>
        <w:fldChar w:fldCharType="separate"/>
      </w:r>
      <w:r>
        <w:rPr>
          <w:color w:val="auto"/>
          <w:highlight w:val="none"/>
        </w:rPr>
        <w:t>105</w:t>
      </w:r>
      <w:r>
        <w:rPr>
          <w:color w:val="auto"/>
          <w:highlight w:val="none"/>
        </w:rPr>
        <w:fldChar w:fldCharType="end"/>
      </w:r>
      <w:r>
        <w:rPr>
          <w:rFonts w:ascii="Times New Roman" w:hAnsi="Times New Roman"/>
          <w:color w:val="auto"/>
          <w:highlight w:val="none"/>
        </w:rPr>
        <w:fldChar w:fldCharType="end"/>
      </w:r>
    </w:p>
    <w:p w14:paraId="12F4C80E">
      <w:pPr>
        <w:pStyle w:val="34"/>
        <w:ind w:firstLine="241"/>
        <w:rPr>
          <w:rFonts w:ascii="Times New Roman" w:hAnsi="Times New Roman"/>
          <w:color w:val="auto"/>
          <w:highlight w:val="none"/>
        </w:rPr>
      </w:pPr>
      <w:r>
        <w:rPr>
          <w:rFonts w:ascii="Times New Roman" w:hAnsi="Times New Roman"/>
          <w:color w:val="auto"/>
          <w:highlight w:val="none"/>
        </w:rPr>
        <w:fldChar w:fldCharType="end"/>
      </w:r>
    </w:p>
    <w:p w14:paraId="0B71CEC9">
      <w:pPr>
        <w:spacing w:before="120" w:beforeLines="50" w:line="480" w:lineRule="exact"/>
        <w:rPr>
          <w:color w:val="auto"/>
          <w:sz w:val="28"/>
          <w:szCs w:val="28"/>
          <w:highlight w:val="none"/>
        </w:rPr>
      </w:pPr>
    </w:p>
    <w:p w14:paraId="4DE9B4A8">
      <w:pPr>
        <w:spacing w:before="120" w:beforeLines="50" w:line="480" w:lineRule="exact"/>
        <w:rPr>
          <w:color w:val="auto"/>
          <w:sz w:val="30"/>
          <w:highlight w:val="none"/>
        </w:rPr>
        <w:sectPr>
          <w:headerReference r:id="rId7" w:type="first"/>
          <w:footerReference r:id="rId8" w:type="first"/>
          <w:pgSz w:w="11906" w:h="16838"/>
          <w:pgMar w:top="1418" w:right="1134" w:bottom="1247" w:left="1418" w:header="851" w:footer="992" w:gutter="0"/>
          <w:pgBorders>
            <w:top w:val="none" w:sz="0" w:space="0"/>
            <w:left w:val="none" w:sz="0" w:space="0"/>
            <w:bottom w:val="none" w:sz="0" w:space="0"/>
            <w:right w:val="none" w:sz="0" w:space="0"/>
          </w:pgBorders>
          <w:pgNumType w:start="0"/>
          <w:cols w:space="720" w:num="1"/>
          <w:docGrid w:linePitch="312" w:charSpace="0"/>
        </w:sectPr>
      </w:pPr>
    </w:p>
    <w:p w14:paraId="6EC1AA30">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8" w:name="_Toc16641"/>
      <w:bookmarkStart w:id="9" w:name="_Toc254970630"/>
      <w:bookmarkStart w:id="10" w:name="_Toc254970489"/>
      <w:r>
        <w:rPr>
          <w:rFonts w:ascii="Times New Roman" w:hAnsi="Times New Roman" w:cs="Times New Roman"/>
          <w:color w:val="auto"/>
          <w:sz w:val="32"/>
          <w:szCs w:val="32"/>
          <w:highlight w:val="none"/>
        </w:rPr>
        <w:t>第</w:t>
      </w:r>
      <w:r>
        <w:rPr>
          <w:rFonts w:hint="eastAsia" w:ascii="Times New Roman" w:hAnsi="Times New Roman" w:cs="Times New Roman"/>
          <w:color w:val="auto"/>
          <w:sz w:val="32"/>
          <w:szCs w:val="32"/>
          <w:highlight w:val="none"/>
        </w:rPr>
        <w:t>一</w:t>
      </w:r>
      <w:r>
        <w:rPr>
          <w:rFonts w:ascii="Times New Roman" w:hAnsi="Times New Roman" w:cs="Times New Roman"/>
          <w:color w:val="auto"/>
          <w:sz w:val="32"/>
          <w:szCs w:val="32"/>
          <w:highlight w:val="none"/>
        </w:rPr>
        <w:t xml:space="preserve">章  </w:t>
      </w:r>
      <w:r>
        <w:rPr>
          <w:rFonts w:hint="eastAsia" w:ascii="Times New Roman" w:hAnsi="Times New Roman" w:cs="Times New Roman"/>
          <w:color w:val="auto"/>
          <w:sz w:val="32"/>
          <w:szCs w:val="32"/>
          <w:highlight w:val="none"/>
        </w:rPr>
        <w:t>招标公告</w:t>
      </w:r>
      <w:bookmarkEnd w:id="8"/>
    </w:p>
    <w:p w14:paraId="3BE8AD5B">
      <w:pPr>
        <w:spacing w:line="400" w:lineRule="exact"/>
        <w:jc w:val="center"/>
        <w:rPr>
          <w:b/>
          <w:bCs/>
          <w:color w:val="auto"/>
          <w:kern w:val="0"/>
          <w:sz w:val="24"/>
          <w:highlight w:val="none"/>
        </w:rPr>
      </w:pPr>
      <w:r>
        <w:rPr>
          <w:b/>
          <w:bCs/>
          <w:color w:val="auto"/>
          <w:kern w:val="0"/>
          <w:sz w:val="24"/>
          <w:highlight w:val="none"/>
        </w:rPr>
        <w:t>广西机电设备招标有限公司关于</w:t>
      </w:r>
      <w:bookmarkStart w:id="11" w:name="_Hlk36541082"/>
      <w:r>
        <w:rPr>
          <w:rFonts w:hint="eastAsia"/>
          <w:b/>
          <w:bCs/>
          <w:color w:val="auto"/>
          <w:kern w:val="0"/>
          <w:sz w:val="24"/>
          <w:highlight w:val="none"/>
          <w:lang w:eastAsia="zh-CN"/>
        </w:rPr>
        <w:t>广西壮族自治区人工影响天气水资源保障工程-机动集成作业系统</w:t>
      </w:r>
      <w:r>
        <w:rPr>
          <w:b/>
          <w:bCs/>
          <w:color w:val="auto"/>
          <w:sz w:val="24"/>
          <w:highlight w:val="none"/>
        </w:rPr>
        <w:t>(</w:t>
      </w:r>
      <w:r>
        <w:rPr>
          <w:rFonts w:hint="eastAsia"/>
          <w:b/>
          <w:bCs/>
          <w:color w:val="auto"/>
          <w:sz w:val="24"/>
          <w:highlight w:val="none"/>
          <w:lang w:eastAsia="zh-CN"/>
        </w:rPr>
        <w:t>GXZC2026-G1-001472-JDZB</w:t>
      </w:r>
      <w:r>
        <w:rPr>
          <w:b/>
          <w:bCs/>
          <w:color w:val="auto"/>
          <w:sz w:val="24"/>
          <w:highlight w:val="none"/>
        </w:rPr>
        <w:t>)</w:t>
      </w:r>
      <w:bookmarkEnd w:id="11"/>
      <w:r>
        <w:rPr>
          <w:b/>
          <w:bCs/>
          <w:color w:val="auto"/>
          <w:kern w:val="0"/>
          <w:sz w:val="24"/>
          <w:highlight w:val="none"/>
        </w:rPr>
        <w:t>公开招标公告</w:t>
      </w:r>
    </w:p>
    <w:p w14:paraId="5171B6F2">
      <w:pPr>
        <w:spacing w:line="312" w:lineRule="auto"/>
        <w:jc w:val="left"/>
        <w:rPr>
          <w:color w:val="auto"/>
          <w:kern w:val="0"/>
          <w:szCs w:val="21"/>
          <w:highlight w:val="none"/>
        </w:rPr>
      </w:pPr>
    </w:p>
    <w:p w14:paraId="162BB86F">
      <w:pPr>
        <w:spacing w:line="312" w:lineRule="auto"/>
        <w:ind w:firstLine="420" w:firstLineChars="200"/>
        <w:jc w:val="left"/>
        <w:rPr>
          <w:b/>
          <w:bCs/>
          <w:color w:val="auto"/>
          <w:kern w:val="0"/>
          <w:sz w:val="22"/>
          <w:szCs w:val="22"/>
          <w:highlight w:val="none"/>
        </w:rPr>
      </w:pPr>
      <w:bookmarkStart w:id="12" w:name="_Hlk132795121"/>
      <w:r>
        <w:rPr>
          <w:rFonts w:hint="eastAsia"/>
          <w:color w:val="auto"/>
          <w:szCs w:val="21"/>
          <w:highlight w:val="none"/>
        </w:rPr>
        <w:t>项目概况：</w:t>
      </w:r>
      <w:r>
        <w:rPr>
          <w:rFonts w:hint="eastAsia"/>
          <w:color w:val="auto"/>
          <w:szCs w:val="21"/>
          <w:highlight w:val="none"/>
          <w:lang w:eastAsia="zh-CN"/>
        </w:rPr>
        <w:t>广西壮族自治区人工影响天气水资源保障工程-机动集成作业系统</w:t>
      </w:r>
      <w:r>
        <w:rPr>
          <w:rFonts w:hint="eastAsia"/>
          <w:color w:val="auto"/>
          <w:szCs w:val="21"/>
          <w:highlight w:val="none"/>
        </w:rPr>
        <w:t>项目的潜在投标人应在</w:t>
      </w:r>
      <w:bookmarkStart w:id="13" w:name="_Hlk160178031"/>
      <w:r>
        <w:rPr>
          <w:rFonts w:hint="eastAsia"/>
          <w:color w:val="auto"/>
          <w:szCs w:val="21"/>
          <w:highlight w:val="none"/>
        </w:rPr>
        <w:t>广西政府采购云平台</w:t>
      </w:r>
      <w:bookmarkStart w:id="14" w:name="_Hlk160186238"/>
      <w:r>
        <w:rPr>
          <w:rFonts w:hint="eastAsia"/>
          <w:color w:val="auto"/>
          <w:szCs w:val="21"/>
          <w:highlight w:val="none"/>
        </w:rPr>
        <w:t>（</w:t>
      </w:r>
      <w:r>
        <w:rPr>
          <w:color w:val="auto"/>
          <w:szCs w:val="21"/>
          <w:highlight w:val="none"/>
        </w:rPr>
        <w:t>https://www.gcy.zfcg.gxzf.gov.cn/</w:t>
      </w:r>
      <w:r>
        <w:rPr>
          <w:rFonts w:hint="eastAsia"/>
          <w:color w:val="auto"/>
          <w:szCs w:val="21"/>
          <w:highlight w:val="none"/>
        </w:rPr>
        <w:t>）</w:t>
      </w:r>
      <w:bookmarkEnd w:id="13"/>
      <w:bookmarkEnd w:id="14"/>
      <w:r>
        <w:rPr>
          <w:rFonts w:hint="eastAsia"/>
          <w:color w:val="auto"/>
          <w:szCs w:val="21"/>
          <w:highlight w:val="none"/>
        </w:rPr>
        <w:t>获取招标文件，并于</w:t>
      </w:r>
      <w:r>
        <w:rPr>
          <w:rFonts w:hint="eastAsia"/>
          <w:color w:val="auto"/>
          <w:szCs w:val="21"/>
          <w:highlight w:val="none"/>
          <w:lang w:val="en-US" w:eastAsia="zh-CN"/>
        </w:rPr>
        <w:t>2026</w:t>
      </w:r>
      <w:r>
        <w:rPr>
          <w:rFonts w:hint="eastAsia"/>
          <w:color w:val="auto"/>
          <w:szCs w:val="21"/>
          <w:highlight w:val="none"/>
        </w:rPr>
        <w:t>年</w:t>
      </w:r>
      <w:r>
        <w:rPr>
          <w:rFonts w:hint="eastAsia"/>
          <w:color w:val="auto"/>
          <w:szCs w:val="21"/>
          <w:highlight w:val="none"/>
          <w:lang w:val="en-US" w:eastAsia="zh-CN"/>
        </w:rPr>
        <w:t>6</w:t>
      </w:r>
      <w:r>
        <w:rPr>
          <w:rFonts w:hint="eastAsia"/>
          <w:color w:val="auto"/>
          <w:szCs w:val="21"/>
          <w:highlight w:val="none"/>
        </w:rPr>
        <w:t>月</w:t>
      </w:r>
      <w:r>
        <w:rPr>
          <w:rFonts w:hint="eastAsia"/>
          <w:color w:val="auto"/>
          <w:szCs w:val="21"/>
          <w:highlight w:val="none"/>
          <w:lang w:val="en-US" w:eastAsia="zh-CN"/>
        </w:rPr>
        <w:t>16</w:t>
      </w:r>
      <w:r>
        <w:rPr>
          <w:rFonts w:hint="eastAsia"/>
          <w:color w:val="auto"/>
          <w:szCs w:val="21"/>
          <w:highlight w:val="none"/>
        </w:rPr>
        <w:t>日 09:30（北京时间）前递交投标文件。</w:t>
      </w:r>
    </w:p>
    <w:bookmarkEnd w:id="12"/>
    <w:p w14:paraId="0DE7C428">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一、项目基本情况</w:t>
      </w:r>
    </w:p>
    <w:p w14:paraId="32419ADC">
      <w:pPr>
        <w:spacing w:line="312" w:lineRule="auto"/>
        <w:ind w:firstLine="420" w:firstLineChars="200"/>
        <w:jc w:val="left"/>
        <w:rPr>
          <w:rFonts w:hint="eastAsia" w:eastAsia="宋体"/>
          <w:color w:val="auto"/>
          <w:kern w:val="0"/>
          <w:szCs w:val="21"/>
          <w:highlight w:val="none"/>
          <w:lang w:eastAsia="zh-CN"/>
        </w:rPr>
      </w:pPr>
      <w:r>
        <w:rPr>
          <w:color w:val="auto"/>
          <w:kern w:val="0"/>
          <w:szCs w:val="21"/>
          <w:highlight w:val="none"/>
        </w:rPr>
        <w:t>项目编号：</w:t>
      </w:r>
      <w:r>
        <w:rPr>
          <w:rFonts w:hint="eastAsia"/>
          <w:color w:val="auto"/>
          <w:kern w:val="0"/>
          <w:szCs w:val="21"/>
          <w:highlight w:val="none"/>
          <w:lang w:eastAsia="zh-CN"/>
        </w:rPr>
        <w:t>GXZC2026-G1-001472-JDZB</w:t>
      </w:r>
    </w:p>
    <w:p w14:paraId="0084E93F">
      <w:pPr>
        <w:spacing w:line="312" w:lineRule="auto"/>
        <w:ind w:firstLine="420" w:firstLineChars="200"/>
        <w:jc w:val="left"/>
        <w:rPr>
          <w:rFonts w:hint="eastAsia" w:eastAsia="宋体"/>
          <w:color w:val="auto"/>
          <w:kern w:val="0"/>
          <w:szCs w:val="21"/>
          <w:highlight w:val="none"/>
          <w:lang w:eastAsia="zh-CN"/>
        </w:rPr>
      </w:pPr>
      <w:r>
        <w:rPr>
          <w:color w:val="auto"/>
          <w:kern w:val="0"/>
          <w:szCs w:val="21"/>
          <w:highlight w:val="none"/>
        </w:rPr>
        <w:t>项目名称：</w:t>
      </w:r>
      <w:r>
        <w:rPr>
          <w:rFonts w:hint="eastAsia"/>
          <w:color w:val="auto"/>
          <w:kern w:val="0"/>
          <w:szCs w:val="21"/>
          <w:highlight w:val="none"/>
          <w:lang w:eastAsia="zh-CN"/>
        </w:rPr>
        <w:t>广西壮族自治区人工影响天气水资源保障工程-机动集成作业系统</w:t>
      </w:r>
    </w:p>
    <w:p w14:paraId="2C754ACC">
      <w:pPr>
        <w:spacing w:line="312" w:lineRule="auto"/>
        <w:ind w:firstLine="420" w:firstLineChars="200"/>
        <w:jc w:val="left"/>
        <w:rPr>
          <w:color w:val="auto"/>
          <w:kern w:val="0"/>
          <w:szCs w:val="21"/>
          <w:highlight w:val="none"/>
        </w:rPr>
      </w:pPr>
      <w:bookmarkStart w:id="15" w:name="_Hlk132796123"/>
      <w:r>
        <w:rPr>
          <w:color w:val="auto"/>
          <w:kern w:val="0"/>
          <w:szCs w:val="21"/>
          <w:highlight w:val="none"/>
        </w:rPr>
        <w:t>预算</w:t>
      </w:r>
      <w:r>
        <w:rPr>
          <w:rFonts w:hint="eastAsia"/>
          <w:color w:val="auto"/>
          <w:kern w:val="0"/>
          <w:szCs w:val="21"/>
          <w:highlight w:val="none"/>
        </w:rPr>
        <w:t>总</w:t>
      </w:r>
      <w:r>
        <w:rPr>
          <w:color w:val="auto"/>
          <w:kern w:val="0"/>
          <w:szCs w:val="21"/>
          <w:highlight w:val="none"/>
        </w:rPr>
        <w:t>金额</w:t>
      </w:r>
      <w:r>
        <w:rPr>
          <w:rFonts w:hint="eastAsia"/>
          <w:color w:val="auto"/>
          <w:kern w:val="0"/>
          <w:szCs w:val="21"/>
          <w:highlight w:val="none"/>
        </w:rPr>
        <w:t>（元）</w:t>
      </w:r>
      <w:r>
        <w:rPr>
          <w:color w:val="auto"/>
          <w:kern w:val="0"/>
          <w:szCs w:val="21"/>
          <w:highlight w:val="none"/>
        </w:rPr>
        <w:t>：</w:t>
      </w:r>
      <w:r>
        <w:rPr>
          <w:rFonts w:hint="eastAsia"/>
          <w:color w:val="auto"/>
          <w:kern w:val="0"/>
          <w:szCs w:val="21"/>
          <w:highlight w:val="none"/>
          <w:lang w:eastAsia="zh-CN"/>
        </w:rPr>
        <w:t>58150000</w:t>
      </w:r>
      <w:r>
        <w:rPr>
          <w:rFonts w:hint="eastAsia"/>
          <w:color w:val="auto"/>
          <w:kern w:val="0"/>
          <w:szCs w:val="21"/>
          <w:highlight w:val="none"/>
        </w:rPr>
        <w:t>.00</w:t>
      </w:r>
    </w:p>
    <w:bookmarkEnd w:id="15"/>
    <w:p w14:paraId="0BB22A1C">
      <w:pPr>
        <w:spacing w:line="312" w:lineRule="auto"/>
        <w:ind w:firstLine="420" w:firstLineChars="200"/>
        <w:jc w:val="left"/>
        <w:rPr>
          <w:color w:val="auto"/>
          <w:kern w:val="0"/>
          <w:szCs w:val="21"/>
          <w:highlight w:val="none"/>
        </w:rPr>
      </w:pPr>
      <w:r>
        <w:rPr>
          <w:rFonts w:hint="eastAsia"/>
          <w:color w:val="auto"/>
          <w:kern w:val="0"/>
          <w:szCs w:val="21"/>
          <w:highlight w:val="none"/>
        </w:rPr>
        <w:t>采购需求</w:t>
      </w:r>
      <w:r>
        <w:rPr>
          <w:color w:val="auto"/>
          <w:kern w:val="0"/>
          <w:szCs w:val="21"/>
          <w:highlight w:val="none"/>
        </w:rPr>
        <w:t>：</w:t>
      </w:r>
    </w:p>
    <w:p w14:paraId="796E9798">
      <w:pPr>
        <w:spacing w:line="312" w:lineRule="auto"/>
        <w:ind w:firstLine="735" w:firstLineChars="350"/>
        <w:jc w:val="left"/>
        <w:rPr>
          <w:rFonts w:hint="eastAsia" w:eastAsia="宋体"/>
          <w:color w:val="auto"/>
          <w:kern w:val="0"/>
          <w:szCs w:val="21"/>
          <w:highlight w:val="none"/>
          <w:lang w:eastAsia="zh-CN"/>
        </w:rPr>
      </w:pPr>
      <w:bookmarkStart w:id="16" w:name="_Hlk77608065"/>
      <w:r>
        <w:rPr>
          <w:rFonts w:hint="eastAsia"/>
          <w:color w:val="auto"/>
          <w:kern w:val="0"/>
          <w:szCs w:val="21"/>
          <w:highlight w:val="none"/>
        </w:rPr>
        <w:t>标项名称：</w:t>
      </w:r>
      <w:r>
        <w:rPr>
          <w:rFonts w:hint="eastAsia"/>
          <w:color w:val="auto"/>
          <w:kern w:val="0"/>
          <w:szCs w:val="21"/>
          <w:highlight w:val="none"/>
          <w:lang w:eastAsia="zh-CN"/>
        </w:rPr>
        <w:t>广西壮族自治区人工影响天气水资源保障工程-机动集成作业系统</w:t>
      </w:r>
    </w:p>
    <w:p w14:paraId="2284F520">
      <w:pPr>
        <w:spacing w:line="312" w:lineRule="auto"/>
        <w:ind w:firstLine="735" w:firstLineChars="350"/>
        <w:jc w:val="left"/>
        <w:rPr>
          <w:rFonts w:hint="eastAsia" w:eastAsia="宋体"/>
          <w:color w:val="auto"/>
          <w:kern w:val="0"/>
          <w:szCs w:val="21"/>
          <w:highlight w:val="none"/>
          <w:lang w:val="en-US" w:eastAsia="zh-CN"/>
        </w:rPr>
      </w:pPr>
      <w:r>
        <w:rPr>
          <w:rFonts w:hint="eastAsia"/>
          <w:color w:val="auto"/>
          <w:kern w:val="0"/>
          <w:szCs w:val="21"/>
          <w:highlight w:val="none"/>
        </w:rPr>
        <w:t>数量：</w:t>
      </w:r>
      <w:r>
        <w:rPr>
          <w:rFonts w:hint="eastAsia"/>
          <w:color w:val="auto"/>
          <w:kern w:val="0"/>
          <w:szCs w:val="21"/>
          <w:highlight w:val="none"/>
          <w:lang w:val="en-US" w:eastAsia="zh-CN"/>
        </w:rPr>
        <w:t>1</w:t>
      </w:r>
    </w:p>
    <w:p w14:paraId="15BF77D1">
      <w:pPr>
        <w:spacing w:line="312" w:lineRule="auto"/>
        <w:ind w:firstLine="735" w:firstLineChars="350"/>
        <w:jc w:val="left"/>
        <w:rPr>
          <w:color w:val="auto"/>
          <w:kern w:val="0"/>
          <w:szCs w:val="21"/>
          <w:highlight w:val="none"/>
        </w:rPr>
      </w:pPr>
      <w:r>
        <w:rPr>
          <w:rFonts w:hint="eastAsia"/>
          <w:color w:val="auto"/>
          <w:kern w:val="0"/>
          <w:szCs w:val="21"/>
          <w:highlight w:val="none"/>
        </w:rPr>
        <w:t>预算金额（元）：</w:t>
      </w:r>
      <w:r>
        <w:rPr>
          <w:rFonts w:hint="eastAsia"/>
          <w:color w:val="auto"/>
          <w:kern w:val="0"/>
          <w:szCs w:val="21"/>
          <w:highlight w:val="none"/>
          <w:lang w:eastAsia="zh-CN"/>
        </w:rPr>
        <w:t>58150000</w:t>
      </w:r>
      <w:r>
        <w:rPr>
          <w:rFonts w:hint="eastAsia"/>
          <w:color w:val="auto"/>
          <w:kern w:val="0"/>
          <w:szCs w:val="21"/>
          <w:highlight w:val="none"/>
          <w:lang w:val="en-US" w:eastAsia="zh-CN"/>
        </w:rPr>
        <w:t>.00</w:t>
      </w:r>
    </w:p>
    <w:p w14:paraId="435B8D74">
      <w:pPr>
        <w:spacing w:line="312" w:lineRule="auto"/>
        <w:ind w:firstLine="735" w:firstLineChars="350"/>
        <w:jc w:val="left"/>
        <w:rPr>
          <w:color w:val="auto"/>
          <w:kern w:val="0"/>
          <w:szCs w:val="21"/>
          <w:highlight w:val="none"/>
        </w:rPr>
      </w:pPr>
      <w:r>
        <w:rPr>
          <w:rFonts w:hint="eastAsia"/>
          <w:color w:val="auto"/>
          <w:kern w:val="0"/>
          <w:szCs w:val="21"/>
          <w:highlight w:val="none"/>
        </w:rPr>
        <w:t>简要规格描述或项目基本概况介绍、用途：车载式机动集成作业系统</w:t>
      </w:r>
      <w:r>
        <w:rPr>
          <w:rFonts w:hint="eastAsia"/>
          <w:color w:val="auto"/>
          <w:kern w:val="0"/>
          <w:szCs w:val="21"/>
          <w:highlight w:val="none"/>
          <w:lang w:val="en-US" w:eastAsia="zh-CN"/>
        </w:rPr>
        <w:t>及方舱式机动集成作业系统各1套</w:t>
      </w:r>
      <w:r>
        <w:rPr>
          <w:rFonts w:hint="eastAsia"/>
          <w:color w:val="auto"/>
          <w:kern w:val="0"/>
          <w:szCs w:val="21"/>
          <w:highlight w:val="none"/>
        </w:rPr>
        <w:t>，主要包括探测模组</w:t>
      </w:r>
      <w:r>
        <w:rPr>
          <w:rFonts w:hint="eastAsia"/>
          <w:color w:val="auto"/>
          <w:kern w:val="0"/>
          <w:szCs w:val="21"/>
          <w:highlight w:val="none"/>
          <w:lang w:eastAsia="zh-CN"/>
        </w:rPr>
        <w:t>、</w:t>
      </w:r>
      <w:r>
        <w:rPr>
          <w:rFonts w:hint="eastAsia"/>
          <w:color w:val="auto"/>
          <w:kern w:val="0"/>
          <w:szCs w:val="21"/>
          <w:highlight w:val="none"/>
        </w:rPr>
        <w:t>指挥模组</w:t>
      </w:r>
      <w:r>
        <w:rPr>
          <w:rFonts w:hint="eastAsia"/>
          <w:color w:val="auto"/>
          <w:kern w:val="0"/>
          <w:szCs w:val="21"/>
          <w:highlight w:val="none"/>
          <w:lang w:eastAsia="zh-CN"/>
        </w:rPr>
        <w:t>、</w:t>
      </w:r>
      <w:r>
        <w:rPr>
          <w:rFonts w:hint="eastAsia"/>
          <w:color w:val="auto"/>
          <w:kern w:val="0"/>
          <w:szCs w:val="21"/>
          <w:highlight w:val="none"/>
        </w:rPr>
        <w:t>作业模组</w:t>
      </w:r>
      <w:r>
        <w:rPr>
          <w:rFonts w:hint="eastAsia"/>
          <w:color w:val="auto"/>
          <w:kern w:val="0"/>
          <w:szCs w:val="21"/>
          <w:highlight w:val="none"/>
          <w:lang w:eastAsia="zh-CN"/>
        </w:rPr>
        <w:t>、</w:t>
      </w:r>
      <w:r>
        <w:rPr>
          <w:rFonts w:hint="eastAsia"/>
          <w:color w:val="auto"/>
          <w:kern w:val="0"/>
          <w:szCs w:val="21"/>
          <w:highlight w:val="none"/>
        </w:rPr>
        <w:t>保障模组。具体内容详见本项目招标文件。</w:t>
      </w:r>
    </w:p>
    <w:p w14:paraId="66569383">
      <w:pPr>
        <w:spacing w:line="312" w:lineRule="auto"/>
        <w:ind w:firstLine="735" w:firstLineChars="350"/>
        <w:jc w:val="left"/>
        <w:rPr>
          <w:color w:val="auto"/>
          <w:kern w:val="0"/>
          <w:szCs w:val="21"/>
          <w:highlight w:val="none"/>
        </w:rPr>
      </w:pPr>
      <w:bookmarkStart w:id="17" w:name="_Hlk132796150"/>
      <w:r>
        <w:rPr>
          <w:color w:val="auto"/>
          <w:kern w:val="0"/>
          <w:szCs w:val="21"/>
          <w:highlight w:val="none"/>
        </w:rPr>
        <w:t>最高限价</w:t>
      </w:r>
      <w:r>
        <w:rPr>
          <w:rFonts w:hint="eastAsia"/>
          <w:color w:val="auto"/>
          <w:kern w:val="0"/>
          <w:szCs w:val="21"/>
          <w:highlight w:val="none"/>
        </w:rPr>
        <w:t>（如有）</w:t>
      </w:r>
      <w:r>
        <w:rPr>
          <w:color w:val="auto"/>
          <w:kern w:val="0"/>
          <w:szCs w:val="21"/>
          <w:highlight w:val="none"/>
        </w:rPr>
        <w:t>：</w:t>
      </w:r>
      <w:bookmarkEnd w:id="17"/>
      <w:r>
        <w:rPr>
          <w:rFonts w:hint="eastAsia"/>
          <w:color w:val="auto"/>
          <w:kern w:val="0"/>
          <w:szCs w:val="21"/>
          <w:highlight w:val="none"/>
          <w:lang w:val="en-US" w:eastAsia="zh-CN"/>
        </w:rPr>
        <w:t>58150000</w:t>
      </w:r>
      <w:r>
        <w:rPr>
          <w:rFonts w:hint="eastAsia"/>
          <w:color w:val="auto"/>
          <w:highlight w:val="none"/>
        </w:rPr>
        <w:t>.00</w:t>
      </w:r>
    </w:p>
    <w:p w14:paraId="04CCE096">
      <w:pPr>
        <w:spacing w:line="312" w:lineRule="auto"/>
        <w:ind w:firstLine="735" w:firstLineChars="350"/>
        <w:jc w:val="left"/>
        <w:rPr>
          <w:color w:val="auto"/>
          <w:kern w:val="0"/>
          <w:szCs w:val="21"/>
          <w:highlight w:val="none"/>
        </w:rPr>
      </w:pPr>
      <w:r>
        <w:rPr>
          <w:rFonts w:hint="eastAsia"/>
          <w:color w:val="auto"/>
          <w:kern w:val="0"/>
          <w:szCs w:val="21"/>
          <w:highlight w:val="none"/>
        </w:rPr>
        <w:t>合同履约期限：中标人须在合同签订后1个月内将项目技术和实施方案提交采购人进行评审，评审通过后方可实施；在合同签订后6个月内完成全部仪器设备和配件的采购和生产，并向采购人申请组织出厂验收；在合同签订后</w:t>
      </w:r>
      <w:r>
        <w:rPr>
          <w:rFonts w:hint="eastAsia"/>
          <w:color w:val="auto"/>
          <w:kern w:val="0"/>
          <w:szCs w:val="21"/>
          <w:highlight w:val="none"/>
          <w:lang w:val="en-US" w:eastAsia="zh-CN"/>
        </w:rPr>
        <w:t>8</w:t>
      </w:r>
      <w:r>
        <w:rPr>
          <w:rFonts w:hint="eastAsia"/>
          <w:color w:val="auto"/>
          <w:kern w:val="0"/>
          <w:szCs w:val="21"/>
          <w:highlight w:val="none"/>
        </w:rPr>
        <w:t>个月内完成生产建造并向采购人申请组织出厂验收；在合同签订后</w:t>
      </w:r>
      <w:r>
        <w:rPr>
          <w:rFonts w:hint="eastAsia"/>
          <w:color w:val="auto"/>
          <w:kern w:val="0"/>
          <w:szCs w:val="21"/>
          <w:highlight w:val="none"/>
          <w:lang w:val="en-US" w:eastAsia="zh-CN"/>
        </w:rPr>
        <w:t>10</w:t>
      </w:r>
      <w:r>
        <w:rPr>
          <w:rFonts w:hint="eastAsia"/>
          <w:color w:val="auto"/>
          <w:kern w:val="0"/>
          <w:szCs w:val="21"/>
          <w:highlight w:val="none"/>
        </w:rPr>
        <w:t>个月内完成交付。</w:t>
      </w:r>
    </w:p>
    <w:p w14:paraId="3E39CB6C">
      <w:pPr>
        <w:spacing w:line="312" w:lineRule="auto"/>
        <w:ind w:firstLine="735" w:firstLineChars="350"/>
        <w:jc w:val="left"/>
        <w:rPr>
          <w:color w:val="auto"/>
          <w:kern w:val="0"/>
          <w:szCs w:val="21"/>
          <w:highlight w:val="none"/>
        </w:rPr>
      </w:pPr>
      <w:r>
        <w:rPr>
          <w:color w:val="auto"/>
          <w:kern w:val="0"/>
          <w:szCs w:val="21"/>
          <w:highlight w:val="none"/>
        </w:rPr>
        <w:t>本项目</w:t>
      </w:r>
      <w:r>
        <w:rPr>
          <w:rFonts w:hint="eastAsia"/>
          <w:color w:val="auto"/>
          <w:kern w:val="0"/>
          <w:szCs w:val="21"/>
          <w:highlight w:val="none"/>
        </w:rPr>
        <w:t>（</w:t>
      </w:r>
      <w:r>
        <w:rPr>
          <w:rFonts w:hint="eastAsia"/>
          <w:color w:val="auto"/>
          <w:szCs w:val="21"/>
          <w:highlight w:val="none"/>
          <w:lang w:val="en-US" w:eastAsia="zh-CN"/>
        </w:rPr>
        <w:t>否</w:t>
      </w:r>
      <w:r>
        <w:rPr>
          <w:rFonts w:hint="eastAsia"/>
          <w:color w:val="auto"/>
          <w:kern w:val="0"/>
          <w:szCs w:val="21"/>
          <w:highlight w:val="none"/>
        </w:rPr>
        <w:t>）接受</w:t>
      </w:r>
      <w:r>
        <w:rPr>
          <w:color w:val="auto"/>
          <w:kern w:val="0"/>
          <w:szCs w:val="21"/>
          <w:highlight w:val="none"/>
        </w:rPr>
        <w:t>联合体投标。</w:t>
      </w:r>
    </w:p>
    <w:p w14:paraId="491CF50F">
      <w:pPr>
        <w:spacing w:line="312" w:lineRule="auto"/>
        <w:ind w:firstLine="735" w:firstLineChars="350"/>
        <w:jc w:val="left"/>
        <w:rPr>
          <w:rFonts w:hint="eastAsia" w:eastAsia="宋体"/>
          <w:color w:val="auto"/>
          <w:kern w:val="0"/>
          <w:szCs w:val="21"/>
          <w:highlight w:val="none"/>
        </w:rPr>
      </w:pPr>
      <w:r>
        <w:rPr>
          <w:rFonts w:hint="eastAsia" w:eastAsia="宋体"/>
          <w:color w:val="auto"/>
          <w:kern w:val="0"/>
          <w:szCs w:val="21"/>
          <w:highlight w:val="none"/>
        </w:rPr>
        <w:t>备注：采购计划号：广西政采[2026]10084号</w:t>
      </w:r>
    </w:p>
    <w:bookmarkEnd w:id="16"/>
    <w:p w14:paraId="03EFA029">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二、申请人的资格要求</w:t>
      </w:r>
    </w:p>
    <w:p w14:paraId="29B05E1A">
      <w:pPr>
        <w:spacing w:line="312" w:lineRule="auto"/>
        <w:ind w:firstLine="420" w:firstLineChars="200"/>
        <w:jc w:val="left"/>
        <w:rPr>
          <w:color w:val="auto"/>
          <w:szCs w:val="21"/>
          <w:highlight w:val="none"/>
        </w:rPr>
      </w:pPr>
      <w:r>
        <w:rPr>
          <w:color w:val="auto"/>
          <w:kern w:val="0"/>
          <w:szCs w:val="21"/>
          <w:highlight w:val="none"/>
        </w:rPr>
        <w:t>1</w:t>
      </w:r>
      <w:r>
        <w:rPr>
          <w:rFonts w:hint="eastAsia"/>
          <w:color w:val="auto"/>
          <w:kern w:val="0"/>
          <w:szCs w:val="21"/>
          <w:highlight w:val="none"/>
        </w:rPr>
        <w:t>.满足</w:t>
      </w:r>
      <w:r>
        <w:rPr>
          <w:color w:val="auto"/>
          <w:kern w:val="0"/>
          <w:szCs w:val="21"/>
          <w:highlight w:val="none"/>
        </w:rPr>
        <w:t>《中华人民共和国政府采购法》第二十二条规定；</w:t>
      </w:r>
      <w:r>
        <w:rPr>
          <w:color w:val="auto"/>
          <w:szCs w:val="21"/>
          <w:highlight w:val="none"/>
        </w:rPr>
        <w:t xml:space="preserve"> </w:t>
      </w:r>
    </w:p>
    <w:p w14:paraId="330B4DED">
      <w:pPr>
        <w:spacing w:line="312" w:lineRule="auto"/>
        <w:ind w:firstLine="420" w:firstLineChars="200"/>
        <w:jc w:val="left"/>
        <w:rPr>
          <w:strike/>
          <w:color w:val="auto"/>
          <w:kern w:val="0"/>
          <w:szCs w:val="21"/>
          <w:highlight w:val="none"/>
        </w:rPr>
      </w:pPr>
      <w:r>
        <w:rPr>
          <w:rFonts w:hint="eastAsia"/>
          <w:color w:val="auto"/>
          <w:szCs w:val="21"/>
          <w:highlight w:val="none"/>
        </w:rPr>
        <w:t>2.落实政府采购政策需满足的资格要求：</w:t>
      </w:r>
      <w:bookmarkStart w:id="18" w:name="_Hlk132732708"/>
      <w:r>
        <w:rPr>
          <w:rFonts w:hint="eastAsia"/>
          <w:color w:val="auto"/>
          <w:kern w:val="0"/>
          <w:szCs w:val="21"/>
          <w:highlight w:val="none"/>
        </w:rPr>
        <w:t>无</w:t>
      </w:r>
    </w:p>
    <w:bookmarkEnd w:id="18"/>
    <w:p w14:paraId="2949B981">
      <w:pPr>
        <w:spacing w:line="312" w:lineRule="auto"/>
        <w:ind w:firstLine="420" w:firstLineChars="200"/>
        <w:jc w:val="left"/>
        <w:rPr>
          <w:color w:val="auto"/>
          <w:kern w:val="0"/>
          <w:szCs w:val="21"/>
          <w:highlight w:val="none"/>
        </w:rPr>
      </w:pPr>
      <w:r>
        <w:rPr>
          <w:color w:val="auto"/>
          <w:kern w:val="0"/>
          <w:szCs w:val="21"/>
          <w:highlight w:val="none"/>
        </w:rPr>
        <w:t>3</w:t>
      </w:r>
      <w:r>
        <w:rPr>
          <w:rFonts w:hint="eastAsia"/>
          <w:color w:val="auto"/>
          <w:kern w:val="0"/>
          <w:szCs w:val="21"/>
          <w:highlight w:val="none"/>
        </w:rPr>
        <w:t>.本项目的</w:t>
      </w:r>
      <w:r>
        <w:rPr>
          <w:color w:val="auto"/>
          <w:kern w:val="0"/>
          <w:szCs w:val="21"/>
          <w:highlight w:val="none"/>
        </w:rPr>
        <w:t>特定资格</w:t>
      </w:r>
      <w:r>
        <w:rPr>
          <w:rFonts w:hint="eastAsia"/>
          <w:color w:val="auto"/>
          <w:kern w:val="0"/>
          <w:szCs w:val="21"/>
          <w:highlight w:val="none"/>
        </w:rPr>
        <w:t>要求</w:t>
      </w:r>
      <w:r>
        <w:rPr>
          <w:color w:val="auto"/>
          <w:kern w:val="0"/>
          <w:szCs w:val="21"/>
          <w:highlight w:val="none"/>
        </w:rPr>
        <w:t>：</w:t>
      </w:r>
    </w:p>
    <w:p w14:paraId="38C60DC7">
      <w:pPr>
        <w:spacing w:line="312" w:lineRule="auto"/>
        <w:ind w:firstLine="420" w:firstLineChars="200"/>
        <w:jc w:val="left"/>
        <w:rPr>
          <w:color w:val="auto"/>
          <w:kern w:val="0"/>
          <w:szCs w:val="21"/>
          <w:highlight w:val="none"/>
        </w:rPr>
      </w:pPr>
      <w:r>
        <w:rPr>
          <w:color w:val="auto"/>
          <w:kern w:val="0"/>
          <w:szCs w:val="21"/>
          <w:highlight w:val="none"/>
        </w:rPr>
        <w:t>（1）资质要求：无。</w:t>
      </w:r>
    </w:p>
    <w:p w14:paraId="32269B6B">
      <w:pPr>
        <w:spacing w:line="312" w:lineRule="auto"/>
        <w:ind w:firstLine="420" w:firstLineChars="200"/>
        <w:jc w:val="left"/>
        <w:rPr>
          <w:color w:val="auto"/>
          <w:kern w:val="0"/>
          <w:szCs w:val="21"/>
          <w:highlight w:val="none"/>
        </w:rPr>
      </w:pPr>
      <w:r>
        <w:rPr>
          <w:color w:val="auto"/>
          <w:kern w:val="0"/>
          <w:szCs w:val="21"/>
          <w:highlight w:val="none"/>
        </w:rPr>
        <w:t>（2）业绩要求：无。</w:t>
      </w:r>
    </w:p>
    <w:p w14:paraId="6B54F674">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3</w:t>
      </w:r>
      <w:r>
        <w:rPr>
          <w:rFonts w:hint="eastAsia"/>
          <w:color w:val="auto"/>
          <w:kern w:val="0"/>
          <w:szCs w:val="21"/>
          <w:highlight w:val="none"/>
        </w:rPr>
        <w:t>）</w:t>
      </w:r>
      <w:r>
        <w:rPr>
          <w:color w:val="auto"/>
          <w:kern w:val="0"/>
          <w:szCs w:val="21"/>
          <w:highlight w:val="none"/>
        </w:rPr>
        <w:t>单位负责人为同一人或者存在直接控股、管理关系的不同</w:t>
      </w:r>
      <w:r>
        <w:rPr>
          <w:rFonts w:hint="eastAsia"/>
          <w:color w:val="auto"/>
          <w:kern w:val="0"/>
          <w:szCs w:val="21"/>
          <w:highlight w:val="none"/>
          <w:lang w:val="en-US" w:eastAsia="zh-CN"/>
        </w:rPr>
        <w:t>投标人</w:t>
      </w:r>
      <w:r>
        <w:rPr>
          <w:color w:val="auto"/>
          <w:kern w:val="0"/>
          <w:szCs w:val="21"/>
          <w:highlight w:val="none"/>
        </w:rPr>
        <w:t>，不得参加本项目同一合同项下的政府采购活动。为本项目提供整体设计、规范编制或者项目管理、监理、检测等服务的</w:t>
      </w:r>
      <w:r>
        <w:rPr>
          <w:rFonts w:hint="eastAsia"/>
          <w:color w:val="auto"/>
          <w:kern w:val="0"/>
          <w:szCs w:val="21"/>
          <w:highlight w:val="none"/>
          <w:lang w:eastAsia="zh-CN"/>
        </w:rPr>
        <w:t>投标人</w:t>
      </w:r>
      <w:r>
        <w:rPr>
          <w:color w:val="auto"/>
          <w:kern w:val="0"/>
          <w:szCs w:val="21"/>
          <w:highlight w:val="none"/>
        </w:rPr>
        <w:t>，不得再参加</w:t>
      </w:r>
      <w:r>
        <w:rPr>
          <w:rFonts w:hint="eastAsia"/>
          <w:color w:val="auto"/>
          <w:kern w:val="0"/>
          <w:szCs w:val="21"/>
          <w:highlight w:val="none"/>
        </w:rPr>
        <w:t>本</w:t>
      </w:r>
      <w:r>
        <w:rPr>
          <w:color w:val="auto"/>
          <w:kern w:val="0"/>
          <w:szCs w:val="21"/>
          <w:highlight w:val="none"/>
        </w:rPr>
        <w:t>项目的采购活动</w:t>
      </w:r>
      <w:r>
        <w:rPr>
          <w:rFonts w:hint="eastAsia"/>
          <w:color w:val="auto"/>
          <w:kern w:val="0"/>
          <w:szCs w:val="21"/>
          <w:highlight w:val="none"/>
        </w:rPr>
        <w:t>。</w:t>
      </w:r>
    </w:p>
    <w:p w14:paraId="3CCF5E95">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4</w:t>
      </w:r>
      <w:r>
        <w:rPr>
          <w:rFonts w:hint="eastAsia"/>
          <w:color w:val="auto"/>
          <w:kern w:val="0"/>
          <w:szCs w:val="21"/>
          <w:highlight w:val="none"/>
        </w:rPr>
        <w:t>）</w:t>
      </w:r>
      <w:r>
        <w:rPr>
          <w:color w:val="auto"/>
          <w:kern w:val="0"/>
          <w:szCs w:val="21"/>
          <w:highlight w:val="none"/>
        </w:rPr>
        <w:t>未被列入失信被执行人、重大税收违法失信主体、政府采购严重违法失信行为记录名单。</w:t>
      </w:r>
    </w:p>
    <w:p w14:paraId="564A9306">
      <w:pPr>
        <w:spacing w:line="312" w:lineRule="auto"/>
        <w:ind w:firstLine="420" w:firstLineChars="200"/>
        <w:jc w:val="left"/>
        <w:rPr>
          <w:color w:val="auto"/>
          <w:kern w:val="0"/>
          <w:szCs w:val="21"/>
          <w:highlight w:val="none"/>
        </w:rPr>
      </w:pPr>
      <w:r>
        <w:rPr>
          <w:rFonts w:hint="eastAsia"/>
          <w:color w:val="auto"/>
          <w:kern w:val="0"/>
          <w:szCs w:val="21"/>
          <w:highlight w:val="none"/>
        </w:rPr>
        <w:t>（5）本项目（不允许）分公司参与投标。</w:t>
      </w:r>
    </w:p>
    <w:p w14:paraId="296E6A37">
      <w:pPr>
        <w:spacing w:line="312" w:lineRule="auto"/>
        <w:ind w:firstLine="420" w:firstLineChars="200"/>
        <w:jc w:val="left"/>
        <w:rPr>
          <w:color w:val="auto"/>
          <w:kern w:val="0"/>
          <w:szCs w:val="21"/>
          <w:highlight w:val="none"/>
        </w:rPr>
      </w:pPr>
      <w:bookmarkStart w:id="19" w:name="_Hlk132732817"/>
      <w:r>
        <w:rPr>
          <w:rFonts w:hint="eastAsia"/>
          <w:color w:val="auto"/>
          <w:szCs w:val="21"/>
          <w:highlight w:val="none"/>
        </w:rPr>
        <w:t>（</w:t>
      </w:r>
      <w:r>
        <w:rPr>
          <w:color w:val="auto"/>
          <w:szCs w:val="21"/>
          <w:highlight w:val="none"/>
        </w:rPr>
        <w:t>6</w:t>
      </w:r>
      <w:r>
        <w:rPr>
          <w:rFonts w:hint="eastAsia"/>
          <w:color w:val="auto"/>
          <w:szCs w:val="21"/>
          <w:highlight w:val="none"/>
        </w:rPr>
        <w:t>）</w:t>
      </w:r>
      <w:r>
        <w:rPr>
          <w:rFonts w:hint="eastAsia"/>
          <w:color w:val="auto"/>
          <w:kern w:val="0"/>
          <w:szCs w:val="21"/>
          <w:highlight w:val="none"/>
        </w:rPr>
        <w:t>本项目（不允许）分包。</w:t>
      </w:r>
    </w:p>
    <w:p w14:paraId="1024CFF7">
      <w:pPr>
        <w:spacing w:line="312" w:lineRule="auto"/>
        <w:ind w:firstLine="420" w:firstLineChars="200"/>
        <w:jc w:val="left"/>
        <w:rPr>
          <w:color w:val="auto"/>
          <w:szCs w:val="21"/>
          <w:highlight w:val="none"/>
        </w:rPr>
      </w:pPr>
      <w:r>
        <w:rPr>
          <w:rFonts w:hint="eastAsia"/>
          <w:color w:val="auto"/>
          <w:kern w:val="0"/>
          <w:szCs w:val="21"/>
          <w:highlight w:val="none"/>
        </w:rPr>
        <w:t>（</w:t>
      </w:r>
      <w:r>
        <w:rPr>
          <w:color w:val="auto"/>
          <w:kern w:val="0"/>
          <w:szCs w:val="21"/>
          <w:highlight w:val="none"/>
        </w:rPr>
        <w:t>7</w:t>
      </w:r>
      <w:r>
        <w:rPr>
          <w:rFonts w:hint="eastAsia"/>
          <w:color w:val="auto"/>
          <w:kern w:val="0"/>
          <w:szCs w:val="21"/>
          <w:highlight w:val="none"/>
        </w:rPr>
        <w:t>）</w:t>
      </w:r>
      <w:r>
        <w:rPr>
          <w:color w:val="auto"/>
          <w:kern w:val="0"/>
          <w:szCs w:val="21"/>
          <w:highlight w:val="none"/>
        </w:rPr>
        <w:t>本项目</w:t>
      </w:r>
      <w:r>
        <w:rPr>
          <w:rFonts w:hint="eastAsia"/>
          <w:color w:val="auto"/>
          <w:kern w:val="0"/>
          <w:szCs w:val="21"/>
          <w:highlight w:val="none"/>
        </w:rPr>
        <w:t>（</w:t>
      </w:r>
      <w:r>
        <w:rPr>
          <w:rFonts w:hint="eastAsia"/>
          <w:color w:val="auto"/>
          <w:kern w:val="0"/>
          <w:szCs w:val="21"/>
          <w:highlight w:val="none"/>
          <w:lang w:val="en-US" w:eastAsia="zh-CN"/>
        </w:rPr>
        <w:t>不</w:t>
      </w:r>
      <w:r>
        <w:rPr>
          <w:rFonts w:hint="eastAsia"/>
          <w:color w:val="auto"/>
          <w:szCs w:val="21"/>
          <w:highlight w:val="none"/>
        </w:rPr>
        <w:t>接受</w:t>
      </w:r>
      <w:r>
        <w:rPr>
          <w:rFonts w:hint="eastAsia"/>
          <w:color w:val="auto"/>
          <w:kern w:val="0"/>
          <w:szCs w:val="21"/>
          <w:highlight w:val="none"/>
        </w:rPr>
        <w:t>）</w:t>
      </w:r>
      <w:r>
        <w:rPr>
          <w:color w:val="auto"/>
          <w:kern w:val="0"/>
          <w:szCs w:val="21"/>
          <w:highlight w:val="none"/>
        </w:rPr>
        <w:t>联合体投标。</w:t>
      </w:r>
    </w:p>
    <w:bookmarkEnd w:id="19"/>
    <w:p w14:paraId="64CC77AF">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8</w:t>
      </w:r>
      <w:r>
        <w:rPr>
          <w:rFonts w:hint="eastAsia"/>
          <w:color w:val="auto"/>
          <w:kern w:val="0"/>
          <w:szCs w:val="21"/>
          <w:highlight w:val="none"/>
        </w:rPr>
        <w:t>）</w:t>
      </w:r>
      <w:r>
        <w:rPr>
          <w:color w:val="auto"/>
          <w:kern w:val="0"/>
          <w:szCs w:val="21"/>
          <w:highlight w:val="none"/>
        </w:rPr>
        <w:t>按照招标公告规定获得招标文件。</w:t>
      </w:r>
      <w:r>
        <w:rPr>
          <w:rFonts w:hint="eastAsia"/>
          <w:color w:val="auto"/>
          <w:kern w:val="0"/>
          <w:szCs w:val="21"/>
          <w:highlight w:val="none"/>
        </w:rPr>
        <w:t>招标文件有规定时按要求提交投标保证金。</w:t>
      </w:r>
    </w:p>
    <w:p w14:paraId="366B822C">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三、获取招标文件</w:t>
      </w:r>
    </w:p>
    <w:p w14:paraId="6A14E108">
      <w:pPr>
        <w:spacing w:line="312" w:lineRule="auto"/>
        <w:ind w:firstLine="420" w:firstLineChars="200"/>
        <w:jc w:val="left"/>
        <w:rPr>
          <w:color w:val="auto"/>
          <w:highlight w:val="none"/>
        </w:rPr>
      </w:pPr>
      <w:bookmarkStart w:id="20" w:name="_Hlk19048251"/>
      <w:r>
        <w:rPr>
          <w:rFonts w:hint="eastAsia"/>
          <w:color w:val="auto"/>
          <w:highlight w:val="none"/>
        </w:rPr>
        <w:t>时间：2026年</w:t>
      </w:r>
      <w:r>
        <w:rPr>
          <w:rFonts w:hint="eastAsia"/>
          <w:color w:val="auto"/>
          <w:highlight w:val="none"/>
          <w:lang w:val="en-US" w:eastAsia="zh-CN"/>
        </w:rPr>
        <w:t>5</w:t>
      </w:r>
      <w:r>
        <w:rPr>
          <w:rFonts w:hint="eastAsia"/>
          <w:color w:val="auto"/>
          <w:highlight w:val="none"/>
        </w:rPr>
        <w:t>月</w:t>
      </w:r>
      <w:r>
        <w:rPr>
          <w:rFonts w:hint="eastAsia"/>
          <w:color w:val="auto"/>
          <w:highlight w:val="none"/>
          <w:lang w:val="en-US" w:eastAsia="zh-CN"/>
        </w:rPr>
        <w:t>26</w:t>
      </w:r>
      <w:r>
        <w:rPr>
          <w:rFonts w:hint="eastAsia"/>
          <w:color w:val="auto"/>
          <w:highlight w:val="none"/>
        </w:rPr>
        <w:t>日起至2026年</w:t>
      </w:r>
      <w:r>
        <w:rPr>
          <w:rFonts w:hint="eastAsia"/>
          <w:color w:val="auto"/>
          <w:highlight w:val="none"/>
          <w:lang w:val="en-US" w:eastAsia="zh-CN"/>
        </w:rPr>
        <w:t>6</w:t>
      </w:r>
      <w:r>
        <w:rPr>
          <w:rFonts w:hint="eastAsia"/>
          <w:color w:val="auto"/>
          <w:highlight w:val="none"/>
        </w:rPr>
        <w:t>月</w:t>
      </w:r>
      <w:r>
        <w:rPr>
          <w:rFonts w:hint="eastAsia"/>
          <w:color w:val="auto"/>
          <w:highlight w:val="none"/>
          <w:lang w:val="en-US" w:eastAsia="zh-CN"/>
        </w:rPr>
        <w:t>2</w:t>
      </w:r>
      <w:r>
        <w:rPr>
          <w:rFonts w:hint="eastAsia"/>
          <w:color w:val="auto"/>
          <w:highlight w:val="none"/>
        </w:rPr>
        <w:t>日，每天00时00分至12时00分，12时00分至23时59分（北京时间，法定节假日除外）。</w:t>
      </w:r>
    </w:p>
    <w:p w14:paraId="2D816E03">
      <w:pPr>
        <w:spacing w:line="312" w:lineRule="auto"/>
        <w:ind w:firstLine="420" w:firstLineChars="200"/>
        <w:jc w:val="left"/>
        <w:rPr>
          <w:color w:val="auto"/>
          <w:szCs w:val="21"/>
          <w:highlight w:val="none"/>
        </w:rPr>
      </w:pPr>
      <w:r>
        <w:rPr>
          <w:rFonts w:hint="eastAsia"/>
          <w:color w:val="auto"/>
          <w:highlight w:val="none"/>
        </w:rPr>
        <w:t>地点（网址）：</w:t>
      </w:r>
      <w:bookmarkStart w:id="21" w:name="_Hlk160186293"/>
      <w:r>
        <w:rPr>
          <w:rFonts w:hint="eastAsia" w:ascii="Arial" w:hAnsi="Arial" w:cs="Arial"/>
          <w:color w:val="auto"/>
          <w:kern w:val="0"/>
          <w:szCs w:val="21"/>
          <w:highlight w:val="none"/>
        </w:rPr>
        <w:t>广西政府采购云平台（</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rStyle w:val="57"/>
          <w:rFonts w:hint="eastAsia" w:ascii="Arial" w:hAnsi="Arial" w:cs="Arial"/>
          <w:color w:val="auto"/>
          <w:kern w:val="0"/>
          <w:szCs w:val="21"/>
          <w:highlight w:val="none"/>
        </w:rPr>
        <w:t>https://www.gcy.zfcg.gxzf.gov.cn/</w:t>
      </w:r>
      <w:r>
        <w:rPr>
          <w:rStyle w:val="57"/>
          <w:rFonts w:hint="eastAsia" w:ascii="Arial" w:hAnsi="Arial" w:cs="Arial"/>
          <w:color w:val="auto"/>
          <w:kern w:val="0"/>
          <w:szCs w:val="21"/>
          <w:highlight w:val="none"/>
        </w:rPr>
        <w:fldChar w:fldCharType="end"/>
      </w:r>
      <w:r>
        <w:rPr>
          <w:rFonts w:hint="eastAsia" w:ascii="Arial" w:hAnsi="Arial" w:cs="Arial"/>
          <w:color w:val="auto"/>
          <w:kern w:val="0"/>
          <w:szCs w:val="21"/>
          <w:highlight w:val="none"/>
        </w:rPr>
        <w:t>）</w:t>
      </w:r>
    </w:p>
    <w:bookmarkEnd w:id="21"/>
    <w:p w14:paraId="7A323940">
      <w:pPr>
        <w:spacing w:line="312" w:lineRule="auto"/>
        <w:ind w:firstLine="420" w:firstLineChars="200"/>
        <w:jc w:val="left"/>
        <w:rPr>
          <w:color w:val="auto"/>
          <w:szCs w:val="21"/>
          <w:highlight w:val="none"/>
        </w:rPr>
      </w:pPr>
      <w:r>
        <w:rPr>
          <w:rFonts w:hint="eastAsia"/>
          <w:color w:val="auto"/>
          <w:szCs w:val="21"/>
          <w:highlight w:val="none"/>
        </w:rPr>
        <w:t>方式：</w:t>
      </w:r>
      <w:bookmarkStart w:id="22" w:name="_Hlk132732941"/>
      <w:r>
        <w:rPr>
          <w:rFonts w:hint="eastAsia"/>
          <w:color w:val="auto"/>
          <w:szCs w:val="21"/>
          <w:highlight w:val="none"/>
          <w:lang w:val="en-US" w:eastAsia="zh-CN"/>
        </w:rPr>
        <w:t>投标人</w:t>
      </w:r>
      <w:r>
        <w:rPr>
          <w:rFonts w:hint="eastAsia"/>
          <w:color w:val="auto"/>
          <w:szCs w:val="21"/>
          <w:highlight w:val="none"/>
        </w:rPr>
        <w:t>登录广西政府采购云平台在线申请获取采购文件（进入“项目采购”应用，在获取采购文件菜单中选择项目，申请获取采购文件）</w:t>
      </w:r>
    </w:p>
    <w:bookmarkEnd w:id="22"/>
    <w:p w14:paraId="3DD11E27">
      <w:pPr>
        <w:spacing w:line="312" w:lineRule="auto"/>
        <w:ind w:firstLine="420" w:firstLineChars="200"/>
        <w:jc w:val="left"/>
        <w:rPr>
          <w:color w:val="auto"/>
          <w:highlight w:val="none"/>
        </w:rPr>
      </w:pPr>
      <w:r>
        <w:rPr>
          <w:rFonts w:hint="eastAsia"/>
          <w:color w:val="auto"/>
          <w:highlight w:val="none"/>
        </w:rPr>
        <w:t>售价（元）：</w:t>
      </w:r>
      <w:r>
        <w:rPr>
          <w:color w:val="auto"/>
          <w:highlight w:val="none"/>
        </w:rPr>
        <w:t>0</w:t>
      </w:r>
    </w:p>
    <w:bookmarkEnd w:id="20"/>
    <w:p w14:paraId="6BDD6341">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四、提交投标文件截止时间、开标时间和地点</w:t>
      </w:r>
    </w:p>
    <w:p w14:paraId="0E71AC7D">
      <w:pPr>
        <w:spacing w:line="312" w:lineRule="auto"/>
        <w:ind w:firstLine="420" w:firstLineChars="200"/>
        <w:jc w:val="left"/>
        <w:rPr>
          <w:color w:val="auto"/>
          <w:kern w:val="0"/>
          <w:szCs w:val="21"/>
          <w:highlight w:val="none"/>
        </w:rPr>
      </w:pPr>
      <w:r>
        <w:rPr>
          <w:rFonts w:hint="eastAsia"/>
          <w:color w:val="auto"/>
          <w:kern w:val="0"/>
          <w:szCs w:val="21"/>
          <w:highlight w:val="none"/>
        </w:rPr>
        <w:t>提交投标文件截止时间：</w:t>
      </w:r>
      <w:r>
        <w:rPr>
          <w:rFonts w:hint="eastAsia"/>
          <w:color w:val="auto"/>
          <w:kern w:val="0"/>
          <w:szCs w:val="21"/>
          <w:highlight w:val="none"/>
          <w:u w:val="single"/>
        </w:rPr>
        <w:t>2026年</w:t>
      </w:r>
      <w:r>
        <w:rPr>
          <w:rFonts w:hint="eastAsia"/>
          <w:color w:val="auto"/>
          <w:kern w:val="0"/>
          <w:szCs w:val="21"/>
          <w:highlight w:val="none"/>
          <w:u w:val="single"/>
          <w:lang w:val="en-US" w:eastAsia="zh-CN"/>
        </w:rPr>
        <w:t>6</w:t>
      </w:r>
      <w:r>
        <w:rPr>
          <w:rFonts w:hint="eastAsia"/>
          <w:color w:val="auto"/>
          <w:kern w:val="0"/>
          <w:szCs w:val="21"/>
          <w:highlight w:val="none"/>
          <w:u w:val="single"/>
        </w:rPr>
        <w:t>月</w:t>
      </w:r>
      <w:r>
        <w:rPr>
          <w:rFonts w:hint="eastAsia"/>
          <w:color w:val="auto"/>
          <w:kern w:val="0"/>
          <w:szCs w:val="21"/>
          <w:highlight w:val="none"/>
          <w:u w:val="single"/>
          <w:lang w:val="en-US" w:eastAsia="zh-CN"/>
        </w:rPr>
        <w:t>16</w:t>
      </w:r>
      <w:r>
        <w:rPr>
          <w:rFonts w:hint="eastAsia"/>
          <w:color w:val="auto"/>
          <w:kern w:val="0"/>
          <w:szCs w:val="21"/>
          <w:highlight w:val="none"/>
          <w:u w:val="single"/>
        </w:rPr>
        <w:t>日09:30</w:t>
      </w:r>
      <w:r>
        <w:rPr>
          <w:rFonts w:hint="eastAsia"/>
          <w:color w:val="auto"/>
          <w:kern w:val="0"/>
          <w:szCs w:val="21"/>
          <w:highlight w:val="none"/>
        </w:rPr>
        <w:t>（北京时间）</w:t>
      </w:r>
    </w:p>
    <w:p w14:paraId="25B57A24">
      <w:pPr>
        <w:spacing w:line="312" w:lineRule="auto"/>
        <w:ind w:firstLine="420" w:firstLineChars="200"/>
        <w:jc w:val="left"/>
        <w:rPr>
          <w:color w:val="auto"/>
          <w:kern w:val="0"/>
          <w:szCs w:val="21"/>
          <w:highlight w:val="none"/>
        </w:rPr>
      </w:pPr>
      <w:r>
        <w:rPr>
          <w:rFonts w:hint="eastAsia"/>
          <w:color w:val="auto"/>
          <w:kern w:val="0"/>
          <w:szCs w:val="21"/>
          <w:highlight w:val="none"/>
        </w:rPr>
        <w:t>投标地点（网址）：</w:t>
      </w:r>
      <w:bookmarkStart w:id="23" w:name="_Hlk88997081"/>
      <w:r>
        <w:rPr>
          <w:rFonts w:hint="eastAsia"/>
          <w:color w:val="auto"/>
          <w:szCs w:val="21"/>
          <w:highlight w:val="none"/>
        </w:rPr>
        <w:t>本项目为全流程电子化项目，没有现场递交投标文件及现场开标环节，通过广西政府采购云平台</w:t>
      </w:r>
      <w:bookmarkStart w:id="24" w:name="_Hlk160186485"/>
      <w:r>
        <w:rPr>
          <w:rFonts w:hint="eastAsia"/>
          <w:color w:val="auto"/>
          <w:szCs w:val="21"/>
          <w:highlight w:val="none"/>
        </w:rPr>
        <w:t>（https://www.gcy.zfcg.gxzf.gov.cn/）</w:t>
      </w:r>
      <w:bookmarkEnd w:id="24"/>
      <w:r>
        <w:rPr>
          <w:rFonts w:hint="eastAsia"/>
          <w:color w:val="auto"/>
          <w:szCs w:val="21"/>
          <w:highlight w:val="none"/>
        </w:rPr>
        <w:t>实行在线电子投标，</w:t>
      </w:r>
      <w:r>
        <w:rPr>
          <w:rFonts w:hint="eastAsia"/>
          <w:color w:val="auto"/>
          <w:szCs w:val="21"/>
          <w:highlight w:val="none"/>
          <w:lang w:val="en-US" w:eastAsia="zh-CN"/>
        </w:rPr>
        <w:t>投标人</w:t>
      </w:r>
      <w:r>
        <w:rPr>
          <w:rFonts w:hint="eastAsia"/>
          <w:color w:val="auto"/>
          <w:szCs w:val="21"/>
          <w:highlight w:val="none"/>
        </w:rPr>
        <w:t>应先安装</w:t>
      </w:r>
      <w:bookmarkStart w:id="25" w:name="_Hlk160186504"/>
      <w:r>
        <w:rPr>
          <w:rFonts w:hint="eastAsia"/>
          <w:color w:val="auto"/>
          <w:szCs w:val="21"/>
          <w:highlight w:val="none"/>
        </w:rPr>
        <w:t>广西政府采购云平台新版客户端（请自行前往广西政府采购网-办事服务-下载专区进行下载）</w:t>
      </w:r>
      <w:bookmarkEnd w:id="25"/>
      <w:r>
        <w:rPr>
          <w:rFonts w:hint="eastAsia"/>
          <w:color w:val="auto"/>
          <w:szCs w:val="21"/>
          <w:highlight w:val="none"/>
        </w:rPr>
        <w:t>，并按照本项目招标文件和广西政府采购云平台的要求使用C</w:t>
      </w:r>
      <w:r>
        <w:rPr>
          <w:color w:val="auto"/>
          <w:szCs w:val="21"/>
          <w:highlight w:val="none"/>
        </w:rPr>
        <w:t>A</w:t>
      </w:r>
      <w:r>
        <w:rPr>
          <w:rFonts w:hint="eastAsia"/>
          <w:color w:val="auto"/>
          <w:szCs w:val="21"/>
          <w:highlight w:val="none"/>
        </w:rPr>
        <w:t>认证编制、加密投标文件后在投标截止时间前上传至 广西政府采购云平台，</w:t>
      </w:r>
      <w:r>
        <w:rPr>
          <w:rFonts w:hint="eastAsia"/>
          <w:color w:val="auto"/>
          <w:szCs w:val="21"/>
          <w:highlight w:val="none"/>
          <w:lang w:val="en-US" w:eastAsia="zh-CN"/>
        </w:rPr>
        <w:t>投标人</w:t>
      </w:r>
      <w:r>
        <w:rPr>
          <w:rFonts w:hint="eastAsia"/>
          <w:color w:val="auto"/>
          <w:szCs w:val="21"/>
          <w:highlight w:val="none"/>
        </w:rPr>
        <w:t xml:space="preserve">在广西政府采购云平台提交电子版投标文件时，请填写参加远程开标活动经办人联系方式。 </w:t>
      </w:r>
    </w:p>
    <w:bookmarkEnd w:id="23"/>
    <w:p w14:paraId="112E9ED6">
      <w:pPr>
        <w:spacing w:line="312" w:lineRule="auto"/>
        <w:ind w:firstLine="420" w:firstLineChars="200"/>
        <w:jc w:val="left"/>
        <w:rPr>
          <w:color w:val="auto"/>
          <w:kern w:val="0"/>
          <w:szCs w:val="21"/>
          <w:highlight w:val="none"/>
        </w:rPr>
      </w:pPr>
      <w:r>
        <w:rPr>
          <w:rFonts w:hint="eastAsia"/>
          <w:color w:val="auto"/>
          <w:kern w:val="0"/>
          <w:szCs w:val="21"/>
          <w:highlight w:val="none"/>
        </w:rPr>
        <w:t>开标时间：</w:t>
      </w:r>
      <w:r>
        <w:rPr>
          <w:rFonts w:hint="eastAsia"/>
          <w:color w:val="auto"/>
          <w:kern w:val="0"/>
          <w:szCs w:val="21"/>
          <w:highlight w:val="none"/>
          <w:u w:val="single"/>
        </w:rPr>
        <w:t>2026年</w:t>
      </w:r>
      <w:r>
        <w:rPr>
          <w:rFonts w:hint="eastAsia"/>
          <w:color w:val="auto"/>
          <w:kern w:val="0"/>
          <w:szCs w:val="21"/>
          <w:highlight w:val="none"/>
          <w:u w:val="single"/>
          <w:lang w:val="en-US" w:eastAsia="zh-CN"/>
        </w:rPr>
        <w:t>6</w:t>
      </w:r>
      <w:r>
        <w:rPr>
          <w:rFonts w:hint="eastAsia"/>
          <w:color w:val="auto"/>
          <w:kern w:val="0"/>
          <w:szCs w:val="21"/>
          <w:highlight w:val="none"/>
          <w:u w:val="single"/>
        </w:rPr>
        <w:t>月</w:t>
      </w:r>
      <w:r>
        <w:rPr>
          <w:rFonts w:hint="eastAsia"/>
          <w:color w:val="auto"/>
          <w:kern w:val="0"/>
          <w:szCs w:val="21"/>
          <w:highlight w:val="none"/>
          <w:u w:val="single"/>
          <w:lang w:val="en-US" w:eastAsia="zh-CN"/>
        </w:rPr>
        <w:t>16</w:t>
      </w:r>
      <w:r>
        <w:rPr>
          <w:rFonts w:hint="eastAsia"/>
          <w:color w:val="auto"/>
          <w:kern w:val="0"/>
          <w:szCs w:val="21"/>
          <w:highlight w:val="none"/>
          <w:u w:val="single"/>
        </w:rPr>
        <w:t>日09:30</w:t>
      </w:r>
      <w:r>
        <w:rPr>
          <w:color w:val="auto"/>
          <w:kern w:val="0"/>
          <w:szCs w:val="21"/>
          <w:highlight w:val="none"/>
          <w:u w:val="single"/>
        </w:rPr>
        <w:t xml:space="preserve">  </w:t>
      </w:r>
    </w:p>
    <w:p w14:paraId="6034E219">
      <w:pPr>
        <w:spacing w:line="312" w:lineRule="auto"/>
        <w:ind w:firstLine="420" w:firstLineChars="200"/>
        <w:jc w:val="left"/>
        <w:rPr>
          <w:color w:val="auto"/>
          <w:szCs w:val="21"/>
          <w:highlight w:val="none"/>
        </w:rPr>
      </w:pPr>
      <w:r>
        <w:rPr>
          <w:rFonts w:hint="eastAsia"/>
          <w:color w:val="auto"/>
          <w:kern w:val="0"/>
          <w:szCs w:val="21"/>
          <w:highlight w:val="none"/>
        </w:rPr>
        <w:t>开标地点：</w:t>
      </w:r>
      <w:bookmarkStart w:id="26" w:name="_Hlk88997106"/>
      <w:r>
        <w:rPr>
          <w:rFonts w:hint="eastAsia"/>
          <w:color w:val="auto"/>
          <w:szCs w:val="21"/>
          <w:highlight w:val="none"/>
          <w:lang w:val="en-US" w:eastAsia="zh-CN"/>
        </w:rPr>
        <w:t>投标人</w:t>
      </w:r>
      <w:r>
        <w:rPr>
          <w:rFonts w:hint="eastAsia"/>
          <w:color w:val="auto"/>
          <w:szCs w:val="21"/>
          <w:highlight w:val="none"/>
        </w:rPr>
        <w:t>登录广西政府采购云平台电子开标大厅开标。</w:t>
      </w:r>
      <w:bookmarkEnd w:id="26"/>
    </w:p>
    <w:p w14:paraId="33D4E9E1">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五、公告期限</w:t>
      </w:r>
    </w:p>
    <w:p w14:paraId="20C8726F">
      <w:pPr>
        <w:spacing w:line="312" w:lineRule="auto"/>
        <w:ind w:firstLine="420" w:firstLineChars="200"/>
        <w:jc w:val="left"/>
        <w:rPr>
          <w:color w:val="auto"/>
          <w:kern w:val="0"/>
          <w:szCs w:val="21"/>
          <w:highlight w:val="none"/>
        </w:rPr>
      </w:pPr>
      <w:r>
        <w:rPr>
          <w:rFonts w:hint="eastAsia"/>
          <w:color w:val="auto"/>
          <w:kern w:val="0"/>
          <w:szCs w:val="21"/>
          <w:highlight w:val="none"/>
        </w:rPr>
        <w:t>自本公告发布之日起5个工作日。</w:t>
      </w:r>
    </w:p>
    <w:p w14:paraId="30D39E15">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六、其他补充事宜</w:t>
      </w:r>
    </w:p>
    <w:p w14:paraId="6A07A8D2">
      <w:pPr>
        <w:spacing w:line="312" w:lineRule="auto"/>
        <w:ind w:firstLine="420" w:firstLineChars="200"/>
        <w:jc w:val="left"/>
        <w:rPr>
          <w:rFonts w:hint="eastAsia" w:eastAsia="宋体"/>
          <w:color w:val="auto"/>
          <w:kern w:val="0"/>
          <w:szCs w:val="21"/>
          <w:highlight w:val="none"/>
          <w:lang w:eastAsia="zh-CN"/>
        </w:rPr>
      </w:pPr>
      <w:r>
        <w:rPr>
          <w:rFonts w:hint="eastAsia"/>
          <w:color w:val="auto"/>
          <w:kern w:val="0"/>
          <w:szCs w:val="21"/>
          <w:highlight w:val="none"/>
        </w:rPr>
        <w:t>1</w:t>
      </w:r>
      <w:r>
        <w:rPr>
          <w:color w:val="auto"/>
          <w:kern w:val="0"/>
          <w:szCs w:val="21"/>
          <w:highlight w:val="none"/>
        </w:rPr>
        <w:t>.</w:t>
      </w:r>
      <w:r>
        <w:rPr>
          <w:rFonts w:hint="eastAsia"/>
          <w:color w:val="auto"/>
          <w:kern w:val="0"/>
          <w:szCs w:val="21"/>
          <w:highlight w:val="none"/>
        </w:rPr>
        <w:t>公告发布媒体：广西壮族自治区政府采购网、中国政府采购网</w:t>
      </w:r>
      <w:r>
        <w:rPr>
          <w:rFonts w:hint="eastAsia"/>
          <w:color w:val="auto"/>
          <w:kern w:val="0"/>
          <w:szCs w:val="21"/>
          <w:highlight w:val="none"/>
          <w:lang w:eastAsia="zh-CN"/>
        </w:rPr>
        <w:t>、</w:t>
      </w:r>
      <w:r>
        <w:rPr>
          <w:rFonts w:hint="eastAsia" w:ascii="Times New Roman" w:hAnsi="Times New Roman" w:eastAsia="宋体" w:cs="Times New Roman"/>
          <w:color w:val="auto"/>
          <w:kern w:val="0"/>
          <w:szCs w:val="21"/>
          <w:highlight w:val="none"/>
        </w:rPr>
        <w:t>广西壮族自治区公共资源交易中心网站</w:t>
      </w:r>
      <w:r>
        <w:rPr>
          <w:rFonts w:hint="eastAsia"/>
          <w:color w:val="auto"/>
          <w:kern w:val="0"/>
          <w:szCs w:val="21"/>
          <w:highlight w:val="none"/>
          <w:lang w:eastAsia="zh-CN"/>
        </w:rPr>
        <w:t>。</w:t>
      </w:r>
    </w:p>
    <w:p w14:paraId="0F4A3D5E">
      <w:pPr>
        <w:spacing w:line="312" w:lineRule="auto"/>
        <w:ind w:firstLine="420" w:firstLineChars="200"/>
        <w:jc w:val="left"/>
        <w:rPr>
          <w:color w:val="auto"/>
          <w:kern w:val="0"/>
          <w:szCs w:val="21"/>
          <w:highlight w:val="none"/>
        </w:rPr>
      </w:pPr>
      <w:r>
        <w:rPr>
          <w:rFonts w:hint="eastAsia"/>
          <w:color w:val="auto"/>
          <w:kern w:val="0"/>
          <w:szCs w:val="21"/>
          <w:highlight w:val="none"/>
        </w:rPr>
        <w:t>2</w:t>
      </w:r>
      <w:r>
        <w:rPr>
          <w:color w:val="auto"/>
          <w:kern w:val="0"/>
          <w:szCs w:val="21"/>
          <w:highlight w:val="none"/>
        </w:rPr>
        <w:t>.</w:t>
      </w:r>
      <w:bookmarkStart w:id="27" w:name="_Hlk48145640"/>
      <w:r>
        <w:rPr>
          <w:rFonts w:hint="eastAsia"/>
          <w:color w:val="auto"/>
          <w:kern w:val="0"/>
          <w:szCs w:val="21"/>
          <w:highlight w:val="none"/>
        </w:rPr>
        <w:t>需落实的政府采购政策：</w:t>
      </w:r>
      <w:bookmarkEnd w:id="27"/>
      <w:r>
        <w:rPr>
          <w:color w:val="auto"/>
          <w:kern w:val="0"/>
          <w:szCs w:val="21"/>
          <w:highlight w:val="none"/>
        </w:rPr>
        <w:t>政府采购促进中小企业、监狱企业发展、促进残疾人就业、节能环保</w:t>
      </w:r>
      <w:r>
        <w:rPr>
          <w:rFonts w:hint="eastAsia"/>
          <w:color w:val="auto"/>
          <w:kern w:val="0"/>
          <w:szCs w:val="21"/>
          <w:highlight w:val="none"/>
          <w:lang w:eastAsia="zh-CN"/>
        </w:rPr>
        <w:t>、对本国产品的支持</w:t>
      </w:r>
      <w:r>
        <w:rPr>
          <w:color w:val="auto"/>
          <w:kern w:val="0"/>
          <w:szCs w:val="21"/>
          <w:highlight w:val="none"/>
        </w:rPr>
        <w:t>等有关政策，具体详见招标文件。</w:t>
      </w:r>
    </w:p>
    <w:p w14:paraId="11EB5C24">
      <w:pPr>
        <w:spacing w:line="312" w:lineRule="auto"/>
        <w:ind w:firstLine="422" w:firstLineChars="200"/>
        <w:jc w:val="left"/>
        <w:rPr>
          <w:b/>
          <w:bCs/>
          <w:color w:val="auto"/>
          <w:kern w:val="0"/>
          <w:szCs w:val="21"/>
          <w:highlight w:val="none"/>
        </w:rPr>
      </w:pPr>
      <w:r>
        <w:rPr>
          <w:rFonts w:hint="eastAsia" w:cs="宋体"/>
          <w:b/>
          <w:bCs/>
          <w:color w:val="auto"/>
          <w:highlight w:val="none"/>
        </w:rPr>
        <w:t>3.本项目（是）采用远程异地评审</w:t>
      </w:r>
      <w:r>
        <w:rPr>
          <w:rFonts w:hint="eastAsia"/>
          <w:b/>
          <w:bCs/>
          <w:color w:val="auto"/>
          <w:kern w:val="0"/>
          <w:szCs w:val="21"/>
          <w:highlight w:val="none"/>
        </w:rPr>
        <w:t>。</w:t>
      </w:r>
    </w:p>
    <w:p w14:paraId="6E3A974C">
      <w:pPr>
        <w:spacing w:line="312" w:lineRule="auto"/>
        <w:ind w:firstLine="420" w:firstLineChars="200"/>
        <w:rPr>
          <w:color w:val="auto"/>
          <w:kern w:val="0"/>
          <w:szCs w:val="21"/>
          <w:highlight w:val="none"/>
        </w:rPr>
      </w:pPr>
      <w:bookmarkStart w:id="28" w:name="_Hlk88997182"/>
      <w:r>
        <w:rPr>
          <w:color w:val="auto"/>
          <w:kern w:val="0"/>
          <w:szCs w:val="21"/>
          <w:highlight w:val="none"/>
        </w:rPr>
        <w:t>4.</w:t>
      </w:r>
      <w:r>
        <w:rPr>
          <w:rFonts w:hint="eastAsia"/>
          <w:color w:val="auto"/>
          <w:kern w:val="0"/>
          <w:szCs w:val="21"/>
          <w:highlight w:val="none"/>
        </w:rPr>
        <w:t>注意事项：</w:t>
      </w:r>
    </w:p>
    <w:p w14:paraId="5FD2E3F7">
      <w:pPr>
        <w:spacing w:line="276" w:lineRule="auto"/>
        <w:ind w:firstLine="420" w:firstLineChars="200"/>
        <w:rPr>
          <w:color w:val="auto"/>
          <w:szCs w:val="21"/>
          <w:highlight w:val="none"/>
        </w:rPr>
      </w:pPr>
      <w:r>
        <w:rPr>
          <w:rFonts w:hint="eastAsia"/>
          <w:color w:val="auto"/>
          <w:kern w:val="0"/>
          <w:szCs w:val="21"/>
          <w:highlight w:val="none"/>
        </w:rPr>
        <w:t>（1）</w:t>
      </w:r>
      <w:r>
        <w:rPr>
          <w:rFonts w:hint="eastAsia"/>
          <w:color w:val="auto"/>
          <w:szCs w:val="21"/>
          <w:highlight w:val="none"/>
        </w:rPr>
        <w:t>未进行网上注册并办理数字证书（CA认证）的</w:t>
      </w:r>
      <w:r>
        <w:rPr>
          <w:rFonts w:hint="eastAsia"/>
          <w:color w:val="auto"/>
          <w:szCs w:val="21"/>
          <w:highlight w:val="none"/>
          <w:lang w:val="en-US" w:eastAsia="zh-CN"/>
        </w:rPr>
        <w:t>投标人</w:t>
      </w:r>
      <w:r>
        <w:rPr>
          <w:rFonts w:hint="eastAsia"/>
          <w:color w:val="auto"/>
          <w:szCs w:val="21"/>
          <w:highlight w:val="none"/>
        </w:rPr>
        <w:t>将无法参与本项目政府采购活动，潜在投标人应当在投标截止时间前，完成广西政府采购云平台上的CA数字证书办理及投标文件的提交。完成CA数字证书办理预计7日左右，建议各</w:t>
      </w:r>
      <w:r>
        <w:rPr>
          <w:rFonts w:hint="eastAsia"/>
          <w:color w:val="auto"/>
          <w:szCs w:val="21"/>
          <w:highlight w:val="none"/>
          <w:lang w:val="en-US" w:eastAsia="zh-CN"/>
        </w:rPr>
        <w:t>投标人</w:t>
      </w:r>
      <w:r>
        <w:rPr>
          <w:rFonts w:hint="eastAsia"/>
          <w:color w:val="auto"/>
          <w:szCs w:val="21"/>
          <w:highlight w:val="none"/>
        </w:rPr>
        <w:t>抓紧时间办理。</w:t>
      </w:r>
    </w:p>
    <w:p w14:paraId="66F50260">
      <w:pPr>
        <w:spacing w:line="276" w:lineRule="auto"/>
        <w:ind w:firstLine="420" w:firstLineChars="200"/>
        <w:rPr>
          <w:color w:val="auto"/>
          <w:kern w:val="0"/>
          <w:szCs w:val="21"/>
          <w:highlight w:val="none"/>
        </w:rPr>
      </w:pPr>
      <w:r>
        <w:rPr>
          <w:rFonts w:hint="eastAsia"/>
          <w:color w:val="auto"/>
          <w:szCs w:val="21"/>
          <w:highlight w:val="none"/>
        </w:rPr>
        <w:t>（2）为确保网上操作合法、有效和安全，请</w:t>
      </w:r>
      <w:r>
        <w:rPr>
          <w:rFonts w:hint="eastAsia"/>
          <w:color w:val="auto"/>
          <w:szCs w:val="21"/>
          <w:highlight w:val="none"/>
          <w:lang w:eastAsia="zh-CN"/>
        </w:rPr>
        <w:t>投标人</w:t>
      </w:r>
      <w:r>
        <w:rPr>
          <w:rFonts w:hint="eastAsia"/>
          <w:color w:val="auto"/>
          <w:szCs w:val="21"/>
          <w:highlight w:val="none"/>
        </w:rPr>
        <w:t>确保在电子投标过程中能够对相关数据电文进行加密和使用电子签章，妥善保管CA数字证书并使用有效的CA数字证书参与整个招标活动。</w:t>
      </w:r>
    </w:p>
    <w:p w14:paraId="56573A6A">
      <w:pPr>
        <w:spacing w:line="276" w:lineRule="auto"/>
        <w:ind w:firstLine="420" w:firstLineChars="200"/>
        <w:rPr>
          <w:rFonts w:hint="eastAsia" w:ascii="宋体" w:hAnsi="宋体" w:cs="宋体"/>
          <w:color w:val="auto"/>
          <w:kern w:val="0"/>
          <w:szCs w:val="21"/>
          <w:highlight w:val="none"/>
        </w:rPr>
      </w:pPr>
      <w:r>
        <w:rPr>
          <w:rFonts w:hint="eastAsia"/>
          <w:color w:val="auto"/>
          <w:szCs w:val="21"/>
          <w:highlight w:val="none"/>
        </w:rPr>
        <w:t>（3）</w:t>
      </w:r>
      <w:bookmarkStart w:id="29" w:name="_Hlk160186592"/>
      <w:r>
        <w:rPr>
          <w:rFonts w:hint="eastAsia"/>
          <w:color w:val="auto"/>
          <w:szCs w:val="21"/>
          <w:highlight w:val="none"/>
        </w:rPr>
        <w:t>若</w:t>
      </w:r>
      <w:r>
        <w:rPr>
          <w:rFonts w:hint="eastAsia" w:ascii="宋体" w:hAnsi="宋体" w:cs="宋体"/>
          <w:color w:val="auto"/>
          <w:kern w:val="0"/>
          <w:szCs w:val="21"/>
          <w:highlight w:val="none"/>
        </w:rPr>
        <w:t>对项目采购电子交易系统操作有疑问，可登录</w:t>
      </w:r>
      <w:r>
        <w:rPr>
          <w:rFonts w:hint="eastAsia"/>
          <w:color w:val="auto"/>
          <w:szCs w:val="21"/>
          <w:highlight w:val="none"/>
        </w:rPr>
        <w:t>广西政府采购云平台（https://www.gcy.zfcg.gxzf.gov.cn/）</w:t>
      </w:r>
      <w:r>
        <w:rPr>
          <w:rFonts w:hint="eastAsia" w:ascii="宋体" w:hAnsi="宋体" w:cs="宋体"/>
          <w:color w:val="auto"/>
          <w:kern w:val="0"/>
          <w:szCs w:val="21"/>
          <w:highlight w:val="none"/>
        </w:rPr>
        <w:t>，点击右侧咨询小采或帮助文档或拨打客服热线</w:t>
      </w:r>
      <w:r>
        <w:rPr>
          <w:rFonts w:ascii="宋体" w:hAnsi="宋体" w:cs="宋体"/>
          <w:color w:val="auto"/>
          <w:kern w:val="0"/>
          <w:szCs w:val="21"/>
          <w:highlight w:val="none"/>
        </w:rPr>
        <w:t xml:space="preserve">95763 </w:t>
      </w:r>
    </w:p>
    <w:bookmarkEnd w:id="28"/>
    <w:bookmarkEnd w:id="29"/>
    <w:p w14:paraId="251E1252">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七、对本次招标提出询问，请按以下方式联系</w:t>
      </w:r>
    </w:p>
    <w:p w14:paraId="1F3F9898">
      <w:pPr>
        <w:spacing w:line="312" w:lineRule="auto"/>
        <w:ind w:firstLine="420" w:firstLineChars="200"/>
        <w:jc w:val="left"/>
        <w:rPr>
          <w:color w:val="auto"/>
          <w:kern w:val="0"/>
          <w:szCs w:val="21"/>
          <w:highlight w:val="none"/>
        </w:rPr>
      </w:pPr>
      <w:r>
        <w:rPr>
          <w:rFonts w:hint="eastAsia"/>
          <w:color w:val="auto"/>
          <w:kern w:val="0"/>
          <w:szCs w:val="21"/>
          <w:highlight w:val="none"/>
        </w:rPr>
        <w:t>1.采购人信息</w:t>
      </w:r>
    </w:p>
    <w:p w14:paraId="65CDC08E">
      <w:pPr>
        <w:spacing w:line="312" w:lineRule="auto"/>
        <w:ind w:firstLine="420" w:firstLineChars="200"/>
        <w:jc w:val="left"/>
        <w:rPr>
          <w:color w:val="auto"/>
          <w:kern w:val="0"/>
          <w:szCs w:val="21"/>
          <w:highlight w:val="none"/>
        </w:rPr>
      </w:pPr>
      <w:r>
        <w:rPr>
          <w:rFonts w:hint="eastAsia"/>
          <w:color w:val="auto"/>
          <w:kern w:val="0"/>
          <w:szCs w:val="21"/>
          <w:highlight w:val="none"/>
        </w:rPr>
        <w:t>名称：广西壮族自治区人工影响天气办公室</w:t>
      </w:r>
    </w:p>
    <w:p w14:paraId="2160F06A">
      <w:pPr>
        <w:spacing w:line="312" w:lineRule="auto"/>
        <w:ind w:firstLine="420" w:firstLineChars="200"/>
        <w:jc w:val="left"/>
        <w:rPr>
          <w:color w:val="auto"/>
          <w:kern w:val="0"/>
          <w:szCs w:val="21"/>
          <w:highlight w:val="none"/>
        </w:rPr>
      </w:pPr>
      <w:r>
        <w:rPr>
          <w:color w:val="auto"/>
          <w:kern w:val="0"/>
          <w:szCs w:val="21"/>
          <w:highlight w:val="none"/>
        </w:rPr>
        <w:t>地址：</w:t>
      </w:r>
      <w:r>
        <w:rPr>
          <w:rFonts w:hint="eastAsia"/>
          <w:color w:val="auto"/>
          <w:kern w:val="0"/>
          <w:szCs w:val="21"/>
          <w:highlight w:val="none"/>
        </w:rPr>
        <w:t>广西南宁市江南区吴圩镇永安路16号</w:t>
      </w:r>
    </w:p>
    <w:p w14:paraId="1EF3CA68">
      <w:pPr>
        <w:spacing w:line="312" w:lineRule="auto"/>
        <w:ind w:firstLine="420" w:firstLineChars="200"/>
        <w:jc w:val="left"/>
        <w:rPr>
          <w:color w:val="auto"/>
          <w:kern w:val="0"/>
          <w:szCs w:val="21"/>
          <w:highlight w:val="none"/>
        </w:rPr>
      </w:pPr>
      <w:r>
        <w:rPr>
          <w:rFonts w:hint="eastAsia"/>
          <w:color w:val="auto"/>
          <w:kern w:val="0"/>
          <w:szCs w:val="21"/>
          <w:highlight w:val="none"/>
        </w:rPr>
        <w:t>项目联系人：</w:t>
      </w:r>
      <w:r>
        <w:rPr>
          <w:rFonts w:ascii="Arial" w:hAnsi="Arial" w:cs="Arial"/>
          <w:color w:val="auto"/>
          <w:kern w:val="0"/>
          <w:szCs w:val="21"/>
          <w:highlight w:val="none"/>
        </w:rPr>
        <w:t>张</w:t>
      </w:r>
      <w:r>
        <w:rPr>
          <w:rFonts w:hint="eastAsia" w:ascii="Arial" w:hAnsi="Arial" w:cs="Arial"/>
          <w:color w:val="auto"/>
          <w:kern w:val="0"/>
          <w:szCs w:val="21"/>
          <w:highlight w:val="none"/>
        </w:rPr>
        <w:t xml:space="preserve">工  </w:t>
      </w:r>
    </w:p>
    <w:p w14:paraId="09A8BE98">
      <w:pPr>
        <w:spacing w:line="312" w:lineRule="auto"/>
        <w:ind w:firstLine="420" w:firstLineChars="200"/>
        <w:jc w:val="left"/>
        <w:rPr>
          <w:rFonts w:hint="default" w:eastAsia="宋体"/>
          <w:color w:val="auto"/>
          <w:kern w:val="0"/>
          <w:szCs w:val="21"/>
          <w:highlight w:val="none"/>
          <w:u w:val="single"/>
          <w:lang w:val="en-US" w:eastAsia="zh-CN"/>
        </w:rPr>
      </w:pPr>
      <w:r>
        <w:rPr>
          <w:rFonts w:hint="eastAsia"/>
          <w:color w:val="auto"/>
          <w:kern w:val="0"/>
          <w:szCs w:val="21"/>
          <w:highlight w:val="none"/>
        </w:rPr>
        <w:t>项目</w:t>
      </w:r>
      <w:r>
        <w:rPr>
          <w:color w:val="auto"/>
          <w:kern w:val="0"/>
          <w:szCs w:val="21"/>
          <w:highlight w:val="none"/>
        </w:rPr>
        <w:t>联系</w:t>
      </w:r>
      <w:r>
        <w:rPr>
          <w:rFonts w:hint="eastAsia"/>
          <w:color w:val="auto"/>
          <w:kern w:val="0"/>
          <w:szCs w:val="21"/>
          <w:highlight w:val="none"/>
        </w:rPr>
        <w:t>方式：</w:t>
      </w:r>
      <w:r>
        <w:rPr>
          <w:rFonts w:hint="eastAsia" w:ascii="Arial" w:hAnsi="Arial" w:cs="Arial"/>
          <w:color w:val="auto"/>
          <w:kern w:val="0"/>
          <w:szCs w:val="21"/>
          <w:highlight w:val="none"/>
        </w:rPr>
        <w:t>0771-420</w:t>
      </w:r>
      <w:r>
        <w:rPr>
          <w:rFonts w:hint="eastAsia" w:ascii="Arial" w:hAnsi="Arial" w:cs="Arial"/>
          <w:color w:val="auto"/>
          <w:kern w:val="0"/>
          <w:szCs w:val="21"/>
          <w:highlight w:val="none"/>
          <w:lang w:val="en-US" w:eastAsia="zh-CN"/>
        </w:rPr>
        <w:t>8034</w:t>
      </w:r>
    </w:p>
    <w:p w14:paraId="29A47349">
      <w:pPr>
        <w:spacing w:line="312" w:lineRule="auto"/>
        <w:ind w:firstLine="420" w:firstLineChars="200"/>
        <w:jc w:val="left"/>
        <w:rPr>
          <w:color w:val="auto"/>
          <w:kern w:val="0"/>
          <w:szCs w:val="21"/>
          <w:highlight w:val="none"/>
        </w:rPr>
      </w:pPr>
      <w:r>
        <w:rPr>
          <w:rFonts w:hint="eastAsia"/>
          <w:color w:val="auto"/>
          <w:kern w:val="0"/>
          <w:szCs w:val="21"/>
          <w:highlight w:val="none"/>
        </w:rPr>
        <w:t>2.采购代理机构信息</w:t>
      </w:r>
    </w:p>
    <w:p w14:paraId="24E7757D">
      <w:pPr>
        <w:spacing w:line="312" w:lineRule="auto"/>
        <w:ind w:firstLine="420" w:firstLineChars="200"/>
        <w:jc w:val="left"/>
        <w:rPr>
          <w:color w:val="auto"/>
          <w:kern w:val="0"/>
          <w:szCs w:val="21"/>
          <w:highlight w:val="none"/>
        </w:rPr>
      </w:pPr>
      <w:r>
        <w:rPr>
          <w:rFonts w:hint="eastAsia"/>
          <w:color w:val="auto"/>
          <w:kern w:val="0"/>
          <w:szCs w:val="21"/>
          <w:highlight w:val="none"/>
        </w:rPr>
        <w:t>名称：广西机电设备招标有限公司</w:t>
      </w:r>
    </w:p>
    <w:p w14:paraId="5E92F834">
      <w:pPr>
        <w:spacing w:line="312" w:lineRule="auto"/>
        <w:ind w:firstLine="420" w:firstLineChars="200"/>
        <w:jc w:val="left"/>
        <w:rPr>
          <w:color w:val="auto"/>
          <w:kern w:val="0"/>
          <w:szCs w:val="21"/>
          <w:highlight w:val="none"/>
        </w:rPr>
      </w:pPr>
      <w:r>
        <w:rPr>
          <w:rFonts w:hint="eastAsia"/>
          <w:color w:val="auto"/>
          <w:kern w:val="0"/>
          <w:szCs w:val="21"/>
          <w:highlight w:val="none"/>
        </w:rPr>
        <w:t>地址：广西南宁市金湖路63号金源CBD现代城B座7层718</w:t>
      </w:r>
    </w:p>
    <w:p w14:paraId="4748BAC8">
      <w:pPr>
        <w:spacing w:line="312" w:lineRule="auto"/>
        <w:ind w:firstLine="420" w:firstLineChars="200"/>
        <w:jc w:val="left"/>
        <w:rPr>
          <w:color w:val="auto"/>
          <w:kern w:val="0"/>
          <w:szCs w:val="21"/>
          <w:highlight w:val="none"/>
        </w:rPr>
      </w:pPr>
      <w:r>
        <w:rPr>
          <w:rFonts w:hint="eastAsia"/>
          <w:color w:val="auto"/>
          <w:kern w:val="0"/>
          <w:szCs w:val="21"/>
          <w:highlight w:val="none"/>
        </w:rPr>
        <w:t>项目联系人：梅莹、梁艳冰、陈健达</w:t>
      </w:r>
    </w:p>
    <w:p w14:paraId="4C3266F8">
      <w:pPr>
        <w:spacing w:line="312" w:lineRule="auto"/>
        <w:ind w:firstLine="420" w:firstLineChars="200"/>
        <w:jc w:val="left"/>
        <w:rPr>
          <w:color w:val="auto"/>
          <w:kern w:val="0"/>
          <w:szCs w:val="21"/>
          <w:highlight w:val="none"/>
        </w:rPr>
      </w:pPr>
      <w:r>
        <w:rPr>
          <w:rFonts w:hint="eastAsia"/>
          <w:color w:val="auto"/>
          <w:kern w:val="0"/>
          <w:szCs w:val="21"/>
          <w:highlight w:val="none"/>
        </w:rPr>
        <w:t>项目联系方式：0771-2808981</w:t>
      </w:r>
    </w:p>
    <w:p w14:paraId="2DC8C47E">
      <w:pPr>
        <w:spacing w:line="312" w:lineRule="auto"/>
        <w:ind w:firstLine="420" w:firstLineChars="200"/>
        <w:jc w:val="right"/>
        <w:rPr>
          <w:color w:val="auto"/>
          <w:kern w:val="0"/>
          <w:szCs w:val="21"/>
          <w:highlight w:val="none"/>
        </w:rPr>
      </w:pPr>
    </w:p>
    <w:p w14:paraId="4D8B039F">
      <w:pPr>
        <w:spacing w:line="312" w:lineRule="auto"/>
        <w:ind w:firstLine="420" w:firstLineChars="200"/>
        <w:jc w:val="right"/>
        <w:rPr>
          <w:color w:val="auto"/>
          <w:kern w:val="0"/>
          <w:szCs w:val="21"/>
          <w:highlight w:val="none"/>
        </w:rPr>
      </w:pPr>
      <w:r>
        <w:rPr>
          <w:color w:val="auto"/>
          <w:kern w:val="0"/>
          <w:szCs w:val="21"/>
          <w:highlight w:val="none"/>
        </w:rPr>
        <w:t>广西机电设备招标有限公司</w:t>
      </w:r>
    </w:p>
    <w:p w14:paraId="136705F6">
      <w:pPr>
        <w:spacing w:line="312" w:lineRule="auto"/>
        <w:ind w:firstLine="420" w:firstLineChars="200"/>
        <w:jc w:val="right"/>
        <w:rPr>
          <w:color w:val="auto"/>
          <w:kern w:val="0"/>
          <w:sz w:val="18"/>
          <w:szCs w:val="18"/>
          <w:highlight w:val="none"/>
        </w:rPr>
      </w:pPr>
      <w:r>
        <w:rPr>
          <w:rFonts w:hint="eastAsia"/>
          <w:color w:val="auto"/>
          <w:kern w:val="0"/>
          <w:szCs w:val="21"/>
          <w:highlight w:val="none"/>
          <w:lang w:val="en-US" w:eastAsia="zh-CN"/>
        </w:rPr>
        <w:t>2026</w:t>
      </w:r>
      <w:r>
        <w:rPr>
          <w:color w:val="auto"/>
          <w:kern w:val="0"/>
          <w:szCs w:val="21"/>
          <w:highlight w:val="none"/>
        </w:rPr>
        <w:t>年</w:t>
      </w:r>
      <w:r>
        <w:rPr>
          <w:rFonts w:hint="eastAsia"/>
          <w:color w:val="auto"/>
          <w:kern w:val="0"/>
          <w:szCs w:val="21"/>
          <w:highlight w:val="none"/>
          <w:lang w:val="en-US" w:eastAsia="zh-CN"/>
        </w:rPr>
        <w:t>5</w:t>
      </w:r>
      <w:r>
        <w:rPr>
          <w:color w:val="auto"/>
          <w:kern w:val="0"/>
          <w:szCs w:val="21"/>
          <w:highlight w:val="none"/>
        </w:rPr>
        <w:t>月</w:t>
      </w:r>
      <w:r>
        <w:rPr>
          <w:rFonts w:hint="eastAsia"/>
          <w:color w:val="auto"/>
          <w:kern w:val="0"/>
          <w:szCs w:val="21"/>
          <w:highlight w:val="none"/>
          <w:lang w:val="en-US" w:eastAsia="zh-CN"/>
        </w:rPr>
        <w:t>26</w:t>
      </w:r>
      <w:r>
        <w:rPr>
          <w:color w:val="auto"/>
          <w:kern w:val="0"/>
          <w:szCs w:val="21"/>
          <w:highlight w:val="none"/>
        </w:rPr>
        <w:t>日</w:t>
      </w:r>
      <w:bookmarkEnd w:id="9"/>
      <w:bookmarkEnd w:id="10"/>
    </w:p>
    <w:p w14:paraId="0D7C782C">
      <w:pPr>
        <w:widowControl/>
        <w:jc w:val="left"/>
        <w:rPr>
          <w:color w:val="auto"/>
          <w:sz w:val="32"/>
          <w:szCs w:val="32"/>
          <w:highlight w:val="none"/>
        </w:rPr>
      </w:pPr>
      <w:r>
        <w:rPr>
          <w:color w:val="auto"/>
          <w:sz w:val="32"/>
          <w:szCs w:val="32"/>
          <w:highlight w:val="none"/>
        </w:rPr>
        <w:br w:type="page"/>
      </w:r>
    </w:p>
    <w:p w14:paraId="25607FF1">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30" w:name="_Toc30082"/>
      <w:r>
        <w:rPr>
          <w:rFonts w:ascii="Times New Roman" w:hAnsi="Times New Roman" w:cs="Times New Roman"/>
          <w:color w:val="auto"/>
          <w:sz w:val="32"/>
          <w:szCs w:val="32"/>
          <w:highlight w:val="none"/>
        </w:rPr>
        <w:t>第二章  采购需求</w:t>
      </w:r>
      <w:bookmarkEnd w:id="30"/>
    </w:p>
    <w:p w14:paraId="4DDC526A">
      <w:pPr>
        <w:spacing w:line="360" w:lineRule="auto"/>
        <w:outlineLvl w:val="1"/>
        <w:rPr>
          <w:rFonts w:hint="eastAsia" w:ascii="黑体" w:hAnsi="黑体" w:eastAsia="黑体" w:cs="Arial"/>
          <w:b/>
          <w:color w:val="auto"/>
          <w:kern w:val="0"/>
          <w:sz w:val="28"/>
          <w:szCs w:val="28"/>
          <w:highlight w:val="none"/>
        </w:rPr>
      </w:pPr>
      <w:bookmarkStart w:id="31" w:name="_Hlk77608362"/>
      <w:r>
        <w:rPr>
          <w:rFonts w:ascii="黑体" w:hAnsi="黑体" w:eastAsia="黑体" w:cs="Arial"/>
          <w:b/>
          <w:color w:val="auto"/>
          <w:kern w:val="0"/>
          <w:sz w:val="28"/>
          <w:szCs w:val="28"/>
          <w:highlight w:val="none"/>
        </w:rPr>
        <w:t>一、</w:t>
      </w:r>
      <w:r>
        <w:rPr>
          <w:rFonts w:hint="eastAsia" w:ascii="黑体" w:hAnsi="黑体" w:eastAsia="黑体" w:cs="Arial"/>
          <w:b/>
          <w:color w:val="auto"/>
          <w:kern w:val="0"/>
          <w:sz w:val="28"/>
          <w:szCs w:val="28"/>
          <w:highlight w:val="none"/>
        </w:rPr>
        <w:t>总体</w:t>
      </w:r>
      <w:r>
        <w:rPr>
          <w:rFonts w:ascii="黑体" w:hAnsi="黑体" w:eastAsia="黑体" w:cs="Arial"/>
          <w:b/>
          <w:color w:val="auto"/>
          <w:kern w:val="0"/>
          <w:sz w:val="28"/>
          <w:szCs w:val="28"/>
          <w:highlight w:val="none"/>
        </w:rPr>
        <w:t>要求</w:t>
      </w:r>
    </w:p>
    <w:p w14:paraId="750081EE">
      <w:pPr>
        <w:spacing w:line="360" w:lineRule="auto"/>
        <w:rPr>
          <w:color w:val="auto"/>
          <w:szCs w:val="21"/>
          <w:highlight w:val="none"/>
        </w:rPr>
      </w:pPr>
      <w:r>
        <w:rPr>
          <w:color w:val="auto"/>
          <w:szCs w:val="21"/>
          <w:highlight w:val="none"/>
        </w:rPr>
        <w:t>1</w:t>
      </w:r>
      <w:r>
        <w:rPr>
          <w:rFonts w:hint="eastAsia"/>
          <w:color w:val="auto"/>
          <w:szCs w:val="21"/>
          <w:highlight w:val="none"/>
        </w:rPr>
        <w:t>.政府采购政策的应用</w:t>
      </w:r>
    </w:p>
    <w:p w14:paraId="4899611E">
      <w:pPr>
        <w:spacing w:line="360" w:lineRule="auto"/>
        <w:rPr>
          <w:color w:val="auto"/>
          <w:szCs w:val="21"/>
          <w:highlight w:val="none"/>
        </w:rPr>
      </w:pPr>
      <w:r>
        <w:rPr>
          <w:rFonts w:hint="eastAsia"/>
          <w:color w:val="auto"/>
          <w:szCs w:val="21"/>
          <w:highlight w:val="none"/>
        </w:rPr>
        <w:t>详见招标文件“评审方法及标准</w:t>
      </w:r>
      <w:r>
        <w:rPr>
          <w:color w:val="auto"/>
          <w:szCs w:val="21"/>
          <w:highlight w:val="none"/>
        </w:rPr>
        <w:t>/政府采购政策应用说明”。</w:t>
      </w:r>
    </w:p>
    <w:p w14:paraId="4F788C11">
      <w:pPr>
        <w:spacing w:line="360" w:lineRule="auto"/>
        <w:rPr>
          <w:color w:val="auto"/>
          <w:szCs w:val="21"/>
          <w:highlight w:val="none"/>
        </w:rPr>
      </w:pPr>
      <w:r>
        <w:rPr>
          <w:color w:val="auto"/>
          <w:szCs w:val="21"/>
          <w:highlight w:val="none"/>
        </w:rPr>
        <w:t>2</w:t>
      </w:r>
      <w:r>
        <w:rPr>
          <w:rFonts w:hint="eastAsia"/>
          <w:color w:val="auto"/>
          <w:szCs w:val="21"/>
          <w:highlight w:val="none"/>
        </w:rPr>
        <w:t>.采购需求要求未尽事宜</w:t>
      </w:r>
      <w:r>
        <w:rPr>
          <w:color w:val="auto"/>
          <w:szCs w:val="21"/>
          <w:highlight w:val="none"/>
        </w:rPr>
        <w:t>由</w:t>
      </w:r>
      <w:r>
        <w:rPr>
          <w:rFonts w:hint="eastAsia"/>
          <w:color w:val="auto"/>
          <w:szCs w:val="21"/>
          <w:highlight w:val="none"/>
        </w:rPr>
        <w:t>采购人与中标</w:t>
      </w:r>
      <w:r>
        <w:rPr>
          <w:rFonts w:hint="eastAsia"/>
          <w:color w:val="auto"/>
          <w:szCs w:val="21"/>
          <w:highlight w:val="none"/>
          <w:lang w:eastAsia="zh-CN"/>
        </w:rPr>
        <w:t>人</w:t>
      </w:r>
      <w:r>
        <w:rPr>
          <w:color w:val="auto"/>
          <w:szCs w:val="21"/>
          <w:highlight w:val="none"/>
        </w:rPr>
        <w:t>在采购合同中约定。</w:t>
      </w:r>
    </w:p>
    <w:p w14:paraId="605E9EAD">
      <w:pPr>
        <w:spacing w:line="360" w:lineRule="auto"/>
        <w:rPr>
          <w:color w:val="auto"/>
          <w:szCs w:val="21"/>
          <w:highlight w:val="none"/>
        </w:rPr>
      </w:pPr>
      <w:r>
        <w:rPr>
          <w:rFonts w:hint="eastAsia"/>
          <w:color w:val="auto"/>
          <w:szCs w:val="21"/>
          <w:highlight w:val="none"/>
        </w:rPr>
        <w:t>3.标注“▲”的条款或要求系指实质性条款或实质性要求，必须满足，如存在负偏离将导致投标</w:t>
      </w:r>
      <w:r>
        <w:rPr>
          <w:rFonts w:hint="eastAsia"/>
          <w:color w:val="auto"/>
          <w:szCs w:val="21"/>
          <w:highlight w:val="none"/>
          <w:lang w:val="en-US" w:eastAsia="zh-CN"/>
        </w:rPr>
        <w:t>无效</w:t>
      </w:r>
      <w:r>
        <w:rPr>
          <w:rFonts w:hint="eastAsia"/>
          <w:color w:val="auto"/>
          <w:szCs w:val="21"/>
          <w:highlight w:val="none"/>
        </w:rPr>
        <w:t>。</w:t>
      </w:r>
    </w:p>
    <w:p w14:paraId="7AE4A90E">
      <w:pPr>
        <w:spacing w:line="360" w:lineRule="auto"/>
        <w:outlineLvl w:val="1"/>
        <w:rPr>
          <w:rFonts w:hint="eastAsia"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二、技术要求</w:t>
      </w:r>
    </w:p>
    <w:p w14:paraId="21904043">
      <w:pPr>
        <w:spacing w:line="360" w:lineRule="auto"/>
        <w:rPr>
          <w:color w:val="auto"/>
          <w:szCs w:val="21"/>
          <w:highlight w:val="none"/>
        </w:rPr>
      </w:pPr>
      <w:r>
        <w:rPr>
          <w:rFonts w:hint="eastAsia"/>
          <w:color w:val="auto"/>
          <w:szCs w:val="21"/>
          <w:highlight w:val="none"/>
        </w:rPr>
        <w:t>1.需实现的功能、目标及应用场景</w:t>
      </w:r>
    </w:p>
    <w:p w14:paraId="00BBB6F4">
      <w:pPr>
        <w:spacing w:line="360" w:lineRule="auto"/>
        <w:rPr>
          <w:color w:val="auto"/>
          <w:szCs w:val="21"/>
          <w:highlight w:val="none"/>
        </w:rPr>
      </w:pPr>
      <w:r>
        <w:rPr>
          <w:rFonts w:hint="eastAsia"/>
          <w:color w:val="auto"/>
          <w:szCs w:val="21"/>
          <w:highlight w:val="none"/>
        </w:rPr>
        <w:t>满足招标文件要求，验收达到合格标准。</w:t>
      </w:r>
    </w:p>
    <w:p w14:paraId="618BED0A">
      <w:pPr>
        <w:spacing w:line="360" w:lineRule="auto"/>
        <w:rPr>
          <w:color w:val="auto"/>
          <w:szCs w:val="21"/>
          <w:highlight w:val="none"/>
        </w:rPr>
      </w:pPr>
      <w:r>
        <w:rPr>
          <w:color w:val="auto"/>
          <w:szCs w:val="21"/>
          <w:highlight w:val="none"/>
        </w:rPr>
        <w:t>2</w:t>
      </w:r>
      <w:r>
        <w:rPr>
          <w:rFonts w:hint="eastAsia"/>
          <w:color w:val="auto"/>
          <w:szCs w:val="21"/>
          <w:highlight w:val="none"/>
        </w:rPr>
        <w:t>.是否接受进口产品：</w:t>
      </w:r>
    </w:p>
    <w:p w14:paraId="2F25FD86">
      <w:pPr>
        <w:spacing w:line="360" w:lineRule="auto"/>
        <w:rPr>
          <w:b/>
          <w:bCs/>
          <w:color w:val="auto"/>
          <w:szCs w:val="21"/>
          <w:highlight w:val="none"/>
        </w:rPr>
      </w:pPr>
      <w:r>
        <w:rPr>
          <w:rFonts w:hint="eastAsia"/>
          <w:b/>
          <w:bCs/>
          <w:color w:val="auto"/>
          <w:szCs w:val="21"/>
          <w:highlight w:val="none"/>
        </w:rPr>
        <w:t>本项目所有货物均不接受进口产品。</w:t>
      </w:r>
    </w:p>
    <w:p w14:paraId="45BD99C6">
      <w:pPr>
        <w:spacing w:line="360" w:lineRule="auto"/>
        <w:rPr>
          <w:color w:val="auto"/>
          <w:szCs w:val="21"/>
          <w:highlight w:val="none"/>
        </w:rPr>
      </w:pPr>
      <w:r>
        <w:rPr>
          <w:color w:val="auto"/>
          <w:szCs w:val="21"/>
          <w:highlight w:val="none"/>
        </w:rPr>
        <w:t>3</w:t>
      </w:r>
      <w:r>
        <w:rPr>
          <w:rFonts w:hint="eastAsia"/>
          <w:color w:val="auto"/>
          <w:szCs w:val="21"/>
          <w:highlight w:val="none"/>
        </w:rPr>
        <w:t>.</w:t>
      </w:r>
      <w:r>
        <w:rPr>
          <w:color w:val="auto"/>
          <w:szCs w:val="21"/>
          <w:highlight w:val="none"/>
        </w:rPr>
        <w:t>需执行的国家相关标准、行业标准、地方标准或者其他标准、规范</w:t>
      </w:r>
    </w:p>
    <w:p w14:paraId="60ACFEFB">
      <w:pPr>
        <w:spacing w:line="360" w:lineRule="auto"/>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1）</w:t>
      </w:r>
      <w:r>
        <w:rPr>
          <w:rFonts w:hint="eastAsia"/>
          <w:color w:val="auto"/>
          <w:szCs w:val="21"/>
          <w:highlight w:val="none"/>
        </w:rPr>
        <w:t>《GB 1589-2016 道路车辆外廓尺寸、轴荷及质量限值》</w:t>
      </w:r>
    </w:p>
    <w:p w14:paraId="2EFE4E44">
      <w:pPr>
        <w:spacing w:line="360" w:lineRule="auto"/>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2）</w:t>
      </w:r>
      <w:r>
        <w:rPr>
          <w:rFonts w:hint="eastAsia"/>
          <w:color w:val="auto"/>
          <w:szCs w:val="21"/>
          <w:highlight w:val="none"/>
        </w:rPr>
        <w:t>《GB 7258-2017 机动车运行安全技术条件》</w:t>
      </w:r>
    </w:p>
    <w:p w14:paraId="6D212B6B">
      <w:pPr>
        <w:spacing w:line="360" w:lineRule="auto"/>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3）</w:t>
      </w:r>
      <w:r>
        <w:rPr>
          <w:rFonts w:hint="eastAsia"/>
          <w:color w:val="auto"/>
          <w:szCs w:val="21"/>
          <w:highlight w:val="none"/>
        </w:rPr>
        <w:t>《GJB 5313A-2017电磁辐射暴露限值和测量方法》</w:t>
      </w:r>
    </w:p>
    <w:p w14:paraId="63561668">
      <w:pPr>
        <w:spacing w:line="360" w:lineRule="auto"/>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4）</w:t>
      </w:r>
      <w:r>
        <w:rPr>
          <w:rFonts w:hint="eastAsia"/>
          <w:color w:val="auto"/>
          <w:szCs w:val="21"/>
          <w:highlight w:val="none"/>
        </w:rPr>
        <w:t>《气象函〔2024〕302号  X波段双线偏振一维平面相控阵天气雷达系统功能规格需求书》</w:t>
      </w:r>
    </w:p>
    <w:p w14:paraId="20EDAA5A">
      <w:pPr>
        <w:spacing w:line="360" w:lineRule="auto"/>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5）</w:t>
      </w:r>
      <w:r>
        <w:rPr>
          <w:rFonts w:hint="eastAsia"/>
          <w:color w:val="auto"/>
          <w:szCs w:val="21"/>
          <w:highlight w:val="none"/>
        </w:rPr>
        <w:t>《QX/T 523-2019 激光云高仪》</w:t>
      </w:r>
    </w:p>
    <w:p w14:paraId="106E8893">
      <w:pPr>
        <w:spacing w:line="360" w:lineRule="auto"/>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6）</w:t>
      </w:r>
      <w:r>
        <w:rPr>
          <w:rFonts w:hint="eastAsia"/>
          <w:color w:val="auto"/>
          <w:szCs w:val="21"/>
          <w:highlight w:val="none"/>
        </w:rPr>
        <w:t>《QX/T 762-2025 Ka波段全固态测云雷达/仪测试方法》</w:t>
      </w:r>
    </w:p>
    <w:p w14:paraId="7FF66ECF">
      <w:pPr>
        <w:spacing w:line="360" w:lineRule="auto"/>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7）</w:t>
      </w:r>
      <w:r>
        <w:rPr>
          <w:rFonts w:hint="eastAsia"/>
          <w:color w:val="auto"/>
          <w:szCs w:val="21"/>
          <w:highlight w:val="none"/>
        </w:rPr>
        <w:t>《GB 42590-2023 民用无人驾驶航空器系统安全要求》</w:t>
      </w:r>
    </w:p>
    <w:p w14:paraId="6564876C">
      <w:pPr>
        <w:spacing w:line="360" w:lineRule="auto"/>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8）</w:t>
      </w:r>
      <w:r>
        <w:rPr>
          <w:rFonts w:hint="eastAsia"/>
          <w:color w:val="auto"/>
          <w:szCs w:val="21"/>
          <w:highlight w:val="none"/>
        </w:rPr>
        <w:t>《民用无人驾驶航空器运行安全管理规则》（中华人民共和国交通运输部令2024年第1号）</w:t>
      </w:r>
    </w:p>
    <w:p w14:paraId="37C64548">
      <w:pPr>
        <w:spacing w:line="360" w:lineRule="auto"/>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9）</w:t>
      </w:r>
      <w:r>
        <w:rPr>
          <w:rFonts w:hint="eastAsia"/>
          <w:color w:val="auto"/>
          <w:szCs w:val="21"/>
          <w:highlight w:val="none"/>
        </w:rPr>
        <w:t>《中国气象局专项保障司关于印发〈机动集成作业系统技术要求〉等8项技术要求的通知》（气专函〔2025〕10号）</w:t>
      </w:r>
    </w:p>
    <w:p w14:paraId="1B48A9F7">
      <w:pPr>
        <w:spacing w:line="360" w:lineRule="auto"/>
        <w:rPr>
          <w:color w:val="auto"/>
          <w:szCs w:val="21"/>
          <w:highlight w:val="none"/>
        </w:rPr>
      </w:pPr>
      <w:r>
        <w:rPr>
          <w:color w:val="auto"/>
          <w:szCs w:val="21"/>
          <w:highlight w:val="none"/>
        </w:rPr>
        <w:t>4</w:t>
      </w:r>
      <w:r>
        <w:rPr>
          <w:rFonts w:hint="eastAsia"/>
          <w:color w:val="auto"/>
          <w:szCs w:val="21"/>
          <w:highlight w:val="none"/>
        </w:rPr>
        <w:t>.一般说明</w:t>
      </w:r>
    </w:p>
    <w:p w14:paraId="76B79ED1">
      <w:pPr>
        <w:spacing w:line="360" w:lineRule="auto"/>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本章</w:t>
      </w:r>
      <w:r>
        <w:rPr>
          <w:color w:val="auto"/>
          <w:szCs w:val="21"/>
          <w:highlight w:val="none"/>
        </w:rPr>
        <w:t>中如提及品牌型号，仅起参考作用。</w:t>
      </w:r>
      <w:r>
        <w:rPr>
          <w:rFonts w:hint="eastAsia"/>
          <w:color w:val="auto"/>
          <w:szCs w:val="21"/>
          <w:highlight w:val="none"/>
          <w:lang w:eastAsia="zh-CN"/>
        </w:rPr>
        <w:t>投标人</w:t>
      </w:r>
      <w:r>
        <w:rPr>
          <w:color w:val="auto"/>
          <w:szCs w:val="21"/>
          <w:highlight w:val="none"/>
        </w:rPr>
        <w:t>可选用其他品牌型号替代，但这些替代的品牌型号要实质上参照或相当于或优于参考品牌型号及其技术参数性能（配置）要求。</w:t>
      </w:r>
    </w:p>
    <w:p w14:paraId="3278C044">
      <w:pPr>
        <w:spacing w:line="360" w:lineRule="auto"/>
        <w:rPr>
          <w:color w:val="auto"/>
          <w:szCs w:val="21"/>
          <w:highlight w:val="none"/>
        </w:rPr>
      </w:pPr>
      <w:r>
        <w:rPr>
          <w:rFonts w:hint="eastAsia"/>
          <w:color w:val="auto"/>
          <w:szCs w:val="21"/>
          <w:highlight w:val="none"/>
        </w:rPr>
        <w:t>（</w:t>
      </w:r>
      <w:r>
        <w:rPr>
          <w:color w:val="auto"/>
          <w:szCs w:val="21"/>
          <w:highlight w:val="none"/>
        </w:rPr>
        <w:t>2）</w:t>
      </w:r>
      <w:bookmarkStart w:id="32" w:name="_Hlk132788003"/>
      <w:r>
        <w:rPr>
          <w:color w:val="auto"/>
          <w:szCs w:val="21"/>
          <w:highlight w:val="none"/>
        </w:rPr>
        <w:t>如要求提供检测报告</w:t>
      </w:r>
      <w:r>
        <w:rPr>
          <w:rFonts w:hint="eastAsia"/>
          <w:color w:val="auto"/>
          <w:szCs w:val="21"/>
          <w:highlight w:val="none"/>
        </w:rPr>
        <w:t>或其他证明材料</w:t>
      </w:r>
      <w:r>
        <w:rPr>
          <w:color w:val="auto"/>
          <w:szCs w:val="21"/>
          <w:highlight w:val="none"/>
        </w:rPr>
        <w:t>的，检测报告或</w:t>
      </w:r>
      <w:r>
        <w:rPr>
          <w:rFonts w:hint="eastAsia"/>
          <w:color w:val="auto"/>
          <w:szCs w:val="21"/>
          <w:highlight w:val="none"/>
        </w:rPr>
        <w:t>其他证明材料</w:t>
      </w:r>
      <w:r>
        <w:rPr>
          <w:color w:val="auto"/>
          <w:szCs w:val="21"/>
          <w:highlight w:val="none"/>
        </w:rPr>
        <w:t>内容中若涉及外文说明，必须同时提供对应中文翻译说明，评审依据以中文翻译内容为准，外文说明仅供参考；产品</w:t>
      </w:r>
      <w:r>
        <w:rPr>
          <w:rFonts w:hint="eastAsia"/>
          <w:color w:val="auto"/>
          <w:szCs w:val="21"/>
          <w:highlight w:val="none"/>
        </w:rPr>
        <w:t>证明材料</w:t>
      </w:r>
      <w:r>
        <w:rPr>
          <w:color w:val="auto"/>
          <w:szCs w:val="21"/>
          <w:highlight w:val="none"/>
        </w:rPr>
        <w:t>应为报告正面、背面和附件标注的全部具体内容；产品</w:t>
      </w:r>
      <w:r>
        <w:rPr>
          <w:rFonts w:hint="eastAsia"/>
          <w:color w:val="auto"/>
          <w:szCs w:val="21"/>
          <w:highlight w:val="none"/>
        </w:rPr>
        <w:t>证明材料</w:t>
      </w:r>
      <w:r>
        <w:rPr>
          <w:color w:val="auto"/>
          <w:szCs w:val="21"/>
          <w:highlight w:val="none"/>
        </w:rPr>
        <w:t>的</w:t>
      </w:r>
      <w:r>
        <w:rPr>
          <w:rFonts w:hint="eastAsia"/>
          <w:color w:val="auto"/>
          <w:szCs w:val="21"/>
          <w:highlight w:val="none"/>
        </w:rPr>
        <w:t>内容</w:t>
      </w:r>
      <w:r>
        <w:rPr>
          <w:color w:val="auto"/>
          <w:szCs w:val="21"/>
          <w:highlight w:val="none"/>
        </w:rPr>
        <w:t>应该能够被阅读、识别和判断</w:t>
      </w:r>
      <w:bookmarkEnd w:id="32"/>
      <w:r>
        <w:rPr>
          <w:color w:val="auto"/>
          <w:szCs w:val="21"/>
          <w:highlight w:val="none"/>
        </w:rPr>
        <w:t>。</w:t>
      </w:r>
      <w:r>
        <w:rPr>
          <w:rFonts w:hint="eastAsia"/>
          <w:color w:val="auto"/>
          <w:szCs w:val="21"/>
          <w:highlight w:val="none"/>
        </w:rPr>
        <w:t xml:space="preserve"> </w:t>
      </w:r>
    </w:p>
    <w:p w14:paraId="1C5528DF">
      <w:pPr>
        <w:spacing w:line="360" w:lineRule="auto"/>
        <w:rPr>
          <w:color w:val="auto"/>
          <w:szCs w:val="21"/>
          <w:highlight w:val="none"/>
        </w:rPr>
      </w:pPr>
      <w:r>
        <w:rPr>
          <w:color w:val="auto"/>
          <w:szCs w:val="21"/>
          <w:highlight w:val="none"/>
        </w:rPr>
        <w:t>5</w:t>
      </w:r>
      <w:r>
        <w:rPr>
          <w:rFonts w:hint="eastAsia"/>
          <w:color w:val="auto"/>
          <w:szCs w:val="21"/>
          <w:highlight w:val="none"/>
        </w:rPr>
        <w:t>.核心产品</w:t>
      </w:r>
    </w:p>
    <w:p w14:paraId="1AED45B2">
      <w:pPr>
        <w:spacing w:line="360" w:lineRule="auto"/>
        <w:rPr>
          <w:rFonts w:hint="eastAsia"/>
          <w:color w:val="auto"/>
          <w:szCs w:val="21"/>
          <w:highlight w:val="none"/>
          <w:lang w:val="en-US" w:eastAsia="zh-CN"/>
        </w:rPr>
      </w:pPr>
      <w:r>
        <w:rPr>
          <w:rFonts w:hint="eastAsia"/>
          <w:color w:val="auto"/>
          <w:szCs w:val="21"/>
          <w:highlight w:val="none"/>
        </w:rPr>
        <w:t>本项目为货物采购项目，核心产品为：</w:t>
      </w:r>
      <w:r>
        <w:rPr>
          <w:rFonts w:hint="eastAsia"/>
          <w:b/>
          <w:bCs/>
          <w:color w:val="auto"/>
          <w:szCs w:val="21"/>
          <w:highlight w:val="none"/>
          <w:u w:val="single"/>
        </w:rPr>
        <w:t>X波段相控阵雷达</w:t>
      </w:r>
      <w:r>
        <w:rPr>
          <w:rFonts w:hint="eastAsia"/>
          <w:b/>
          <w:bCs/>
          <w:color w:val="auto"/>
          <w:szCs w:val="21"/>
          <w:highlight w:val="none"/>
          <w:u w:val="single"/>
          <w:lang w:val="en-US" w:eastAsia="zh-CN"/>
        </w:rPr>
        <w:t>、无人机作业平台</w:t>
      </w:r>
    </w:p>
    <w:p w14:paraId="60779529">
      <w:pPr>
        <w:spacing w:line="360" w:lineRule="auto"/>
        <w:rPr>
          <w:color w:val="auto"/>
          <w:szCs w:val="21"/>
          <w:highlight w:val="none"/>
        </w:rPr>
      </w:pPr>
      <w:r>
        <w:rPr>
          <w:rFonts w:hint="eastAsia"/>
          <w:color w:val="auto"/>
          <w:szCs w:val="21"/>
          <w:highlight w:val="none"/>
        </w:rPr>
        <w:t>6.节能产品</w:t>
      </w:r>
    </w:p>
    <w:p w14:paraId="622E3BFA">
      <w:pPr>
        <w:spacing w:line="360" w:lineRule="auto"/>
        <w:rPr>
          <w:rFonts w:hint="eastAsia" w:eastAsia="宋体"/>
          <w:color w:val="auto"/>
          <w:highlight w:val="none"/>
          <w:u w:val="single"/>
          <w:lang w:eastAsia="zh-CN"/>
        </w:rPr>
      </w:pPr>
      <w:r>
        <w:rPr>
          <w:rFonts w:hint="eastAsia"/>
          <w:color w:val="auto"/>
          <w:szCs w:val="21"/>
          <w:highlight w:val="none"/>
        </w:rPr>
        <w:t>本项目强制采购节能产品为：</w:t>
      </w:r>
      <w:r>
        <w:rPr>
          <w:rFonts w:hint="eastAsia"/>
          <w:color w:val="auto"/>
          <w:szCs w:val="21"/>
          <w:highlight w:val="none"/>
          <w:u w:val="single"/>
          <w:lang w:val="en-US" w:eastAsia="zh-CN"/>
        </w:rPr>
        <w:t>无。</w:t>
      </w:r>
    </w:p>
    <w:p w14:paraId="5CCEF67E">
      <w:pPr>
        <w:numPr>
          <w:ilvl w:val="0"/>
          <w:numId w:val="0"/>
        </w:numPr>
        <w:spacing w:line="360" w:lineRule="auto"/>
        <w:rPr>
          <w:rFonts w:hint="eastAsia"/>
          <w:color w:val="auto"/>
          <w:highlight w:val="none"/>
          <w:u w:val="none"/>
          <w:lang w:val="en-US" w:eastAsia="zh-CN"/>
        </w:rPr>
      </w:pPr>
      <w:r>
        <w:rPr>
          <w:rFonts w:hint="eastAsia"/>
          <w:color w:val="auto"/>
          <w:kern w:val="2"/>
          <w:sz w:val="21"/>
          <w:szCs w:val="24"/>
          <w:highlight w:val="none"/>
          <w:lang w:val="en-US" w:eastAsia="zh-CN" w:bidi="ar-SA"/>
        </w:rPr>
        <w:t>7.</w:t>
      </w:r>
      <w:r>
        <w:rPr>
          <w:rFonts w:hint="eastAsia"/>
          <w:color w:val="auto"/>
          <w:highlight w:val="none"/>
          <w:u w:val="none"/>
          <w:lang w:val="en-US" w:eastAsia="zh-CN"/>
        </w:rPr>
        <w:t>网络安全专用产品</w:t>
      </w:r>
    </w:p>
    <w:p w14:paraId="4714BB3C">
      <w:pPr>
        <w:numPr>
          <w:ilvl w:val="0"/>
          <w:numId w:val="0"/>
        </w:numPr>
        <w:spacing w:line="360" w:lineRule="auto"/>
        <w:rPr>
          <w:rFonts w:hint="eastAsia"/>
          <w:color w:val="auto"/>
          <w:highlight w:val="none"/>
          <w:u w:val="single"/>
        </w:rPr>
      </w:pPr>
      <w:r>
        <w:rPr>
          <w:rFonts w:hint="eastAsia"/>
          <w:color w:val="auto"/>
          <w:szCs w:val="21"/>
          <w:highlight w:val="none"/>
        </w:rPr>
        <w:t>本项目</w:t>
      </w:r>
      <w:r>
        <w:rPr>
          <w:rFonts w:hint="eastAsia"/>
          <w:color w:val="auto"/>
          <w:szCs w:val="21"/>
          <w:highlight w:val="none"/>
          <w:lang w:val="en-US" w:eastAsia="zh-CN"/>
        </w:rPr>
        <w:t>网络安全专用产品</w:t>
      </w:r>
      <w:r>
        <w:rPr>
          <w:rFonts w:hint="eastAsia"/>
          <w:color w:val="auto"/>
          <w:szCs w:val="21"/>
          <w:highlight w:val="none"/>
        </w:rPr>
        <w:t>为：</w:t>
      </w:r>
      <w:r>
        <w:rPr>
          <w:rFonts w:hint="eastAsia"/>
          <w:color w:val="auto"/>
          <w:szCs w:val="21"/>
          <w:highlight w:val="none"/>
          <w:u w:val="single"/>
          <w:lang w:val="en-US" w:eastAsia="zh-CN"/>
        </w:rPr>
        <w:t>无。</w:t>
      </w:r>
      <w:r>
        <w:rPr>
          <w:rFonts w:hint="eastAsia"/>
          <w:color w:val="auto"/>
          <w:highlight w:val="none"/>
          <w:u w:val="single"/>
        </w:rPr>
        <w:t xml:space="preserve">  </w:t>
      </w:r>
    </w:p>
    <w:p w14:paraId="377D8545">
      <w:pPr>
        <w:numPr>
          <w:ilvl w:val="0"/>
          <w:numId w:val="0"/>
        </w:numPr>
        <w:spacing w:line="360" w:lineRule="auto"/>
        <w:rPr>
          <w:color w:val="auto"/>
          <w:szCs w:val="21"/>
          <w:highlight w:val="none"/>
        </w:rPr>
      </w:pPr>
      <w:r>
        <w:rPr>
          <w:rFonts w:hint="eastAsia" w:ascii="宋体" w:hAnsi="宋体"/>
          <w:color w:val="auto"/>
          <w:highlight w:val="none"/>
          <w:lang w:val="en-US" w:eastAsia="zh-CN"/>
        </w:rPr>
        <w:t>8</w:t>
      </w:r>
      <w:r>
        <w:rPr>
          <w:rFonts w:hint="eastAsia" w:ascii="宋体" w:hAnsi="宋体"/>
          <w:color w:val="auto"/>
          <w:highlight w:val="none"/>
        </w:rPr>
        <w:t>.所属行业依照《中小企业划型标准规定》（工信部联企业〔2011〕300号）及《国民经济行业分类》（GB/T4754-2017）的有关规定执行。</w:t>
      </w:r>
      <w:r>
        <w:rPr>
          <w:rFonts w:hint="eastAsia" w:ascii="宋体" w:hAnsi="宋体"/>
          <w:b/>
          <w:bCs/>
          <w:color w:val="auto"/>
          <w:highlight w:val="none"/>
        </w:rPr>
        <w:t>本项目</w:t>
      </w:r>
      <w:r>
        <w:rPr>
          <w:rFonts w:hint="eastAsia" w:ascii="宋体" w:hAnsi="宋体"/>
          <w:b/>
          <w:bCs/>
          <w:color w:val="auto"/>
          <w:highlight w:val="none"/>
          <w:lang w:val="en-US" w:eastAsia="zh-CN"/>
        </w:rPr>
        <w:t>标的</w:t>
      </w:r>
      <w:r>
        <w:rPr>
          <w:rFonts w:hint="eastAsia" w:ascii="宋体" w:hAnsi="宋体"/>
          <w:b/>
          <w:bCs/>
          <w:color w:val="auto"/>
          <w:highlight w:val="none"/>
        </w:rPr>
        <w:t>所属行业为“工业”。</w:t>
      </w:r>
      <w:r>
        <w:rPr>
          <w:rFonts w:hint="eastAsia"/>
          <w:color w:val="auto"/>
          <w:highlight w:val="none"/>
          <w:u w:val="single"/>
        </w:rPr>
        <w:t xml:space="preserve">         </w:t>
      </w:r>
      <w:r>
        <w:rPr>
          <w:rFonts w:hint="eastAsia"/>
          <w:color w:val="auto"/>
          <w:highlight w:val="none"/>
        </w:rPr>
        <w:t xml:space="preserve">    </w:t>
      </w:r>
    </w:p>
    <w:p w14:paraId="304BE1C7">
      <w:pPr>
        <w:spacing w:line="360" w:lineRule="auto"/>
        <w:rPr>
          <w:rFonts w:hint="eastAsia"/>
          <w:color w:val="auto"/>
          <w:szCs w:val="21"/>
          <w:highlight w:val="none"/>
        </w:rPr>
      </w:pPr>
      <w:r>
        <w:rPr>
          <w:rFonts w:hint="eastAsia"/>
          <w:color w:val="auto"/>
          <w:szCs w:val="21"/>
          <w:highlight w:val="none"/>
          <w:lang w:val="en-US" w:eastAsia="zh-CN"/>
        </w:rPr>
        <w:t>9</w:t>
      </w:r>
      <w:r>
        <w:rPr>
          <w:rFonts w:hint="eastAsia"/>
          <w:color w:val="auto"/>
          <w:szCs w:val="21"/>
          <w:highlight w:val="none"/>
        </w:rPr>
        <w:t>.标的名称、数量、需满足的质量、技术规格、物理特性、性能、材料、结构、外观、安全，或者服务内容和标准一览表</w:t>
      </w:r>
    </w:p>
    <w:p w14:paraId="0A34550A">
      <w:pPr>
        <w:spacing w:line="360" w:lineRule="auto"/>
        <w:outlineLvl w:val="2"/>
        <w:rPr>
          <w:rFonts w:hint="default" w:eastAsia="宋体"/>
          <w:color w:val="auto"/>
          <w:szCs w:val="21"/>
          <w:highlight w:val="none"/>
          <w:lang w:val="en-US" w:eastAsia="zh-CN"/>
        </w:rPr>
      </w:pPr>
      <w:r>
        <w:rPr>
          <w:rFonts w:hint="eastAsia"/>
          <w:b/>
          <w:bCs/>
          <w:color w:val="auto"/>
          <w:szCs w:val="21"/>
          <w:highlight w:val="none"/>
          <w:lang w:val="en-US" w:eastAsia="zh-CN"/>
        </w:rPr>
        <w:t>9.1采购标的（货物需求一览表或简要服务内容及数量）</w:t>
      </w:r>
    </w:p>
    <w:tbl>
      <w:tblPr>
        <w:tblStyle w:val="52"/>
        <w:tblW w:w="8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733"/>
        <w:gridCol w:w="827"/>
        <w:gridCol w:w="2510"/>
        <w:gridCol w:w="2638"/>
        <w:gridCol w:w="775"/>
        <w:gridCol w:w="699"/>
      </w:tblGrid>
      <w:tr w14:paraId="4271B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Align w:val="center"/>
          </w:tcPr>
          <w:p w14:paraId="7F3A22B7">
            <w:pPr>
              <w:widowControl/>
              <w:snapToGrid w:val="0"/>
              <w:jc w:val="center"/>
              <w:textAlignment w:val="center"/>
              <w:rPr>
                <w:rFonts w:hint="eastAsia" w:ascii="宋体" w:hAnsi="宋体" w:eastAsia="宋体" w:cs="宋体"/>
                <w:b/>
                <w:color w:val="auto"/>
                <w:kern w:val="0"/>
                <w:sz w:val="21"/>
                <w:szCs w:val="21"/>
                <w:highlight w:val="none"/>
                <w:lang w:bidi="ar"/>
              </w:rPr>
            </w:pPr>
            <w:r>
              <w:rPr>
                <w:rFonts w:hint="eastAsia" w:ascii="宋体" w:hAnsi="宋体" w:eastAsia="宋体" w:cs="宋体"/>
                <w:b/>
                <w:color w:val="auto"/>
                <w:sz w:val="21"/>
                <w:szCs w:val="21"/>
                <w:highlight w:val="none"/>
              </w:rPr>
              <w:t>序号</w:t>
            </w:r>
          </w:p>
        </w:tc>
        <w:tc>
          <w:tcPr>
            <w:tcW w:w="733" w:type="dxa"/>
            <w:vAlign w:val="center"/>
          </w:tcPr>
          <w:p w14:paraId="117369D8">
            <w:pPr>
              <w:widowControl/>
              <w:snapToGrid w:val="0"/>
              <w:jc w:val="center"/>
              <w:textAlignment w:val="center"/>
              <w:rPr>
                <w:rFonts w:hint="eastAsia" w:ascii="宋体" w:hAnsi="宋体" w:eastAsia="宋体" w:cs="宋体"/>
                <w:b/>
                <w:color w:val="auto"/>
                <w:kern w:val="0"/>
                <w:sz w:val="21"/>
                <w:szCs w:val="21"/>
                <w:highlight w:val="none"/>
                <w:lang w:bidi="ar"/>
              </w:rPr>
            </w:pPr>
            <w:r>
              <w:rPr>
                <w:rFonts w:hint="eastAsia" w:ascii="宋体" w:hAnsi="宋体" w:eastAsia="宋体" w:cs="宋体"/>
                <w:b/>
                <w:color w:val="auto"/>
                <w:sz w:val="21"/>
                <w:szCs w:val="21"/>
                <w:highlight w:val="none"/>
              </w:rPr>
              <w:t>标的名称</w:t>
            </w:r>
          </w:p>
        </w:tc>
        <w:tc>
          <w:tcPr>
            <w:tcW w:w="827" w:type="dxa"/>
            <w:vAlign w:val="center"/>
          </w:tcPr>
          <w:p w14:paraId="03CABCBB">
            <w:pPr>
              <w:widowControl/>
              <w:snapToGrid w:val="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模组名称</w:t>
            </w:r>
          </w:p>
        </w:tc>
        <w:tc>
          <w:tcPr>
            <w:tcW w:w="2510" w:type="dxa"/>
            <w:vAlign w:val="center"/>
          </w:tcPr>
          <w:p w14:paraId="654E2AFE">
            <w:pPr>
              <w:widowControl/>
              <w:snapToGrid w:val="0"/>
              <w:jc w:val="center"/>
              <w:textAlignment w:val="center"/>
              <w:rPr>
                <w:rFonts w:hint="eastAsia" w:ascii="宋体" w:hAnsi="宋体" w:eastAsia="宋体" w:cs="宋体"/>
                <w:b/>
                <w:color w:val="auto"/>
                <w:kern w:val="0"/>
                <w:sz w:val="21"/>
                <w:szCs w:val="21"/>
                <w:highlight w:val="none"/>
                <w:lang w:bidi="ar"/>
              </w:rPr>
            </w:pPr>
            <w:r>
              <w:rPr>
                <w:rFonts w:hint="eastAsia" w:ascii="宋体" w:hAnsi="宋体" w:eastAsia="宋体" w:cs="宋体"/>
                <w:b/>
                <w:color w:val="auto"/>
                <w:kern w:val="0"/>
                <w:sz w:val="21"/>
                <w:szCs w:val="21"/>
                <w:highlight w:val="none"/>
                <w:lang w:bidi="ar"/>
              </w:rPr>
              <w:t>分项名称</w:t>
            </w:r>
          </w:p>
        </w:tc>
        <w:tc>
          <w:tcPr>
            <w:tcW w:w="2638" w:type="dxa"/>
            <w:vAlign w:val="center"/>
          </w:tcPr>
          <w:p w14:paraId="5F45D9D3">
            <w:pPr>
              <w:widowControl/>
              <w:snapToGrid w:val="0"/>
              <w:jc w:val="center"/>
              <w:textAlignment w:val="center"/>
              <w:rPr>
                <w:rFonts w:hint="eastAsia" w:ascii="宋体" w:hAnsi="宋体" w:eastAsia="宋体" w:cs="宋体"/>
                <w:b/>
                <w:color w:val="auto"/>
                <w:kern w:val="0"/>
                <w:sz w:val="21"/>
                <w:szCs w:val="21"/>
                <w:highlight w:val="none"/>
                <w:lang w:bidi="ar"/>
              </w:rPr>
            </w:pPr>
            <w:r>
              <w:rPr>
                <w:rFonts w:hint="eastAsia" w:ascii="宋体" w:hAnsi="宋体" w:eastAsia="宋体" w:cs="宋体"/>
                <w:b/>
                <w:color w:val="auto"/>
                <w:kern w:val="0"/>
                <w:sz w:val="21"/>
                <w:szCs w:val="21"/>
                <w:highlight w:val="none"/>
                <w:lang w:bidi="ar"/>
              </w:rPr>
              <w:t>细项名称</w:t>
            </w:r>
          </w:p>
        </w:tc>
        <w:tc>
          <w:tcPr>
            <w:tcW w:w="775" w:type="dxa"/>
            <w:vAlign w:val="center"/>
          </w:tcPr>
          <w:p w14:paraId="04FC565B">
            <w:pPr>
              <w:widowControl/>
              <w:snapToGrid w:val="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数量</w:t>
            </w:r>
          </w:p>
        </w:tc>
        <w:tc>
          <w:tcPr>
            <w:tcW w:w="699" w:type="dxa"/>
            <w:vAlign w:val="center"/>
          </w:tcPr>
          <w:p w14:paraId="35C9CDE6">
            <w:pPr>
              <w:widowControl/>
              <w:snapToGrid w:val="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单位</w:t>
            </w:r>
          </w:p>
        </w:tc>
      </w:tr>
      <w:tr w14:paraId="57D0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vAlign w:val="center"/>
          </w:tcPr>
          <w:p w14:paraId="559453F9">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1</w:t>
            </w:r>
          </w:p>
        </w:tc>
        <w:tc>
          <w:tcPr>
            <w:tcW w:w="733" w:type="dxa"/>
            <w:vMerge w:val="restart"/>
            <w:vAlign w:val="center"/>
          </w:tcPr>
          <w:p w14:paraId="4EF704D8">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车载式机动集成作业系统</w:t>
            </w:r>
          </w:p>
        </w:tc>
        <w:tc>
          <w:tcPr>
            <w:tcW w:w="827" w:type="dxa"/>
            <w:vMerge w:val="restart"/>
            <w:vAlign w:val="center"/>
          </w:tcPr>
          <w:p w14:paraId="37F5402F">
            <w:pPr>
              <w:jc w:val="center"/>
              <w:outlineLvl w:val="1"/>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探测模组</w:t>
            </w:r>
          </w:p>
        </w:tc>
        <w:tc>
          <w:tcPr>
            <w:tcW w:w="2510" w:type="dxa"/>
            <w:vAlign w:val="center"/>
          </w:tcPr>
          <w:p w14:paraId="50F3F240">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载车平台</w:t>
            </w:r>
          </w:p>
        </w:tc>
        <w:tc>
          <w:tcPr>
            <w:tcW w:w="2638" w:type="dxa"/>
            <w:vAlign w:val="center"/>
          </w:tcPr>
          <w:p w14:paraId="10826397">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载车平台</w:t>
            </w:r>
          </w:p>
        </w:tc>
        <w:tc>
          <w:tcPr>
            <w:tcW w:w="775" w:type="dxa"/>
            <w:vAlign w:val="center"/>
          </w:tcPr>
          <w:p w14:paraId="68EDF931">
            <w:pPr>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699" w:type="dxa"/>
            <w:vAlign w:val="center"/>
          </w:tcPr>
          <w:p w14:paraId="7DC1932F">
            <w:pPr>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辆</w:t>
            </w:r>
          </w:p>
        </w:tc>
      </w:tr>
      <w:tr w14:paraId="3CC2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5246F9F2">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733" w:type="dxa"/>
            <w:vMerge w:val="continue"/>
            <w:vAlign w:val="center"/>
          </w:tcPr>
          <w:p w14:paraId="05B231D4">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827" w:type="dxa"/>
            <w:vMerge w:val="continue"/>
            <w:vAlign w:val="center"/>
          </w:tcPr>
          <w:p w14:paraId="246243D4">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2510" w:type="dxa"/>
            <w:vMerge w:val="restart"/>
            <w:vAlign w:val="center"/>
          </w:tcPr>
          <w:p w14:paraId="5D5A9193">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车载式方舱（1套）</w:t>
            </w:r>
          </w:p>
        </w:tc>
        <w:tc>
          <w:tcPr>
            <w:tcW w:w="2638" w:type="dxa"/>
            <w:vAlign w:val="center"/>
          </w:tcPr>
          <w:p w14:paraId="07541AFC">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方舱舱体</w:t>
            </w:r>
          </w:p>
        </w:tc>
        <w:tc>
          <w:tcPr>
            <w:tcW w:w="775" w:type="dxa"/>
            <w:vAlign w:val="center"/>
          </w:tcPr>
          <w:p w14:paraId="13F78132">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699" w:type="dxa"/>
            <w:vAlign w:val="center"/>
          </w:tcPr>
          <w:p w14:paraId="2B5B3A3B">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套</w:t>
            </w:r>
          </w:p>
        </w:tc>
      </w:tr>
      <w:tr w14:paraId="1C254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0747F63E">
            <w:pPr>
              <w:widowControl/>
              <w:snapToGrid w:val="0"/>
              <w:jc w:val="center"/>
              <w:textAlignment w:val="center"/>
              <w:rPr>
                <w:rFonts w:hint="eastAsia" w:ascii="宋体" w:hAnsi="宋体" w:eastAsia="宋体" w:cs="宋体"/>
                <w:bCs/>
                <w:color w:val="auto"/>
                <w:sz w:val="21"/>
                <w:szCs w:val="21"/>
                <w:highlight w:val="none"/>
              </w:rPr>
            </w:pPr>
          </w:p>
        </w:tc>
        <w:tc>
          <w:tcPr>
            <w:tcW w:w="733" w:type="dxa"/>
            <w:vMerge w:val="continue"/>
            <w:vAlign w:val="center"/>
          </w:tcPr>
          <w:p w14:paraId="3B30AA8F">
            <w:pPr>
              <w:widowControl/>
              <w:snapToGrid w:val="0"/>
              <w:jc w:val="center"/>
              <w:textAlignment w:val="center"/>
              <w:rPr>
                <w:rFonts w:hint="eastAsia" w:ascii="宋体" w:hAnsi="宋体" w:eastAsia="宋体" w:cs="宋体"/>
                <w:bCs/>
                <w:color w:val="auto"/>
                <w:sz w:val="21"/>
                <w:szCs w:val="21"/>
                <w:highlight w:val="none"/>
              </w:rPr>
            </w:pPr>
          </w:p>
        </w:tc>
        <w:tc>
          <w:tcPr>
            <w:tcW w:w="827" w:type="dxa"/>
            <w:vMerge w:val="continue"/>
            <w:vAlign w:val="center"/>
          </w:tcPr>
          <w:p w14:paraId="264654E3">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2510" w:type="dxa"/>
            <w:vMerge w:val="continue"/>
            <w:vAlign w:val="center"/>
          </w:tcPr>
          <w:p w14:paraId="5B1B82D9">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2638" w:type="dxa"/>
            <w:vAlign w:val="center"/>
          </w:tcPr>
          <w:p w14:paraId="191C9105">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供电系统</w:t>
            </w:r>
          </w:p>
        </w:tc>
        <w:tc>
          <w:tcPr>
            <w:tcW w:w="775" w:type="dxa"/>
            <w:vAlign w:val="center"/>
          </w:tcPr>
          <w:p w14:paraId="66148556">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1</w:t>
            </w:r>
          </w:p>
        </w:tc>
        <w:tc>
          <w:tcPr>
            <w:tcW w:w="699" w:type="dxa"/>
            <w:vAlign w:val="center"/>
          </w:tcPr>
          <w:p w14:paraId="7F674299">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套</w:t>
            </w:r>
          </w:p>
        </w:tc>
      </w:tr>
      <w:tr w14:paraId="6CDE4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2BD1138C">
            <w:pPr>
              <w:widowControl/>
              <w:snapToGrid w:val="0"/>
              <w:jc w:val="center"/>
              <w:textAlignment w:val="center"/>
              <w:rPr>
                <w:rFonts w:hint="eastAsia" w:ascii="宋体" w:hAnsi="宋体" w:eastAsia="宋体" w:cs="宋体"/>
                <w:bCs/>
                <w:color w:val="auto"/>
                <w:sz w:val="21"/>
                <w:szCs w:val="21"/>
                <w:highlight w:val="none"/>
              </w:rPr>
            </w:pPr>
          </w:p>
        </w:tc>
        <w:tc>
          <w:tcPr>
            <w:tcW w:w="733" w:type="dxa"/>
            <w:vMerge w:val="continue"/>
            <w:vAlign w:val="center"/>
          </w:tcPr>
          <w:p w14:paraId="4E3F893D">
            <w:pPr>
              <w:widowControl/>
              <w:snapToGrid w:val="0"/>
              <w:jc w:val="center"/>
              <w:textAlignment w:val="center"/>
              <w:rPr>
                <w:rFonts w:hint="eastAsia" w:ascii="宋体" w:hAnsi="宋体" w:eastAsia="宋体" w:cs="宋体"/>
                <w:bCs/>
                <w:color w:val="auto"/>
                <w:sz w:val="21"/>
                <w:szCs w:val="21"/>
                <w:highlight w:val="none"/>
              </w:rPr>
            </w:pPr>
          </w:p>
        </w:tc>
        <w:tc>
          <w:tcPr>
            <w:tcW w:w="827" w:type="dxa"/>
            <w:vMerge w:val="continue"/>
            <w:vAlign w:val="center"/>
          </w:tcPr>
          <w:p w14:paraId="0B7DE5AD">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2510" w:type="dxa"/>
            <w:vMerge w:val="continue"/>
            <w:vAlign w:val="center"/>
          </w:tcPr>
          <w:p w14:paraId="173E2C2A">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2638" w:type="dxa"/>
            <w:vAlign w:val="center"/>
          </w:tcPr>
          <w:p w14:paraId="6892A271">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视频采集及显示系统</w:t>
            </w:r>
          </w:p>
        </w:tc>
        <w:tc>
          <w:tcPr>
            <w:tcW w:w="775" w:type="dxa"/>
            <w:vAlign w:val="center"/>
          </w:tcPr>
          <w:p w14:paraId="751065E4">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1</w:t>
            </w:r>
          </w:p>
        </w:tc>
        <w:tc>
          <w:tcPr>
            <w:tcW w:w="699" w:type="dxa"/>
            <w:vAlign w:val="center"/>
          </w:tcPr>
          <w:p w14:paraId="3F8FEB26">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套</w:t>
            </w:r>
          </w:p>
        </w:tc>
      </w:tr>
      <w:tr w14:paraId="1AFB0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59E61DAF">
            <w:pPr>
              <w:widowControl/>
              <w:snapToGrid w:val="0"/>
              <w:jc w:val="center"/>
              <w:textAlignment w:val="center"/>
              <w:rPr>
                <w:rFonts w:hint="eastAsia" w:ascii="宋体" w:hAnsi="宋体" w:eastAsia="宋体" w:cs="宋体"/>
                <w:bCs/>
                <w:color w:val="auto"/>
                <w:sz w:val="21"/>
                <w:szCs w:val="21"/>
                <w:highlight w:val="none"/>
              </w:rPr>
            </w:pPr>
          </w:p>
        </w:tc>
        <w:tc>
          <w:tcPr>
            <w:tcW w:w="733" w:type="dxa"/>
            <w:vMerge w:val="continue"/>
            <w:vAlign w:val="center"/>
          </w:tcPr>
          <w:p w14:paraId="0E1A2963">
            <w:pPr>
              <w:widowControl/>
              <w:snapToGrid w:val="0"/>
              <w:jc w:val="center"/>
              <w:textAlignment w:val="center"/>
              <w:rPr>
                <w:rFonts w:hint="eastAsia" w:ascii="宋体" w:hAnsi="宋体" w:eastAsia="宋体" w:cs="宋体"/>
                <w:bCs/>
                <w:color w:val="auto"/>
                <w:sz w:val="21"/>
                <w:szCs w:val="21"/>
                <w:highlight w:val="none"/>
              </w:rPr>
            </w:pPr>
          </w:p>
        </w:tc>
        <w:tc>
          <w:tcPr>
            <w:tcW w:w="827" w:type="dxa"/>
            <w:vMerge w:val="continue"/>
            <w:vAlign w:val="center"/>
          </w:tcPr>
          <w:p w14:paraId="3FB51353">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2510" w:type="dxa"/>
            <w:vMerge w:val="continue"/>
            <w:vAlign w:val="center"/>
          </w:tcPr>
          <w:p w14:paraId="0D94BC13">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2638" w:type="dxa"/>
            <w:vAlign w:val="center"/>
          </w:tcPr>
          <w:p w14:paraId="40F32A48">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通信传输系统</w:t>
            </w:r>
          </w:p>
        </w:tc>
        <w:tc>
          <w:tcPr>
            <w:tcW w:w="775" w:type="dxa"/>
            <w:vAlign w:val="center"/>
          </w:tcPr>
          <w:p w14:paraId="67A8683D">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1</w:t>
            </w:r>
          </w:p>
        </w:tc>
        <w:tc>
          <w:tcPr>
            <w:tcW w:w="699" w:type="dxa"/>
            <w:vAlign w:val="center"/>
          </w:tcPr>
          <w:p w14:paraId="32935512">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套</w:t>
            </w:r>
          </w:p>
        </w:tc>
      </w:tr>
      <w:tr w14:paraId="0BEF2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7C18F77B">
            <w:pPr>
              <w:widowControl/>
              <w:snapToGrid w:val="0"/>
              <w:jc w:val="center"/>
              <w:textAlignment w:val="center"/>
              <w:rPr>
                <w:rFonts w:hint="eastAsia" w:ascii="宋体" w:hAnsi="宋体" w:eastAsia="宋体" w:cs="宋体"/>
                <w:bCs/>
                <w:color w:val="auto"/>
                <w:sz w:val="21"/>
                <w:szCs w:val="21"/>
                <w:highlight w:val="none"/>
              </w:rPr>
            </w:pPr>
          </w:p>
        </w:tc>
        <w:tc>
          <w:tcPr>
            <w:tcW w:w="733" w:type="dxa"/>
            <w:vMerge w:val="continue"/>
            <w:vAlign w:val="center"/>
          </w:tcPr>
          <w:p w14:paraId="7275C1F1">
            <w:pPr>
              <w:widowControl/>
              <w:snapToGrid w:val="0"/>
              <w:jc w:val="center"/>
              <w:textAlignment w:val="center"/>
              <w:rPr>
                <w:rFonts w:hint="eastAsia" w:ascii="宋体" w:hAnsi="宋体" w:eastAsia="宋体" w:cs="宋体"/>
                <w:bCs/>
                <w:color w:val="auto"/>
                <w:sz w:val="21"/>
                <w:szCs w:val="21"/>
                <w:highlight w:val="none"/>
              </w:rPr>
            </w:pPr>
          </w:p>
        </w:tc>
        <w:tc>
          <w:tcPr>
            <w:tcW w:w="827" w:type="dxa"/>
            <w:vMerge w:val="continue"/>
            <w:vAlign w:val="center"/>
          </w:tcPr>
          <w:p w14:paraId="70DA407A">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2510" w:type="dxa"/>
            <w:vAlign w:val="center"/>
          </w:tcPr>
          <w:p w14:paraId="0A937573">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X波段相控阵雷达</w:t>
            </w:r>
          </w:p>
        </w:tc>
        <w:tc>
          <w:tcPr>
            <w:tcW w:w="2638" w:type="dxa"/>
            <w:vAlign w:val="center"/>
          </w:tcPr>
          <w:p w14:paraId="0D759496">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X波段相控阵雷达</w:t>
            </w:r>
          </w:p>
        </w:tc>
        <w:tc>
          <w:tcPr>
            <w:tcW w:w="775" w:type="dxa"/>
            <w:vAlign w:val="center"/>
          </w:tcPr>
          <w:p w14:paraId="67A8DE0D">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1</w:t>
            </w:r>
          </w:p>
        </w:tc>
        <w:tc>
          <w:tcPr>
            <w:tcW w:w="699" w:type="dxa"/>
            <w:vAlign w:val="center"/>
          </w:tcPr>
          <w:p w14:paraId="17F5224D">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套</w:t>
            </w:r>
          </w:p>
        </w:tc>
      </w:tr>
      <w:tr w14:paraId="4459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5F69F4A5">
            <w:pPr>
              <w:widowControl/>
              <w:snapToGrid w:val="0"/>
              <w:jc w:val="center"/>
              <w:textAlignment w:val="center"/>
              <w:rPr>
                <w:rFonts w:hint="eastAsia" w:ascii="宋体" w:hAnsi="宋体" w:eastAsia="宋体" w:cs="宋体"/>
                <w:bCs/>
                <w:color w:val="auto"/>
                <w:sz w:val="21"/>
                <w:szCs w:val="21"/>
                <w:highlight w:val="none"/>
              </w:rPr>
            </w:pPr>
          </w:p>
        </w:tc>
        <w:tc>
          <w:tcPr>
            <w:tcW w:w="733" w:type="dxa"/>
            <w:vMerge w:val="continue"/>
            <w:vAlign w:val="center"/>
          </w:tcPr>
          <w:p w14:paraId="3E5AF98D">
            <w:pPr>
              <w:widowControl/>
              <w:snapToGrid w:val="0"/>
              <w:jc w:val="center"/>
              <w:textAlignment w:val="center"/>
              <w:rPr>
                <w:rFonts w:hint="eastAsia" w:ascii="宋体" w:hAnsi="宋体" w:eastAsia="宋体" w:cs="宋体"/>
                <w:bCs/>
                <w:color w:val="auto"/>
                <w:sz w:val="21"/>
                <w:szCs w:val="21"/>
                <w:highlight w:val="none"/>
              </w:rPr>
            </w:pPr>
          </w:p>
        </w:tc>
        <w:tc>
          <w:tcPr>
            <w:tcW w:w="827" w:type="dxa"/>
            <w:vMerge w:val="continue"/>
            <w:vAlign w:val="center"/>
          </w:tcPr>
          <w:p w14:paraId="2756701B">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2510" w:type="dxa"/>
            <w:vAlign w:val="center"/>
          </w:tcPr>
          <w:p w14:paraId="3248F104">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六要素气象站</w:t>
            </w:r>
          </w:p>
        </w:tc>
        <w:tc>
          <w:tcPr>
            <w:tcW w:w="2638" w:type="dxa"/>
            <w:vAlign w:val="center"/>
          </w:tcPr>
          <w:p w14:paraId="79813BB7">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六要素气象站</w:t>
            </w:r>
          </w:p>
        </w:tc>
        <w:tc>
          <w:tcPr>
            <w:tcW w:w="775" w:type="dxa"/>
            <w:vAlign w:val="center"/>
          </w:tcPr>
          <w:p w14:paraId="16764DB3">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1</w:t>
            </w:r>
          </w:p>
        </w:tc>
        <w:tc>
          <w:tcPr>
            <w:tcW w:w="699" w:type="dxa"/>
            <w:vAlign w:val="center"/>
          </w:tcPr>
          <w:p w14:paraId="5411E810">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套</w:t>
            </w:r>
          </w:p>
        </w:tc>
      </w:tr>
      <w:tr w14:paraId="2174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0131DB38">
            <w:pPr>
              <w:widowControl/>
              <w:snapToGrid w:val="0"/>
              <w:jc w:val="center"/>
              <w:textAlignment w:val="center"/>
              <w:rPr>
                <w:rFonts w:hint="eastAsia" w:ascii="宋体" w:hAnsi="宋体" w:eastAsia="宋体" w:cs="宋体"/>
                <w:bCs/>
                <w:color w:val="auto"/>
                <w:sz w:val="21"/>
                <w:szCs w:val="21"/>
                <w:highlight w:val="none"/>
              </w:rPr>
            </w:pPr>
          </w:p>
        </w:tc>
        <w:tc>
          <w:tcPr>
            <w:tcW w:w="733" w:type="dxa"/>
            <w:vMerge w:val="continue"/>
            <w:vAlign w:val="center"/>
          </w:tcPr>
          <w:p w14:paraId="72C77FF0">
            <w:pPr>
              <w:widowControl/>
              <w:snapToGrid w:val="0"/>
              <w:jc w:val="center"/>
              <w:textAlignment w:val="center"/>
              <w:rPr>
                <w:rFonts w:hint="eastAsia" w:ascii="宋体" w:hAnsi="宋体" w:eastAsia="宋体" w:cs="宋体"/>
                <w:bCs/>
                <w:color w:val="auto"/>
                <w:sz w:val="21"/>
                <w:szCs w:val="21"/>
                <w:highlight w:val="none"/>
              </w:rPr>
            </w:pPr>
          </w:p>
        </w:tc>
        <w:tc>
          <w:tcPr>
            <w:tcW w:w="827" w:type="dxa"/>
            <w:vMerge w:val="continue"/>
            <w:vAlign w:val="center"/>
          </w:tcPr>
          <w:p w14:paraId="606B272C">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2510" w:type="dxa"/>
            <w:vAlign w:val="center"/>
          </w:tcPr>
          <w:p w14:paraId="674739E4">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激光云高仪</w:t>
            </w:r>
          </w:p>
        </w:tc>
        <w:tc>
          <w:tcPr>
            <w:tcW w:w="2638" w:type="dxa"/>
            <w:vAlign w:val="center"/>
          </w:tcPr>
          <w:p w14:paraId="103B2BEC">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激光云高仪</w:t>
            </w:r>
          </w:p>
        </w:tc>
        <w:tc>
          <w:tcPr>
            <w:tcW w:w="775" w:type="dxa"/>
            <w:vAlign w:val="center"/>
          </w:tcPr>
          <w:p w14:paraId="2C1E8567">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1</w:t>
            </w:r>
          </w:p>
        </w:tc>
        <w:tc>
          <w:tcPr>
            <w:tcW w:w="699" w:type="dxa"/>
            <w:vAlign w:val="center"/>
          </w:tcPr>
          <w:p w14:paraId="22669776">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套</w:t>
            </w:r>
          </w:p>
        </w:tc>
      </w:tr>
      <w:tr w14:paraId="1895C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59A72A06">
            <w:pPr>
              <w:widowControl/>
              <w:snapToGrid w:val="0"/>
              <w:jc w:val="center"/>
              <w:textAlignment w:val="center"/>
              <w:rPr>
                <w:rFonts w:hint="eastAsia" w:ascii="宋体" w:hAnsi="宋体" w:eastAsia="宋体" w:cs="宋体"/>
                <w:bCs/>
                <w:color w:val="auto"/>
                <w:sz w:val="21"/>
                <w:szCs w:val="21"/>
                <w:highlight w:val="none"/>
              </w:rPr>
            </w:pPr>
          </w:p>
        </w:tc>
        <w:tc>
          <w:tcPr>
            <w:tcW w:w="733" w:type="dxa"/>
            <w:vMerge w:val="continue"/>
            <w:vAlign w:val="center"/>
          </w:tcPr>
          <w:p w14:paraId="2CC93CFF">
            <w:pPr>
              <w:widowControl/>
              <w:snapToGrid w:val="0"/>
              <w:jc w:val="center"/>
              <w:textAlignment w:val="center"/>
              <w:rPr>
                <w:rFonts w:hint="eastAsia" w:ascii="宋体" w:hAnsi="宋体" w:eastAsia="宋体" w:cs="宋体"/>
                <w:bCs/>
                <w:color w:val="auto"/>
                <w:sz w:val="21"/>
                <w:szCs w:val="21"/>
                <w:highlight w:val="none"/>
              </w:rPr>
            </w:pPr>
          </w:p>
        </w:tc>
        <w:tc>
          <w:tcPr>
            <w:tcW w:w="827" w:type="dxa"/>
            <w:vMerge w:val="continue"/>
            <w:vAlign w:val="center"/>
          </w:tcPr>
          <w:p w14:paraId="2D0CFA25">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2510" w:type="dxa"/>
            <w:vAlign w:val="center"/>
          </w:tcPr>
          <w:p w14:paraId="79E30700">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毫米波测云雷达</w:t>
            </w:r>
          </w:p>
        </w:tc>
        <w:tc>
          <w:tcPr>
            <w:tcW w:w="2638" w:type="dxa"/>
            <w:vAlign w:val="center"/>
          </w:tcPr>
          <w:p w14:paraId="71653021">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毫米波测云雷达</w:t>
            </w:r>
          </w:p>
        </w:tc>
        <w:tc>
          <w:tcPr>
            <w:tcW w:w="775" w:type="dxa"/>
            <w:vAlign w:val="center"/>
          </w:tcPr>
          <w:p w14:paraId="24298CC9">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1</w:t>
            </w:r>
          </w:p>
        </w:tc>
        <w:tc>
          <w:tcPr>
            <w:tcW w:w="699" w:type="dxa"/>
            <w:vAlign w:val="center"/>
          </w:tcPr>
          <w:p w14:paraId="1725175B">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套</w:t>
            </w:r>
          </w:p>
        </w:tc>
      </w:tr>
      <w:tr w14:paraId="49BE9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4730D262">
            <w:pPr>
              <w:widowControl/>
              <w:snapToGrid w:val="0"/>
              <w:jc w:val="center"/>
              <w:textAlignment w:val="center"/>
              <w:rPr>
                <w:rFonts w:hint="eastAsia" w:ascii="宋体" w:hAnsi="宋体" w:eastAsia="宋体" w:cs="宋体"/>
                <w:bCs/>
                <w:color w:val="auto"/>
                <w:sz w:val="21"/>
                <w:szCs w:val="21"/>
                <w:highlight w:val="none"/>
              </w:rPr>
            </w:pPr>
          </w:p>
        </w:tc>
        <w:tc>
          <w:tcPr>
            <w:tcW w:w="733" w:type="dxa"/>
            <w:vMerge w:val="continue"/>
            <w:vAlign w:val="center"/>
          </w:tcPr>
          <w:p w14:paraId="62F834A6">
            <w:pPr>
              <w:widowControl/>
              <w:snapToGrid w:val="0"/>
              <w:jc w:val="center"/>
              <w:textAlignment w:val="center"/>
              <w:rPr>
                <w:rFonts w:hint="eastAsia" w:ascii="宋体" w:hAnsi="宋体" w:eastAsia="宋体" w:cs="宋体"/>
                <w:bCs/>
                <w:color w:val="auto"/>
                <w:sz w:val="21"/>
                <w:szCs w:val="21"/>
                <w:highlight w:val="none"/>
              </w:rPr>
            </w:pPr>
          </w:p>
        </w:tc>
        <w:tc>
          <w:tcPr>
            <w:tcW w:w="827" w:type="dxa"/>
            <w:vMerge w:val="continue"/>
            <w:vAlign w:val="center"/>
          </w:tcPr>
          <w:p w14:paraId="43F538BD">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2510" w:type="dxa"/>
            <w:vAlign w:val="center"/>
          </w:tcPr>
          <w:p w14:paraId="1310562B">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小型旋翼无人机</w:t>
            </w:r>
          </w:p>
        </w:tc>
        <w:tc>
          <w:tcPr>
            <w:tcW w:w="2638" w:type="dxa"/>
            <w:vAlign w:val="center"/>
          </w:tcPr>
          <w:p w14:paraId="047CB978">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小型旋翼无人机</w:t>
            </w:r>
          </w:p>
        </w:tc>
        <w:tc>
          <w:tcPr>
            <w:tcW w:w="775" w:type="dxa"/>
            <w:vAlign w:val="center"/>
          </w:tcPr>
          <w:p w14:paraId="2378B577">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1</w:t>
            </w:r>
          </w:p>
        </w:tc>
        <w:tc>
          <w:tcPr>
            <w:tcW w:w="699" w:type="dxa"/>
            <w:vAlign w:val="center"/>
          </w:tcPr>
          <w:p w14:paraId="4E9BE9B1">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架</w:t>
            </w:r>
          </w:p>
        </w:tc>
      </w:tr>
      <w:tr w14:paraId="2947A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3AF8ADF2">
            <w:pPr>
              <w:widowControl/>
              <w:snapToGrid w:val="0"/>
              <w:jc w:val="center"/>
              <w:textAlignment w:val="center"/>
              <w:rPr>
                <w:rFonts w:hint="eastAsia" w:ascii="宋体" w:hAnsi="宋体" w:eastAsia="宋体" w:cs="宋体"/>
                <w:bCs/>
                <w:color w:val="auto"/>
                <w:sz w:val="21"/>
                <w:szCs w:val="21"/>
                <w:highlight w:val="none"/>
              </w:rPr>
            </w:pPr>
          </w:p>
        </w:tc>
        <w:tc>
          <w:tcPr>
            <w:tcW w:w="733" w:type="dxa"/>
            <w:vMerge w:val="continue"/>
            <w:vAlign w:val="center"/>
          </w:tcPr>
          <w:p w14:paraId="7F2A8E4F">
            <w:pPr>
              <w:widowControl/>
              <w:snapToGrid w:val="0"/>
              <w:jc w:val="center"/>
              <w:textAlignment w:val="center"/>
              <w:rPr>
                <w:rFonts w:hint="eastAsia" w:ascii="宋体" w:hAnsi="宋体" w:eastAsia="宋体" w:cs="宋体"/>
                <w:bCs/>
                <w:color w:val="auto"/>
                <w:sz w:val="21"/>
                <w:szCs w:val="21"/>
                <w:highlight w:val="none"/>
              </w:rPr>
            </w:pPr>
          </w:p>
        </w:tc>
        <w:tc>
          <w:tcPr>
            <w:tcW w:w="827" w:type="dxa"/>
            <w:vMerge w:val="restart"/>
            <w:vAlign w:val="center"/>
          </w:tcPr>
          <w:p w14:paraId="73D5E929">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指挥模组</w:t>
            </w:r>
          </w:p>
        </w:tc>
        <w:tc>
          <w:tcPr>
            <w:tcW w:w="2510" w:type="dxa"/>
            <w:vAlign w:val="center"/>
          </w:tcPr>
          <w:p w14:paraId="662F086C">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载车平台</w:t>
            </w:r>
          </w:p>
        </w:tc>
        <w:tc>
          <w:tcPr>
            <w:tcW w:w="2638" w:type="dxa"/>
            <w:vAlign w:val="center"/>
          </w:tcPr>
          <w:p w14:paraId="31774FB1">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载车平台</w:t>
            </w:r>
          </w:p>
        </w:tc>
        <w:tc>
          <w:tcPr>
            <w:tcW w:w="775" w:type="dxa"/>
            <w:vAlign w:val="center"/>
          </w:tcPr>
          <w:p w14:paraId="6FFDAFEF">
            <w:pPr>
              <w:snapToGrid w:val="0"/>
              <w:jc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1</w:t>
            </w:r>
          </w:p>
        </w:tc>
        <w:tc>
          <w:tcPr>
            <w:tcW w:w="699" w:type="dxa"/>
            <w:vAlign w:val="center"/>
          </w:tcPr>
          <w:p w14:paraId="3249183A">
            <w:pPr>
              <w:snapToGrid w:val="0"/>
              <w:jc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辆</w:t>
            </w:r>
          </w:p>
        </w:tc>
      </w:tr>
      <w:tr w14:paraId="10463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451EB874">
            <w:pPr>
              <w:widowControl/>
              <w:snapToGrid w:val="0"/>
              <w:jc w:val="left"/>
              <w:textAlignment w:val="center"/>
              <w:rPr>
                <w:rFonts w:hint="eastAsia" w:ascii="宋体" w:hAnsi="宋体" w:eastAsia="宋体" w:cs="宋体"/>
                <w:bCs/>
                <w:color w:val="auto"/>
                <w:kern w:val="0"/>
                <w:sz w:val="21"/>
                <w:szCs w:val="21"/>
                <w:highlight w:val="none"/>
                <w:lang w:bidi="ar"/>
              </w:rPr>
            </w:pPr>
          </w:p>
        </w:tc>
        <w:tc>
          <w:tcPr>
            <w:tcW w:w="733" w:type="dxa"/>
            <w:vMerge w:val="continue"/>
            <w:vAlign w:val="center"/>
          </w:tcPr>
          <w:p w14:paraId="70E69D7C">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827" w:type="dxa"/>
            <w:vMerge w:val="continue"/>
            <w:vAlign w:val="center"/>
          </w:tcPr>
          <w:p w14:paraId="0DBC972F">
            <w:pPr>
              <w:outlineLvl w:val="1"/>
              <w:rPr>
                <w:rFonts w:hint="eastAsia" w:ascii="宋体" w:hAnsi="宋体" w:eastAsia="宋体" w:cs="宋体"/>
                <w:bCs/>
                <w:color w:val="auto"/>
                <w:kern w:val="0"/>
                <w:sz w:val="21"/>
                <w:szCs w:val="21"/>
                <w:highlight w:val="none"/>
                <w:lang w:bidi="ar"/>
              </w:rPr>
            </w:pPr>
          </w:p>
        </w:tc>
        <w:tc>
          <w:tcPr>
            <w:tcW w:w="2510" w:type="dxa"/>
            <w:vMerge w:val="restart"/>
            <w:vAlign w:val="center"/>
          </w:tcPr>
          <w:p w14:paraId="61CAA559">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车载式方舱（1套）</w:t>
            </w:r>
          </w:p>
        </w:tc>
        <w:tc>
          <w:tcPr>
            <w:tcW w:w="2638" w:type="dxa"/>
            <w:vAlign w:val="center"/>
          </w:tcPr>
          <w:p w14:paraId="4984E8E5">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方舱主厢体</w:t>
            </w:r>
          </w:p>
        </w:tc>
        <w:tc>
          <w:tcPr>
            <w:tcW w:w="775" w:type="dxa"/>
            <w:vAlign w:val="center"/>
          </w:tcPr>
          <w:p w14:paraId="6AE2690E">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699" w:type="dxa"/>
            <w:vAlign w:val="center"/>
          </w:tcPr>
          <w:p w14:paraId="17C7334F">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个</w:t>
            </w:r>
          </w:p>
        </w:tc>
      </w:tr>
      <w:tr w14:paraId="2D20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0C7159BE">
            <w:pPr>
              <w:widowControl/>
              <w:snapToGrid w:val="0"/>
              <w:jc w:val="left"/>
              <w:textAlignment w:val="center"/>
              <w:rPr>
                <w:rFonts w:hint="eastAsia" w:ascii="宋体" w:hAnsi="宋体" w:eastAsia="宋体" w:cs="宋体"/>
                <w:bCs/>
                <w:color w:val="auto"/>
                <w:kern w:val="0"/>
                <w:sz w:val="21"/>
                <w:szCs w:val="21"/>
                <w:highlight w:val="none"/>
                <w:lang w:bidi="ar"/>
              </w:rPr>
            </w:pPr>
          </w:p>
        </w:tc>
        <w:tc>
          <w:tcPr>
            <w:tcW w:w="733" w:type="dxa"/>
            <w:vMerge w:val="continue"/>
            <w:vAlign w:val="center"/>
          </w:tcPr>
          <w:p w14:paraId="26C0DA26">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827" w:type="dxa"/>
            <w:vMerge w:val="continue"/>
            <w:vAlign w:val="center"/>
          </w:tcPr>
          <w:p w14:paraId="6F6CDBC4">
            <w:pPr>
              <w:outlineLvl w:val="1"/>
              <w:rPr>
                <w:rFonts w:hint="eastAsia" w:ascii="宋体" w:hAnsi="宋体" w:eastAsia="宋体" w:cs="宋体"/>
                <w:bCs/>
                <w:color w:val="auto"/>
                <w:sz w:val="21"/>
                <w:szCs w:val="21"/>
                <w:highlight w:val="none"/>
              </w:rPr>
            </w:pPr>
          </w:p>
        </w:tc>
        <w:tc>
          <w:tcPr>
            <w:tcW w:w="2510" w:type="dxa"/>
            <w:vMerge w:val="continue"/>
            <w:vAlign w:val="center"/>
          </w:tcPr>
          <w:p w14:paraId="54C77656">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2638" w:type="dxa"/>
            <w:vAlign w:val="center"/>
          </w:tcPr>
          <w:p w14:paraId="5D470FF1">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方舱配套设施</w:t>
            </w:r>
          </w:p>
        </w:tc>
        <w:tc>
          <w:tcPr>
            <w:tcW w:w="775" w:type="dxa"/>
            <w:vAlign w:val="center"/>
          </w:tcPr>
          <w:p w14:paraId="713A615B">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1</w:t>
            </w:r>
          </w:p>
        </w:tc>
        <w:tc>
          <w:tcPr>
            <w:tcW w:w="699" w:type="dxa"/>
            <w:vAlign w:val="center"/>
          </w:tcPr>
          <w:p w14:paraId="4D273BED">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套</w:t>
            </w:r>
          </w:p>
        </w:tc>
      </w:tr>
      <w:tr w14:paraId="1846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0081434C">
            <w:pPr>
              <w:widowControl/>
              <w:snapToGrid w:val="0"/>
              <w:jc w:val="left"/>
              <w:textAlignment w:val="center"/>
              <w:rPr>
                <w:rFonts w:hint="eastAsia" w:ascii="宋体" w:hAnsi="宋体" w:eastAsia="宋体" w:cs="宋体"/>
                <w:bCs/>
                <w:color w:val="auto"/>
                <w:sz w:val="21"/>
                <w:szCs w:val="21"/>
                <w:highlight w:val="none"/>
              </w:rPr>
            </w:pPr>
          </w:p>
        </w:tc>
        <w:tc>
          <w:tcPr>
            <w:tcW w:w="733" w:type="dxa"/>
            <w:vMerge w:val="continue"/>
            <w:vAlign w:val="center"/>
          </w:tcPr>
          <w:p w14:paraId="6A113681">
            <w:pPr>
              <w:widowControl/>
              <w:snapToGrid w:val="0"/>
              <w:jc w:val="left"/>
              <w:textAlignment w:val="center"/>
              <w:rPr>
                <w:rFonts w:hint="eastAsia" w:ascii="宋体" w:hAnsi="宋体" w:eastAsia="宋体" w:cs="宋体"/>
                <w:bCs/>
                <w:color w:val="auto"/>
                <w:sz w:val="21"/>
                <w:szCs w:val="21"/>
                <w:highlight w:val="none"/>
              </w:rPr>
            </w:pPr>
          </w:p>
        </w:tc>
        <w:tc>
          <w:tcPr>
            <w:tcW w:w="827" w:type="dxa"/>
            <w:vMerge w:val="continue"/>
            <w:vAlign w:val="center"/>
          </w:tcPr>
          <w:p w14:paraId="30386D7C">
            <w:pPr>
              <w:widowControl/>
              <w:snapToGrid w:val="0"/>
              <w:jc w:val="left"/>
              <w:textAlignment w:val="center"/>
              <w:rPr>
                <w:rFonts w:hint="eastAsia" w:ascii="宋体" w:hAnsi="宋体" w:eastAsia="宋体" w:cs="宋体"/>
                <w:bCs/>
                <w:color w:val="auto"/>
                <w:kern w:val="0"/>
                <w:sz w:val="21"/>
                <w:szCs w:val="21"/>
                <w:highlight w:val="none"/>
                <w:lang w:bidi="ar"/>
              </w:rPr>
            </w:pPr>
          </w:p>
        </w:tc>
        <w:tc>
          <w:tcPr>
            <w:tcW w:w="2510" w:type="dxa"/>
            <w:vMerge w:val="continue"/>
            <w:vAlign w:val="center"/>
          </w:tcPr>
          <w:p w14:paraId="10834F68">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2638" w:type="dxa"/>
            <w:vAlign w:val="center"/>
          </w:tcPr>
          <w:p w14:paraId="0EF0CDC5">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供电系统</w:t>
            </w:r>
          </w:p>
        </w:tc>
        <w:tc>
          <w:tcPr>
            <w:tcW w:w="775" w:type="dxa"/>
            <w:vAlign w:val="center"/>
          </w:tcPr>
          <w:p w14:paraId="4A685297">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1</w:t>
            </w:r>
          </w:p>
        </w:tc>
        <w:tc>
          <w:tcPr>
            <w:tcW w:w="699" w:type="dxa"/>
            <w:vAlign w:val="center"/>
          </w:tcPr>
          <w:p w14:paraId="398D699E">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套</w:t>
            </w:r>
          </w:p>
        </w:tc>
      </w:tr>
      <w:tr w14:paraId="04BB0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32E9E7BD">
            <w:pPr>
              <w:widowControl/>
              <w:snapToGrid w:val="0"/>
              <w:jc w:val="left"/>
              <w:textAlignment w:val="center"/>
              <w:rPr>
                <w:rFonts w:hint="eastAsia" w:ascii="宋体" w:hAnsi="宋体" w:eastAsia="宋体" w:cs="宋体"/>
                <w:bCs/>
                <w:color w:val="auto"/>
                <w:sz w:val="21"/>
                <w:szCs w:val="21"/>
                <w:highlight w:val="none"/>
              </w:rPr>
            </w:pPr>
          </w:p>
        </w:tc>
        <w:tc>
          <w:tcPr>
            <w:tcW w:w="733" w:type="dxa"/>
            <w:vMerge w:val="continue"/>
            <w:vAlign w:val="center"/>
          </w:tcPr>
          <w:p w14:paraId="3C7BD0B9">
            <w:pPr>
              <w:widowControl/>
              <w:snapToGrid w:val="0"/>
              <w:jc w:val="left"/>
              <w:textAlignment w:val="center"/>
              <w:rPr>
                <w:rFonts w:hint="eastAsia" w:ascii="宋体" w:hAnsi="宋体" w:eastAsia="宋体" w:cs="宋体"/>
                <w:bCs/>
                <w:color w:val="auto"/>
                <w:sz w:val="21"/>
                <w:szCs w:val="21"/>
                <w:highlight w:val="none"/>
              </w:rPr>
            </w:pPr>
          </w:p>
        </w:tc>
        <w:tc>
          <w:tcPr>
            <w:tcW w:w="827" w:type="dxa"/>
            <w:vMerge w:val="continue"/>
            <w:vAlign w:val="center"/>
          </w:tcPr>
          <w:p w14:paraId="2002C031">
            <w:pPr>
              <w:widowControl/>
              <w:snapToGrid w:val="0"/>
              <w:jc w:val="left"/>
              <w:textAlignment w:val="center"/>
              <w:rPr>
                <w:rFonts w:hint="eastAsia" w:ascii="宋体" w:hAnsi="宋体" w:eastAsia="宋体" w:cs="宋体"/>
                <w:bCs/>
                <w:color w:val="auto"/>
                <w:kern w:val="0"/>
                <w:sz w:val="21"/>
                <w:szCs w:val="21"/>
                <w:highlight w:val="none"/>
                <w:lang w:bidi="ar"/>
              </w:rPr>
            </w:pPr>
          </w:p>
        </w:tc>
        <w:tc>
          <w:tcPr>
            <w:tcW w:w="2510" w:type="dxa"/>
            <w:vMerge w:val="continue"/>
            <w:vAlign w:val="center"/>
          </w:tcPr>
          <w:p w14:paraId="58381AE6">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2638" w:type="dxa"/>
            <w:vAlign w:val="center"/>
          </w:tcPr>
          <w:p w14:paraId="2F9C6F11">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视频采集及显示系统</w:t>
            </w:r>
          </w:p>
        </w:tc>
        <w:tc>
          <w:tcPr>
            <w:tcW w:w="775" w:type="dxa"/>
            <w:vAlign w:val="center"/>
          </w:tcPr>
          <w:p w14:paraId="2A2C7C28">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1</w:t>
            </w:r>
          </w:p>
        </w:tc>
        <w:tc>
          <w:tcPr>
            <w:tcW w:w="699" w:type="dxa"/>
            <w:vAlign w:val="center"/>
          </w:tcPr>
          <w:p w14:paraId="259B8C15">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套</w:t>
            </w:r>
          </w:p>
        </w:tc>
      </w:tr>
      <w:tr w14:paraId="16AD1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16A09977">
            <w:pPr>
              <w:widowControl/>
              <w:snapToGrid w:val="0"/>
              <w:jc w:val="left"/>
              <w:textAlignment w:val="center"/>
              <w:rPr>
                <w:rFonts w:hint="eastAsia" w:ascii="宋体" w:hAnsi="宋体" w:eastAsia="宋体" w:cs="宋体"/>
                <w:bCs/>
                <w:color w:val="auto"/>
                <w:sz w:val="21"/>
                <w:szCs w:val="21"/>
                <w:highlight w:val="none"/>
              </w:rPr>
            </w:pPr>
          </w:p>
        </w:tc>
        <w:tc>
          <w:tcPr>
            <w:tcW w:w="733" w:type="dxa"/>
            <w:vMerge w:val="continue"/>
            <w:vAlign w:val="center"/>
          </w:tcPr>
          <w:p w14:paraId="2DBD6B30">
            <w:pPr>
              <w:widowControl/>
              <w:snapToGrid w:val="0"/>
              <w:jc w:val="left"/>
              <w:textAlignment w:val="center"/>
              <w:rPr>
                <w:rFonts w:hint="eastAsia" w:ascii="宋体" w:hAnsi="宋体" w:eastAsia="宋体" w:cs="宋体"/>
                <w:bCs/>
                <w:color w:val="auto"/>
                <w:sz w:val="21"/>
                <w:szCs w:val="21"/>
                <w:highlight w:val="none"/>
              </w:rPr>
            </w:pPr>
          </w:p>
        </w:tc>
        <w:tc>
          <w:tcPr>
            <w:tcW w:w="827" w:type="dxa"/>
            <w:vMerge w:val="continue"/>
            <w:vAlign w:val="center"/>
          </w:tcPr>
          <w:p w14:paraId="396A3E9B">
            <w:pPr>
              <w:widowControl/>
              <w:snapToGrid w:val="0"/>
              <w:jc w:val="left"/>
              <w:textAlignment w:val="center"/>
              <w:rPr>
                <w:rFonts w:hint="eastAsia" w:ascii="宋体" w:hAnsi="宋体" w:eastAsia="宋体" w:cs="宋体"/>
                <w:bCs/>
                <w:color w:val="auto"/>
                <w:kern w:val="0"/>
                <w:sz w:val="21"/>
                <w:szCs w:val="21"/>
                <w:highlight w:val="none"/>
                <w:lang w:bidi="ar"/>
              </w:rPr>
            </w:pPr>
          </w:p>
        </w:tc>
        <w:tc>
          <w:tcPr>
            <w:tcW w:w="2510" w:type="dxa"/>
            <w:vMerge w:val="continue"/>
            <w:vAlign w:val="center"/>
          </w:tcPr>
          <w:p w14:paraId="3340BB8F">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2638" w:type="dxa"/>
            <w:vAlign w:val="center"/>
          </w:tcPr>
          <w:p w14:paraId="6D5A90D2">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通信传输系统</w:t>
            </w:r>
          </w:p>
        </w:tc>
        <w:tc>
          <w:tcPr>
            <w:tcW w:w="775" w:type="dxa"/>
            <w:vAlign w:val="center"/>
          </w:tcPr>
          <w:p w14:paraId="19A871F1">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1</w:t>
            </w:r>
          </w:p>
        </w:tc>
        <w:tc>
          <w:tcPr>
            <w:tcW w:w="699" w:type="dxa"/>
            <w:vAlign w:val="center"/>
          </w:tcPr>
          <w:p w14:paraId="7678D89F">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套</w:t>
            </w:r>
          </w:p>
        </w:tc>
      </w:tr>
      <w:tr w14:paraId="4737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68AB9724">
            <w:pPr>
              <w:widowControl/>
              <w:snapToGrid w:val="0"/>
              <w:jc w:val="center"/>
              <w:textAlignment w:val="center"/>
              <w:rPr>
                <w:rFonts w:hint="eastAsia" w:ascii="宋体" w:hAnsi="宋体" w:eastAsia="宋体" w:cs="宋体"/>
                <w:bCs/>
                <w:color w:val="auto"/>
                <w:sz w:val="21"/>
                <w:szCs w:val="21"/>
                <w:highlight w:val="none"/>
              </w:rPr>
            </w:pPr>
          </w:p>
        </w:tc>
        <w:tc>
          <w:tcPr>
            <w:tcW w:w="733" w:type="dxa"/>
            <w:vMerge w:val="continue"/>
            <w:vAlign w:val="center"/>
          </w:tcPr>
          <w:p w14:paraId="375E47FA">
            <w:pPr>
              <w:widowControl/>
              <w:snapToGrid w:val="0"/>
              <w:jc w:val="center"/>
              <w:textAlignment w:val="center"/>
              <w:rPr>
                <w:rFonts w:hint="eastAsia" w:ascii="宋体" w:hAnsi="宋体" w:eastAsia="宋体" w:cs="宋体"/>
                <w:bCs/>
                <w:color w:val="auto"/>
                <w:sz w:val="21"/>
                <w:szCs w:val="21"/>
                <w:highlight w:val="none"/>
              </w:rPr>
            </w:pPr>
          </w:p>
        </w:tc>
        <w:tc>
          <w:tcPr>
            <w:tcW w:w="827" w:type="dxa"/>
            <w:vMerge w:val="continue"/>
            <w:vAlign w:val="center"/>
          </w:tcPr>
          <w:p w14:paraId="56FE0885">
            <w:pPr>
              <w:widowControl/>
              <w:snapToGrid w:val="0"/>
              <w:jc w:val="left"/>
              <w:textAlignment w:val="center"/>
              <w:rPr>
                <w:rFonts w:hint="eastAsia" w:ascii="宋体" w:hAnsi="宋体" w:eastAsia="宋体" w:cs="宋体"/>
                <w:bCs/>
                <w:color w:val="auto"/>
                <w:sz w:val="21"/>
                <w:szCs w:val="21"/>
                <w:highlight w:val="none"/>
              </w:rPr>
            </w:pPr>
          </w:p>
        </w:tc>
        <w:tc>
          <w:tcPr>
            <w:tcW w:w="2510" w:type="dxa"/>
            <w:vMerge w:val="restart"/>
            <w:vAlign w:val="center"/>
          </w:tcPr>
          <w:p w14:paraId="52D13846">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气象信息处理和显控席位</w:t>
            </w:r>
            <w:r>
              <w:rPr>
                <w:rFonts w:hint="eastAsia" w:ascii="宋体" w:hAnsi="宋体" w:eastAsia="宋体" w:cs="宋体"/>
                <w:bCs/>
                <w:color w:val="auto"/>
                <w:kern w:val="0"/>
                <w:sz w:val="21"/>
                <w:szCs w:val="21"/>
                <w:highlight w:val="none"/>
                <w:lang w:bidi="ar"/>
              </w:rPr>
              <w:t>（1套）</w:t>
            </w:r>
          </w:p>
        </w:tc>
        <w:tc>
          <w:tcPr>
            <w:tcW w:w="2638" w:type="dxa"/>
            <w:vAlign w:val="center"/>
          </w:tcPr>
          <w:p w14:paraId="687DB695">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无人机显示席位</w:t>
            </w:r>
          </w:p>
        </w:tc>
        <w:tc>
          <w:tcPr>
            <w:tcW w:w="775" w:type="dxa"/>
            <w:vAlign w:val="center"/>
          </w:tcPr>
          <w:p w14:paraId="735FA420">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1</w:t>
            </w:r>
          </w:p>
        </w:tc>
        <w:tc>
          <w:tcPr>
            <w:tcW w:w="699" w:type="dxa"/>
            <w:vAlign w:val="center"/>
          </w:tcPr>
          <w:p w14:paraId="02C79C78">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套</w:t>
            </w:r>
          </w:p>
        </w:tc>
      </w:tr>
      <w:tr w14:paraId="123ED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62ADEFE8">
            <w:pPr>
              <w:widowControl/>
              <w:snapToGrid w:val="0"/>
              <w:jc w:val="center"/>
              <w:textAlignment w:val="center"/>
              <w:rPr>
                <w:rFonts w:hint="eastAsia" w:ascii="宋体" w:hAnsi="宋体" w:eastAsia="宋体" w:cs="宋体"/>
                <w:bCs/>
                <w:snapToGrid w:val="0"/>
                <w:color w:val="auto"/>
                <w:kern w:val="0"/>
                <w:sz w:val="21"/>
                <w:szCs w:val="21"/>
                <w:highlight w:val="none"/>
              </w:rPr>
            </w:pPr>
          </w:p>
        </w:tc>
        <w:tc>
          <w:tcPr>
            <w:tcW w:w="733" w:type="dxa"/>
            <w:vMerge w:val="continue"/>
            <w:vAlign w:val="center"/>
          </w:tcPr>
          <w:p w14:paraId="174A015F">
            <w:pPr>
              <w:widowControl/>
              <w:snapToGrid w:val="0"/>
              <w:jc w:val="center"/>
              <w:textAlignment w:val="center"/>
              <w:rPr>
                <w:rFonts w:hint="eastAsia" w:ascii="宋体" w:hAnsi="宋体" w:eastAsia="宋体" w:cs="宋体"/>
                <w:bCs/>
                <w:snapToGrid w:val="0"/>
                <w:color w:val="auto"/>
                <w:kern w:val="0"/>
                <w:sz w:val="21"/>
                <w:szCs w:val="21"/>
                <w:highlight w:val="none"/>
              </w:rPr>
            </w:pPr>
          </w:p>
        </w:tc>
        <w:tc>
          <w:tcPr>
            <w:tcW w:w="827" w:type="dxa"/>
            <w:vMerge w:val="continue"/>
            <w:vAlign w:val="center"/>
          </w:tcPr>
          <w:p w14:paraId="7F8DD762">
            <w:pPr>
              <w:widowControl/>
              <w:snapToGrid w:val="0"/>
              <w:jc w:val="left"/>
              <w:textAlignment w:val="center"/>
              <w:rPr>
                <w:rFonts w:hint="eastAsia" w:ascii="宋体" w:hAnsi="宋体" w:eastAsia="宋体" w:cs="宋体"/>
                <w:bCs/>
                <w:color w:val="auto"/>
                <w:sz w:val="21"/>
                <w:szCs w:val="21"/>
                <w:highlight w:val="none"/>
              </w:rPr>
            </w:pPr>
          </w:p>
        </w:tc>
        <w:tc>
          <w:tcPr>
            <w:tcW w:w="2510" w:type="dxa"/>
            <w:vMerge w:val="continue"/>
            <w:vAlign w:val="center"/>
          </w:tcPr>
          <w:p w14:paraId="58018D5C">
            <w:pPr>
              <w:widowControl/>
              <w:snapToGrid w:val="0"/>
              <w:jc w:val="center"/>
              <w:textAlignment w:val="center"/>
              <w:rPr>
                <w:rFonts w:hint="eastAsia" w:ascii="宋体" w:hAnsi="宋体" w:eastAsia="宋体" w:cs="宋体"/>
                <w:bCs/>
                <w:color w:val="auto"/>
                <w:sz w:val="21"/>
                <w:szCs w:val="21"/>
                <w:highlight w:val="none"/>
              </w:rPr>
            </w:pPr>
          </w:p>
        </w:tc>
        <w:tc>
          <w:tcPr>
            <w:tcW w:w="2638" w:type="dxa"/>
            <w:vAlign w:val="center"/>
          </w:tcPr>
          <w:p w14:paraId="15BCA75C">
            <w:pPr>
              <w:widowControl/>
              <w:snapToGrid w:val="0"/>
              <w:jc w:val="center"/>
              <w:textAlignment w:val="center"/>
              <w:rPr>
                <w:rFonts w:hint="eastAsia" w:ascii="宋体" w:hAnsi="宋体" w:eastAsia="宋体" w:cs="宋体"/>
                <w:bCs/>
                <w:snapToGrid w:val="0"/>
                <w:color w:val="auto"/>
                <w:kern w:val="0"/>
                <w:sz w:val="21"/>
                <w:szCs w:val="21"/>
                <w:highlight w:val="none"/>
              </w:rPr>
            </w:pPr>
            <w:r>
              <w:rPr>
                <w:rFonts w:hint="eastAsia" w:ascii="宋体" w:hAnsi="宋体" w:eastAsia="宋体" w:cs="宋体"/>
                <w:bCs/>
                <w:color w:val="auto"/>
                <w:kern w:val="0"/>
                <w:sz w:val="21"/>
                <w:szCs w:val="21"/>
                <w:highlight w:val="none"/>
                <w:lang w:bidi="ar"/>
              </w:rPr>
              <w:t>自动观测设备信息处理及显控席位</w:t>
            </w:r>
          </w:p>
        </w:tc>
        <w:tc>
          <w:tcPr>
            <w:tcW w:w="775" w:type="dxa"/>
            <w:vAlign w:val="center"/>
          </w:tcPr>
          <w:p w14:paraId="77C597C9">
            <w:pPr>
              <w:widowControl/>
              <w:snapToGrid w:val="0"/>
              <w:jc w:val="center"/>
              <w:textAlignment w:val="center"/>
              <w:rPr>
                <w:rFonts w:hint="eastAsia" w:ascii="宋体" w:hAnsi="宋体" w:eastAsia="宋体" w:cs="宋体"/>
                <w:bCs/>
                <w:snapToGrid w:val="0"/>
                <w:color w:val="auto"/>
                <w:kern w:val="0"/>
                <w:sz w:val="21"/>
                <w:szCs w:val="21"/>
                <w:highlight w:val="none"/>
              </w:rPr>
            </w:pPr>
            <w:r>
              <w:rPr>
                <w:rFonts w:hint="eastAsia" w:ascii="宋体" w:hAnsi="宋体" w:eastAsia="宋体" w:cs="宋体"/>
                <w:bCs/>
                <w:color w:val="auto"/>
                <w:kern w:val="0"/>
                <w:sz w:val="21"/>
                <w:szCs w:val="21"/>
                <w:highlight w:val="none"/>
                <w:lang w:bidi="ar"/>
              </w:rPr>
              <w:t>1</w:t>
            </w:r>
          </w:p>
        </w:tc>
        <w:tc>
          <w:tcPr>
            <w:tcW w:w="699" w:type="dxa"/>
            <w:vAlign w:val="center"/>
          </w:tcPr>
          <w:p w14:paraId="1615ECA7">
            <w:pPr>
              <w:widowControl/>
              <w:snapToGrid w:val="0"/>
              <w:jc w:val="center"/>
              <w:textAlignment w:val="center"/>
              <w:rPr>
                <w:rFonts w:hint="eastAsia" w:ascii="宋体" w:hAnsi="宋体" w:eastAsia="宋体" w:cs="宋体"/>
                <w:bCs/>
                <w:snapToGrid w:val="0"/>
                <w:color w:val="auto"/>
                <w:kern w:val="0"/>
                <w:sz w:val="21"/>
                <w:szCs w:val="21"/>
                <w:highlight w:val="none"/>
              </w:rPr>
            </w:pPr>
            <w:r>
              <w:rPr>
                <w:rFonts w:hint="eastAsia" w:ascii="宋体" w:hAnsi="宋体" w:eastAsia="宋体" w:cs="宋体"/>
                <w:bCs/>
                <w:color w:val="auto"/>
                <w:kern w:val="0"/>
                <w:sz w:val="21"/>
                <w:szCs w:val="21"/>
                <w:highlight w:val="none"/>
                <w:lang w:bidi="ar"/>
              </w:rPr>
              <w:t>套</w:t>
            </w:r>
          </w:p>
        </w:tc>
      </w:tr>
      <w:tr w14:paraId="0550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6CBC630D">
            <w:pPr>
              <w:widowControl/>
              <w:snapToGrid w:val="0"/>
              <w:jc w:val="center"/>
              <w:textAlignment w:val="center"/>
              <w:rPr>
                <w:rFonts w:hint="eastAsia" w:ascii="宋体" w:hAnsi="宋体" w:eastAsia="宋体" w:cs="宋体"/>
                <w:bCs/>
                <w:color w:val="auto"/>
                <w:sz w:val="21"/>
                <w:szCs w:val="21"/>
                <w:highlight w:val="none"/>
              </w:rPr>
            </w:pPr>
          </w:p>
        </w:tc>
        <w:tc>
          <w:tcPr>
            <w:tcW w:w="733" w:type="dxa"/>
            <w:vMerge w:val="continue"/>
            <w:vAlign w:val="center"/>
          </w:tcPr>
          <w:p w14:paraId="39EEDF06">
            <w:pPr>
              <w:widowControl/>
              <w:snapToGrid w:val="0"/>
              <w:jc w:val="center"/>
              <w:textAlignment w:val="center"/>
              <w:rPr>
                <w:rFonts w:hint="eastAsia" w:ascii="宋体" w:hAnsi="宋体" w:eastAsia="宋体" w:cs="宋体"/>
                <w:bCs/>
                <w:color w:val="auto"/>
                <w:sz w:val="21"/>
                <w:szCs w:val="21"/>
                <w:highlight w:val="none"/>
              </w:rPr>
            </w:pPr>
          </w:p>
        </w:tc>
        <w:tc>
          <w:tcPr>
            <w:tcW w:w="827" w:type="dxa"/>
            <w:vMerge w:val="continue"/>
            <w:vAlign w:val="center"/>
          </w:tcPr>
          <w:p w14:paraId="19E40863">
            <w:pPr>
              <w:widowControl/>
              <w:snapToGrid w:val="0"/>
              <w:jc w:val="left"/>
              <w:textAlignment w:val="center"/>
              <w:rPr>
                <w:rFonts w:hint="eastAsia" w:ascii="宋体" w:hAnsi="宋体" w:eastAsia="宋体" w:cs="宋体"/>
                <w:bCs/>
                <w:color w:val="auto"/>
                <w:sz w:val="21"/>
                <w:szCs w:val="21"/>
                <w:highlight w:val="none"/>
              </w:rPr>
            </w:pPr>
          </w:p>
        </w:tc>
        <w:tc>
          <w:tcPr>
            <w:tcW w:w="2510" w:type="dxa"/>
            <w:vMerge w:val="continue"/>
            <w:vAlign w:val="center"/>
          </w:tcPr>
          <w:p w14:paraId="3A11DC24">
            <w:pPr>
              <w:widowControl/>
              <w:snapToGrid w:val="0"/>
              <w:jc w:val="center"/>
              <w:textAlignment w:val="center"/>
              <w:rPr>
                <w:rFonts w:hint="eastAsia" w:ascii="宋体" w:hAnsi="宋体" w:eastAsia="宋体" w:cs="宋体"/>
                <w:bCs/>
                <w:color w:val="auto"/>
                <w:sz w:val="21"/>
                <w:szCs w:val="21"/>
                <w:highlight w:val="none"/>
              </w:rPr>
            </w:pPr>
          </w:p>
        </w:tc>
        <w:tc>
          <w:tcPr>
            <w:tcW w:w="2638" w:type="dxa"/>
            <w:vAlign w:val="center"/>
          </w:tcPr>
          <w:p w14:paraId="03C3ED3A">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雷达信息处理及显控席位</w:t>
            </w:r>
          </w:p>
        </w:tc>
        <w:tc>
          <w:tcPr>
            <w:tcW w:w="775" w:type="dxa"/>
            <w:vAlign w:val="center"/>
          </w:tcPr>
          <w:p w14:paraId="4DD00B4A">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1</w:t>
            </w:r>
          </w:p>
        </w:tc>
        <w:tc>
          <w:tcPr>
            <w:tcW w:w="699" w:type="dxa"/>
            <w:vAlign w:val="center"/>
          </w:tcPr>
          <w:p w14:paraId="77D15457">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套</w:t>
            </w:r>
          </w:p>
        </w:tc>
      </w:tr>
      <w:tr w14:paraId="45CD6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6AC3A149">
            <w:pPr>
              <w:widowControl/>
              <w:snapToGrid w:val="0"/>
              <w:jc w:val="center"/>
              <w:textAlignment w:val="center"/>
              <w:rPr>
                <w:rFonts w:hint="eastAsia" w:ascii="宋体" w:hAnsi="宋体" w:eastAsia="宋体" w:cs="宋体"/>
                <w:bCs/>
                <w:color w:val="auto"/>
                <w:sz w:val="21"/>
                <w:szCs w:val="21"/>
                <w:highlight w:val="none"/>
              </w:rPr>
            </w:pPr>
          </w:p>
        </w:tc>
        <w:tc>
          <w:tcPr>
            <w:tcW w:w="733" w:type="dxa"/>
            <w:vMerge w:val="continue"/>
            <w:vAlign w:val="center"/>
          </w:tcPr>
          <w:p w14:paraId="76D4D5E3">
            <w:pPr>
              <w:widowControl/>
              <w:snapToGrid w:val="0"/>
              <w:jc w:val="center"/>
              <w:textAlignment w:val="center"/>
              <w:rPr>
                <w:rFonts w:hint="eastAsia" w:ascii="宋体" w:hAnsi="宋体" w:eastAsia="宋体" w:cs="宋体"/>
                <w:bCs/>
                <w:color w:val="auto"/>
                <w:sz w:val="21"/>
                <w:szCs w:val="21"/>
                <w:highlight w:val="none"/>
              </w:rPr>
            </w:pPr>
          </w:p>
        </w:tc>
        <w:tc>
          <w:tcPr>
            <w:tcW w:w="827" w:type="dxa"/>
            <w:vMerge w:val="continue"/>
            <w:vAlign w:val="center"/>
          </w:tcPr>
          <w:p w14:paraId="2C1702CF">
            <w:pPr>
              <w:widowControl/>
              <w:snapToGrid w:val="0"/>
              <w:jc w:val="left"/>
              <w:textAlignment w:val="center"/>
              <w:rPr>
                <w:rFonts w:hint="eastAsia" w:ascii="宋体" w:hAnsi="宋体" w:eastAsia="宋体" w:cs="宋体"/>
                <w:bCs/>
                <w:color w:val="auto"/>
                <w:sz w:val="21"/>
                <w:szCs w:val="21"/>
                <w:highlight w:val="none"/>
              </w:rPr>
            </w:pPr>
          </w:p>
        </w:tc>
        <w:tc>
          <w:tcPr>
            <w:tcW w:w="2510" w:type="dxa"/>
            <w:vAlign w:val="center"/>
          </w:tcPr>
          <w:p w14:paraId="1BE41230">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人工影响天气决策支持数据接收处理分析平台</w:t>
            </w:r>
          </w:p>
        </w:tc>
        <w:tc>
          <w:tcPr>
            <w:tcW w:w="2638" w:type="dxa"/>
            <w:vAlign w:val="center"/>
          </w:tcPr>
          <w:p w14:paraId="2342E4F1">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人工影响天气决策支持数据接收处理分析平台</w:t>
            </w:r>
          </w:p>
        </w:tc>
        <w:tc>
          <w:tcPr>
            <w:tcW w:w="775" w:type="dxa"/>
            <w:vAlign w:val="center"/>
          </w:tcPr>
          <w:p w14:paraId="79C2714F">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1</w:t>
            </w:r>
          </w:p>
        </w:tc>
        <w:tc>
          <w:tcPr>
            <w:tcW w:w="699" w:type="dxa"/>
            <w:vAlign w:val="center"/>
          </w:tcPr>
          <w:p w14:paraId="75463ED6">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套</w:t>
            </w:r>
          </w:p>
        </w:tc>
      </w:tr>
      <w:tr w14:paraId="6802B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4C4C957F">
            <w:pPr>
              <w:widowControl/>
              <w:snapToGrid w:val="0"/>
              <w:jc w:val="center"/>
              <w:textAlignment w:val="center"/>
              <w:rPr>
                <w:rFonts w:hint="eastAsia" w:ascii="宋体" w:hAnsi="宋体" w:eastAsia="宋体" w:cs="宋体"/>
                <w:bCs/>
                <w:color w:val="auto"/>
                <w:sz w:val="21"/>
                <w:szCs w:val="21"/>
                <w:highlight w:val="none"/>
              </w:rPr>
            </w:pPr>
          </w:p>
        </w:tc>
        <w:tc>
          <w:tcPr>
            <w:tcW w:w="733" w:type="dxa"/>
            <w:vMerge w:val="continue"/>
            <w:vAlign w:val="center"/>
          </w:tcPr>
          <w:p w14:paraId="7373AF4C">
            <w:pPr>
              <w:widowControl/>
              <w:snapToGrid w:val="0"/>
              <w:jc w:val="center"/>
              <w:textAlignment w:val="center"/>
              <w:rPr>
                <w:rFonts w:hint="eastAsia" w:ascii="宋体" w:hAnsi="宋体" w:eastAsia="宋体" w:cs="宋体"/>
                <w:bCs/>
                <w:color w:val="auto"/>
                <w:sz w:val="21"/>
                <w:szCs w:val="21"/>
                <w:highlight w:val="none"/>
              </w:rPr>
            </w:pPr>
          </w:p>
        </w:tc>
        <w:tc>
          <w:tcPr>
            <w:tcW w:w="827" w:type="dxa"/>
            <w:vMerge w:val="restart"/>
            <w:vAlign w:val="center"/>
          </w:tcPr>
          <w:p w14:paraId="75040E20">
            <w:pPr>
              <w:outlineLvl w:val="1"/>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作业模组</w:t>
            </w:r>
          </w:p>
        </w:tc>
        <w:tc>
          <w:tcPr>
            <w:tcW w:w="2510" w:type="dxa"/>
            <w:vMerge w:val="restart"/>
            <w:vAlign w:val="center"/>
          </w:tcPr>
          <w:p w14:paraId="34637D14">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任务方舱（1套）</w:t>
            </w:r>
          </w:p>
        </w:tc>
        <w:tc>
          <w:tcPr>
            <w:tcW w:w="2638" w:type="dxa"/>
            <w:vAlign w:val="center"/>
          </w:tcPr>
          <w:p w14:paraId="1BF71D7C">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方舱主厢体</w:t>
            </w:r>
          </w:p>
        </w:tc>
        <w:tc>
          <w:tcPr>
            <w:tcW w:w="775" w:type="dxa"/>
            <w:vAlign w:val="center"/>
          </w:tcPr>
          <w:p w14:paraId="6708F6FD">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699" w:type="dxa"/>
            <w:vAlign w:val="center"/>
          </w:tcPr>
          <w:p w14:paraId="2AFAA100">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个</w:t>
            </w:r>
          </w:p>
        </w:tc>
      </w:tr>
      <w:tr w14:paraId="7F4D7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2A5EACB2">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733" w:type="dxa"/>
            <w:vMerge w:val="continue"/>
            <w:vAlign w:val="center"/>
          </w:tcPr>
          <w:p w14:paraId="0B2E83F0">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827" w:type="dxa"/>
            <w:vMerge w:val="continue"/>
            <w:vAlign w:val="center"/>
          </w:tcPr>
          <w:p w14:paraId="18402C8D">
            <w:pPr>
              <w:snapToGrid w:val="0"/>
              <w:jc w:val="left"/>
              <w:rPr>
                <w:rFonts w:hint="eastAsia" w:ascii="宋体" w:hAnsi="宋体" w:eastAsia="宋体" w:cs="宋体"/>
                <w:bCs/>
                <w:color w:val="auto"/>
                <w:kern w:val="0"/>
                <w:sz w:val="21"/>
                <w:szCs w:val="21"/>
                <w:highlight w:val="none"/>
                <w:lang w:bidi="ar"/>
              </w:rPr>
            </w:pPr>
          </w:p>
        </w:tc>
        <w:tc>
          <w:tcPr>
            <w:tcW w:w="2510" w:type="dxa"/>
            <w:vMerge w:val="continue"/>
            <w:vAlign w:val="center"/>
          </w:tcPr>
          <w:p w14:paraId="16ADA502">
            <w:pPr>
              <w:snapToGrid w:val="0"/>
              <w:jc w:val="center"/>
              <w:rPr>
                <w:rFonts w:hint="eastAsia" w:ascii="宋体" w:hAnsi="宋体" w:eastAsia="宋体" w:cs="宋体"/>
                <w:bCs/>
                <w:color w:val="auto"/>
                <w:kern w:val="0"/>
                <w:sz w:val="21"/>
                <w:szCs w:val="21"/>
                <w:highlight w:val="none"/>
                <w:lang w:bidi="ar"/>
              </w:rPr>
            </w:pPr>
          </w:p>
        </w:tc>
        <w:tc>
          <w:tcPr>
            <w:tcW w:w="2638" w:type="dxa"/>
            <w:vAlign w:val="center"/>
          </w:tcPr>
          <w:p w14:paraId="78566DE1">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厢体配套设施</w:t>
            </w:r>
          </w:p>
        </w:tc>
        <w:tc>
          <w:tcPr>
            <w:tcW w:w="775" w:type="dxa"/>
            <w:vAlign w:val="center"/>
          </w:tcPr>
          <w:p w14:paraId="4AB62D48">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699" w:type="dxa"/>
            <w:vAlign w:val="center"/>
          </w:tcPr>
          <w:p w14:paraId="393EB61C">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套</w:t>
            </w:r>
          </w:p>
        </w:tc>
      </w:tr>
      <w:tr w14:paraId="11AB3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6F135081">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733" w:type="dxa"/>
            <w:vMerge w:val="continue"/>
            <w:vAlign w:val="center"/>
          </w:tcPr>
          <w:p w14:paraId="7DB197AB">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827" w:type="dxa"/>
            <w:vMerge w:val="continue"/>
            <w:vAlign w:val="center"/>
          </w:tcPr>
          <w:p w14:paraId="777705E9">
            <w:pPr>
              <w:snapToGrid w:val="0"/>
              <w:jc w:val="left"/>
              <w:rPr>
                <w:rFonts w:hint="eastAsia" w:ascii="宋体" w:hAnsi="宋体" w:eastAsia="宋体" w:cs="宋体"/>
                <w:bCs/>
                <w:color w:val="auto"/>
                <w:kern w:val="0"/>
                <w:sz w:val="21"/>
                <w:szCs w:val="21"/>
                <w:highlight w:val="none"/>
                <w:lang w:bidi="ar"/>
              </w:rPr>
            </w:pPr>
          </w:p>
        </w:tc>
        <w:tc>
          <w:tcPr>
            <w:tcW w:w="2510" w:type="dxa"/>
            <w:vMerge w:val="continue"/>
            <w:vAlign w:val="center"/>
          </w:tcPr>
          <w:p w14:paraId="09AFAB3A">
            <w:pPr>
              <w:snapToGrid w:val="0"/>
              <w:jc w:val="center"/>
              <w:rPr>
                <w:rFonts w:hint="eastAsia" w:ascii="宋体" w:hAnsi="宋体" w:eastAsia="宋体" w:cs="宋体"/>
                <w:bCs/>
                <w:color w:val="auto"/>
                <w:kern w:val="0"/>
                <w:sz w:val="21"/>
                <w:szCs w:val="21"/>
                <w:highlight w:val="none"/>
                <w:lang w:bidi="ar"/>
              </w:rPr>
            </w:pPr>
          </w:p>
        </w:tc>
        <w:tc>
          <w:tcPr>
            <w:tcW w:w="2638" w:type="dxa"/>
            <w:vAlign w:val="center"/>
          </w:tcPr>
          <w:p w14:paraId="73138F3B">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供电系统</w:t>
            </w:r>
          </w:p>
        </w:tc>
        <w:tc>
          <w:tcPr>
            <w:tcW w:w="775" w:type="dxa"/>
            <w:vAlign w:val="center"/>
          </w:tcPr>
          <w:p w14:paraId="48791B69">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1</w:t>
            </w:r>
          </w:p>
        </w:tc>
        <w:tc>
          <w:tcPr>
            <w:tcW w:w="699" w:type="dxa"/>
            <w:vAlign w:val="center"/>
          </w:tcPr>
          <w:p w14:paraId="65A8458F">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套</w:t>
            </w:r>
          </w:p>
        </w:tc>
      </w:tr>
      <w:tr w14:paraId="5EA82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33FB5F4B">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733" w:type="dxa"/>
            <w:vMerge w:val="continue"/>
            <w:vAlign w:val="center"/>
          </w:tcPr>
          <w:p w14:paraId="7066E7AF">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827" w:type="dxa"/>
            <w:vMerge w:val="continue"/>
            <w:vAlign w:val="center"/>
          </w:tcPr>
          <w:p w14:paraId="69FD4AFB">
            <w:pPr>
              <w:widowControl/>
              <w:snapToGrid w:val="0"/>
              <w:jc w:val="left"/>
              <w:textAlignment w:val="center"/>
              <w:rPr>
                <w:rFonts w:hint="eastAsia" w:ascii="宋体" w:hAnsi="宋体" w:eastAsia="宋体" w:cs="宋体"/>
                <w:bCs/>
                <w:color w:val="auto"/>
                <w:kern w:val="0"/>
                <w:sz w:val="21"/>
                <w:szCs w:val="21"/>
                <w:highlight w:val="none"/>
                <w:lang w:bidi="ar"/>
              </w:rPr>
            </w:pPr>
          </w:p>
        </w:tc>
        <w:tc>
          <w:tcPr>
            <w:tcW w:w="2510" w:type="dxa"/>
            <w:vMerge w:val="continue"/>
            <w:vAlign w:val="center"/>
          </w:tcPr>
          <w:p w14:paraId="7E2D056E">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2638" w:type="dxa"/>
            <w:vAlign w:val="center"/>
          </w:tcPr>
          <w:p w14:paraId="0FEE31B8">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北斗定位系统</w:t>
            </w:r>
          </w:p>
        </w:tc>
        <w:tc>
          <w:tcPr>
            <w:tcW w:w="775" w:type="dxa"/>
            <w:vAlign w:val="center"/>
          </w:tcPr>
          <w:p w14:paraId="6A29582B">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1</w:t>
            </w:r>
          </w:p>
        </w:tc>
        <w:tc>
          <w:tcPr>
            <w:tcW w:w="699" w:type="dxa"/>
            <w:vAlign w:val="center"/>
          </w:tcPr>
          <w:p w14:paraId="42C1995D">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套</w:t>
            </w:r>
          </w:p>
        </w:tc>
      </w:tr>
      <w:tr w14:paraId="0D81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4BA632FF">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733" w:type="dxa"/>
            <w:vMerge w:val="continue"/>
            <w:vAlign w:val="center"/>
          </w:tcPr>
          <w:p w14:paraId="273EAD0F">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827" w:type="dxa"/>
            <w:vMerge w:val="continue"/>
            <w:vAlign w:val="center"/>
          </w:tcPr>
          <w:p w14:paraId="2B72E497">
            <w:pPr>
              <w:widowControl/>
              <w:snapToGrid w:val="0"/>
              <w:jc w:val="left"/>
              <w:textAlignment w:val="center"/>
              <w:rPr>
                <w:rFonts w:hint="eastAsia" w:ascii="宋体" w:hAnsi="宋体" w:eastAsia="宋体" w:cs="宋体"/>
                <w:bCs/>
                <w:color w:val="auto"/>
                <w:kern w:val="0"/>
                <w:sz w:val="21"/>
                <w:szCs w:val="21"/>
                <w:highlight w:val="none"/>
                <w:lang w:bidi="ar"/>
              </w:rPr>
            </w:pPr>
          </w:p>
        </w:tc>
        <w:tc>
          <w:tcPr>
            <w:tcW w:w="2510" w:type="dxa"/>
            <w:vMerge w:val="continue"/>
            <w:vAlign w:val="center"/>
          </w:tcPr>
          <w:p w14:paraId="490AB0B4">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2638" w:type="dxa"/>
            <w:vAlign w:val="center"/>
          </w:tcPr>
          <w:p w14:paraId="6F50EF50">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无人机显控席位</w:t>
            </w:r>
          </w:p>
        </w:tc>
        <w:tc>
          <w:tcPr>
            <w:tcW w:w="775" w:type="dxa"/>
            <w:vAlign w:val="center"/>
          </w:tcPr>
          <w:p w14:paraId="71698BDE">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1</w:t>
            </w:r>
          </w:p>
        </w:tc>
        <w:tc>
          <w:tcPr>
            <w:tcW w:w="699" w:type="dxa"/>
            <w:vAlign w:val="center"/>
          </w:tcPr>
          <w:p w14:paraId="7B45EF54">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套</w:t>
            </w:r>
          </w:p>
        </w:tc>
      </w:tr>
      <w:tr w14:paraId="591E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116691F4">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733" w:type="dxa"/>
            <w:vMerge w:val="continue"/>
            <w:vAlign w:val="center"/>
          </w:tcPr>
          <w:p w14:paraId="1B0F9A4D">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827" w:type="dxa"/>
            <w:vMerge w:val="continue"/>
            <w:vAlign w:val="center"/>
          </w:tcPr>
          <w:p w14:paraId="5ADFEF0A">
            <w:pPr>
              <w:widowControl/>
              <w:snapToGrid w:val="0"/>
              <w:jc w:val="left"/>
              <w:textAlignment w:val="center"/>
              <w:rPr>
                <w:rFonts w:hint="eastAsia" w:ascii="宋体" w:hAnsi="宋体" w:eastAsia="宋体" w:cs="宋体"/>
                <w:bCs/>
                <w:color w:val="auto"/>
                <w:kern w:val="0"/>
                <w:sz w:val="21"/>
                <w:szCs w:val="21"/>
                <w:highlight w:val="none"/>
                <w:lang w:bidi="ar"/>
              </w:rPr>
            </w:pPr>
          </w:p>
        </w:tc>
        <w:tc>
          <w:tcPr>
            <w:tcW w:w="2510" w:type="dxa"/>
            <w:vMerge w:val="restart"/>
            <w:vAlign w:val="center"/>
          </w:tcPr>
          <w:p w14:paraId="3AE9A568">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移动式火箭发射单元（</w:t>
            </w:r>
            <w:r>
              <w:rPr>
                <w:rFonts w:hint="eastAsia" w:ascii="宋体" w:hAnsi="宋体" w:eastAsia="宋体" w:cs="宋体"/>
                <w:bCs/>
                <w:color w:val="auto"/>
                <w:kern w:val="0"/>
                <w:sz w:val="21"/>
                <w:szCs w:val="21"/>
                <w:highlight w:val="none"/>
                <w:lang w:bidi="ar"/>
              </w:rPr>
              <w:t>3套</w:t>
            </w:r>
            <w:r>
              <w:rPr>
                <w:rFonts w:hint="eastAsia" w:ascii="宋体" w:hAnsi="宋体" w:eastAsia="宋体" w:cs="宋体"/>
                <w:bCs/>
                <w:color w:val="auto"/>
                <w:sz w:val="21"/>
                <w:szCs w:val="21"/>
                <w:highlight w:val="none"/>
              </w:rPr>
              <w:t>）</w:t>
            </w:r>
          </w:p>
        </w:tc>
        <w:tc>
          <w:tcPr>
            <w:tcW w:w="2638" w:type="dxa"/>
            <w:vAlign w:val="center"/>
          </w:tcPr>
          <w:p w14:paraId="28FBF73E">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火箭发射装置</w:t>
            </w:r>
          </w:p>
        </w:tc>
        <w:tc>
          <w:tcPr>
            <w:tcW w:w="775" w:type="dxa"/>
            <w:vAlign w:val="center"/>
          </w:tcPr>
          <w:p w14:paraId="7760FF30">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3</w:t>
            </w:r>
          </w:p>
        </w:tc>
        <w:tc>
          <w:tcPr>
            <w:tcW w:w="699" w:type="dxa"/>
            <w:vAlign w:val="center"/>
          </w:tcPr>
          <w:p w14:paraId="2F3E57A3">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套</w:t>
            </w:r>
          </w:p>
        </w:tc>
      </w:tr>
      <w:tr w14:paraId="52862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28C4D84F">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733" w:type="dxa"/>
            <w:vMerge w:val="continue"/>
            <w:vAlign w:val="center"/>
          </w:tcPr>
          <w:p w14:paraId="45BBD5B9">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827" w:type="dxa"/>
            <w:vMerge w:val="continue"/>
            <w:vAlign w:val="center"/>
          </w:tcPr>
          <w:p w14:paraId="20C4EFCC">
            <w:pPr>
              <w:widowControl/>
              <w:snapToGrid w:val="0"/>
              <w:jc w:val="left"/>
              <w:textAlignment w:val="center"/>
              <w:rPr>
                <w:rFonts w:hint="eastAsia" w:ascii="宋体" w:hAnsi="宋体" w:eastAsia="宋体" w:cs="宋体"/>
                <w:bCs/>
                <w:color w:val="auto"/>
                <w:kern w:val="0"/>
                <w:sz w:val="21"/>
                <w:szCs w:val="21"/>
                <w:highlight w:val="none"/>
                <w:lang w:bidi="ar"/>
              </w:rPr>
            </w:pPr>
          </w:p>
        </w:tc>
        <w:tc>
          <w:tcPr>
            <w:tcW w:w="2510" w:type="dxa"/>
            <w:vMerge w:val="continue"/>
            <w:vAlign w:val="center"/>
          </w:tcPr>
          <w:p w14:paraId="5B80E089">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2638" w:type="dxa"/>
            <w:vAlign w:val="center"/>
          </w:tcPr>
          <w:p w14:paraId="4F1C90D2">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无线安全锁定发控器</w:t>
            </w:r>
          </w:p>
        </w:tc>
        <w:tc>
          <w:tcPr>
            <w:tcW w:w="775" w:type="dxa"/>
            <w:vAlign w:val="center"/>
          </w:tcPr>
          <w:p w14:paraId="7BEA1C7B">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3</w:t>
            </w:r>
          </w:p>
        </w:tc>
        <w:tc>
          <w:tcPr>
            <w:tcW w:w="699" w:type="dxa"/>
            <w:vAlign w:val="center"/>
          </w:tcPr>
          <w:p w14:paraId="49C8F8D4">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个</w:t>
            </w:r>
          </w:p>
        </w:tc>
      </w:tr>
      <w:tr w14:paraId="56220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19DA19B9">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733" w:type="dxa"/>
            <w:vMerge w:val="continue"/>
            <w:vAlign w:val="center"/>
          </w:tcPr>
          <w:p w14:paraId="65718034">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827" w:type="dxa"/>
            <w:vMerge w:val="continue"/>
            <w:vAlign w:val="center"/>
          </w:tcPr>
          <w:p w14:paraId="04F4EB3D">
            <w:pPr>
              <w:widowControl/>
              <w:snapToGrid w:val="0"/>
              <w:jc w:val="left"/>
              <w:textAlignment w:val="center"/>
              <w:rPr>
                <w:rFonts w:hint="eastAsia" w:ascii="宋体" w:hAnsi="宋体" w:eastAsia="宋体" w:cs="宋体"/>
                <w:bCs/>
                <w:color w:val="auto"/>
                <w:kern w:val="0"/>
                <w:sz w:val="21"/>
                <w:szCs w:val="21"/>
                <w:highlight w:val="none"/>
                <w:lang w:bidi="ar"/>
              </w:rPr>
            </w:pPr>
          </w:p>
        </w:tc>
        <w:tc>
          <w:tcPr>
            <w:tcW w:w="2510" w:type="dxa"/>
            <w:vMerge w:val="continue"/>
            <w:vAlign w:val="center"/>
          </w:tcPr>
          <w:p w14:paraId="0DF03A31">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2638" w:type="dxa"/>
            <w:vAlign w:val="center"/>
          </w:tcPr>
          <w:p w14:paraId="01F329FE">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火箭作业安全监控</w:t>
            </w:r>
          </w:p>
        </w:tc>
        <w:tc>
          <w:tcPr>
            <w:tcW w:w="775" w:type="dxa"/>
            <w:vAlign w:val="center"/>
          </w:tcPr>
          <w:p w14:paraId="1F5153AC">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3</w:t>
            </w:r>
          </w:p>
        </w:tc>
        <w:tc>
          <w:tcPr>
            <w:tcW w:w="699" w:type="dxa"/>
            <w:vAlign w:val="center"/>
          </w:tcPr>
          <w:p w14:paraId="4B1A4D6A">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套</w:t>
            </w:r>
          </w:p>
        </w:tc>
      </w:tr>
      <w:tr w14:paraId="1799C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61A5141D">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733" w:type="dxa"/>
            <w:vMerge w:val="continue"/>
            <w:vAlign w:val="center"/>
          </w:tcPr>
          <w:p w14:paraId="25661B67">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827" w:type="dxa"/>
            <w:vMerge w:val="continue"/>
            <w:vAlign w:val="center"/>
          </w:tcPr>
          <w:p w14:paraId="4017B9A3">
            <w:pPr>
              <w:widowControl/>
              <w:snapToGrid w:val="0"/>
              <w:jc w:val="left"/>
              <w:textAlignment w:val="center"/>
              <w:rPr>
                <w:rFonts w:hint="eastAsia" w:ascii="宋体" w:hAnsi="宋体" w:eastAsia="宋体" w:cs="宋体"/>
                <w:bCs/>
                <w:color w:val="auto"/>
                <w:kern w:val="0"/>
                <w:sz w:val="21"/>
                <w:szCs w:val="21"/>
                <w:highlight w:val="none"/>
                <w:lang w:bidi="ar"/>
              </w:rPr>
            </w:pPr>
          </w:p>
        </w:tc>
        <w:tc>
          <w:tcPr>
            <w:tcW w:w="2510" w:type="dxa"/>
            <w:vMerge w:val="continue"/>
            <w:vAlign w:val="center"/>
          </w:tcPr>
          <w:p w14:paraId="760A5021">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2638" w:type="dxa"/>
            <w:vAlign w:val="center"/>
          </w:tcPr>
          <w:p w14:paraId="7E479563">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液压转运平台</w:t>
            </w:r>
          </w:p>
        </w:tc>
        <w:tc>
          <w:tcPr>
            <w:tcW w:w="775" w:type="dxa"/>
            <w:vAlign w:val="center"/>
          </w:tcPr>
          <w:p w14:paraId="57EF3B24">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3</w:t>
            </w:r>
          </w:p>
        </w:tc>
        <w:tc>
          <w:tcPr>
            <w:tcW w:w="699" w:type="dxa"/>
            <w:vAlign w:val="center"/>
          </w:tcPr>
          <w:p w14:paraId="22E53E9B">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台</w:t>
            </w:r>
          </w:p>
        </w:tc>
      </w:tr>
      <w:tr w14:paraId="2326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12EE7AB8">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733" w:type="dxa"/>
            <w:vMerge w:val="continue"/>
            <w:vAlign w:val="center"/>
          </w:tcPr>
          <w:p w14:paraId="5A4EF49F">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827" w:type="dxa"/>
            <w:vMerge w:val="continue"/>
            <w:vAlign w:val="center"/>
          </w:tcPr>
          <w:p w14:paraId="161A7C3B">
            <w:pPr>
              <w:widowControl/>
              <w:snapToGrid w:val="0"/>
              <w:jc w:val="left"/>
              <w:textAlignment w:val="center"/>
              <w:rPr>
                <w:rFonts w:hint="eastAsia" w:ascii="宋体" w:hAnsi="宋体" w:eastAsia="宋体" w:cs="宋体"/>
                <w:bCs/>
                <w:color w:val="auto"/>
                <w:kern w:val="0"/>
                <w:sz w:val="21"/>
                <w:szCs w:val="21"/>
                <w:highlight w:val="none"/>
                <w:lang w:bidi="ar"/>
              </w:rPr>
            </w:pPr>
          </w:p>
        </w:tc>
        <w:tc>
          <w:tcPr>
            <w:tcW w:w="2510" w:type="dxa"/>
            <w:vMerge w:val="continue"/>
            <w:vAlign w:val="center"/>
          </w:tcPr>
          <w:p w14:paraId="3FB32258">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2638" w:type="dxa"/>
            <w:vAlign w:val="center"/>
          </w:tcPr>
          <w:p w14:paraId="430F9DD4">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弹药临时储运箱</w:t>
            </w:r>
          </w:p>
        </w:tc>
        <w:tc>
          <w:tcPr>
            <w:tcW w:w="775" w:type="dxa"/>
            <w:vAlign w:val="center"/>
          </w:tcPr>
          <w:p w14:paraId="12F04F41">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3</w:t>
            </w:r>
          </w:p>
        </w:tc>
        <w:tc>
          <w:tcPr>
            <w:tcW w:w="699" w:type="dxa"/>
            <w:vAlign w:val="center"/>
          </w:tcPr>
          <w:p w14:paraId="67E33D82">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个</w:t>
            </w:r>
          </w:p>
        </w:tc>
      </w:tr>
      <w:tr w14:paraId="62B49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0DB21CB9">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733" w:type="dxa"/>
            <w:vMerge w:val="continue"/>
            <w:vAlign w:val="center"/>
          </w:tcPr>
          <w:p w14:paraId="123F050D">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827" w:type="dxa"/>
            <w:vMerge w:val="continue"/>
            <w:vAlign w:val="center"/>
          </w:tcPr>
          <w:p w14:paraId="7F250C68">
            <w:pPr>
              <w:widowControl/>
              <w:snapToGrid w:val="0"/>
              <w:jc w:val="left"/>
              <w:textAlignment w:val="center"/>
              <w:rPr>
                <w:rFonts w:hint="eastAsia" w:ascii="宋体" w:hAnsi="宋体" w:eastAsia="宋体" w:cs="宋体"/>
                <w:bCs/>
                <w:color w:val="auto"/>
                <w:kern w:val="0"/>
                <w:sz w:val="21"/>
                <w:szCs w:val="21"/>
                <w:highlight w:val="none"/>
                <w:lang w:bidi="ar"/>
              </w:rPr>
            </w:pPr>
          </w:p>
        </w:tc>
        <w:tc>
          <w:tcPr>
            <w:tcW w:w="2510" w:type="dxa"/>
            <w:vMerge w:val="restart"/>
            <w:vAlign w:val="center"/>
          </w:tcPr>
          <w:p w14:paraId="46EF21C9">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无人机作业单元</w:t>
            </w:r>
            <w:r>
              <w:rPr>
                <w:rFonts w:hint="eastAsia" w:ascii="宋体" w:hAnsi="宋体" w:eastAsia="宋体" w:cs="宋体"/>
                <w:bCs/>
                <w:color w:val="auto"/>
                <w:kern w:val="0"/>
                <w:sz w:val="21"/>
                <w:szCs w:val="21"/>
                <w:highlight w:val="none"/>
                <w:lang w:bidi="ar"/>
              </w:rPr>
              <w:t>（1套）</w:t>
            </w:r>
          </w:p>
        </w:tc>
        <w:tc>
          <w:tcPr>
            <w:tcW w:w="2638" w:type="dxa"/>
            <w:vAlign w:val="center"/>
          </w:tcPr>
          <w:p w14:paraId="7D89D1E4">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无人机作业平台</w:t>
            </w:r>
          </w:p>
        </w:tc>
        <w:tc>
          <w:tcPr>
            <w:tcW w:w="775" w:type="dxa"/>
            <w:vAlign w:val="center"/>
          </w:tcPr>
          <w:p w14:paraId="3B5CD59E">
            <w:pPr>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699" w:type="dxa"/>
            <w:vAlign w:val="center"/>
          </w:tcPr>
          <w:p w14:paraId="5C8A4096">
            <w:pPr>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台</w:t>
            </w:r>
          </w:p>
        </w:tc>
      </w:tr>
      <w:tr w14:paraId="4774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4AEC74DA">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733" w:type="dxa"/>
            <w:vMerge w:val="continue"/>
            <w:vAlign w:val="center"/>
          </w:tcPr>
          <w:p w14:paraId="696209CC">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827" w:type="dxa"/>
            <w:vMerge w:val="continue"/>
            <w:vAlign w:val="center"/>
          </w:tcPr>
          <w:p w14:paraId="388EB657">
            <w:pPr>
              <w:widowControl/>
              <w:snapToGrid w:val="0"/>
              <w:jc w:val="left"/>
              <w:textAlignment w:val="center"/>
              <w:rPr>
                <w:rFonts w:hint="eastAsia" w:ascii="宋体" w:hAnsi="宋体" w:eastAsia="宋体" w:cs="宋体"/>
                <w:bCs/>
                <w:color w:val="auto"/>
                <w:kern w:val="0"/>
                <w:sz w:val="21"/>
                <w:szCs w:val="21"/>
                <w:highlight w:val="none"/>
                <w:lang w:bidi="ar"/>
              </w:rPr>
            </w:pPr>
          </w:p>
        </w:tc>
        <w:tc>
          <w:tcPr>
            <w:tcW w:w="2510" w:type="dxa"/>
            <w:vMerge w:val="continue"/>
            <w:vAlign w:val="center"/>
          </w:tcPr>
          <w:p w14:paraId="57D5FB96">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2638" w:type="dxa"/>
            <w:vAlign w:val="center"/>
          </w:tcPr>
          <w:p w14:paraId="0E9E09F7">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无人机探测设备</w:t>
            </w:r>
          </w:p>
        </w:tc>
        <w:tc>
          <w:tcPr>
            <w:tcW w:w="775" w:type="dxa"/>
            <w:vAlign w:val="center"/>
          </w:tcPr>
          <w:p w14:paraId="334D71FE">
            <w:pPr>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1</w:t>
            </w:r>
          </w:p>
        </w:tc>
        <w:tc>
          <w:tcPr>
            <w:tcW w:w="699" w:type="dxa"/>
            <w:vAlign w:val="center"/>
          </w:tcPr>
          <w:p w14:paraId="253FA314">
            <w:pPr>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套</w:t>
            </w:r>
          </w:p>
        </w:tc>
      </w:tr>
      <w:tr w14:paraId="3212F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00225AED">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733" w:type="dxa"/>
            <w:vMerge w:val="continue"/>
            <w:vAlign w:val="center"/>
          </w:tcPr>
          <w:p w14:paraId="5DA22A02">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827" w:type="dxa"/>
            <w:vMerge w:val="restart"/>
            <w:vAlign w:val="center"/>
          </w:tcPr>
          <w:p w14:paraId="12BC83AE">
            <w:pPr>
              <w:widowControl/>
              <w:snapToGrid w:val="0"/>
              <w:jc w:val="left"/>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保障模组</w:t>
            </w:r>
          </w:p>
        </w:tc>
        <w:tc>
          <w:tcPr>
            <w:tcW w:w="2510" w:type="dxa"/>
            <w:vMerge w:val="restart"/>
            <w:vAlign w:val="center"/>
          </w:tcPr>
          <w:p w14:paraId="064E04B3">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任务舱</w:t>
            </w:r>
            <w:r>
              <w:rPr>
                <w:rFonts w:hint="eastAsia" w:ascii="宋体" w:hAnsi="宋体" w:eastAsia="宋体" w:cs="宋体"/>
                <w:bCs/>
                <w:color w:val="auto"/>
                <w:kern w:val="0"/>
                <w:sz w:val="21"/>
                <w:szCs w:val="21"/>
                <w:highlight w:val="none"/>
                <w:lang w:bidi="ar"/>
              </w:rPr>
              <w:t>（1套）</w:t>
            </w:r>
          </w:p>
        </w:tc>
        <w:tc>
          <w:tcPr>
            <w:tcW w:w="2638" w:type="dxa"/>
            <w:vAlign w:val="center"/>
          </w:tcPr>
          <w:p w14:paraId="7A8CD6CC">
            <w:pPr>
              <w:spacing w:after="126" w:line="264" w:lineRule="auto"/>
              <w:jc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任务舱舱体</w:t>
            </w:r>
          </w:p>
        </w:tc>
        <w:tc>
          <w:tcPr>
            <w:tcW w:w="775" w:type="dxa"/>
            <w:vAlign w:val="center"/>
          </w:tcPr>
          <w:p w14:paraId="63D93EA2">
            <w:pPr>
              <w:spacing w:after="126" w:line="264"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699" w:type="dxa"/>
            <w:vAlign w:val="center"/>
          </w:tcPr>
          <w:p w14:paraId="6C5EC559">
            <w:pPr>
              <w:spacing w:after="126" w:line="264"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套</w:t>
            </w:r>
          </w:p>
        </w:tc>
      </w:tr>
      <w:tr w14:paraId="56FA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57F25A8F">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733" w:type="dxa"/>
            <w:vMerge w:val="continue"/>
            <w:vAlign w:val="center"/>
          </w:tcPr>
          <w:p w14:paraId="6514B8DB">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827" w:type="dxa"/>
            <w:vMerge w:val="continue"/>
            <w:vAlign w:val="center"/>
          </w:tcPr>
          <w:p w14:paraId="44F80D0C">
            <w:pPr>
              <w:widowControl/>
              <w:snapToGrid w:val="0"/>
              <w:jc w:val="left"/>
              <w:textAlignment w:val="center"/>
              <w:rPr>
                <w:rFonts w:hint="eastAsia" w:ascii="宋体" w:hAnsi="宋体" w:eastAsia="宋体" w:cs="宋体"/>
                <w:bCs/>
                <w:color w:val="auto"/>
                <w:kern w:val="0"/>
                <w:sz w:val="21"/>
                <w:szCs w:val="21"/>
                <w:highlight w:val="none"/>
                <w:lang w:bidi="ar"/>
              </w:rPr>
            </w:pPr>
          </w:p>
        </w:tc>
        <w:tc>
          <w:tcPr>
            <w:tcW w:w="2510" w:type="dxa"/>
            <w:vMerge w:val="continue"/>
            <w:vAlign w:val="center"/>
          </w:tcPr>
          <w:p w14:paraId="2C37C469">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2638" w:type="dxa"/>
            <w:vAlign w:val="center"/>
          </w:tcPr>
          <w:p w14:paraId="7D55E2E3">
            <w:pPr>
              <w:jc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供电系统</w:t>
            </w:r>
          </w:p>
        </w:tc>
        <w:tc>
          <w:tcPr>
            <w:tcW w:w="775" w:type="dxa"/>
            <w:vAlign w:val="center"/>
          </w:tcPr>
          <w:p w14:paraId="3DF10CF4">
            <w:pPr>
              <w:widowControl/>
              <w:spacing w:after="126" w:line="264"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699" w:type="dxa"/>
            <w:vAlign w:val="center"/>
          </w:tcPr>
          <w:p w14:paraId="4F6688E3">
            <w:pPr>
              <w:widowControl/>
              <w:spacing w:after="126" w:line="264"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套</w:t>
            </w:r>
          </w:p>
        </w:tc>
      </w:tr>
      <w:tr w14:paraId="4B07F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3A6273E9">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733" w:type="dxa"/>
            <w:vMerge w:val="continue"/>
            <w:vAlign w:val="center"/>
          </w:tcPr>
          <w:p w14:paraId="3B69068E">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827" w:type="dxa"/>
            <w:vMerge w:val="continue"/>
            <w:vAlign w:val="center"/>
          </w:tcPr>
          <w:p w14:paraId="0EABBB87">
            <w:pPr>
              <w:widowControl/>
              <w:snapToGrid w:val="0"/>
              <w:jc w:val="left"/>
              <w:textAlignment w:val="center"/>
              <w:rPr>
                <w:rFonts w:hint="eastAsia" w:ascii="宋体" w:hAnsi="宋体" w:eastAsia="宋体" w:cs="宋体"/>
                <w:bCs/>
                <w:color w:val="auto"/>
                <w:kern w:val="0"/>
                <w:sz w:val="21"/>
                <w:szCs w:val="21"/>
                <w:highlight w:val="none"/>
                <w:lang w:bidi="ar"/>
              </w:rPr>
            </w:pPr>
          </w:p>
        </w:tc>
        <w:tc>
          <w:tcPr>
            <w:tcW w:w="2510" w:type="dxa"/>
            <w:vMerge w:val="continue"/>
            <w:vAlign w:val="center"/>
          </w:tcPr>
          <w:p w14:paraId="0ECD15E1">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2638" w:type="dxa"/>
            <w:vAlign w:val="center"/>
          </w:tcPr>
          <w:p w14:paraId="1727F573">
            <w:pPr>
              <w:jc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通信传输系统</w:t>
            </w:r>
          </w:p>
        </w:tc>
        <w:tc>
          <w:tcPr>
            <w:tcW w:w="775" w:type="dxa"/>
            <w:vAlign w:val="center"/>
          </w:tcPr>
          <w:p w14:paraId="243701AF">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699" w:type="dxa"/>
            <w:vAlign w:val="center"/>
          </w:tcPr>
          <w:p w14:paraId="76524C2E">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套</w:t>
            </w:r>
          </w:p>
        </w:tc>
      </w:tr>
      <w:tr w14:paraId="31B3B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63275A81">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733" w:type="dxa"/>
            <w:vMerge w:val="continue"/>
            <w:vAlign w:val="center"/>
          </w:tcPr>
          <w:p w14:paraId="44E9BE96">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827" w:type="dxa"/>
            <w:vMerge w:val="continue"/>
            <w:vAlign w:val="center"/>
          </w:tcPr>
          <w:p w14:paraId="111A79EB">
            <w:pPr>
              <w:widowControl/>
              <w:snapToGrid w:val="0"/>
              <w:jc w:val="left"/>
              <w:textAlignment w:val="center"/>
              <w:rPr>
                <w:rFonts w:hint="eastAsia" w:ascii="宋体" w:hAnsi="宋体" w:eastAsia="宋体" w:cs="宋体"/>
                <w:bCs/>
                <w:color w:val="auto"/>
                <w:kern w:val="0"/>
                <w:sz w:val="21"/>
                <w:szCs w:val="21"/>
                <w:highlight w:val="none"/>
                <w:lang w:bidi="ar"/>
              </w:rPr>
            </w:pPr>
          </w:p>
        </w:tc>
        <w:tc>
          <w:tcPr>
            <w:tcW w:w="2510" w:type="dxa"/>
            <w:vAlign w:val="center"/>
          </w:tcPr>
          <w:p w14:paraId="1A246F52">
            <w:pPr>
              <w:jc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车载监控子系统</w:t>
            </w:r>
          </w:p>
        </w:tc>
        <w:tc>
          <w:tcPr>
            <w:tcW w:w="2638" w:type="dxa"/>
            <w:vAlign w:val="center"/>
          </w:tcPr>
          <w:p w14:paraId="76AE96F3">
            <w:pPr>
              <w:jc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车载监控子系统</w:t>
            </w:r>
          </w:p>
        </w:tc>
        <w:tc>
          <w:tcPr>
            <w:tcW w:w="775" w:type="dxa"/>
            <w:vAlign w:val="center"/>
          </w:tcPr>
          <w:p w14:paraId="1760C4AF">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699" w:type="dxa"/>
            <w:vAlign w:val="center"/>
          </w:tcPr>
          <w:p w14:paraId="4733519F">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套</w:t>
            </w:r>
          </w:p>
        </w:tc>
      </w:tr>
      <w:tr w14:paraId="06E16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0D7B0776">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733" w:type="dxa"/>
            <w:vMerge w:val="continue"/>
            <w:vAlign w:val="center"/>
          </w:tcPr>
          <w:p w14:paraId="743B9057">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827" w:type="dxa"/>
            <w:vMerge w:val="continue"/>
            <w:vAlign w:val="center"/>
          </w:tcPr>
          <w:p w14:paraId="62B87CAB">
            <w:pPr>
              <w:widowControl/>
              <w:snapToGrid w:val="0"/>
              <w:jc w:val="left"/>
              <w:textAlignment w:val="center"/>
              <w:rPr>
                <w:rFonts w:hint="eastAsia" w:ascii="宋体" w:hAnsi="宋体" w:eastAsia="宋体" w:cs="宋体"/>
                <w:bCs/>
                <w:color w:val="auto"/>
                <w:kern w:val="0"/>
                <w:sz w:val="21"/>
                <w:szCs w:val="21"/>
                <w:highlight w:val="none"/>
                <w:lang w:bidi="ar"/>
              </w:rPr>
            </w:pPr>
          </w:p>
        </w:tc>
        <w:tc>
          <w:tcPr>
            <w:tcW w:w="2510" w:type="dxa"/>
            <w:vAlign w:val="center"/>
          </w:tcPr>
          <w:p w14:paraId="0E84C4CA">
            <w:pPr>
              <w:jc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工作生活单元</w:t>
            </w:r>
          </w:p>
        </w:tc>
        <w:tc>
          <w:tcPr>
            <w:tcW w:w="2638" w:type="dxa"/>
            <w:vAlign w:val="center"/>
          </w:tcPr>
          <w:p w14:paraId="1B4A3A11">
            <w:pPr>
              <w:jc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工作生活单元</w:t>
            </w:r>
          </w:p>
        </w:tc>
        <w:tc>
          <w:tcPr>
            <w:tcW w:w="775" w:type="dxa"/>
            <w:vAlign w:val="center"/>
          </w:tcPr>
          <w:p w14:paraId="72E1083B">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699" w:type="dxa"/>
            <w:vAlign w:val="center"/>
          </w:tcPr>
          <w:p w14:paraId="4DDA30AA">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套</w:t>
            </w:r>
          </w:p>
        </w:tc>
      </w:tr>
      <w:tr w14:paraId="27FEA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vAlign w:val="center"/>
          </w:tcPr>
          <w:p w14:paraId="2D956404">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2</w:t>
            </w:r>
          </w:p>
        </w:tc>
        <w:tc>
          <w:tcPr>
            <w:tcW w:w="733" w:type="dxa"/>
            <w:vMerge w:val="restart"/>
            <w:vAlign w:val="center"/>
          </w:tcPr>
          <w:p w14:paraId="7C264731">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方舱式机动集成作业系统</w:t>
            </w:r>
          </w:p>
        </w:tc>
        <w:tc>
          <w:tcPr>
            <w:tcW w:w="827" w:type="dxa"/>
            <w:vMerge w:val="restart"/>
            <w:vAlign w:val="center"/>
          </w:tcPr>
          <w:p w14:paraId="0C42EFB3">
            <w:pPr>
              <w:widowControl/>
              <w:snapToGrid w:val="0"/>
              <w:jc w:val="left"/>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探测模组</w:t>
            </w:r>
          </w:p>
        </w:tc>
        <w:tc>
          <w:tcPr>
            <w:tcW w:w="2510" w:type="dxa"/>
            <w:vMerge w:val="restart"/>
            <w:vAlign w:val="center"/>
          </w:tcPr>
          <w:p w14:paraId="266177EB">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移动式方舱（1套）</w:t>
            </w:r>
          </w:p>
        </w:tc>
        <w:tc>
          <w:tcPr>
            <w:tcW w:w="2638" w:type="dxa"/>
            <w:vAlign w:val="center"/>
          </w:tcPr>
          <w:p w14:paraId="46BD945C">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方舱舱体</w:t>
            </w:r>
          </w:p>
        </w:tc>
        <w:tc>
          <w:tcPr>
            <w:tcW w:w="775" w:type="dxa"/>
            <w:vAlign w:val="center"/>
          </w:tcPr>
          <w:p w14:paraId="3AA7A139">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699" w:type="dxa"/>
            <w:vAlign w:val="center"/>
          </w:tcPr>
          <w:p w14:paraId="78EFCD87">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套</w:t>
            </w:r>
          </w:p>
        </w:tc>
      </w:tr>
      <w:tr w14:paraId="66166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0A19DE59">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733" w:type="dxa"/>
            <w:vMerge w:val="continue"/>
            <w:vAlign w:val="center"/>
          </w:tcPr>
          <w:p w14:paraId="2AEBF446">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827" w:type="dxa"/>
            <w:vMerge w:val="continue"/>
            <w:vAlign w:val="center"/>
          </w:tcPr>
          <w:p w14:paraId="6B757ADD">
            <w:pPr>
              <w:widowControl/>
              <w:snapToGrid w:val="0"/>
              <w:jc w:val="left"/>
              <w:textAlignment w:val="center"/>
              <w:rPr>
                <w:rFonts w:hint="eastAsia" w:ascii="宋体" w:hAnsi="宋体" w:eastAsia="宋体" w:cs="宋体"/>
                <w:bCs/>
                <w:color w:val="auto"/>
                <w:kern w:val="0"/>
                <w:sz w:val="21"/>
                <w:szCs w:val="21"/>
                <w:highlight w:val="none"/>
                <w:lang w:bidi="ar"/>
              </w:rPr>
            </w:pPr>
          </w:p>
        </w:tc>
        <w:tc>
          <w:tcPr>
            <w:tcW w:w="2510" w:type="dxa"/>
            <w:vMerge w:val="continue"/>
            <w:vAlign w:val="center"/>
          </w:tcPr>
          <w:p w14:paraId="0FE32754">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2638" w:type="dxa"/>
            <w:vAlign w:val="center"/>
          </w:tcPr>
          <w:p w14:paraId="60904038">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供电系统</w:t>
            </w:r>
          </w:p>
        </w:tc>
        <w:tc>
          <w:tcPr>
            <w:tcW w:w="775" w:type="dxa"/>
            <w:vAlign w:val="center"/>
          </w:tcPr>
          <w:p w14:paraId="723F672B">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1</w:t>
            </w:r>
          </w:p>
        </w:tc>
        <w:tc>
          <w:tcPr>
            <w:tcW w:w="699" w:type="dxa"/>
            <w:vAlign w:val="center"/>
          </w:tcPr>
          <w:p w14:paraId="583B8330">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套</w:t>
            </w:r>
          </w:p>
        </w:tc>
      </w:tr>
      <w:tr w14:paraId="1CBF9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4E86A82A">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733" w:type="dxa"/>
            <w:vMerge w:val="continue"/>
            <w:vAlign w:val="center"/>
          </w:tcPr>
          <w:p w14:paraId="4708ADB3">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827" w:type="dxa"/>
            <w:vMerge w:val="continue"/>
            <w:vAlign w:val="center"/>
          </w:tcPr>
          <w:p w14:paraId="34861D7C">
            <w:pPr>
              <w:widowControl/>
              <w:snapToGrid w:val="0"/>
              <w:jc w:val="left"/>
              <w:textAlignment w:val="center"/>
              <w:rPr>
                <w:rFonts w:hint="eastAsia" w:ascii="宋体" w:hAnsi="宋体" w:eastAsia="宋体" w:cs="宋体"/>
                <w:bCs/>
                <w:color w:val="auto"/>
                <w:kern w:val="0"/>
                <w:sz w:val="21"/>
                <w:szCs w:val="21"/>
                <w:highlight w:val="none"/>
                <w:lang w:bidi="ar"/>
              </w:rPr>
            </w:pPr>
          </w:p>
        </w:tc>
        <w:tc>
          <w:tcPr>
            <w:tcW w:w="2510" w:type="dxa"/>
            <w:vMerge w:val="continue"/>
            <w:vAlign w:val="center"/>
          </w:tcPr>
          <w:p w14:paraId="21EB1B20">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2638" w:type="dxa"/>
            <w:vAlign w:val="center"/>
          </w:tcPr>
          <w:p w14:paraId="359F5328">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视频采集及显示系统</w:t>
            </w:r>
          </w:p>
        </w:tc>
        <w:tc>
          <w:tcPr>
            <w:tcW w:w="775" w:type="dxa"/>
            <w:vAlign w:val="center"/>
          </w:tcPr>
          <w:p w14:paraId="2AA378F1">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1</w:t>
            </w:r>
          </w:p>
        </w:tc>
        <w:tc>
          <w:tcPr>
            <w:tcW w:w="699" w:type="dxa"/>
            <w:vAlign w:val="center"/>
          </w:tcPr>
          <w:p w14:paraId="46F45D89">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套</w:t>
            </w:r>
          </w:p>
        </w:tc>
      </w:tr>
      <w:tr w14:paraId="71830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415FCA0C">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733" w:type="dxa"/>
            <w:vMerge w:val="continue"/>
            <w:vAlign w:val="center"/>
          </w:tcPr>
          <w:p w14:paraId="1D13608E">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827" w:type="dxa"/>
            <w:vMerge w:val="continue"/>
            <w:vAlign w:val="center"/>
          </w:tcPr>
          <w:p w14:paraId="45553C4D">
            <w:pPr>
              <w:widowControl/>
              <w:snapToGrid w:val="0"/>
              <w:jc w:val="left"/>
              <w:textAlignment w:val="center"/>
              <w:rPr>
                <w:rFonts w:hint="eastAsia" w:ascii="宋体" w:hAnsi="宋体" w:eastAsia="宋体" w:cs="宋体"/>
                <w:bCs/>
                <w:color w:val="auto"/>
                <w:kern w:val="0"/>
                <w:sz w:val="21"/>
                <w:szCs w:val="21"/>
                <w:highlight w:val="none"/>
                <w:lang w:bidi="ar"/>
              </w:rPr>
            </w:pPr>
          </w:p>
        </w:tc>
        <w:tc>
          <w:tcPr>
            <w:tcW w:w="2510" w:type="dxa"/>
            <w:vMerge w:val="continue"/>
            <w:vAlign w:val="center"/>
          </w:tcPr>
          <w:p w14:paraId="49FE5C40">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2638" w:type="dxa"/>
            <w:vAlign w:val="center"/>
          </w:tcPr>
          <w:p w14:paraId="10272EA6">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通信传输系统</w:t>
            </w:r>
          </w:p>
        </w:tc>
        <w:tc>
          <w:tcPr>
            <w:tcW w:w="775" w:type="dxa"/>
            <w:vAlign w:val="center"/>
          </w:tcPr>
          <w:p w14:paraId="56E34D6D">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1</w:t>
            </w:r>
          </w:p>
        </w:tc>
        <w:tc>
          <w:tcPr>
            <w:tcW w:w="699" w:type="dxa"/>
            <w:vAlign w:val="center"/>
          </w:tcPr>
          <w:p w14:paraId="5BBD74E7">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套</w:t>
            </w:r>
          </w:p>
        </w:tc>
      </w:tr>
      <w:tr w14:paraId="5CAD8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4A78E4FB">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733" w:type="dxa"/>
            <w:vMerge w:val="continue"/>
            <w:vAlign w:val="center"/>
          </w:tcPr>
          <w:p w14:paraId="0490634B">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827" w:type="dxa"/>
            <w:vMerge w:val="continue"/>
            <w:vAlign w:val="center"/>
          </w:tcPr>
          <w:p w14:paraId="3D5CF60E">
            <w:pPr>
              <w:widowControl/>
              <w:snapToGrid w:val="0"/>
              <w:jc w:val="left"/>
              <w:textAlignment w:val="center"/>
              <w:rPr>
                <w:rFonts w:hint="eastAsia" w:ascii="宋体" w:hAnsi="宋体" w:eastAsia="宋体" w:cs="宋体"/>
                <w:bCs/>
                <w:color w:val="auto"/>
                <w:kern w:val="0"/>
                <w:sz w:val="21"/>
                <w:szCs w:val="21"/>
                <w:highlight w:val="none"/>
                <w:lang w:bidi="ar"/>
              </w:rPr>
            </w:pPr>
          </w:p>
        </w:tc>
        <w:tc>
          <w:tcPr>
            <w:tcW w:w="2510" w:type="dxa"/>
            <w:vAlign w:val="center"/>
          </w:tcPr>
          <w:p w14:paraId="14B4DC49">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X波段相控阵雷达</w:t>
            </w:r>
          </w:p>
        </w:tc>
        <w:tc>
          <w:tcPr>
            <w:tcW w:w="2638" w:type="dxa"/>
            <w:vAlign w:val="center"/>
          </w:tcPr>
          <w:p w14:paraId="0A828327">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X波段相控阵雷达</w:t>
            </w:r>
          </w:p>
        </w:tc>
        <w:tc>
          <w:tcPr>
            <w:tcW w:w="775" w:type="dxa"/>
            <w:vAlign w:val="center"/>
          </w:tcPr>
          <w:p w14:paraId="7FC1872B">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1</w:t>
            </w:r>
          </w:p>
        </w:tc>
        <w:tc>
          <w:tcPr>
            <w:tcW w:w="699" w:type="dxa"/>
            <w:vAlign w:val="center"/>
          </w:tcPr>
          <w:p w14:paraId="6F61ECC5">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套</w:t>
            </w:r>
          </w:p>
        </w:tc>
      </w:tr>
      <w:tr w14:paraId="71C0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0A041847">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733" w:type="dxa"/>
            <w:vMerge w:val="continue"/>
            <w:vAlign w:val="center"/>
          </w:tcPr>
          <w:p w14:paraId="1E74E0F3">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827" w:type="dxa"/>
            <w:vMerge w:val="continue"/>
            <w:vAlign w:val="center"/>
          </w:tcPr>
          <w:p w14:paraId="2E79B8E0">
            <w:pPr>
              <w:widowControl/>
              <w:snapToGrid w:val="0"/>
              <w:jc w:val="left"/>
              <w:textAlignment w:val="center"/>
              <w:rPr>
                <w:rFonts w:hint="eastAsia" w:ascii="宋体" w:hAnsi="宋体" w:eastAsia="宋体" w:cs="宋体"/>
                <w:bCs/>
                <w:color w:val="auto"/>
                <w:kern w:val="0"/>
                <w:sz w:val="21"/>
                <w:szCs w:val="21"/>
                <w:highlight w:val="none"/>
                <w:lang w:bidi="ar"/>
              </w:rPr>
            </w:pPr>
          </w:p>
        </w:tc>
        <w:tc>
          <w:tcPr>
            <w:tcW w:w="2510" w:type="dxa"/>
            <w:vAlign w:val="center"/>
          </w:tcPr>
          <w:p w14:paraId="43BACEA9">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六要素气象站</w:t>
            </w:r>
          </w:p>
        </w:tc>
        <w:tc>
          <w:tcPr>
            <w:tcW w:w="2638" w:type="dxa"/>
            <w:vAlign w:val="center"/>
          </w:tcPr>
          <w:p w14:paraId="79A7E15A">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六要素气象站</w:t>
            </w:r>
          </w:p>
        </w:tc>
        <w:tc>
          <w:tcPr>
            <w:tcW w:w="775" w:type="dxa"/>
            <w:vAlign w:val="center"/>
          </w:tcPr>
          <w:p w14:paraId="37B22CF5">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1</w:t>
            </w:r>
          </w:p>
        </w:tc>
        <w:tc>
          <w:tcPr>
            <w:tcW w:w="699" w:type="dxa"/>
            <w:vAlign w:val="center"/>
          </w:tcPr>
          <w:p w14:paraId="3BC01ED4">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套</w:t>
            </w:r>
          </w:p>
        </w:tc>
      </w:tr>
      <w:tr w14:paraId="29B17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17EA7552">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733" w:type="dxa"/>
            <w:vMerge w:val="continue"/>
            <w:vAlign w:val="center"/>
          </w:tcPr>
          <w:p w14:paraId="6E0CC3E0">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827" w:type="dxa"/>
            <w:vMerge w:val="continue"/>
            <w:vAlign w:val="center"/>
          </w:tcPr>
          <w:p w14:paraId="32461FE5">
            <w:pPr>
              <w:widowControl/>
              <w:snapToGrid w:val="0"/>
              <w:jc w:val="left"/>
              <w:textAlignment w:val="center"/>
              <w:rPr>
                <w:rFonts w:hint="eastAsia" w:ascii="宋体" w:hAnsi="宋体" w:eastAsia="宋体" w:cs="宋体"/>
                <w:bCs/>
                <w:color w:val="auto"/>
                <w:kern w:val="0"/>
                <w:sz w:val="21"/>
                <w:szCs w:val="21"/>
                <w:highlight w:val="none"/>
                <w:lang w:bidi="ar"/>
              </w:rPr>
            </w:pPr>
          </w:p>
        </w:tc>
        <w:tc>
          <w:tcPr>
            <w:tcW w:w="2510" w:type="dxa"/>
            <w:vAlign w:val="center"/>
          </w:tcPr>
          <w:p w14:paraId="16AB532A">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激光云高仪</w:t>
            </w:r>
          </w:p>
        </w:tc>
        <w:tc>
          <w:tcPr>
            <w:tcW w:w="2638" w:type="dxa"/>
            <w:vAlign w:val="center"/>
          </w:tcPr>
          <w:p w14:paraId="05101B47">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激光云高仪</w:t>
            </w:r>
          </w:p>
        </w:tc>
        <w:tc>
          <w:tcPr>
            <w:tcW w:w="775" w:type="dxa"/>
            <w:vAlign w:val="center"/>
          </w:tcPr>
          <w:p w14:paraId="77030891">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1</w:t>
            </w:r>
          </w:p>
        </w:tc>
        <w:tc>
          <w:tcPr>
            <w:tcW w:w="699" w:type="dxa"/>
            <w:vAlign w:val="center"/>
          </w:tcPr>
          <w:p w14:paraId="1C22C189">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套</w:t>
            </w:r>
          </w:p>
        </w:tc>
      </w:tr>
      <w:tr w14:paraId="4634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51A2694A">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733" w:type="dxa"/>
            <w:vMerge w:val="continue"/>
            <w:vAlign w:val="center"/>
          </w:tcPr>
          <w:p w14:paraId="3A769B3E">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827" w:type="dxa"/>
            <w:vMerge w:val="continue"/>
            <w:vAlign w:val="center"/>
          </w:tcPr>
          <w:p w14:paraId="6C6F000A">
            <w:pPr>
              <w:widowControl/>
              <w:snapToGrid w:val="0"/>
              <w:jc w:val="left"/>
              <w:textAlignment w:val="center"/>
              <w:rPr>
                <w:rFonts w:hint="eastAsia" w:ascii="宋体" w:hAnsi="宋体" w:eastAsia="宋体" w:cs="宋体"/>
                <w:bCs/>
                <w:color w:val="auto"/>
                <w:kern w:val="0"/>
                <w:sz w:val="21"/>
                <w:szCs w:val="21"/>
                <w:highlight w:val="none"/>
                <w:lang w:bidi="ar"/>
              </w:rPr>
            </w:pPr>
          </w:p>
        </w:tc>
        <w:tc>
          <w:tcPr>
            <w:tcW w:w="2510" w:type="dxa"/>
            <w:vAlign w:val="center"/>
          </w:tcPr>
          <w:p w14:paraId="74FABDD4">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毫米波测云雷达</w:t>
            </w:r>
          </w:p>
        </w:tc>
        <w:tc>
          <w:tcPr>
            <w:tcW w:w="2638" w:type="dxa"/>
            <w:vAlign w:val="center"/>
          </w:tcPr>
          <w:p w14:paraId="25DE36A0">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毫米波测云雷达</w:t>
            </w:r>
          </w:p>
        </w:tc>
        <w:tc>
          <w:tcPr>
            <w:tcW w:w="775" w:type="dxa"/>
            <w:vAlign w:val="center"/>
          </w:tcPr>
          <w:p w14:paraId="36414977">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1</w:t>
            </w:r>
          </w:p>
        </w:tc>
        <w:tc>
          <w:tcPr>
            <w:tcW w:w="699" w:type="dxa"/>
            <w:vAlign w:val="center"/>
          </w:tcPr>
          <w:p w14:paraId="7BF72923">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套</w:t>
            </w:r>
          </w:p>
        </w:tc>
      </w:tr>
      <w:tr w14:paraId="09269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5AE3071B">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733" w:type="dxa"/>
            <w:vMerge w:val="continue"/>
            <w:vAlign w:val="center"/>
          </w:tcPr>
          <w:p w14:paraId="70B5491A">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827" w:type="dxa"/>
            <w:vMerge w:val="continue"/>
            <w:vAlign w:val="center"/>
          </w:tcPr>
          <w:p w14:paraId="2979BB09">
            <w:pPr>
              <w:widowControl/>
              <w:snapToGrid w:val="0"/>
              <w:jc w:val="left"/>
              <w:textAlignment w:val="center"/>
              <w:rPr>
                <w:rFonts w:hint="eastAsia" w:ascii="宋体" w:hAnsi="宋体" w:eastAsia="宋体" w:cs="宋体"/>
                <w:bCs/>
                <w:color w:val="auto"/>
                <w:kern w:val="0"/>
                <w:sz w:val="21"/>
                <w:szCs w:val="21"/>
                <w:highlight w:val="none"/>
                <w:lang w:bidi="ar"/>
              </w:rPr>
            </w:pPr>
          </w:p>
        </w:tc>
        <w:tc>
          <w:tcPr>
            <w:tcW w:w="2510" w:type="dxa"/>
            <w:vAlign w:val="center"/>
          </w:tcPr>
          <w:p w14:paraId="3DB377EB">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小型旋翼</w:t>
            </w:r>
          </w:p>
          <w:p w14:paraId="5DA9376A">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无人机</w:t>
            </w:r>
          </w:p>
        </w:tc>
        <w:tc>
          <w:tcPr>
            <w:tcW w:w="2638" w:type="dxa"/>
            <w:vAlign w:val="center"/>
          </w:tcPr>
          <w:p w14:paraId="0F516A20">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小型旋翼</w:t>
            </w:r>
          </w:p>
          <w:p w14:paraId="4E1884BC">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无人机</w:t>
            </w:r>
          </w:p>
        </w:tc>
        <w:tc>
          <w:tcPr>
            <w:tcW w:w="775" w:type="dxa"/>
            <w:vAlign w:val="center"/>
          </w:tcPr>
          <w:p w14:paraId="1B3F7CA8">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1</w:t>
            </w:r>
          </w:p>
        </w:tc>
        <w:tc>
          <w:tcPr>
            <w:tcW w:w="699" w:type="dxa"/>
            <w:vAlign w:val="center"/>
          </w:tcPr>
          <w:p w14:paraId="2555FBDE">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架</w:t>
            </w:r>
          </w:p>
        </w:tc>
      </w:tr>
      <w:tr w14:paraId="77E7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247772E7">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733" w:type="dxa"/>
            <w:vMerge w:val="continue"/>
            <w:vAlign w:val="center"/>
          </w:tcPr>
          <w:p w14:paraId="02F177B8">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827" w:type="dxa"/>
            <w:vMerge w:val="restart"/>
            <w:vAlign w:val="center"/>
          </w:tcPr>
          <w:p w14:paraId="5AE3D481">
            <w:pPr>
              <w:widowControl/>
              <w:snapToGrid w:val="0"/>
              <w:jc w:val="left"/>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指挥模组</w:t>
            </w:r>
          </w:p>
        </w:tc>
        <w:tc>
          <w:tcPr>
            <w:tcW w:w="2510" w:type="dxa"/>
            <w:vMerge w:val="restart"/>
            <w:vAlign w:val="center"/>
          </w:tcPr>
          <w:p w14:paraId="34EF4923">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移动式方舱（1套）</w:t>
            </w:r>
          </w:p>
        </w:tc>
        <w:tc>
          <w:tcPr>
            <w:tcW w:w="2638" w:type="dxa"/>
            <w:vAlign w:val="center"/>
          </w:tcPr>
          <w:p w14:paraId="712F6D64">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方舱主厢体</w:t>
            </w:r>
          </w:p>
        </w:tc>
        <w:tc>
          <w:tcPr>
            <w:tcW w:w="775" w:type="dxa"/>
            <w:vAlign w:val="center"/>
          </w:tcPr>
          <w:p w14:paraId="6081292C">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1</w:t>
            </w:r>
          </w:p>
        </w:tc>
        <w:tc>
          <w:tcPr>
            <w:tcW w:w="699" w:type="dxa"/>
            <w:vAlign w:val="center"/>
          </w:tcPr>
          <w:p w14:paraId="17934423">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个</w:t>
            </w:r>
          </w:p>
        </w:tc>
      </w:tr>
      <w:tr w14:paraId="6E77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67DAA585">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733" w:type="dxa"/>
            <w:vMerge w:val="continue"/>
            <w:vAlign w:val="center"/>
          </w:tcPr>
          <w:p w14:paraId="7241F867">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827" w:type="dxa"/>
            <w:vMerge w:val="continue"/>
            <w:vAlign w:val="center"/>
          </w:tcPr>
          <w:p w14:paraId="0F5E0186">
            <w:pPr>
              <w:widowControl/>
              <w:snapToGrid w:val="0"/>
              <w:jc w:val="left"/>
              <w:textAlignment w:val="center"/>
              <w:rPr>
                <w:rFonts w:hint="eastAsia" w:ascii="宋体" w:hAnsi="宋体" w:eastAsia="宋体" w:cs="宋体"/>
                <w:bCs/>
                <w:color w:val="auto"/>
                <w:kern w:val="0"/>
                <w:sz w:val="21"/>
                <w:szCs w:val="21"/>
                <w:highlight w:val="none"/>
                <w:lang w:bidi="ar"/>
              </w:rPr>
            </w:pPr>
          </w:p>
        </w:tc>
        <w:tc>
          <w:tcPr>
            <w:tcW w:w="2510" w:type="dxa"/>
            <w:vMerge w:val="continue"/>
            <w:vAlign w:val="center"/>
          </w:tcPr>
          <w:p w14:paraId="5C3FC265">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2638" w:type="dxa"/>
            <w:vAlign w:val="center"/>
          </w:tcPr>
          <w:p w14:paraId="2748125A">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方舱配套设施</w:t>
            </w:r>
          </w:p>
        </w:tc>
        <w:tc>
          <w:tcPr>
            <w:tcW w:w="775" w:type="dxa"/>
            <w:vAlign w:val="center"/>
          </w:tcPr>
          <w:p w14:paraId="26203BE7">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1</w:t>
            </w:r>
          </w:p>
        </w:tc>
        <w:tc>
          <w:tcPr>
            <w:tcW w:w="699" w:type="dxa"/>
            <w:vAlign w:val="center"/>
          </w:tcPr>
          <w:p w14:paraId="10AE9AD6">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套</w:t>
            </w:r>
          </w:p>
        </w:tc>
      </w:tr>
      <w:tr w14:paraId="5161D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6D6B7B8A">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733" w:type="dxa"/>
            <w:vMerge w:val="continue"/>
            <w:vAlign w:val="center"/>
          </w:tcPr>
          <w:p w14:paraId="444C3A01">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827" w:type="dxa"/>
            <w:vMerge w:val="continue"/>
            <w:vAlign w:val="center"/>
          </w:tcPr>
          <w:p w14:paraId="19685863">
            <w:pPr>
              <w:widowControl/>
              <w:snapToGrid w:val="0"/>
              <w:jc w:val="left"/>
              <w:textAlignment w:val="center"/>
              <w:rPr>
                <w:rFonts w:hint="eastAsia" w:ascii="宋体" w:hAnsi="宋体" w:eastAsia="宋体" w:cs="宋体"/>
                <w:bCs/>
                <w:color w:val="auto"/>
                <w:kern w:val="0"/>
                <w:sz w:val="21"/>
                <w:szCs w:val="21"/>
                <w:highlight w:val="none"/>
                <w:lang w:bidi="ar"/>
              </w:rPr>
            </w:pPr>
          </w:p>
        </w:tc>
        <w:tc>
          <w:tcPr>
            <w:tcW w:w="2510" w:type="dxa"/>
            <w:vMerge w:val="continue"/>
            <w:vAlign w:val="center"/>
          </w:tcPr>
          <w:p w14:paraId="7D73531D">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2638" w:type="dxa"/>
            <w:vAlign w:val="center"/>
          </w:tcPr>
          <w:p w14:paraId="29204C3D">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供电系统</w:t>
            </w:r>
          </w:p>
        </w:tc>
        <w:tc>
          <w:tcPr>
            <w:tcW w:w="775" w:type="dxa"/>
            <w:vAlign w:val="center"/>
          </w:tcPr>
          <w:p w14:paraId="1E79FDCA">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1</w:t>
            </w:r>
          </w:p>
        </w:tc>
        <w:tc>
          <w:tcPr>
            <w:tcW w:w="699" w:type="dxa"/>
            <w:vAlign w:val="center"/>
          </w:tcPr>
          <w:p w14:paraId="6EAFECED">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套</w:t>
            </w:r>
          </w:p>
        </w:tc>
      </w:tr>
      <w:tr w14:paraId="16233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1865F530">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733" w:type="dxa"/>
            <w:vMerge w:val="continue"/>
            <w:vAlign w:val="center"/>
          </w:tcPr>
          <w:p w14:paraId="78BA80E8">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827" w:type="dxa"/>
            <w:vMerge w:val="continue"/>
            <w:vAlign w:val="center"/>
          </w:tcPr>
          <w:p w14:paraId="4C075C14">
            <w:pPr>
              <w:widowControl/>
              <w:snapToGrid w:val="0"/>
              <w:jc w:val="left"/>
              <w:textAlignment w:val="center"/>
              <w:rPr>
                <w:rFonts w:hint="eastAsia" w:ascii="宋体" w:hAnsi="宋体" w:eastAsia="宋体" w:cs="宋体"/>
                <w:bCs/>
                <w:color w:val="auto"/>
                <w:kern w:val="0"/>
                <w:sz w:val="21"/>
                <w:szCs w:val="21"/>
                <w:highlight w:val="none"/>
                <w:lang w:bidi="ar"/>
              </w:rPr>
            </w:pPr>
          </w:p>
        </w:tc>
        <w:tc>
          <w:tcPr>
            <w:tcW w:w="2510" w:type="dxa"/>
            <w:vMerge w:val="continue"/>
            <w:vAlign w:val="center"/>
          </w:tcPr>
          <w:p w14:paraId="04F90919">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2638" w:type="dxa"/>
            <w:vAlign w:val="center"/>
          </w:tcPr>
          <w:p w14:paraId="3480D1A1">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视频采集及显示系统</w:t>
            </w:r>
          </w:p>
        </w:tc>
        <w:tc>
          <w:tcPr>
            <w:tcW w:w="775" w:type="dxa"/>
            <w:vAlign w:val="center"/>
          </w:tcPr>
          <w:p w14:paraId="510A718C">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1</w:t>
            </w:r>
          </w:p>
        </w:tc>
        <w:tc>
          <w:tcPr>
            <w:tcW w:w="699" w:type="dxa"/>
            <w:vAlign w:val="center"/>
          </w:tcPr>
          <w:p w14:paraId="7CCFD3CC">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套</w:t>
            </w:r>
          </w:p>
        </w:tc>
      </w:tr>
      <w:tr w14:paraId="6B097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28E3FB03">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733" w:type="dxa"/>
            <w:vMerge w:val="continue"/>
            <w:vAlign w:val="center"/>
          </w:tcPr>
          <w:p w14:paraId="5B64A166">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827" w:type="dxa"/>
            <w:vMerge w:val="continue"/>
            <w:vAlign w:val="center"/>
          </w:tcPr>
          <w:p w14:paraId="1246E210">
            <w:pPr>
              <w:widowControl/>
              <w:snapToGrid w:val="0"/>
              <w:jc w:val="left"/>
              <w:textAlignment w:val="center"/>
              <w:rPr>
                <w:rFonts w:hint="eastAsia" w:ascii="宋体" w:hAnsi="宋体" w:eastAsia="宋体" w:cs="宋体"/>
                <w:bCs/>
                <w:color w:val="auto"/>
                <w:kern w:val="0"/>
                <w:sz w:val="21"/>
                <w:szCs w:val="21"/>
                <w:highlight w:val="none"/>
                <w:lang w:bidi="ar"/>
              </w:rPr>
            </w:pPr>
          </w:p>
        </w:tc>
        <w:tc>
          <w:tcPr>
            <w:tcW w:w="2510" w:type="dxa"/>
            <w:vMerge w:val="continue"/>
            <w:vAlign w:val="center"/>
          </w:tcPr>
          <w:p w14:paraId="25652FF5">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2638" w:type="dxa"/>
            <w:vAlign w:val="center"/>
          </w:tcPr>
          <w:p w14:paraId="4803053E">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通信传输系统</w:t>
            </w:r>
          </w:p>
        </w:tc>
        <w:tc>
          <w:tcPr>
            <w:tcW w:w="775" w:type="dxa"/>
            <w:vAlign w:val="center"/>
          </w:tcPr>
          <w:p w14:paraId="630A3B55">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1</w:t>
            </w:r>
          </w:p>
        </w:tc>
        <w:tc>
          <w:tcPr>
            <w:tcW w:w="699" w:type="dxa"/>
            <w:vAlign w:val="center"/>
          </w:tcPr>
          <w:p w14:paraId="262B416A">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套</w:t>
            </w:r>
          </w:p>
        </w:tc>
      </w:tr>
      <w:tr w14:paraId="2677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2B35A568">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733" w:type="dxa"/>
            <w:vMerge w:val="continue"/>
            <w:vAlign w:val="center"/>
          </w:tcPr>
          <w:p w14:paraId="1AE88240">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827" w:type="dxa"/>
            <w:vMerge w:val="continue"/>
            <w:vAlign w:val="center"/>
          </w:tcPr>
          <w:p w14:paraId="0CA4664D">
            <w:pPr>
              <w:widowControl/>
              <w:snapToGrid w:val="0"/>
              <w:jc w:val="left"/>
              <w:textAlignment w:val="center"/>
              <w:rPr>
                <w:rFonts w:hint="eastAsia" w:ascii="宋体" w:hAnsi="宋体" w:eastAsia="宋体" w:cs="宋体"/>
                <w:bCs/>
                <w:color w:val="auto"/>
                <w:kern w:val="0"/>
                <w:sz w:val="21"/>
                <w:szCs w:val="21"/>
                <w:highlight w:val="none"/>
                <w:lang w:bidi="ar"/>
              </w:rPr>
            </w:pPr>
          </w:p>
        </w:tc>
        <w:tc>
          <w:tcPr>
            <w:tcW w:w="2510" w:type="dxa"/>
            <w:vMerge w:val="restart"/>
            <w:vAlign w:val="center"/>
          </w:tcPr>
          <w:p w14:paraId="1968A85C">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气象信息处理和显控席位</w:t>
            </w:r>
            <w:r>
              <w:rPr>
                <w:rFonts w:hint="eastAsia" w:ascii="宋体" w:hAnsi="宋体" w:eastAsia="宋体" w:cs="宋体"/>
                <w:bCs/>
                <w:color w:val="auto"/>
                <w:kern w:val="0"/>
                <w:sz w:val="21"/>
                <w:szCs w:val="21"/>
                <w:highlight w:val="none"/>
                <w:lang w:bidi="ar"/>
              </w:rPr>
              <w:t>（1套）</w:t>
            </w:r>
          </w:p>
        </w:tc>
        <w:tc>
          <w:tcPr>
            <w:tcW w:w="2638" w:type="dxa"/>
            <w:vAlign w:val="center"/>
          </w:tcPr>
          <w:p w14:paraId="399DDE1B">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无人机显示席位</w:t>
            </w:r>
          </w:p>
        </w:tc>
        <w:tc>
          <w:tcPr>
            <w:tcW w:w="775" w:type="dxa"/>
            <w:vAlign w:val="center"/>
          </w:tcPr>
          <w:p w14:paraId="2B7BA80F">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1</w:t>
            </w:r>
          </w:p>
        </w:tc>
        <w:tc>
          <w:tcPr>
            <w:tcW w:w="699" w:type="dxa"/>
            <w:vAlign w:val="center"/>
          </w:tcPr>
          <w:p w14:paraId="1D559B72">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套</w:t>
            </w:r>
          </w:p>
        </w:tc>
      </w:tr>
      <w:tr w14:paraId="16D3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2D88F1C6">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733" w:type="dxa"/>
            <w:vMerge w:val="continue"/>
            <w:vAlign w:val="center"/>
          </w:tcPr>
          <w:p w14:paraId="5C54D34B">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827" w:type="dxa"/>
            <w:vMerge w:val="continue"/>
            <w:vAlign w:val="center"/>
          </w:tcPr>
          <w:p w14:paraId="4329028F">
            <w:pPr>
              <w:widowControl/>
              <w:snapToGrid w:val="0"/>
              <w:jc w:val="left"/>
              <w:textAlignment w:val="center"/>
              <w:rPr>
                <w:rFonts w:hint="eastAsia" w:ascii="宋体" w:hAnsi="宋体" w:eastAsia="宋体" w:cs="宋体"/>
                <w:bCs/>
                <w:color w:val="auto"/>
                <w:kern w:val="0"/>
                <w:sz w:val="21"/>
                <w:szCs w:val="21"/>
                <w:highlight w:val="none"/>
                <w:lang w:bidi="ar"/>
              </w:rPr>
            </w:pPr>
          </w:p>
        </w:tc>
        <w:tc>
          <w:tcPr>
            <w:tcW w:w="2510" w:type="dxa"/>
            <w:vMerge w:val="continue"/>
            <w:vAlign w:val="center"/>
          </w:tcPr>
          <w:p w14:paraId="6B1D3C85">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2638" w:type="dxa"/>
            <w:vAlign w:val="center"/>
          </w:tcPr>
          <w:p w14:paraId="206870AB">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自动观测设备信息处理及显控席位</w:t>
            </w:r>
          </w:p>
        </w:tc>
        <w:tc>
          <w:tcPr>
            <w:tcW w:w="775" w:type="dxa"/>
            <w:vAlign w:val="center"/>
          </w:tcPr>
          <w:p w14:paraId="3976EFA8">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1</w:t>
            </w:r>
          </w:p>
        </w:tc>
        <w:tc>
          <w:tcPr>
            <w:tcW w:w="699" w:type="dxa"/>
            <w:vAlign w:val="center"/>
          </w:tcPr>
          <w:p w14:paraId="6BFEF09D">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套</w:t>
            </w:r>
          </w:p>
        </w:tc>
      </w:tr>
      <w:tr w14:paraId="76056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7FF147DB">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733" w:type="dxa"/>
            <w:vMerge w:val="continue"/>
            <w:vAlign w:val="center"/>
          </w:tcPr>
          <w:p w14:paraId="3809AF0C">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827" w:type="dxa"/>
            <w:vMerge w:val="continue"/>
            <w:vAlign w:val="center"/>
          </w:tcPr>
          <w:p w14:paraId="14F87441">
            <w:pPr>
              <w:widowControl/>
              <w:snapToGrid w:val="0"/>
              <w:jc w:val="left"/>
              <w:textAlignment w:val="center"/>
              <w:rPr>
                <w:rFonts w:hint="eastAsia" w:ascii="宋体" w:hAnsi="宋体" w:eastAsia="宋体" w:cs="宋体"/>
                <w:bCs/>
                <w:color w:val="auto"/>
                <w:kern w:val="0"/>
                <w:sz w:val="21"/>
                <w:szCs w:val="21"/>
                <w:highlight w:val="none"/>
                <w:lang w:bidi="ar"/>
              </w:rPr>
            </w:pPr>
          </w:p>
        </w:tc>
        <w:tc>
          <w:tcPr>
            <w:tcW w:w="2510" w:type="dxa"/>
            <w:vMerge w:val="continue"/>
            <w:vAlign w:val="center"/>
          </w:tcPr>
          <w:p w14:paraId="2FF51AD5">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2638" w:type="dxa"/>
            <w:vAlign w:val="center"/>
          </w:tcPr>
          <w:p w14:paraId="3485EE97">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雷达信息处理及显控席位</w:t>
            </w:r>
          </w:p>
        </w:tc>
        <w:tc>
          <w:tcPr>
            <w:tcW w:w="775" w:type="dxa"/>
            <w:vAlign w:val="center"/>
          </w:tcPr>
          <w:p w14:paraId="5E49DB3A">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1</w:t>
            </w:r>
          </w:p>
        </w:tc>
        <w:tc>
          <w:tcPr>
            <w:tcW w:w="699" w:type="dxa"/>
            <w:vAlign w:val="center"/>
          </w:tcPr>
          <w:p w14:paraId="261AF54E">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套</w:t>
            </w:r>
          </w:p>
        </w:tc>
      </w:tr>
      <w:tr w14:paraId="4224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7AC26CB7">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733" w:type="dxa"/>
            <w:vMerge w:val="continue"/>
            <w:vAlign w:val="center"/>
          </w:tcPr>
          <w:p w14:paraId="0C78A9B5">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827" w:type="dxa"/>
            <w:vMerge w:val="continue"/>
            <w:vAlign w:val="center"/>
          </w:tcPr>
          <w:p w14:paraId="1FB9852E">
            <w:pPr>
              <w:widowControl/>
              <w:snapToGrid w:val="0"/>
              <w:jc w:val="left"/>
              <w:textAlignment w:val="center"/>
              <w:rPr>
                <w:rFonts w:hint="eastAsia" w:ascii="宋体" w:hAnsi="宋体" w:eastAsia="宋体" w:cs="宋体"/>
                <w:bCs/>
                <w:color w:val="auto"/>
                <w:kern w:val="0"/>
                <w:sz w:val="21"/>
                <w:szCs w:val="21"/>
                <w:highlight w:val="none"/>
                <w:lang w:bidi="ar"/>
              </w:rPr>
            </w:pPr>
          </w:p>
        </w:tc>
        <w:tc>
          <w:tcPr>
            <w:tcW w:w="2510" w:type="dxa"/>
            <w:vAlign w:val="center"/>
          </w:tcPr>
          <w:p w14:paraId="375326E2">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人工影响天气决策支持数据接收处理分析平台</w:t>
            </w:r>
          </w:p>
        </w:tc>
        <w:tc>
          <w:tcPr>
            <w:tcW w:w="2638" w:type="dxa"/>
            <w:vAlign w:val="center"/>
          </w:tcPr>
          <w:p w14:paraId="45237235">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人工影响天气决策支持数据接收处理分析平台</w:t>
            </w:r>
          </w:p>
        </w:tc>
        <w:tc>
          <w:tcPr>
            <w:tcW w:w="775" w:type="dxa"/>
            <w:vAlign w:val="center"/>
          </w:tcPr>
          <w:p w14:paraId="754DA10F">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1</w:t>
            </w:r>
          </w:p>
        </w:tc>
        <w:tc>
          <w:tcPr>
            <w:tcW w:w="699" w:type="dxa"/>
            <w:vAlign w:val="center"/>
          </w:tcPr>
          <w:p w14:paraId="49BE7795">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套</w:t>
            </w:r>
          </w:p>
        </w:tc>
      </w:tr>
      <w:tr w14:paraId="423F1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2228FE03">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733" w:type="dxa"/>
            <w:vMerge w:val="continue"/>
            <w:vAlign w:val="center"/>
          </w:tcPr>
          <w:p w14:paraId="52CEB397">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827" w:type="dxa"/>
            <w:vMerge w:val="restart"/>
            <w:vAlign w:val="center"/>
          </w:tcPr>
          <w:p w14:paraId="560F7496">
            <w:pPr>
              <w:widowControl/>
              <w:snapToGrid w:val="0"/>
              <w:jc w:val="left"/>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作业模组</w:t>
            </w:r>
          </w:p>
        </w:tc>
        <w:tc>
          <w:tcPr>
            <w:tcW w:w="2510" w:type="dxa"/>
            <w:vMerge w:val="restart"/>
            <w:vAlign w:val="center"/>
          </w:tcPr>
          <w:p w14:paraId="6F068DCD">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任务方舱（1套）</w:t>
            </w:r>
          </w:p>
        </w:tc>
        <w:tc>
          <w:tcPr>
            <w:tcW w:w="2638" w:type="dxa"/>
            <w:vAlign w:val="center"/>
          </w:tcPr>
          <w:p w14:paraId="24C8A5FC">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方舱主厢体</w:t>
            </w:r>
          </w:p>
        </w:tc>
        <w:tc>
          <w:tcPr>
            <w:tcW w:w="775" w:type="dxa"/>
            <w:vAlign w:val="center"/>
          </w:tcPr>
          <w:p w14:paraId="2AB38AF7">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699" w:type="dxa"/>
            <w:vAlign w:val="center"/>
          </w:tcPr>
          <w:p w14:paraId="39755FF3">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个</w:t>
            </w:r>
          </w:p>
        </w:tc>
      </w:tr>
      <w:tr w14:paraId="14BDC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5B13219A">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733" w:type="dxa"/>
            <w:vMerge w:val="continue"/>
            <w:vAlign w:val="center"/>
          </w:tcPr>
          <w:p w14:paraId="70A0E034">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827" w:type="dxa"/>
            <w:vMerge w:val="continue"/>
            <w:vAlign w:val="center"/>
          </w:tcPr>
          <w:p w14:paraId="066D73DE">
            <w:pPr>
              <w:widowControl/>
              <w:snapToGrid w:val="0"/>
              <w:jc w:val="left"/>
              <w:textAlignment w:val="center"/>
              <w:rPr>
                <w:rFonts w:hint="eastAsia" w:ascii="宋体" w:hAnsi="宋体" w:eastAsia="宋体" w:cs="宋体"/>
                <w:bCs/>
                <w:color w:val="auto"/>
                <w:kern w:val="0"/>
                <w:sz w:val="21"/>
                <w:szCs w:val="21"/>
                <w:highlight w:val="none"/>
                <w:lang w:bidi="ar"/>
              </w:rPr>
            </w:pPr>
          </w:p>
        </w:tc>
        <w:tc>
          <w:tcPr>
            <w:tcW w:w="2510" w:type="dxa"/>
            <w:vMerge w:val="continue"/>
            <w:vAlign w:val="center"/>
          </w:tcPr>
          <w:p w14:paraId="307A3F98">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2638" w:type="dxa"/>
            <w:vAlign w:val="center"/>
          </w:tcPr>
          <w:p w14:paraId="770262A9">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厢体配套设施</w:t>
            </w:r>
          </w:p>
        </w:tc>
        <w:tc>
          <w:tcPr>
            <w:tcW w:w="775" w:type="dxa"/>
            <w:vAlign w:val="center"/>
          </w:tcPr>
          <w:p w14:paraId="02A2F621">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699" w:type="dxa"/>
            <w:vAlign w:val="center"/>
          </w:tcPr>
          <w:p w14:paraId="0217317D">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套</w:t>
            </w:r>
          </w:p>
        </w:tc>
      </w:tr>
      <w:tr w14:paraId="4DE1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36650393">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733" w:type="dxa"/>
            <w:vMerge w:val="continue"/>
            <w:vAlign w:val="center"/>
          </w:tcPr>
          <w:p w14:paraId="1EBA0FC5">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827" w:type="dxa"/>
            <w:vMerge w:val="continue"/>
            <w:vAlign w:val="center"/>
          </w:tcPr>
          <w:p w14:paraId="60C4E882">
            <w:pPr>
              <w:widowControl/>
              <w:snapToGrid w:val="0"/>
              <w:jc w:val="left"/>
              <w:textAlignment w:val="center"/>
              <w:rPr>
                <w:rFonts w:hint="eastAsia" w:ascii="宋体" w:hAnsi="宋体" w:eastAsia="宋体" w:cs="宋体"/>
                <w:bCs/>
                <w:color w:val="auto"/>
                <w:kern w:val="0"/>
                <w:sz w:val="21"/>
                <w:szCs w:val="21"/>
                <w:highlight w:val="none"/>
                <w:lang w:bidi="ar"/>
              </w:rPr>
            </w:pPr>
          </w:p>
        </w:tc>
        <w:tc>
          <w:tcPr>
            <w:tcW w:w="2510" w:type="dxa"/>
            <w:vMerge w:val="continue"/>
            <w:vAlign w:val="center"/>
          </w:tcPr>
          <w:p w14:paraId="5EE99FF1">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2638" w:type="dxa"/>
            <w:vAlign w:val="center"/>
          </w:tcPr>
          <w:p w14:paraId="36CAED3B">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供电系统</w:t>
            </w:r>
          </w:p>
        </w:tc>
        <w:tc>
          <w:tcPr>
            <w:tcW w:w="775" w:type="dxa"/>
            <w:vAlign w:val="center"/>
          </w:tcPr>
          <w:p w14:paraId="4B7F5450">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1</w:t>
            </w:r>
          </w:p>
        </w:tc>
        <w:tc>
          <w:tcPr>
            <w:tcW w:w="699" w:type="dxa"/>
            <w:vAlign w:val="center"/>
          </w:tcPr>
          <w:p w14:paraId="254B8AB7">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套</w:t>
            </w:r>
          </w:p>
        </w:tc>
      </w:tr>
      <w:tr w14:paraId="25038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5B5A3B6F">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733" w:type="dxa"/>
            <w:vMerge w:val="continue"/>
            <w:vAlign w:val="center"/>
          </w:tcPr>
          <w:p w14:paraId="6D1E0FA4">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827" w:type="dxa"/>
            <w:vMerge w:val="continue"/>
            <w:vAlign w:val="center"/>
          </w:tcPr>
          <w:p w14:paraId="25041B77">
            <w:pPr>
              <w:widowControl/>
              <w:snapToGrid w:val="0"/>
              <w:jc w:val="left"/>
              <w:textAlignment w:val="center"/>
              <w:rPr>
                <w:rFonts w:hint="eastAsia" w:ascii="宋体" w:hAnsi="宋体" w:eastAsia="宋体" w:cs="宋体"/>
                <w:bCs/>
                <w:color w:val="auto"/>
                <w:kern w:val="0"/>
                <w:sz w:val="21"/>
                <w:szCs w:val="21"/>
                <w:highlight w:val="none"/>
                <w:lang w:bidi="ar"/>
              </w:rPr>
            </w:pPr>
          </w:p>
        </w:tc>
        <w:tc>
          <w:tcPr>
            <w:tcW w:w="2510" w:type="dxa"/>
            <w:vMerge w:val="continue"/>
            <w:vAlign w:val="center"/>
          </w:tcPr>
          <w:p w14:paraId="12C01619">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2638" w:type="dxa"/>
            <w:vAlign w:val="center"/>
          </w:tcPr>
          <w:p w14:paraId="1B1C60B2">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北斗定位系统</w:t>
            </w:r>
          </w:p>
        </w:tc>
        <w:tc>
          <w:tcPr>
            <w:tcW w:w="775" w:type="dxa"/>
            <w:vAlign w:val="center"/>
          </w:tcPr>
          <w:p w14:paraId="60499C21">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1</w:t>
            </w:r>
          </w:p>
        </w:tc>
        <w:tc>
          <w:tcPr>
            <w:tcW w:w="699" w:type="dxa"/>
            <w:vAlign w:val="center"/>
          </w:tcPr>
          <w:p w14:paraId="4FB6B3D7">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套</w:t>
            </w:r>
          </w:p>
        </w:tc>
      </w:tr>
      <w:tr w14:paraId="58565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11BED4BB">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733" w:type="dxa"/>
            <w:vMerge w:val="continue"/>
            <w:vAlign w:val="center"/>
          </w:tcPr>
          <w:p w14:paraId="468F2949">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827" w:type="dxa"/>
            <w:vMerge w:val="continue"/>
            <w:vAlign w:val="center"/>
          </w:tcPr>
          <w:p w14:paraId="20CF1C5F">
            <w:pPr>
              <w:widowControl/>
              <w:snapToGrid w:val="0"/>
              <w:jc w:val="left"/>
              <w:textAlignment w:val="center"/>
              <w:rPr>
                <w:rFonts w:hint="eastAsia" w:ascii="宋体" w:hAnsi="宋体" w:eastAsia="宋体" w:cs="宋体"/>
                <w:bCs/>
                <w:color w:val="auto"/>
                <w:kern w:val="0"/>
                <w:sz w:val="21"/>
                <w:szCs w:val="21"/>
                <w:highlight w:val="none"/>
                <w:lang w:bidi="ar"/>
              </w:rPr>
            </w:pPr>
          </w:p>
        </w:tc>
        <w:tc>
          <w:tcPr>
            <w:tcW w:w="2510" w:type="dxa"/>
            <w:vMerge w:val="continue"/>
            <w:vAlign w:val="center"/>
          </w:tcPr>
          <w:p w14:paraId="704CBC19">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2638" w:type="dxa"/>
            <w:vAlign w:val="center"/>
          </w:tcPr>
          <w:p w14:paraId="67C07DB3">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无人机显控席位</w:t>
            </w:r>
          </w:p>
        </w:tc>
        <w:tc>
          <w:tcPr>
            <w:tcW w:w="775" w:type="dxa"/>
            <w:vAlign w:val="center"/>
          </w:tcPr>
          <w:p w14:paraId="22BE040B">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1</w:t>
            </w:r>
          </w:p>
        </w:tc>
        <w:tc>
          <w:tcPr>
            <w:tcW w:w="699" w:type="dxa"/>
            <w:vAlign w:val="center"/>
          </w:tcPr>
          <w:p w14:paraId="4716AC0E">
            <w:pPr>
              <w:widowControl/>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套</w:t>
            </w:r>
          </w:p>
        </w:tc>
      </w:tr>
      <w:tr w14:paraId="75316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089EF154">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733" w:type="dxa"/>
            <w:vMerge w:val="continue"/>
            <w:vAlign w:val="center"/>
          </w:tcPr>
          <w:p w14:paraId="5D0307EB">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827" w:type="dxa"/>
            <w:vMerge w:val="continue"/>
            <w:vAlign w:val="center"/>
          </w:tcPr>
          <w:p w14:paraId="08E206E3">
            <w:pPr>
              <w:widowControl/>
              <w:snapToGrid w:val="0"/>
              <w:jc w:val="left"/>
              <w:textAlignment w:val="center"/>
              <w:rPr>
                <w:rFonts w:hint="eastAsia" w:ascii="宋体" w:hAnsi="宋体" w:eastAsia="宋体" w:cs="宋体"/>
                <w:bCs/>
                <w:color w:val="auto"/>
                <w:kern w:val="0"/>
                <w:sz w:val="21"/>
                <w:szCs w:val="21"/>
                <w:highlight w:val="none"/>
                <w:lang w:bidi="ar"/>
              </w:rPr>
            </w:pPr>
          </w:p>
        </w:tc>
        <w:tc>
          <w:tcPr>
            <w:tcW w:w="2510" w:type="dxa"/>
            <w:vMerge w:val="restart"/>
            <w:vAlign w:val="center"/>
          </w:tcPr>
          <w:p w14:paraId="30CD84EB">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移动式火箭发射单元</w:t>
            </w:r>
            <w:r>
              <w:rPr>
                <w:rFonts w:hint="eastAsia" w:ascii="宋体" w:hAnsi="宋体" w:eastAsia="宋体" w:cs="宋体"/>
                <w:bCs/>
                <w:color w:val="auto"/>
                <w:kern w:val="0"/>
                <w:sz w:val="21"/>
                <w:szCs w:val="21"/>
                <w:highlight w:val="none"/>
                <w:lang w:bidi="ar"/>
              </w:rPr>
              <w:t>（3套）</w:t>
            </w:r>
          </w:p>
        </w:tc>
        <w:tc>
          <w:tcPr>
            <w:tcW w:w="2638" w:type="dxa"/>
            <w:vAlign w:val="center"/>
          </w:tcPr>
          <w:p w14:paraId="4689A89C">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火箭发射装置</w:t>
            </w:r>
          </w:p>
        </w:tc>
        <w:tc>
          <w:tcPr>
            <w:tcW w:w="775" w:type="dxa"/>
            <w:vAlign w:val="center"/>
          </w:tcPr>
          <w:p w14:paraId="160E76D2">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3</w:t>
            </w:r>
          </w:p>
        </w:tc>
        <w:tc>
          <w:tcPr>
            <w:tcW w:w="699" w:type="dxa"/>
            <w:vAlign w:val="center"/>
          </w:tcPr>
          <w:p w14:paraId="22E58613">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套</w:t>
            </w:r>
          </w:p>
        </w:tc>
      </w:tr>
      <w:tr w14:paraId="309AD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5C6917D1">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733" w:type="dxa"/>
            <w:vMerge w:val="continue"/>
            <w:vAlign w:val="center"/>
          </w:tcPr>
          <w:p w14:paraId="4DB6E340">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827" w:type="dxa"/>
            <w:vMerge w:val="continue"/>
            <w:vAlign w:val="center"/>
          </w:tcPr>
          <w:p w14:paraId="6E565E1E">
            <w:pPr>
              <w:widowControl/>
              <w:snapToGrid w:val="0"/>
              <w:jc w:val="left"/>
              <w:textAlignment w:val="center"/>
              <w:rPr>
                <w:rFonts w:hint="eastAsia" w:ascii="宋体" w:hAnsi="宋体" w:eastAsia="宋体" w:cs="宋体"/>
                <w:bCs/>
                <w:color w:val="auto"/>
                <w:kern w:val="0"/>
                <w:sz w:val="21"/>
                <w:szCs w:val="21"/>
                <w:highlight w:val="none"/>
                <w:lang w:bidi="ar"/>
              </w:rPr>
            </w:pPr>
          </w:p>
        </w:tc>
        <w:tc>
          <w:tcPr>
            <w:tcW w:w="2510" w:type="dxa"/>
            <w:vMerge w:val="continue"/>
            <w:vAlign w:val="center"/>
          </w:tcPr>
          <w:p w14:paraId="431B55AE">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2638" w:type="dxa"/>
            <w:vAlign w:val="center"/>
          </w:tcPr>
          <w:p w14:paraId="611D0CBB">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无线安全锁定发控器</w:t>
            </w:r>
          </w:p>
        </w:tc>
        <w:tc>
          <w:tcPr>
            <w:tcW w:w="775" w:type="dxa"/>
            <w:vAlign w:val="center"/>
          </w:tcPr>
          <w:p w14:paraId="5D2E16B0">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3</w:t>
            </w:r>
          </w:p>
        </w:tc>
        <w:tc>
          <w:tcPr>
            <w:tcW w:w="699" w:type="dxa"/>
            <w:vAlign w:val="center"/>
          </w:tcPr>
          <w:p w14:paraId="4CC0C9E9">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个</w:t>
            </w:r>
          </w:p>
        </w:tc>
      </w:tr>
      <w:tr w14:paraId="7F92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39449902">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733" w:type="dxa"/>
            <w:vMerge w:val="continue"/>
            <w:vAlign w:val="center"/>
          </w:tcPr>
          <w:p w14:paraId="2F46FDC7">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827" w:type="dxa"/>
            <w:vMerge w:val="continue"/>
            <w:vAlign w:val="center"/>
          </w:tcPr>
          <w:p w14:paraId="0CFD0B0A">
            <w:pPr>
              <w:widowControl/>
              <w:snapToGrid w:val="0"/>
              <w:jc w:val="left"/>
              <w:textAlignment w:val="center"/>
              <w:rPr>
                <w:rFonts w:hint="eastAsia" w:ascii="宋体" w:hAnsi="宋体" w:eastAsia="宋体" w:cs="宋体"/>
                <w:bCs/>
                <w:color w:val="auto"/>
                <w:kern w:val="0"/>
                <w:sz w:val="21"/>
                <w:szCs w:val="21"/>
                <w:highlight w:val="none"/>
                <w:lang w:bidi="ar"/>
              </w:rPr>
            </w:pPr>
          </w:p>
        </w:tc>
        <w:tc>
          <w:tcPr>
            <w:tcW w:w="2510" w:type="dxa"/>
            <w:vMerge w:val="continue"/>
            <w:vAlign w:val="center"/>
          </w:tcPr>
          <w:p w14:paraId="1B879A0D">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2638" w:type="dxa"/>
            <w:vAlign w:val="center"/>
          </w:tcPr>
          <w:p w14:paraId="768A5EBE">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火箭作业安全监控</w:t>
            </w:r>
          </w:p>
        </w:tc>
        <w:tc>
          <w:tcPr>
            <w:tcW w:w="775" w:type="dxa"/>
            <w:vAlign w:val="center"/>
          </w:tcPr>
          <w:p w14:paraId="14E13524">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3</w:t>
            </w:r>
          </w:p>
        </w:tc>
        <w:tc>
          <w:tcPr>
            <w:tcW w:w="699" w:type="dxa"/>
            <w:vAlign w:val="center"/>
          </w:tcPr>
          <w:p w14:paraId="1E896428">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套</w:t>
            </w:r>
          </w:p>
        </w:tc>
      </w:tr>
      <w:tr w14:paraId="5DC9E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36ACE39D">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733" w:type="dxa"/>
            <w:vMerge w:val="continue"/>
            <w:vAlign w:val="center"/>
          </w:tcPr>
          <w:p w14:paraId="02AF47EC">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827" w:type="dxa"/>
            <w:vMerge w:val="continue"/>
            <w:vAlign w:val="center"/>
          </w:tcPr>
          <w:p w14:paraId="157E9E27">
            <w:pPr>
              <w:widowControl/>
              <w:snapToGrid w:val="0"/>
              <w:jc w:val="left"/>
              <w:textAlignment w:val="center"/>
              <w:rPr>
                <w:rFonts w:hint="eastAsia" w:ascii="宋体" w:hAnsi="宋体" w:eastAsia="宋体" w:cs="宋体"/>
                <w:bCs/>
                <w:color w:val="auto"/>
                <w:kern w:val="0"/>
                <w:sz w:val="21"/>
                <w:szCs w:val="21"/>
                <w:highlight w:val="none"/>
                <w:lang w:bidi="ar"/>
              </w:rPr>
            </w:pPr>
          </w:p>
        </w:tc>
        <w:tc>
          <w:tcPr>
            <w:tcW w:w="2510" w:type="dxa"/>
            <w:vMerge w:val="continue"/>
            <w:vAlign w:val="center"/>
          </w:tcPr>
          <w:p w14:paraId="439CB1C0">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2638" w:type="dxa"/>
            <w:vAlign w:val="center"/>
          </w:tcPr>
          <w:p w14:paraId="633D9818">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液压转运平台</w:t>
            </w:r>
          </w:p>
        </w:tc>
        <w:tc>
          <w:tcPr>
            <w:tcW w:w="775" w:type="dxa"/>
            <w:vAlign w:val="center"/>
          </w:tcPr>
          <w:p w14:paraId="5CDC5ECD">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3</w:t>
            </w:r>
          </w:p>
        </w:tc>
        <w:tc>
          <w:tcPr>
            <w:tcW w:w="699" w:type="dxa"/>
            <w:vAlign w:val="center"/>
          </w:tcPr>
          <w:p w14:paraId="05A64174">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台</w:t>
            </w:r>
          </w:p>
        </w:tc>
      </w:tr>
      <w:tr w14:paraId="2269D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0B28F7D9">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733" w:type="dxa"/>
            <w:vMerge w:val="continue"/>
            <w:vAlign w:val="center"/>
          </w:tcPr>
          <w:p w14:paraId="38AFFD81">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827" w:type="dxa"/>
            <w:vMerge w:val="continue"/>
            <w:vAlign w:val="center"/>
          </w:tcPr>
          <w:p w14:paraId="7D584BF1">
            <w:pPr>
              <w:widowControl/>
              <w:snapToGrid w:val="0"/>
              <w:jc w:val="left"/>
              <w:textAlignment w:val="center"/>
              <w:rPr>
                <w:rFonts w:hint="eastAsia" w:ascii="宋体" w:hAnsi="宋体" w:eastAsia="宋体" w:cs="宋体"/>
                <w:bCs/>
                <w:color w:val="auto"/>
                <w:kern w:val="0"/>
                <w:sz w:val="21"/>
                <w:szCs w:val="21"/>
                <w:highlight w:val="none"/>
                <w:lang w:bidi="ar"/>
              </w:rPr>
            </w:pPr>
          </w:p>
        </w:tc>
        <w:tc>
          <w:tcPr>
            <w:tcW w:w="2510" w:type="dxa"/>
            <w:vMerge w:val="continue"/>
            <w:vAlign w:val="center"/>
          </w:tcPr>
          <w:p w14:paraId="0F854398">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2638" w:type="dxa"/>
            <w:vAlign w:val="center"/>
          </w:tcPr>
          <w:p w14:paraId="4FE3000E">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弹药临时储运箱</w:t>
            </w:r>
          </w:p>
        </w:tc>
        <w:tc>
          <w:tcPr>
            <w:tcW w:w="775" w:type="dxa"/>
            <w:vAlign w:val="center"/>
          </w:tcPr>
          <w:p w14:paraId="5936440B">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3</w:t>
            </w:r>
          </w:p>
        </w:tc>
        <w:tc>
          <w:tcPr>
            <w:tcW w:w="699" w:type="dxa"/>
            <w:vAlign w:val="center"/>
          </w:tcPr>
          <w:p w14:paraId="11592EEA">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个</w:t>
            </w:r>
          </w:p>
        </w:tc>
      </w:tr>
      <w:tr w14:paraId="1DEB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10FD22A8">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733" w:type="dxa"/>
            <w:vMerge w:val="continue"/>
            <w:vAlign w:val="center"/>
          </w:tcPr>
          <w:p w14:paraId="498D6184">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827" w:type="dxa"/>
            <w:vMerge w:val="continue"/>
            <w:vAlign w:val="center"/>
          </w:tcPr>
          <w:p w14:paraId="39FCF508">
            <w:pPr>
              <w:widowControl/>
              <w:snapToGrid w:val="0"/>
              <w:jc w:val="left"/>
              <w:textAlignment w:val="center"/>
              <w:rPr>
                <w:rFonts w:hint="eastAsia" w:ascii="宋体" w:hAnsi="宋体" w:eastAsia="宋体" w:cs="宋体"/>
                <w:bCs/>
                <w:color w:val="auto"/>
                <w:kern w:val="0"/>
                <w:sz w:val="21"/>
                <w:szCs w:val="21"/>
                <w:highlight w:val="none"/>
                <w:lang w:bidi="ar"/>
              </w:rPr>
            </w:pPr>
          </w:p>
        </w:tc>
        <w:tc>
          <w:tcPr>
            <w:tcW w:w="2510" w:type="dxa"/>
            <w:vMerge w:val="restart"/>
            <w:vAlign w:val="center"/>
          </w:tcPr>
          <w:p w14:paraId="22E031F0">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无人机作业单元</w:t>
            </w:r>
            <w:r>
              <w:rPr>
                <w:rFonts w:hint="eastAsia" w:ascii="宋体" w:hAnsi="宋体" w:eastAsia="宋体" w:cs="宋体"/>
                <w:bCs/>
                <w:color w:val="auto"/>
                <w:kern w:val="0"/>
                <w:sz w:val="21"/>
                <w:szCs w:val="21"/>
                <w:highlight w:val="none"/>
                <w:lang w:bidi="ar"/>
              </w:rPr>
              <w:t>（2套）</w:t>
            </w:r>
          </w:p>
        </w:tc>
        <w:tc>
          <w:tcPr>
            <w:tcW w:w="2638" w:type="dxa"/>
            <w:vAlign w:val="center"/>
          </w:tcPr>
          <w:p w14:paraId="62E19BDA">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无人机作业平台1</w:t>
            </w:r>
          </w:p>
        </w:tc>
        <w:tc>
          <w:tcPr>
            <w:tcW w:w="775" w:type="dxa"/>
            <w:vAlign w:val="center"/>
          </w:tcPr>
          <w:p w14:paraId="4945C956">
            <w:pPr>
              <w:snapToGrid w:val="0"/>
              <w:jc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1</w:t>
            </w:r>
          </w:p>
        </w:tc>
        <w:tc>
          <w:tcPr>
            <w:tcW w:w="699" w:type="dxa"/>
            <w:vAlign w:val="center"/>
          </w:tcPr>
          <w:p w14:paraId="771BA8D8">
            <w:pPr>
              <w:snapToGrid w:val="0"/>
              <w:jc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台</w:t>
            </w:r>
          </w:p>
        </w:tc>
      </w:tr>
      <w:tr w14:paraId="29C3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7597179B">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733" w:type="dxa"/>
            <w:vMerge w:val="continue"/>
            <w:vAlign w:val="center"/>
          </w:tcPr>
          <w:p w14:paraId="44515BEF">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827" w:type="dxa"/>
            <w:vMerge w:val="continue"/>
            <w:vAlign w:val="center"/>
          </w:tcPr>
          <w:p w14:paraId="3553702F">
            <w:pPr>
              <w:widowControl/>
              <w:snapToGrid w:val="0"/>
              <w:jc w:val="left"/>
              <w:textAlignment w:val="center"/>
              <w:rPr>
                <w:rFonts w:hint="eastAsia" w:ascii="宋体" w:hAnsi="宋体" w:eastAsia="宋体" w:cs="宋体"/>
                <w:bCs/>
                <w:color w:val="auto"/>
                <w:kern w:val="0"/>
                <w:sz w:val="21"/>
                <w:szCs w:val="21"/>
                <w:highlight w:val="none"/>
                <w:lang w:bidi="ar"/>
              </w:rPr>
            </w:pPr>
          </w:p>
        </w:tc>
        <w:tc>
          <w:tcPr>
            <w:tcW w:w="2510" w:type="dxa"/>
            <w:vMerge w:val="continue"/>
            <w:vAlign w:val="center"/>
          </w:tcPr>
          <w:p w14:paraId="6EFD2817">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2638" w:type="dxa"/>
            <w:vAlign w:val="center"/>
          </w:tcPr>
          <w:p w14:paraId="796EEB9E">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无人机作业平台2</w:t>
            </w:r>
          </w:p>
        </w:tc>
        <w:tc>
          <w:tcPr>
            <w:tcW w:w="775" w:type="dxa"/>
            <w:vAlign w:val="center"/>
          </w:tcPr>
          <w:p w14:paraId="558B0C94">
            <w:pPr>
              <w:snapToGrid w:val="0"/>
              <w:jc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1</w:t>
            </w:r>
          </w:p>
        </w:tc>
        <w:tc>
          <w:tcPr>
            <w:tcW w:w="699" w:type="dxa"/>
            <w:vAlign w:val="center"/>
          </w:tcPr>
          <w:p w14:paraId="67A0723A">
            <w:pPr>
              <w:snapToGrid w:val="0"/>
              <w:jc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台</w:t>
            </w:r>
          </w:p>
        </w:tc>
      </w:tr>
      <w:tr w14:paraId="42D74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2DE853D0">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733" w:type="dxa"/>
            <w:vMerge w:val="continue"/>
            <w:vAlign w:val="center"/>
          </w:tcPr>
          <w:p w14:paraId="1541149B">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827" w:type="dxa"/>
            <w:vMerge w:val="continue"/>
            <w:vAlign w:val="center"/>
          </w:tcPr>
          <w:p w14:paraId="4E8E4E8C">
            <w:pPr>
              <w:widowControl/>
              <w:snapToGrid w:val="0"/>
              <w:jc w:val="left"/>
              <w:textAlignment w:val="center"/>
              <w:rPr>
                <w:rFonts w:hint="eastAsia" w:ascii="宋体" w:hAnsi="宋体" w:eastAsia="宋体" w:cs="宋体"/>
                <w:bCs/>
                <w:color w:val="auto"/>
                <w:kern w:val="0"/>
                <w:sz w:val="21"/>
                <w:szCs w:val="21"/>
                <w:highlight w:val="none"/>
                <w:lang w:bidi="ar"/>
              </w:rPr>
            </w:pPr>
          </w:p>
        </w:tc>
        <w:tc>
          <w:tcPr>
            <w:tcW w:w="2510" w:type="dxa"/>
            <w:vMerge w:val="continue"/>
            <w:vAlign w:val="center"/>
          </w:tcPr>
          <w:p w14:paraId="1DA4CD35">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2638" w:type="dxa"/>
            <w:vAlign w:val="center"/>
          </w:tcPr>
          <w:p w14:paraId="34F37C67">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无人机探测设备</w:t>
            </w:r>
          </w:p>
        </w:tc>
        <w:tc>
          <w:tcPr>
            <w:tcW w:w="775" w:type="dxa"/>
            <w:vAlign w:val="center"/>
          </w:tcPr>
          <w:p w14:paraId="7BCCA553">
            <w:pPr>
              <w:snapToGrid w:val="0"/>
              <w:jc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2</w:t>
            </w:r>
          </w:p>
        </w:tc>
        <w:tc>
          <w:tcPr>
            <w:tcW w:w="699" w:type="dxa"/>
            <w:vAlign w:val="center"/>
          </w:tcPr>
          <w:p w14:paraId="4AB350F5">
            <w:pPr>
              <w:snapToGrid w:val="0"/>
              <w:jc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套</w:t>
            </w:r>
          </w:p>
        </w:tc>
      </w:tr>
      <w:tr w14:paraId="3E31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12C26ABB">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733" w:type="dxa"/>
            <w:vMerge w:val="continue"/>
            <w:vAlign w:val="center"/>
          </w:tcPr>
          <w:p w14:paraId="42BC09C6">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827" w:type="dxa"/>
            <w:vMerge w:val="continue"/>
            <w:vAlign w:val="center"/>
          </w:tcPr>
          <w:p w14:paraId="5F409E85">
            <w:pPr>
              <w:widowControl/>
              <w:snapToGrid w:val="0"/>
              <w:jc w:val="left"/>
              <w:textAlignment w:val="center"/>
              <w:rPr>
                <w:rFonts w:hint="eastAsia" w:ascii="宋体" w:hAnsi="宋体" w:eastAsia="宋体" w:cs="宋体"/>
                <w:bCs/>
                <w:color w:val="auto"/>
                <w:kern w:val="0"/>
                <w:sz w:val="21"/>
                <w:szCs w:val="21"/>
                <w:highlight w:val="none"/>
                <w:lang w:bidi="ar"/>
              </w:rPr>
            </w:pPr>
          </w:p>
        </w:tc>
        <w:tc>
          <w:tcPr>
            <w:tcW w:w="2510" w:type="dxa"/>
            <w:vMerge w:val="continue"/>
            <w:vAlign w:val="center"/>
          </w:tcPr>
          <w:p w14:paraId="73B91C83">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2638" w:type="dxa"/>
            <w:vAlign w:val="center"/>
          </w:tcPr>
          <w:p w14:paraId="6A16C1D7">
            <w:pPr>
              <w:widowControl/>
              <w:snapToGrid w:val="0"/>
              <w:jc w:val="center"/>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无人机作业平台2方舱</w:t>
            </w:r>
          </w:p>
        </w:tc>
        <w:tc>
          <w:tcPr>
            <w:tcW w:w="775" w:type="dxa"/>
            <w:vAlign w:val="center"/>
          </w:tcPr>
          <w:p w14:paraId="332A5CCF">
            <w:pPr>
              <w:snapToGrid w:val="0"/>
              <w:jc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1</w:t>
            </w:r>
          </w:p>
        </w:tc>
        <w:tc>
          <w:tcPr>
            <w:tcW w:w="699" w:type="dxa"/>
            <w:vAlign w:val="center"/>
          </w:tcPr>
          <w:p w14:paraId="364CD8A1">
            <w:pPr>
              <w:snapToGrid w:val="0"/>
              <w:jc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套</w:t>
            </w:r>
          </w:p>
        </w:tc>
      </w:tr>
      <w:tr w14:paraId="5D5F1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62E54882">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733" w:type="dxa"/>
            <w:vMerge w:val="continue"/>
            <w:vAlign w:val="center"/>
          </w:tcPr>
          <w:p w14:paraId="5673C596">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827" w:type="dxa"/>
            <w:vMerge w:val="restart"/>
            <w:vAlign w:val="center"/>
          </w:tcPr>
          <w:p w14:paraId="7AA664A6">
            <w:pPr>
              <w:widowControl/>
              <w:snapToGrid w:val="0"/>
              <w:jc w:val="left"/>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保障模组</w:t>
            </w:r>
          </w:p>
        </w:tc>
        <w:tc>
          <w:tcPr>
            <w:tcW w:w="2510" w:type="dxa"/>
            <w:vMerge w:val="restart"/>
            <w:vAlign w:val="center"/>
          </w:tcPr>
          <w:p w14:paraId="25D27871">
            <w:pPr>
              <w:spacing w:after="126" w:line="264"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任务舱</w:t>
            </w:r>
            <w:r>
              <w:rPr>
                <w:rFonts w:hint="eastAsia" w:ascii="宋体" w:hAnsi="宋体" w:eastAsia="宋体" w:cs="宋体"/>
                <w:bCs/>
                <w:color w:val="auto"/>
                <w:kern w:val="0"/>
                <w:sz w:val="21"/>
                <w:szCs w:val="21"/>
                <w:highlight w:val="none"/>
                <w:lang w:bidi="ar"/>
              </w:rPr>
              <w:t>（1套）</w:t>
            </w:r>
          </w:p>
        </w:tc>
        <w:tc>
          <w:tcPr>
            <w:tcW w:w="2638" w:type="dxa"/>
            <w:vAlign w:val="center"/>
          </w:tcPr>
          <w:p w14:paraId="11B99024">
            <w:pPr>
              <w:spacing w:after="126" w:line="264" w:lineRule="auto"/>
              <w:jc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任务舱舱体</w:t>
            </w:r>
          </w:p>
        </w:tc>
        <w:tc>
          <w:tcPr>
            <w:tcW w:w="775" w:type="dxa"/>
            <w:vAlign w:val="center"/>
          </w:tcPr>
          <w:p w14:paraId="326DBE2E">
            <w:pPr>
              <w:spacing w:after="126" w:line="264" w:lineRule="auto"/>
              <w:jc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1</w:t>
            </w:r>
          </w:p>
        </w:tc>
        <w:tc>
          <w:tcPr>
            <w:tcW w:w="699" w:type="dxa"/>
            <w:vAlign w:val="center"/>
          </w:tcPr>
          <w:p w14:paraId="03D26D99">
            <w:pPr>
              <w:spacing w:after="126" w:line="264" w:lineRule="auto"/>
              <w:jc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套</w:t>
            </w:r>
          </w:p>
        </w:tc>
      </w:tr>
      <w:tr w14:paraId="480B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3293AE8C">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733" w:type="dxa"/>
            <w:vMerge w:val="continue"/>
            <w:vAlign w:val="center"/>
          </w:tcPr>
          <w:p w14:paraId="28A852B2">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827" w:type="dxa"/>
            <w:vMerge w:val="continue"/>
            <w:vAlign w:val="center"/>
          </w:tcPr>
          <w:p w14:paraId="4428196B">
            <w:pPr>
              <w:widowControl/>
              <w:snapToGrid w:val="0"/>
              <w:jc w:val="left"/>
              <w:textAlignment w:val="center"/>
              <w:rPr>
                <w:rFonts w:hint="eastAsia" w:ascii="宋体" w:hAnsi="宋体" w:eastAsia="宋体" w:cs="宋体"/>
                <w:bCs/>
                <w:color w:val="auto"/>
                <w:kern w:val="0"/>
                <w:sz w:val="21"/>
                <w:szCs w:val="21"/>
                <w:highlight w:val="none"/>
                <w:lang w:bidi="ar"/>
              </w:rPr>
            </w:pPr>
          </w:p>
        </w:tc>
        <w:tc>
          <w:tcPr>
            <w:tcW w:w="2510" w:type="dxa"/>
            <w:vMerge w:val="continue"/>
            <w:vAlign w:val="center"/>
          </w:tcPr>
          <w:p w14:paraId="3FA7CDE4">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2638" w:type="dxa"/>
            <w:vAlign w:val="center"/>
          </w:tcPr>
          <w:p w14:paraId="44F504CE">
            <w:pPr>
              <w:jc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供电系统</w:t>
            </w:r>
          </w:p>
        </w:tc>
        <w:tc>
          <w:tcPr>
            <w:tcW w:w="775" w:type="dxa"/>
            <w:vAlign w:val="center"/>
          </w:tcPr>
          <w:p w14:paraId="71914D71">
            <w:pPr>
              <w:widowControl/>
              <w:spacing w:after="126" w:line="264" w:lineRule="auto"/>
              <w:jc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1</w:t>
            </w:r>
          </w:p>
        </w:tc>
        <w:tc>
          <w:tcPr>
            <w:tcW w:w="699" w:type="dxa"/>
            <w:vAlign w:val="center"/>
          </w:tcPr>
          <w:p w14:paraId="413892CA">
            <w:pPr>
              <w:widowControl/>
              <w:spacing w:after="126" w:line="264" w:lineRule="auto"/>
              <w:jc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套</w:t>
            </w:r>
          </w:p>
        </w:tc>
      </w:tr>
      <w:tr w14:paraId="017D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2AD37708">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733" w:type="dxa"/>
            <w:vMerge w:val="continue"/>
            <w:vAlign w:val="center"/>
          </w:tcPr>
          <w:p w14:paraId="1FBD7E7E">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827" w:type="dxa"/>
            <w:vMerge w:val="continue"/>
            <w:vAlign w:val="center"/>
          </w:tcPr>
          <w:p w14:paraId="7405C80E">
            <w:pPr>
              <w:widowControl/>
              <w:snapToGrid w:val="0"/>
              <w:jc w:val="left"/>
              <w:textAlignment w:val="center"/>
              <w:rPr>
                <w:rFonts w:hint="eastAsia" w:ascii="宋体" w:hAnsi="宋体" w:eastAsia="宋体" w:cs="宋体"/>
                <w:bCs/>
                <w:color w:val="auto"/>
                <w:kern w:val="0"/>
                <w:sz w:val="21"/>
                <w:szCs w:val="21"/>
                <w:highlight w:val="none"/>
                <w:lang w:bidi="ar"/>
              </w:rPr>
            </w:pPr>
          </w:p>
        </w:tc>
        <w:tc>
          <w:tcPr>
            <w:tcW w:w="2510" w:type="dxa"/>
            <w:vMerge w:val="continue"/>
            <w:vAlign w:val="center"/>
          </w:tcPr>
          <w:p w14:paraId="67724396">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2638" w:type="dxa"/>
            <w:vAlign w:val="center"/>
          </w:tcPr>
          <w:p w14:paraId="2FC400C6">
            <w:pPr>
              <w:jc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通信传输系统</w:t>
            </w:r>
          </w:p>
        </w:tc>
        <w:tc>
          <w:tcPr>
            <w:tcW w:w="775" w:type="dxa"/>
            <w:vAlign w:val="center"/>
          </w:tcPr>
          <w:p w14:paraId="46A7C26D">
            <w:pPr>
              <w:jc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1</w:t>
            </w:r>
          </w:p>
        </w:tc>
        <w:tc>
          <w:tcPr>
            <w:tcW w:w="699" w:type="dxa"/>
            <w:vAlign w:val="center"/>
          </w:tcPr>
          <w:p w14:paraId="247C6147">
            <w:pPr>
              <w:jc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套</w:t>
            </w:r>
          </w:p>
        </w:tc>
      </w:tr>
      <w:tr w14:paraId="46C6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5B5F0DD2">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733" w:type="dxa"/>
            <w:vMerge w:val="continue"/>
            <w:vAlign w:val="center"/>
          </w:tcPr>
          <w:p w14:paraId="32978BC6">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827" w:type="dxa"/>
            <w:vMerge w:val="continue"/>
            <w:vAlign w:val="center"/>
          </w:tcPr>
          <w:p w14:paraId="13C28B78">
            <w:pPr>
              <w:widowControl/>
              <w:snapToGrid w:val="0"/>
              <w:jc w:val="left"/>
              <w:textAlignment w:val="center"/>
              <w:rPr>
                <w:rFonts w:hint="eastAsia" w:ascii="宋体" w:hAnsi="宋体" w:eastAsia="宋体" w:cs="宋体"/>
                <w:bCs/>
                <w:color w:val="auto"/>
                <w:kern w:val="0"/>
                <w:sz w:val="21"/>
                <w:szCs w:val="21"/>
                <w:highlight w:val="none"/>
                <w:lang w:bidi="ar"/>
              </w:rPr>
            </w:pPr>
          </w:p>
        </w:tc>
        <w:tc>
          <w:tcPr>
            <w:tcW w:w="2510" w:type="dxa"/>
            <w:vAlign w:val="center"/>
          </w:tcPr>
          <w:p w14:paraId="05385498">
            <w:pPr>
              <w:jc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车载监控子系统</w:t>
            </w:r>
          </w:p>
        </w:tc>
        <w:tc>
          <w:tcPr>
            <w:tcW w:w="2638" w:type="dxa"/>
            <w:vAlign w:val="center"/>
          </w:tcPr>
          <w:p w14:paraId="41E961A2">
            <w:pPr>
              <w:jc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车载监控子系统</w:t>
            </w:r>
          </w:p>
        </w:tc>
        <w:tc>
          <w:tcPr>
            <w:tcW w:w="775" w:type="dxa"/>
            <w:vAlign w:val="center"/>
          </w:tcPr>
          <w:p w14:paraId="5D8C0E41">
            <w:pPr>
              <w:jc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1</w:t>
            </w:r>
          </w:p>
        </w:tc>
        <w:tc>
          <w:tcPr>
            <w:tcW w:w="699" w:type="dxa"/>
            <w:vAlign w:val="center"/>
          </w:tcPr>
          <w:p w14:paraId="734D0ADB">
            <w:pPr>
              <w:jc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套</w:t>
            </w:r>
          </w:p>
        </w:tc>
      </w:tr>
      <w:tr w14:paraId="379C7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vAlign w:val="center"/>
          </w:tcPr>
          <w:p w14:paraId="412DC3F8">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733" w:type="dxa"/>
            <w:vMerge w:val="continue"/>
            <w:vAlign w:val="center"/>
          </w:tcPr>
          <w:p w14:paraId="0A9FCBCD">
            <w:pPr>
              <w:widowControl/>
              <w:snapToGrid w:val="0"/>
              <w:jc w:val="center"/>
              <w:textAlignment w:val="center"/>
              <w:rPr>
                <w:rFonts w:hint="eastAsia" w:ascii="宋体" w:hAnsi="宋体" w:eastAsia="宋体" w:cs="宋体"/>
                <w:bCs/>
                <w:color w:val="auto"/>
                <w:kern w:val="0"/>
                <w:sz w:val="21"/>
                <w:szCs w:val="21"/>
                <w:highlight w:val="none"/>
                <w:lang w:bidi="ar"/>
              </w:rPr>
            </w:pPr>
          </w:p>
        </w:tc>
        <w:tc>
          <w:tcPr>
            <w:tcW w:w="827" w:type="dxa"/>
            <w:vMerge w:val="continue"/>
            <w:vAlign w:val="center"/>
          </w:tcPr>
          <w:p w14:paraId="6C5D54E9">
            <w:pPr>
              <w:widowControl/>
              <w:snapToGrid w:val="0"/>
              <w:jc w:val="left"/>
              <w:textAlignment w:val="center"/>
              <w:rPr>
                <w:rFonts w:hint="eastAsia" w:ascii="宋体" w:hAnsi="宋体" w:eastAsia="宋体" w:cs="宋体"/>
                <w:bCs/>
                <w:color w:val="auto"/>
                <w:kern w:val="0"/>
                <w:sz w:val="21"/>
                <w:szCs w:val="21"/>
                <w:highlight w:val="none"/>
                <w:lang w:bidi="ar"/>
              </w:rPr>
            </w:pPr>
          </w:p>
        </w:tc>
        <w:tc>
          <w:tcPr>
            <w:tcW w:w="2510" w:type="dxa"/>
            <w:vAlign w:val="center"/>
          </w:tcPr>
          <w:p w14:paraId="57B4F621">
            <w:pPr>
              <w:jc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工作生活单元</w:t>
            </w:r>
          </w:p>
        </w:tc>
        <w:tc>
          <w:tcPr>
            <w:tcW w:w="2638" w:type="dxa"/>
            <w:vAlign w:val="center"/>
          </w:tcPr>
          <w:p w14:paraId="3D432971">
            <w:pPr>
              <w:jc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工作生活单元</w:t>
            </w:r>
          </w:p>
        </w:tc>
        <w:tc>
          <w:tcPr>
            <w:tcW w:w="775" w:type="dxa"/>
            <w:vAlign w:val="center"/>
          </w:tcPr>
          <w:p w14:paraId="1906A36B">
            <w:pPr>
              <w:jc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1</w:t>
            </w:r>
          </w:p>
        </w:tc>
        <w:tc>
          <w:tcPr>
            <w:tcW w:w="699" w:type="dxa"/>
            <w:vAlign w:val="center"/>
          </w:tcPr>
          <w:p w14:paraId="7E6A8A7C">
            <w:pPr>
              <w:jc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sz w:val="21"/>
                <w:szCs w:val="21"/>
                <w:highlight w:val="none"/>
              </w:rPr>
              <w:t>套</w:t>
            </w:r>
          </w:p>
        </w:tc>
      </w:tr>
    </w:tbl>
    <w:p w14:paraId="01F6B006">
      <w:pPr>
        <w:spacing w:line="360" w:lineRule="auto"/>
        <w:rPr>
          <w:rFonts w:hint="eastAsia"/>
          <w:color w:val="auto"/>
          <w:szCs w:val="21"/>
          <w:highlight w:val="none"/>
        </w:rPr>
      </w:pPr>
    </w:p>
    <w:p w14:paraId="110685E6">
      <w:pPr>
        <w:pStyle w:val="5"/>
        <w:keepNext/>
        <w:keepLines/>
        <w:pageBreakBefore w:val="0"/>
        <w:kinsoku/>
        <w:wordWrap/>
        <w:overflowPunct/>
        <w:topLinePunct w:val="0"/>
        <w:autoSpaceDE/>
        <w:autoSpaceDN/>
        <w:bidi w:val="0"/>
        <w:adjustRightInd/>
        <w:snapToGrid w:val="0"/>
        <w:spacing w:before="0" w:after="0"/>
        <w:jc w:val="left"/>
        <w:textAlignment w:val="auto"/>
        <w:rPr>
          <w:rFonts w:hint="default"/>
          <w:b/>
          <w:bCs/>
          <w:color w:val="auto"/>
          <w:sz w:val="24"/>
          <w:szCs w:val="24"/>
          <w:highlight w:val="none"/>
          <w:lang w:val="en-US" w:eastAsia="zh-CN"/>
        </w:rPr>
      </w:pPr>
      <w:bookmarkStart w:id="33" w:name="_Hlk132788110"/>
      <w:bookmarkStart w:id="34" w:name="_Hlk132815329"/>
      <w:r>
        <w:rPr>
          <w:rFonts w:hint="eastAsia" w:ascii="Times New Roman" w:hAnsi="Times New Roman" w:eastAsia="宋体" w:cs="Times New Roman"/>
          <w:b/>
          <w:bCs/>
          <w:color w:val="auto"/>
          <w:kern w:val="2"/>
          <w:sz w:val="21"/>
          <w:szCs w:val="21"/>
          <w:highlight w:val="none"/>
          <w:lang w:val="en-US" w:eastAsia="zh-CN" w:bidi="ar-SA"/>
        </w:rPr>
        <w:t>9.2技术要求</w:t>
      </w:r>
    </w:p>
    <w:p w14:paraId="265AF18A">
      <w:pPr>
        <w:outlineLvl w:val="2"/>
        <w:rPr>
          <w:b/>
          <w:bCs/>
          <w:color w:val="auto"/>
          <w:highlight w:val="none"/>
        </w:rPr>
      </w:pPr>
      <w:r>
        <w:rPr>
          <w:rFonts w:hint="eastAsia"/>
          <w:b/>
          <w:bCs/>
          <w:color w:val="auto"/>
          <w:highlight w:val="none"/>
          <w:lang w:val="en-US" w:eastAsia="zh-CN"/>
        </w:rPr>
        <w:t>9.2.1车载式机动集成作业系统</w:t>
      </w:r>
    </w:p>
    <w:p w14:paraId="316F4829">
      <w:pPr>
        <w:spacing w:line="360" w:lineRule="auto"/>
        <w:outlineLvl w:val="4"/>
        <w:rPr>
          <w:b/>
          <w:bCs/>
          <w:color w:val="auto"/>
          <w:highlight w:val="none"/>
        </w:rPr>
      </w:pPr>
      <w:r>
        <w:rPr>
          <w:rFonts w:hint="eastAsia"/>
          <w:b/>
          <w:bCs/>
          <w:color w:val="auto"/>
          <w:highlight w:val="none"/>
        </w:rPr>
        <w:t>（1）探测模组</w:t>
      </w:r>
    </w:p>
    <w:p w14:paraId="2ACCDC57">
      <w:pPr>
        <w:spacing w:line="360" w:lineRule="auto"/>
        <w:ind w:firstLine="210" w:firstLineChars="100"/>
        <w:rPr>
          <w:color w:val="auto"/>
          <w:highlight w:val="none"/>
        </w:rPr>
      </w:pPr>
      <w:r>
        <w:rPr>
          <w:rFonts w:hint="eastAsia"/>
          <w:color w:val="auto"/>
          <w:highlight w:val="none"/>
        </w:rPr>
        <w:t>主要由载车平台、任务方舱、X 波段相控阵雷达、六要</w:t>
      </w:r>
      <w:r>
        <w:rPr>
          <w:color w:val="auto"/>
          <w:highlight w:val="none"/>
        </w:rPr>
        <w:t>素气象站、激光云高仪、毫米波测云雷达以及小型旋翼无人机组成</w:t>
      </w:r>
      <w:r>
        <w:rPr>
          <w:rFonts w:hint="eastAsia"/>
          <w:color w:val="auto"/>
          <w:highlight w:val="none"/>
        </w:rPr>
        <w:t>，可进行多要素气象探测和云层精准探测与实时分析，并实现气象数据实时传输与处理，与“天工”平台对接，技术性能指标具体见下表：</w:t>
      </w:r>
    </w:p>
    <w:tbl>
      <w:tblPr>
        <w:tblStyle w:val="51"/>
        <w:tblW w:w="8237" w:type="dxa"/>
        <w:jc w:val="center"/>
        <w:tblLayout w:type="fixed"/>
        <w:tblCellMar>
          <w:top w:w="0" w:type="dxa"/>
          <w:left w:w="108" w:type="dxa"/>
          <w:bottom w:w="0" w:type="dxa"/>
          <w:right w:w="108" w:type="dxa"/>
        </w:tblCellMar>
      </w:tblPr>
      <w:tblGrid>
        <w:gridCol w:w="740"/>
        <w:gridCol w:w="1126"/>
        <w:gridCol w:w="4749"/>
        <w:gridCol w:w="784"/>
        <w:gridCol w:w="838"/>
      </w:tblGrid>
      <w:tr w14:paraId="6FA3D7A0">
        <w:tblPrEx>
          <w:tblCellMar>
            <w:top w:w="0" w:type="dxa"/>
            <w:left w:w="108" w:type="dxa"/>
            <w:bottom w:w="0" w:type="dxa"/>
            <w:right w:w="108" w:type="dxa"/>
          </w:tblCellMar>
        </w:tblPrEx>
        <w:trPr>
          <w:trHeight w:val="23"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75D49">
            <w:pPr>
              <w:widowControl/>
              <w:snapToGrid w:val="0"/>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序号</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8260C">
            <w:pPr>
              <w:widowControl/>
              <w:snapToGrid w:val="0"/>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设备内容</w:t>
            </w:r>
          </w:p>
        </w:tc>
        <w:tc>
          <w:tcPr>
            <w:tcW w:w="4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12758">
            <w:pPr>
              <w:widowControl/>
              <w:snapToGrid w:val="0"/>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主要性能指标</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25B20">
            <w:pPr>
              <w:widowControl/>
              <w:snapToGrid w:val="0"/>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数量</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5FD82">
            <w:pPr>
              <w:widowControl/>
              <w:snapToGrid w:val="0"/>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单位</w:t>
            </w:r>
          </w:p>
        </w:tc>
      </w:tr>
      <w:tr w14:paraId="675C8483">
        <w:tblPrEx>
          <w:tblCellMar>
            <w:top w:w="0" w:type="dxa"/>
            <w:left w:w="108" w:type="dxa"/>
            <w:bottom w:w="0" w:type="dxa"/>
            <w:right w:w="108" w:type="dxa"/>
          </w:tblCellMar>
        </w:tblPrEx>
        <w:trPr>
          <w:trHeight w:val="23"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E069C">
            <w:pPr>
              <w:widowControl/>
              <w:snapToGrid w:val="0"/>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1</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5B728">
            <w:pPr>
              <w:widowControl/>
              <w:snapToGrid w:val="0"/>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载车平台</w:t>
            </w:r>
          </w:p>
        </w:tc>
        <w:tc>
          <w:tcPr>
            <w:tcW w:w="4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B43C">
            <w:pPr>
              <w:snapToGrid w:val="0"/>
              <w:ind w:firstLine="0" w:firstLineChars="0"/>
              <w:rPr>
                <w:rFonts w:ascii="宋体" w:hAnsi="宋体" w:eastAsia="宋体" w:cs="宋体"/>
                <w:b/>
                <w:bCs/>
                <w:color w:val="auto"/>
                <w:kern w:val="0"/>
                <w:szCs w:val="21"/>
                <w:highlight w:val="none"/>
                <w:lang w:bidi="ar"/>
              </w:rPr>
            </w:pPr>
            <w:r>
              <w:rPr>
                <w:rFonts w:hint="eastAsia"/>
                <w:color w:val="auto"/>
                <w:szCs w:val="21"/>
                <w:highlight w:val="none"/>
              </w:rPr>
              <w:t>▲</w:t>
            </w:r>
            <w:r>
              <w:rPr>
                <w:rFonts w:hint="eastAsia"/>
                <w:b/>
                <w:bCs/>
                <w:color w:val="auto"/>
                <w:szCs w:val="21"/>
                <w:highlight w:val="none"/>
                <w:lang w:val="en-US" w:eastAsia="zh-CN"/>
              </w:rPr>
              <w:t>交货时须</w:t>
            </w:r>
            <w:r>
              <w:rPr>
                <w:rFonts w:hint="eastAsia" w:ascii="宋体" w:hAnsi="宋体" w:eastAsia="宋体" w:cs="宋体"/>
                <w:b/>
                <w:bCs/>
                <w:color w:val="auto"/>
                <w:kern w:val="0"/>
                <w:szCs w:val="21"/>
                <w:highlight w:val="none"/>
                <w:lang w:bidi="ar"/>
              </w:rPr>
              <w:t>包含特种车辆合格证、原车底盘合格证、车辆一致性证书、国家环保合格证、CCC 证书、车载设备合格证、车辆说明书、车载设备使用手册等。可满足国内公路运输条件（省级以上公路按照40 km/h～100 km/h速度进行运输，碎石路（或土路）按照20 km/h～40 km/h速度进行装箱运输），经过运输后，所有零件不破损、不松动，安装架设后能正常工作。</w:t>
            </w:r>
          </w:p>
          <w:p w14:paraId="754DE5F7">
            <w:pPr>
              <w:widowControl/>
              <w:snapToGrid w:val="0"/>
              <w:textAlignment w:val="auto"/>
              <w:rPr>
                <w:rFonts w:ascii="宋体" w:hAnsi="宋体" w:eastAsia="宋体" w:cs="宋体"/>
                <w:b/>
                <w:bCs/>
                <w:color w:val="auto"/>
                <w:kern w:val="0"/>
                <w:szCs w:val="21"/>
                <w:highlight w:val="none"/>
                <w:lang w:bidi="ar"/>
              </w:rPr>
            </w:pPr>
            <w:r>
              <w:rPr>
                <w:rFonts w:hint="eastAsia" w:ascii="宋体" w:hAnsi="宋体" w:eastAsia="宋体" w:cs="宋体"/>
                <w:color w:val="auto"/>
                <w:kern w:val="0"/>
                <w:szCs w:val="21"/>
                <w:highlight w:val="none"/>
                <w:lang w:bidi="ar"/>
              </w:rPr>
              <w:t>1.二类汽车底盘:具备高强度车架结构，能承载车身、动力系统及改装设备的重量，同时通过发动机、传动系统实现自主行驶，满足基本的移动需求。</w:t>
            </w:r>
          </w:p>
          <w:p w14:paraId="6712F556">
            <w:pPr>
              <w:widowControl/>
              <w:snapToGrid w:val="0"/>
              <w:ind w:firstLine="0" w:firstLineChars="0"/>
              <w:textAlignment w:val="auto"/>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（1）最高车速≥95km/h</w:t>
            </w:r>
          </w:p>
          <w:p w14:paraId="3B09CD9C">
            <w:pPr>
              <w:widowControl/>
              <w:snapToGrid w:val="0"/>
              <w:ind w:firstLine="0" w:firstLineChars="0"/>
              <w:textAlignment w:val="auto"/>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（2）最大爬坡度≥30%</w:t>
            </w:r>
          </w:p>
          <w:p w14:paraId="5444B1A1">
            <w:pPr>
              <w:snapToGrid w:val="0"/>
              <w:ind w:firstLine="0" w:firstLineChars="0"/>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（3）公路续驶里程≥600km</w:t>
            </w:r>
          </w:p>
          <w:p w14:paraId="67D0A767">
            <w:pPr>
              <w:snapToGrid w:val="0"/>
              <w:ind w:firstLine="0" w:firstLineChars="0"/>
              <w:rPr>
                <w:rFonts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（4）驱动方式6*6或6*4</w:t>
            </w:r>
          </w:p>
          <w:p w14:paraId="30620BAE">
            <w:pPr>
              <w:snapToGrid w:val="0"/>
              <w:ind w:firstLine="0" w:firstLineChars="0"/>
              <w:rPr>
                <w:rFonts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（5）发动机功率：≥257kw</w:t>
            </w:r>
          </w:p>
          <w:p w14:paraId="683FA8DB">
            <w:pPr>
              <w:snapToGrid w:val="0"/>
              <w:rPr>
                <w:rFonts w:ascii="宋体" w:hAnsi="宋体" w:eastAsia="宋体" w:cs="宋体"/>
                <w:b/>
                <w:bCs/>
                <w:color w:val="auto"/>
                <w:kern w:val="0"/>
                <w:szCs w:val="21"/>
                <w:highlight w:val="none"/>
                <w:lang w:bidi="ar"/>
              </w:rPr>
            </w:pPr>
            <w:r>
              <w:rPr>
                <w:rFonts w:hint="eastAsia" w:ascii="宋体" w:hAnsi="宋体" w:eastAsia="宋体" w:cs="宋体"/>
                <w:color w:val="auto"/>
                <w:kern w:val="0"/>
                <w:szCs w:val="21"/>
                <w:highlight w:val="none"/>
                <w:lang w:bidi="ar"/>
              </w:rPr>
              <w:t>2.电动调平支腿：单腿承重≥10吨，调平精度≤0.1°，能够检测车体水平状态，并具有自动和手动调平能力。调平系统具备限位报警、过流报警等功能；具备水平姿态角及工作状态或故障的实时显示功能；在紧急情况下有急停按钮，在系统失电时具备长期锁定能力。</w:t>
            </w:r>
          </w:p>
          <w:p w14:paraId="5EA5485F">
            <w:pPr>
              <w:snapToGrid w:val="0"/>
              <w:rPr>
                <w:rFonts w:ascii="宋体" w:hAnsi="宋体" w:eastAsia="宋体" w:cs="宋体"/>
                <w:b/>
                <w:bCs/>
                <w:color w:val="auto"/>
                <w:kern w:val="0"/>
                <w:szCs w:val="21"/>
                <w:highlight w:val="none"/>
                <w:lang w:bidi="ar"/>
              </w:rPr>
            </w:pPr>
            <w:r>
              <w:rPr>
                <w:rFonts w:hint="eastAsia" w:ascii="宋体" w:hAnsi="宋体" w:eastAsia="宋体" w:cs="宋体"/>
                <w:color w:val="auto"/>
                <w:kern w:val="0"/>
                <w:szCs w:val="21"/>
                <w:highlight w:val="none"/>
                <w:lang w:bidi="ar"/>
              </w:rPr>
              <w:t>3.副车架：副车架纵梁采用高强度方管及汽车大梁板折弯压制成型的横梁焊而成。副车架上面铺设花纹铝板。</w:t>
            </w:r>
          </w:p>
          <w:p w14:paraId="23FEC5B1">
            <w:pPr>
              <w:snapToGrid w:val="0"/>
              <w:rPr>
                <w:rFonts w:ascii="宋体" w:hAnsi="宋体" w:eastAsia="宋体" w:cs="宋体"/>
                <w:b/>
                <w:bCs/>
                <w:color w:val="auto"/>
                <w:kern w:val="0"/>
                <w:szCs w:val="21"/>
                <w:highlight w:val="none"/>
                <w:lang w:bidi="ar"/>
              </w:rPr>
            </w:pPr>
            <w:r>
              <w:rPr>
                <w:rFonts w:hint="eastAsia" w:ascii="宋体" w:hAnsi="宋体" w:eastAsia="宋体" w:cs="宋体"/>
                <w:color w:val="auto"/>
                <w:kern w:val="0"/>
                <w:szCs w:val="21"/>
                <w:highlight w:val="none"/>
                <w:lang w:bidi="ar"/>
              </w:rPr>
              <w:t>4.工具箱：箱体以优质冷轧钢板为材料，折弯成框架，通过满焊成型，门板与门框的封闭结构有水密作用，并镶嵌有水气密封条；箱体锁具采用圆柱锁，锁体为不锈钢结构。箱体及其框架涂覆工艺同副车架结构。</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21876">
            <w:pPr>
              <w:snapToGrid w:val="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4209D">
            <w:pPr>
              <w:snapToGrid w:val="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辆</w:t>
            </w:r>
          </w:p>
        </w:tc>
      </w:tr>
      <w:tr w14:paraId="1F708EAF">
        <w:tblPrEx>
          <w:tblCellMar>
            <w:top w:w="0" w:type="dxa"/>
            <w:left w:w="108" w:type="dxa"/>
            <w:bottom w:w="0" w:type="dxa"/>
            <w:right w:w="108" w:type="dxa"/>
          </w:tblCellMar>
        </w:tblPrEx>
        <w:trPr>
          <w:trHeight w:val="23"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22BAE">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b/>
                <w:bCs/>
                <w:color w:val="auto"/>
                <w:kern w:val="0"/>
                <w:szCs w:val="21"/>
                <w:highlight w:val="none"/>
                <w:lang w:bidi="ar"/>
              </w:rPr>
              <w:t>2</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07B10">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b/>
                <w:bCs/>
                <w:color w:val="auto"/>
                <w:kern w:val="0"/>
                <w:szCs w:val="21"/>
                <w:highlight w:val="none"/>
                <w:lang w:bidi="ar"/>
              </w:rPr>
              <w:t>车载式方舱</w:t>
            </w:r>
          </w:p>
        </w:tc>
        <w:tc>
          <w:tcPr>
            <w:tcW w:w="4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B71CA">
            <w:pPr>
              <w:snapToGrid w:val="0"/>
              <w:ind w:firstLine="422" w:firstLineChars="200"/>
              <w:rPr>
                <w:rFonts w:ascii="宋体" w:hAnsi="宋体" w:eastAsia="宋体" w:cs="宋体"/>
                <w:color w:val="auto"/>
                <w:kern w:val="0"/>
                <w:szCs w:val="21"/>
                <w:highlight w:val="none"/>
                <w:lang w:bidi="ar"/>
              </w:rPr>
            </w:pPr>
            <w:r>
              <w:rPr>
                <w:rFonts w:hint="eastAsia" w:ascii="宋体" w:hAnsi="宋体" w:eastAsia="宋体" w:cs="宋体"/>
                <w:b/>
                <w:bCs/>
                <w:color w:val="auto"/>
                <w:kern w:val="0"/>
                <w:szCs w:val="21"/>
                <w:highlight w:val="none"/>
                <w:lang w:bidi="ar"/>
              </w:rPr>
              <w:t>由设备舱、工作舱、温湿调控系统、供电系统、录像设备、电动天窗、方舱调平仪和便携式大气参数探测设备存储舱等组成。</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F6D58">
            <w:pPr>
              <w:snapToGrid w:val="0"/>
              <w:jc w:val="center"/>
              <w:rPr>
                <w:rFonts w:ascii="宋体" w:hAnsi="宋体" w:eastAsia="宋体" w:cs="宋体"/>
                <w:color w:val="auto"/>
                <w:kern w:val="0"/>
                <w:szCs w:val="21"/>
                <w:highlight w:val="none"/>
                <w:lang w:bidi="ar"/>
              </w:rPr>
            </w:pPr>
            <w:r>
              <w:rPr>
                <w:rFonts w:hint="eastAsia" w:ascii="宋体" w:hAnsi="宋体" w:eastAsia="宋体" w:cs="宋体"/>
                <w:b/>
                <w:bCs/>
                <w:color w:val="auto"/>
                <w:szCs w:val="21"/>
                <w:highlight w:val="none"/>
              </w:rPr>
              <w:t>1</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9BA0F">
            <w:pPr>
              <w:snapToGrid w:val="0"/>
              <w:jc w:val="center"/>
              <w:rPr>
                <w:rFonts w:ascii="宋体" w:hAnsi="宋体" w:eastAsia="宋体" w:cs="宋体"/>
                <w:color w:val="auto"/>
                <w:kern w:val="0"/>
                <w:szCs w:val="21"/>
                <w:highlight w:val="none"/>
                <w:lang w:bidi="ar"/>
              </w:rPr>
            </w:pPr>
            <w:r>
              <w:rPr>
                <w:rFonts w:hint="eastAsia" w:ascii="宋体" w:hAnsi="宋体" w:eastAsia="宋体" w:cs="宋体"/>
                <w:b/>
                <w:bCs/>
                <w:color w:val="auto"/>
                <w:szCs w:val="21"/>
                <w:highlight w:val="none"/>
              </w:rPr>
              <w:t>套</w:t>
            </w:r>
          </w:p>
        </w:tc>
      </w:tr>
      <w:tr w14:paraId="717B11B9">
        <w:tblPrEx>
          <w:tblCellMar>
            <w:top w:w="0" w:type="dxa"/>
            <w:left w:w="108" w:type="dxa"/>
            <w:bottom w:w="0" w:type="dxa"/>
            <w:right w:w="108" w:type="dxa"/>
          </w:tblCellMar>
        </w:tblPrEx>
        <w:trPr>
          <w:trHeight w:val="23"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41AEF">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2.1</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B04E">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szCs w:val="21"/>
                <w:highlight w:val="none"/>
              </w:rPr>
              <w:t>方舱舱体</w:t>
            </w:r>
          </w:p>
        </w:tc>
        <w:tc>
          <w:tcPr>
            <w:tcW w:w="4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E048">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1.方舱主箱体</w:t>
            </w:r>
          </w:p>
          <w:p w14:paraId="131EEC68">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（1）方舱外形尺寸需满足设备探测要求，保证探测设备工作时不会相互影响，采用直角方舱，宽度≤2438 mm，厢体按钢骨架铝合金蒙皮进行制作，外蒙皮选用厚度≥2mm铝板，选用高密度的阻燃聚氨酯泡沫作为夹芯层（隔热芯材），大板中所用的骨架为钢骨架焊接而成，内外蒙皮与骨架粘接固定,厢体骨架整体防腐处理。</w:t>
            </w:r>
          </w:p>
          <w:p w14:paraId="48C3B05C">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（2）内饰型材及外包型材、门结构采用铝型材。</w:t>
            </w:r>
          </w:p>
          <w:p w14:paraId="59676C75">
            <w:pPr>
              <w:widowControl/>
              <w:snapToGrid w:val="0"/>
              <w:textAlignment w:val="center"/>
              <w:rPr>
                <w:color w:val="auto"/>
                <w:highlight w:val="none"/>
              </w:rPr>
            </w:pPr>
            <w:r>
              <w:rPr>
                <w:rFonts w:hint="eastAsia" w:ascii="宋体" w:hAnsi="宋体" w:eastAsia="宋体" w:cs="宋体"/>
                <w:color w:val="auto"/>
                <w:kern w:val="0"/>
                <w:szCs w:val="21"/>
                <w:highlight w:val="none"/>
                <w:lang w:bidi="ar"/>
              </w:rPr>
              <w:t>（3）各开孔和承重处均设置骨架的预埋件，满足车厢的承重要求和安装要求。</w:t>
            </w:r>
          </w:p>
          <w:p w14:paraId="032CAB09">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w:t>
            </w:r>
            <w:r>
              <w:rPr>
                <w:rFonts w:hint="eastAsia" w:ascii="宋体" w:hAnsi="宋体" w:eastAsia="宋体" w:cs="宋体"/>
                <w:color w:val="auto"/>
                <w:szCs w:val="21"/>
                <w:highlight w:val="none"/>
              </w:rPr>
              <w:t>电动滑盖</w:t>
            </w:r>
            <w:r>
              <w:rPr>
                <w:rFonts w:hint="eastAsia" w:ascii="宋体" w:hAnsi="宋体" w:eastAsia="宋体" w:cs="宋体"/>
                <w:color w:val="auto"/>
                <w:kern w:val="0"/>
                <w:szCs w:val="21"/>
                <w:highlight w:val="none"/>
                <w:lang w:bidi="ar"/>
              </w:rPr>
              <w:t>：在毫米波云雷达舱顶设置电动滑盖，设备存放时密封存储，使用时电动滑移打开。</w:t>
            </w:r>
          </w:p>
          <w:p w14:paraId="039D6F68">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（1）滑盖可电动操作，同时具有手动功能；</w:t>
            </w:r>
          </w:p>
          <w:p w14:paraId="1BF762F9">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（2）滑盖移动速度：≥6 mm/s；</w:t>
            </w:r>
          </w:p>
          <w:p w14:paraId="0C858FE3">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（3）滑盖开关时间：≤7 min；</w:t>
            </w:r>
          </w:p>
          <w:p w14:paraId="6B4B621C">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（4）雷达升降过程和升顶到位期间舱顶滑盖电机具有防雨功能；</w:t>
            </w:r>
          </w:p>
          <w:p w14:paraId="44683B54">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（5）滑盖保护，设置机械限位保护及系统软件保护，软件保护的到位传感器采用双冗余设计；</w:t>
            </w:r>
          </w:p>
          <w:p w14:paraId="2E10BCC3">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（6）滑盖机构要求操作简单、方便，维修方便；</w:t>
            </w:r>
          </w:p>
          <w:p w14:paraId="561B5531">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（7）滑盖打开、关闭到位时设置机械限位，防止滑盖脱轨；</w:t>
            </w:r>
          </w:p>
          <w:p w14:paraId="35B7F9EA">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（8）滑盖关闭后具有防雨功能。</w:t>
            </w:r>
          </w:p>
          <w:p w14:paraId="309C2BEF">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3</w:t>
            </w:r>
            <w:r>
              <w:rPr>
                <w:rFonts w:hint="eastAsia" w:ascii="宋体" w:hAnsi="宋体" w:eastAsia="宋体" w:cs="宋体"/>
                <w:color w:val="auto"/>
                <w:kern w:val="0"/>
                <w:szCs w:val="21"/>
                <w:highlight w:val="none"/>
                <w:lang w:bidi="ar"/>
              </w:rPr>
              <w:t>.</w:t>
            </w:r>
            <w:r>
              <w:rPr>
                <w:rFonts w:hint="eastAsia" w:ascii="宋体" w:hAnsi="宋体" w:eastAsia="宋体" w:cs="宋体"/>
                <w:color w:val="auto"/>
                <w:szCs w:val="21"/>
                <w:highlight w:val="none"/>
              </w:rPr>
              <w:t>举升平台</w:t>
            </w:r>
          </w:p>
          <w:p w14:paraId="40B84A1E">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（1）升降平台行程：≥1900 mm；</w:t>
            </w:r>
          </w:p>
          <w:p w14:paraId="02FAB8E3">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（2）升降平台移动速度：≥4 mm/s；</w:t>
            </w:r>
          </w:p>
          <w:p w14:paraId="3FB03667">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（3）升降平台-承载能力：≥1.5吨；</w:t>
            </w:r>
          </w:p>
          <w:p w14:paraId="5847CE8A">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（4）平台升降时间≤8 min；</w:t>
            </w:r>
          </w:p>
          <w:p w14:paraId="12A1C014">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（5）升降平台接水盒接水量：≥6 mm/s；</w:t>
            </w:r>
          </w:p>
          <w:p w14:paraId="3B6D9B2A">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（6）电机防护等级≥IP67；</w:t>
            </w:r>
          </w:p>
          <w:p w14:paraId="4EB95B72">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7）安全操作保护：雷达未回正时或天线未顶置时不能下降，举升机构操作将被车载主控服务器禁用，雷达未升顶时不能进行伺服动作，雷达伺服动作功能将被车载主控服务器禁用，举升机构舱顶滑盖、举升平台等设备到位、禁用/解禁、诊断、运行状态应通过通讯接口实时上传给车载主控软件，</w:t>
            </w:r>
            <w:r>
              <w:rPr>
                <w:rFonts w:hint="eastAsia" w:ascii="宋体" w:hAnsi="宋体" w:eastAsia="宋体" w:cs="宋体"/>
                <w:color w:val="auto"/>
                <w:kern w:val="0"/>
                <w:szCs w:val="21"/>
                <w:highlight w:val="none"/>
                <w:lang w:val="en-US" w:eastAsia="zh-CN" w:bidi="ar"/>
              </w:rPr>
              <w:t>采购人</w:t>
            </w:r>
            <w:r>
              <w:rPr>
                <w:rFonts w:hint="eastAsia" w:ascii="宋体" w:hAnsi="宋体" w:eastAsia="宋体" w:cs="宋体"/>
                <w:color w:val="auto"/>
                <w:kern w:val="0"/>
                <w:szCs w:val="21"/>
                <w:highlight w:val="none"/>
                <w:lang w:bidi="ar"/>
              </w:rPr>
              <w:t>可实时监控模组架设状态；</w:t>
            </w:r>
          </w:p>
          <w:p w14:paraId="55D185D2">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（8）升降保护：设置机械限位保护及系统软件保护,软件保护的到位传感器采用双冗余设计；</w:t>
            </w:r>
          </w:p>
          <w:p w14:paraId="73DAF492">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（9）操作方式：电动/手动；</w:t>
            </w:r>
          </w:p>
          <w:p w14:paraId="4CD93F0A">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具备限位功能和限位提示。</w:t>
            </w:r>
          </w:p>
          <w:p w14:paraId="3821BE27">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4</w:t>
            </w:r>
            <w:r>
              <w:rPr>
                <w:rFonts w:hint="eastAsia" w:ascii="宋体" w:hAnsi="宋体" w:eastAsia="宋体" w:cs="宋体"/>
                <w:color w:val="auto"/>
                <w:kern w:val="0"/>
                <w:szCs w:val="21"/>
                <w:highlight w:val="none"/>
                <w:lang w:bidi="ar"/>
              </w:rPr>
              <w:t>.</w:t>
            </w:r>
            <w:r>
              <w:rPr>
                <w:rFonts w:hint="eastAsia" w:ascii="宋体" w:hAnsi="宋体" w:eastAsia="宋体" w:cs="宋体"/>
                <w:color w:val="auto"/>
                <w:szCs w:val="21"/>
                <w:highlight w:val="none"/>
              </w:rPr>
              <w:t>登舱门：</w:t>
            </w:r>
            <w:r>
              <w:rPr>
                <w:rFonts w:hint="eastAsia" w:ascii="宋体" w:hAnsi="宋体" w:eastAsia="宋体" w:cs="宋体"/>
                <w:color w:val="auto"/>
                <w:kern w:val="0"/>
                <w:szCs w:val="21"/>
                <w:highlight w:val="none"/>
                <w:lang w:bidi="ar"/>
              </w:rPr>
              <w:t>侧开门开启角度≥90°，采用三点锁紧机构，入户门配备机械锁，在舱内能够将门打开。</w:t>
            </w:r>
          </w:p>
          <w:p w14:paraId="584C1808">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5</w:t>
            </w:r>
            <w:r>
              <w:rPr>
                <w:rFonts w:hint="eastAsia" w:ascii="宋体" w:hAnsi="宋体" w:eastAsia="宋体" w:cs="宋体"/>
                <w:color w:val="auto"/>
                <w:kern w:val="0"/>
                <w:szCs w:val="21"/>
                <w:highlight w:val="none"/>
                <w:lang w:bidi="ar"/>
              </w:rPr>
              <w:t>.</w:t>
            </w:r>
            <w:r>
              <w:rPr>
                <w:rFonts w:hint="eastAsia" w:ascii="宋体" w:hAnsi="宋体" w:eastAsia="宋体" w:cs="宋体"/>
                <w:color w:val="auto"/>
                <w:szCs w:val="21"/>
                <w:highlight w:val="none"/>
              </w:rPr>
              <w:t>采光窗（1套）：</w:t>
            </w:r>
            <w:r>
              <w:rPr>
                <w:rFonts w:hint="eastAsia" w:ascii="宋体" w:hAnsi="宋体" w:eastAsia="宋体" w:cs="宋体"/>
                <w:color w:val="auto"/>
                <w:kern w:val="0"/>
                <w:szCs w:val="21"/>
                <w:highlight w:val="none"/>
                <w:lang w:bidi="ar"/>
              </w:rPr>
              <w:t>外推窗，采用双层钢化玻璃，无卡滞现象。</w:t>
            </w:r>
          </w:p>
          <w:p w14:paraId="176C2BCE">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6</w:t>
            </w:r>
            <w:r>
              <w:rPr>
                <w:rFonts w:hint="eastAsia" w:ascii="宋体" w:hAnsi="宋体" w:eastAsia="宋体" w:cs="宋体"/>
                <w:color w:val="auto"/>
                <w:kern w:val="0"/>
                <w:szCs w:val="21"/>
                <w:highlight w:val="none"/>
                <w:lang w:bidi="ar"/>
              </w:rPr>
              <w:t>.</w:t>
            </w:r>
            <w:r>
              <w:rPr>
                <w:rFonts w:hint="eastAsia" w:ascii="宋体" w:hAnsi="宋体" w:eastAsia="宋体" w:cs="宋体"/>
                <w:color w:val="auto"/>
                <w:szCs w:val="21"/>
                <w:highlight w:val="none"/>
              </w:rPr>
              <w:t>发电机检修门：</w:t>
            </w:r>
            <w:r>
              <w:rPr>
                <w:rFonts w:hint="eastAsia" w:ascii="宋体" w:hAnsi="宋体" w:eastAsia="宋体" w:cs="宋体"/>
                <w:color w:val="auto"/>
                <w:kern w:val="0"/>
                <w:szCs w:val="21"/>
                <w:highlight w:val="none"/>
                <w:lang w:bidi="ar"/>
              </w:rPr>
              <w:t>采用高强度铝合金结构，门板上配备百叶窗式格栅，用于设备通风散热。</w:t>
            </w:r>
          </w:p>
          <w:p w14:paraId="5F593479">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7</w:t>
            </w:r>
            <w:r>
              <w:rPr>
                <w:rFonts w:hint="eastAsia" w:ascii="宋体" w:hAnsi="宋体" w:eastAsia="宋体" w:cs="宋体"/>
                <w:color w:val="auto"/>
                <w:kern w:val="0"/>
                <w:szCs w:val="21"/>
                <w:highlight w:val="none"/>
                <w:lang w:bidi="ar"/>
              </w:rPr>
              <w:t>.</w:t>
            </w:r>
            <w:r>
              <w:rPr>
                <w:rFonts w:hint="eastAsia" w:ascii="宋体" w:hAnsi="宋体" w:eastAsia="宋体" w:cs="宋体"/>
                <w:color w:val="auto"/>
                <w:szCs w:val="21"/>
                <w:highlight w:val="none"/>
              </w:rPr>
              <w:t>采光窗帘：</w:t>
            </w:r>
            <w:r>
              <w:rPr>
                <w:rFonts w:hint="eastAsia" w:ascii="宋体" w:hAnsi="宋体" w:eastAsia="宋体" w:cs="宋体"/>
                <w:color w:val="auto"/>
                <w:kern w:val="0"/>
                <w:szCs w:val="21"/>
                <w:highlight w:val="none"/>
                <w:lang w:bidi="ar"/>
              </w:rPr>
              <w:t>采用避光防蚊一体式窗帘。</w:t>
            </w:r>
          </w:p>
          <w:p w14:paraId="422F8110">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8</w:t>
            </w:r>
            <w:r>
              <w:rPr>
                <w:rFonts w:hint="eastAsia" w:ascii="宋体" w:hAnsi="宋体" w:eastAsia="宋体" w:cs="宋体"/>
                <w:color w:val="auto"/>
                <w:kern w:val="0"/>
                <w:szCs w:val="21"/>
                <w:highlight w:val="none"/>
                <w:lang w:bidi="ar"/>
              </w:rPr>
              <w:t>.</w:t>
            </w:r>
            <w:r>
              <w:rPr>
                <w:rFonts w:hint="eastAsia" w:ascii="宋体" w:hAnsi="宋体" w:eastAsia="宋体" w:cs="宋体"/>
                <w:color w:val="auto"/>
                <w:szCs w:val="21"/>
                <w:highlight w:val="none"/>
              </w:rPr>
              <w:t>设备机柜：</w:t>
            </w:r>
            <w:r>
              <w:rPr>
                <w:rFonts w:hint="eastAsia" w:ascii="宋体" w:hAnsi="宋体" w:eastAsia="宋体" w:cs="宋体"/>
                <w:color w:val="auto"/>
                <w:kern w:val="0"/>
                <w:szCs w:val="21"/>
                <w:highlight w:val="none"/>
                <w:lang w:bidi="ar"/>
              </w:rPr>
              <w:t>标准19英寸机架，表面喷塑，包含安装件、减震等，尺寸符合设备上装要求。</w:t>
            </w:r>
          </w:p>
          <w:p w14:paraId="631BF396">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9</w:t>
            </w:r>
            <w:r>
              <w:rPr>
                <w:rFonts w:hint="eastAsia" w:ascii="宋体" w:hAnsi="宋体" w:eastAsia="宋体" w:cs="宋体"/>
                <w:color w:val="auto"/>
                <w:kern w:val="0"/>
                <w:szCs w:val="21"/>
                <w:highlight w:val="none"/>
                <w:lang w:bidi="ar"/>
              </w:rPr>
              <w:t>.</w:t>
            </w:r>
            <w:r>
              <w:rPr>
                <w:rFonts w:hint="eastAsia" w:ascii="宋体" w:hAnsi="宋体" w:eastAsia="宋体" w:cs="宋体"/>
                <w:color w:val="auto"/>
                <w:szCs w:val="21"/>
                <w:highlight w:val="none"/>
              </w:rPr>
              <w:t>舱体地板：</w:t>
            </w:r>
            <w:r>
              <w:rPr>
                <w:rFonts w:hint="eastAsia" w:ascii="宋体" w:hAnsi="宋体" w:eastAsia="宋体" w:cs="宋体"/>
                <w:color w:val="auto"/>
                <w:kern w:val="0"/>
                <w:szCs w:val="21"/>
                <w:highlight w:val="none"/>
                <w:lang w:bidi="ar"/>
              </w:rPr>
              <w:t>操作区表面铺地板革，发电机区、毫米波云雷达安装区域铺设花纹铝板，毫米波云雷达安装区域设计排水功能，避免积水流向舱室隔断墙。</w:t>
            </w:r>
          </w:p>
          <w:p w14:paraId="392D9353">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val="en-US" w:eastAsia="zh-CN" w:bidi="ar"/>
              </w:rPr>
              <w:t>0</w:t>
            </w:r>
            <w:r>
              <w:rPr>
                <w:rFonts w:hint="eastAsia" w:ascii="宋体" w:hAnsi="宋体" w:eastAsia="宋体" w:cs="宋体"/>
                <w:color w:val="auto"/>
                <w:kern w:val="0"/>
                <w:szCs w:val="21"/>
                <w:highlight w:val="none"/>
                <w:lang w:bidi="ar"/>
              </w:rPr>
              <w:t>.</w:t>
            </w:r>
            <w:r>
              <w:rPr>
                <w:rFonts w:hint="eastAsia" w:ascii="宋体" w:hAnsi="宋体" w:eastAsia="宋体" w:cs="宋体"/>
                <w:color w:val="auto"/>
                <w:szCs w:val="21"/>
                <w:highlight w:val="none"/>
              </w:rPr>
              <w:t>舱内基础内饰（1套）：</w:t>
            </w:r>
            <w:r>
              <w:rPr>
                <w:rFonts w:hint="eastAsia" w:ascii="宋体" w:hAnsi="宋体" w:eastAsia="宋体" w:cs="宋体"/>
                <w:color w:val="auto"/>
                <w:kern w:val="0"/>
                <w:szCs w:val="21"/>
                <w:highlight w:val="none"/>
                <w:lang w:bidi="ar"/>
              </w:rPr>
              <w:t>对厢体内部进行平整处理，操作区表面喷漆或软包装饰，发电区、毫米波云雷达安装区域墙面喷漆处理。</w:t>
            </w:r>
          </w:p>
          <w:p w14:paraId="436DD687">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w:t>
            </w:r>
            <w:r>
              <w:rPr>
                <w:rFonts w:hint="eastAsia" w:ascii="宋体" w:hAnsi="宋体" w:eastAsia="宋体" w:cs="宋体"/>
                <w:color w:val="auto"/>
                <w:szCs w:val="21"/>
                <w:highlight w:val="none"/>
              </w:rPr>
              <w:t>机柜台面：</w:t>
            </w:r>
            <w:r>
              <w:rPr>
                <w:rFonts w:hint="eastAsia" w:ascii="宋体" w:hAnsi="宋体" w:eastAsia="宋体" w:cs="宋体"/>
                <w:color w:val="auto"/>
                <w:kern w:val="0"/>
                <w:szCs w:val="21"/>
                <w:highlight w:val="none"/>
                <w:lang w:bidi="ar"/>
              </w:rPr>
              <w:t>采用环保免漆板制作。</w:t>
            </w:r>
          </w:p>
          <w:p w14:paraId="2F68C686">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w:t>
            </w:r>
            <w:r>
              <w:rPr>
                <w:rFonts w:hint="eastAsia" w:ascii="宋体" w:hAnsi="宋体" w:eastAsia="宋体" w:cs="宋体"/>
                <w:color w:val="auto"/>
                <w:szCs w:val="21"/>
                <w:highlight w:val="none"/>
              </w:rPr>
              <w:t>操作员座椅：</w:t>
            </w:r>
            <w:r>
              <w:rPr>
                <w:rFonts w:hint="eastAsia" w:ascii="宋体" w:hAnsi="宋体" w:eastAsia="宋体" w:cs="宋体"/>
                <w:color w:val="auto"/>
                <w:kern w:val="0"/>
                <w:szCs w:val="21"/>
                <w:highlight w:val="none"/>
                <w:lang w:bidi="ar"/>
              </w:rPr>
              <w:t>可旋转、前后滑移。</w:t>
            </w:r>
          </w:p>
          <w:p w14:paraId="48DEA210">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val="en-US" w:eastAsia="zh-CN" w:bidi="ar"/>
              </w:rPr>
              <w:t>3</w:t>
            </w:r>
            <w:r>
              <w:rPr>
                <w:rFonts w:hint="eastAsia" w:ascii="宋体" w:hAnsi="宋体" w:eastAsia="宋体" w:cs="宋体"/>
                <w:color w:val="auto"/>
                <w:kern w:val="0"/>
                <w:szCs w:val="21"/>
                <w:highlight w:val="none"/>
                <w:lang w:bidi="ar"/>
              </w:rPr>
              <w:t>.</w:t>
            </w:r>
            <w:r>
              <w:rPr>
                <w:rFonts w:hint="eastAsia" w:ascii="宋体" w:hAnsi="宋体" w:eastAsia="宋体" w:cs="宋体"/>
                <w:color w:val="auto"/>
                <w:szCs w:val="21"/>
                <w:highlight w:val="none"/>
              </w:rPr>
              <w:t>油漆及外饰：</w:t>
            </w:r>
            <w:r>
              <w:rPr>
                <w:rFonts w:hint="eastAsia" w:ascii="宋体" w:hAnsi="宋体" w:eastAsia="宋体" w:cs="宋体"/>
                <w:color w:val="auto"/>
                <w:kern w:val="0"/>
                <w:szCs w:val="21"/>
                <w:highlight w:val="none"/>
                <w:lang w:bidi="ar"/>
              </w:rPr>
              <w:t>专业烤漆房烤漆，外观贴字根据</w:t>
            </w:r>
            <w:r>
              <w:rPr>
                <w:rFonts w:hint="eastAsia" w:ascii="宋体" w:hAnsi="宋体" w:eastAsia="宋体" w:cs="宋体"/>
                <w:color w:val="auto"/>
                <w:kern w:val="0"/>
                <w:szCs w:val="21"/>
                <w:highlight w:val="none"/>
                <w:lang w:val="en-US" w:eastAsia="zh-CN" w:bidi="ar"/>
              </w:rPr>
              <w:t>采购人</w:t>
            </w:r>
            <w:r>
              <w:rPr>
                <w:rFonts w:hint="eastAsia" w:ascii="宋体" w:hAnsi="宋体" w:eastAsia="宋体" w:cs="宋体"/>
                <w:color w:val="auto"/>
                <w:kern w:val="0"/>
                <w:szCs w:val="21"/>
                <w:highlight w:val="none"/>
                <w:lang w:bidi="ar"/>
              </w:rPr>
              <w:t>需求定制。</w:t>
            </w:r>
          </w:p>
          <w:p w14:paraId="7DC465F7">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val="en-US" w:eastAsia="zh-CN" w:bidi="ar"/>
              </w:rPr>
              <w:t>4</w:t>
            </w:r>
            <w:r>
              <w:rPr>
                <w:rFonts w:hint="eastAsia" w:ascii="宋体" w:hAnsi="宋体" w:eastAsia="宋体" w:cs="宋体"/>
                <w:color w:val="auto"/>
                <w:kern w:val="0"/>
                <w:szCs w:val="21"/>
                <w:highlight w:val="none"/>
                <w:lang w:bidi="ar"/>
              </w:rPr>
              <w:t>.</w:t>
            </w:r>
            <w:r>
              <w:rPr>
                <w:rFonts w:hint="eastAsia" w:ascii="宋体" w:hAnsi="宋体" w:eastAsia="宋体" w:cs="宋体"/>
                <w:color w:val="auto"/>
                <w:szCs w:val="21"/>
                <w:highlight w:val="none"/>
              </w:rPr>
              <w:t>车内外照明系统：</w:t>
            </w:r>
            <w:r>
              <w:rPr>
                <w:rFonts w:hint="eastAsia" w:ascii="宋体" w:hAnsi="宋体" w:eastAsia="宋体" w:cs="宋体"/>
                <w:color w:val="auto"/>
                <w:kern w:val="0"/>
                <w:szCs w:val="21"/>
                <w:highlight w:val="none"/>
                <w:lang w:bidi="ar"/>
              </w:rPr>
              <w:t>车内外LED照明灯满足工作及车外场地照明需求。</w:t>
            </w:r>
          </w:p>
          <w:p w14:paraId="05777EF5">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val="en-US" w:eastAsia="zh-CN" w:bidi="ar"/>
              </w:rPr>
              <w:t>5</w:t>
            </w:r>
            <w:r>
              <w:rPr>
                <w:rFonts w:hint="eastAsia" w:ascii="宋体" w:hAnsi="宋体" w:eastAsia="宋体" w:cs="宋体"/>
                <w:color w:val="auto"/>
                <w:kern w:val="0"/>
                <w:szCs w:val="21"/>
                <w:highlight w:val="none"/>
                <w:lang w:bidi="ar"/>
              </w:rPr>
              <w:t>.车内配备温湿调控系统：满足车内工作温度和湿度控制需求。</w:t>
            </w:r>
          </w:p>
          <w:p w14:paraId="45E3FF91">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val="en-US" w:eastAsia="zh-CN" w:bidi="ar"/>
              </w:rPr>
              <w:t>6</w:t>
            </w:r>
            <w:r>
              <w:rPr>
                <w:rFonts w:hint="eastAsia" w:ascii="宋体" w:hAnsi="宋体" w:eastAsia="宋体" w:cs="宋体"/>
                <w:color w:val="auto"/>
                <w:kern w:val="0"/>
                <w:szCs w:val="21"/>
                <w:highlight w:val="none"/>
                <w:lang w:bidi="ar"/>
              </w:rPr>
              <w:t>.</w:t>
            </w:r>
            <w:r>
              <w:rPr>
                <w:rFonts w:hint="eastAsia" w:ascii="宋体" w:hAnsi="宋体" w:eastAsia="宋体" w:cs="宋体"/>
                <w:color w:val="auto"/>
                <w:szCs w:val="21"/>
                <w:highlight w:val="none"/>
              </w:rPr>
              <w:t>其他辅助设施：</w:t>
            </w:r>
            <w:r>
              <w:rPr>
                <w:rFonts w:hint="eastAsia" w:ascii="宋体" w:hAnsi="宋体" w:eastAsia="宋体" w:cs="宋体"/>
                <w:color w:val="auto"/>
                <w:kern w:val="0"/>
                <w:szCs w:val="21"/>
                <w:highlight w:val="none"/>
                <w:lang w:bidi="ar"/>
              </w:rPr>
              <w:t>配备灭火器、综合布线、集成制作等附件耗材，包含波纹管、胶带、扎带、接插件等。</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2815">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szCs w:val="21"/>
                <w:highlight w:val="none"/>
              </w:rPr>
              <w:t>1</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AC381">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szCs w:val="21"/>
                <w:highlight w:val="none"/>
              </w:rPr>
              <w:t>套</w:t>
            </w:r>
          </w:p>
        </w:tc>
      </w:tr>
      <w:tr w14:paraId="312576C4">
        <w:tblPrEx>
          <w:tblCellMar>
            <w:top w:w="0" w:type="dxa"/>
            <w:left w:w="108" w:type="dxa"/>
            <w:bottom w:w="0" w:type="dxa"/>
            <w:right w:w="108" w:type="dxa"/>
          </w:tblCellMar>
        </w:tblPrEx>
        <w:trPr>
          <w:trHeight w:val="23"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9F9C">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2.2</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66812">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供电系统</w:t>
            </w:r>
          </w:p>
        </w:tc>
        <w:tc>
          <w:tcPr>
            <w:tcW w:w="4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B9B9">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1.市电接入：</w:t>
            </w:r>
            <w:r>
              <w:rPr>
                <w:rFonts w:hint="eastAsia" w:ascii="宋体" w:hAnsi="宋体" w:eastAsia="宋体" w:cs="宋体"/>
                <w:color w:val="auto"/>
                <w:szCs w:val="21"/>
                <w:highlight w:val="none"/>
              </w:rPr>
              <w:t>具备1路供电电压380×（1±10%）V、频率50×（1±5%）Hz或1路供电电压220×（1±10%）V、频率50×（1±5%）Hz，总功率可满足方舱内所有用电设备正常运行，并预留不低于30%功率冗余，配备满足功率的手动或电动市电线缆轴长度≥45米；配备满足功率的市电对接插头。</w:t>
            </w:r>
          </w:p>
          <w:p w14:paraId="19442C6C">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2.静音发电机</w:t>
            </w:r>
          </w:p>
          <w:p w14:paraId="645EF56E">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（1）额定频率：50HZ；</w:t>
            </w:r>
          </w:p>
          <w:p w14:paraId="1A937A24">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（2）额定输出功率：可满足方舱内所有用电设备正常运行，并预留不低于30%功率冗余；</w:t>
            </w:r>
          </w:p>
          <w:p w14:paraId="15B9C4A9">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（3）额定电压：230V或400V；</w:t>
            </w:r>
          </w:p>
          <w:p w14:paraId="2414B363">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（4）机组连续运行时间：≥8h；</w:t>
            </w:r>
          </w:p>
          <w:p w14:paraId="70C07FCA">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（5）噪音（1m处）：≤75dB(A)；</w:t>
            </w:r>
          </w:p>
          <w:p w14:paraId="62F55DC9">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额定电压支持车内用电设备运行。</w:t>
            </w:r>
          </w:p>
          <w:p w14:paraId="1CA66DC8">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w:t>
            </w:r>
            <w:r>
              <w:rPr>
                <w:rFonts w:hint="eastAsia" w:ascii="宋体" w:hAnsi="宋体" w:eastAsia="宋体" w:cs="宋体"/>
                <w:color w:val="auto"/>
                <w:szCs w:val="21"/>
                <w:highlight w:val="none"/>
              </w:rPr>
              <w:t>UPS不间断电源：</w:t>
            </w:r>
            <w:r>
              <w:rPr>
                <w:rFonts w:hint="eastAsia" w:ascii="宋体" w:hAnsi="宋体" w:eastAsia="宋体" w:cs="宋体"/>
                <w:color w:val="auto"/>
                <w:kern w:val="0"/>
                <w:szCs w:val="21"/>
                <w:highlight w:val="none"/>
                <w:lang w:bidi="ar"/>
              </w:rPr>
              <w:t>在线式UPS,额定容量可满足方舱内所有用电设备正常运行及不低于30%冗余储备，额定电压支持车内用电设备运行,电池容量满足UPS主机正常运行。</w:t>
            </w:r>
          </w:p>
          <w:p w14:paraId="0C5934C7">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4.配电箱：</w:t>
            </w:r>
            <w:r>
              <w:rPr>
                <w:rFonts w:hint="eastAsia" w:ascii="宋体" w:hAnsi="宋体" w:eastAsia="宋体" w:cs="Times New Roman"/>
                <w:color w:val="auto"/>
                <w:szCs w:val="21"/>
                <w:highlight w:val="none"/>
              </w:rPr>
              <w:t>集中式电源管理系统，含支路开关、指示灯、电源电压电流显示等，开关分别控制空调、设备用电等；配电盘面板为数控机床加工，表面喷塑处理。</w:t>
            </w:r>
          </w:p>
          <w:p w14:paraId="1EC4874D">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5.全车接地：</w:t>
            </w:r>
            <w:r>
              <w:rPr>
                <w:rFonts w:hint="eastAsia" w:ascii="宋体" w:hAnsi="宋体" w:eastAsia="宋体" w:cs="Times New Roman"/>
                <w:color w:val="auto"/>
                <w:szCs w:val="21"/>
                <w:highlight w:val="none"/>
              </w:rPr>
              <w:t>含接地桩、接地线，电源防浪涌装置。</w:t>
            </w:r>
          </w:p>
          <w:p w14:paraId="7E84E437">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6.对外接口板：</w:t>
            </w:r>
            <w:r>
              <w:rPr>
                <w:rFonts w:hint="eastAsia" w:ascii="Times New Roman" w:hAnsi="Times New Roman" w:eastAsia="宋体" w:cs="Times New Roman"/>
                <w:color w:val="auto"/>
                <w:kern w:val="0"/>
                <w:szCs w:val="21"/>
                <w:highlight w:val="none"/>
                <w:lang w:bidi="ar"/>
              </w:rPr>
              <w:t>含电源、数据传输接口。</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0A555">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44D3E">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套</w:t>
            </w:r>
          </w:p>
        </w:tc>
      </w:tr>
      <w:tr w14:paraId="4350518F">
        <w:tblPrEx>
          <w:tblCellMar>
            <w:top w:w="0" w:type="dxa"/>
            <w:left w:w="108" w:type="dxa"/>
            <w:bottom w:w="0" w:type="dxa"/>
            <w:right w:w="108" w:type="dxa"/>
          </w:tblCellMar>
        </w:tblPrEx>
        <w:trPr>
          <w:trHeight w:val="23"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076A4">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2.3</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FD2DD">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视频采集及显示系统</w:t>
            </w:r>
          </w:p>
        </w:tc>
        <w:tc>
          <w:tcPr>
            <w:tcW w:w="4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7ED1C">
            <w:pP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1.功能要求：配备舱顶云台摄像机、舱内摄像机、硬盘录像机、</w:t>
            </w:r>
            <w:r>
              <w:rPr>
                <w:rFonts w:hint="eastAsia" w:ascii="宋体" w:hAnsi="宋体" w:eastAsia="宋体" w:cs="宋体"/>
                <w:color w:val="auto"/>
                <w:kern w:val="0"/>
                <w:szCs w:val="21"/>
                <w:highlight w:val="none"/>
                <w:lang w:bidi="ar"/>
              </w:rPr>
              <w:t>配套显示终端</w:t>
            </w:r>
            <w:r>
              <w:rPr>
                <w:rFonts w:hint="eastAsia" w:ascii="Times New Roman" w:hAnsi="Times New Roman" w:eastAsia="宋体" w:cs="Times New Roman"/>
                <w:color w:val="auto"/>
                <w:kern w:val="0"/>
                <w:szCs w:val="21"/>
                <w:highlight w:val="none"/>
                <w:lang w:bidi="ar"/>
              </w:rPr>
              <w:t>、混切矩阵。</w:t>
            </w:r>
          </w:p>
          <w:p w14:paraId="34172189">
            <w:pP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2.技术指标：</w:t>
            </w:r>
          </w:p>
          <w:p w14:paraId="227979B6">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（1）舱顶云台摄像机（1台）</w:t>
            </w:r>
          </w:p>
          <w:p w14:paraId="742F9717">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摄像机镜头技术参数：</w:t>
            </w:r>
          </w:p>
          <w:p w14:paraId="0B1A32F7">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①图像传感器：1/2.8″2.0MP逐行扫描CMOS；</w:t>
            </w:r>
          </w:p>
          <w:p w14:paraId="5CB12C9D">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②镜头倍数：</w:t>
            </w:r>
            <w:r>
              <w:rPr>
                <w:rFonts w:hint="eastAsia" w:ascii="宋体" w:hAnsi="宋体" w:eastAsia="宋体" w:cs="宋体"/>
                <w:color w:val="auto"/>
                <w:kern w:val="0"/>
                <w:szCs w:val="21"/>
                <w:highlight w:val="none"/>
                <w:lang w:val="en-US" w:eastAsia="zh-CN" w:bidi="ar"/>
              </w:rPr>
              <w:t>不低于</w:t>
            </w:r>
            <w:r>
              <w:rPr>
                <w:rFonts w:hint="eastAsia" w:ascii="宋体" w:hAnsi="宋体" w:eastAsia="宋体" w:cs="宋体"/>
                <w:color w:val="auto"/>
                <w:kern w:val="0"/>
                <w:szCs w:val="21"/>
                <w:highlight w:val="none"/>
                <w:lang w:bidi="ar"/>
              </w:rPr>
              <w:t>20倍光学变焦；</w:t>
            </w:r>
            <w:r>
              <w:rPr>
                <w:rFonts w:ascii="宋体" w:hAnsi="宋体" w:eastAsia="宋体" w:cs="宋体"/>
                <w:color w:val="auto"/>
                <w:kern w:val="0"/>
                <w:szCs w:val="21"/>
                <w:highlight w:val="none"/>
                <w:lang w:bidi="ar"/>
              </w:rPr>
              <w:t xml:space="preserve"> </w:t>
            </w:r>
          </w:p>
          <w:p w14:paraId="119D519D">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③焦距(mm)：f4.3～86 mm；</w:t>
            </w:r>
            <w:r>
              <w:rPr>
                <w:rFonts w:ascii="宋体" w:hAnsi="宋体" w:eastAsia="宋体" w:cs="宋体"/>
                <w:color w:val="auto"/>
                <w:kern w:val="0"/>
                <w:szCs w:val="21"/>
                <w:highlight w:val="none"/>
                <w:lang w:bidi="ar"/>
              </w:rPr>
              <w:t xml:space="preserve"> </w:t>
            </w:r>
          </w:p>
          <w:p w14:paraId="5939E574">
            <w:pPr>
              <w:widowControl/>
              <w:snapToGrid w:val="0"/>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④光圈：Fw1.6～Ft3.4</w:t>
            </w:r>
            <w:r>
              <w:rPr>
                <w:rFonts w:hint="eastAsia" w:ascii="宋体" w:hAnsi="宋体" w:cs="宋体"/>
                <w:color w:val="auto"/>
                <w:kern w:val="0"/>
                <w:szCs w:val="21"/>
                <w:highlight w:val="none"/>
                <w:lang w:eastAsia="zh-CN" w:bidi="ar"/>
              </w:rPr>
              <w:t>。</w:t>
            </w:r>
          </w:p>
          <w:p w14:paraId="41C1C5FE">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摄像机云台技术参数：</w:t>
            </w:r>
          </w:p>
          <w:p w14:paraId="489410EC">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①水平角度：360°无限位旋转；</w:t>
            </w:r>
          </w:p>
          <w:p w14:paraId="0D89E0FD">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②垂直角度：+90°～-90°；</w:t>
            </w:r>
          </w:p>
          <w:p w14:paraId="6014CE84">
            <w:pPr>
              <w:widowControl/>
              <w:snapToGrid w:val="0"/>
              <w:jc w:val="left"/>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③防护等级：≥IP66</w:t>
            </w:r>
            <w:r>
              <w:rPr>
                <w:rFonts w:hint="eastAsia" w:ascii="宋体" w:hAnsi="宋体" w:cs="宋体"/>
                <w:color w:val="auto"/>
                <w:kern w:val="0"/>
                <w:szCs w:val="21"/>
                <w:highlight w:val="none"/>
                <w:lang w:eastAsia="zh-CN" w:bidi="ar"/>
              </w:rPr>
              <w:t>。</w:t>
            </w:r>
          </w:p>
          <w:p w14:paraId="1F681FC1">
            <w:pPr>
              <w:widowControl/>
              <w:snapToGrid w:val="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摄像机重要功能：</w:t>
            </w:r>
          </w:p>
          <w:p w14:paraId="66E1F364">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①电机带断电自锁功能；</w:t>
            </w:r>
          </w:p>
          <w:p w14:paraId="27D7FB95">
            <w:pPr>
              <w:widowControl/>
              <w:snapToGrid w:val="0"/>
              <w:textAlignment w:val="center"/>
              <w:rPr>
                <w:rFonts w:hint="eastAsia" w:eastAsia="宋体"/>
                <w:color w:val="auto"/>
                <w:highlight w:val="none"/>
                <w:lang w:eastAsia="zh-CN"/>
              </w:rPr>
            </w:pPr>
            <w:r>
              <w:rPr>
                <w:rFonts w:hint="eastAsia" w:ascii="宋体" w:hAnsi="宋体" w:eastAsia="宋体" w:cs="宋体"/>
                <w:color w:val="auto"/>
                <w:kern w:val="0"/>
                <w:szCs w:val="21"/>
                <w:highlight w:val="none"/>
                <w:lang w:bidi="ar"/>
              </w:rPr>
              <w:t>②支持接入全车视频监控系统</w:t>
            </w:r>
            <w:r>
              <w:rPr>
                <w:rFonts w:hint="eastAsia" w:ascii="宋体" w:hAnsi="宋体" w:cs="宋体"/>
                <w:color w:val="auto"/>
                <w:kern w:val="0"/>
                <w:szCs w:val="21"/>
                <w:highlight w:val="none"/>
                <w:lang w:eastAsia="zh-CN" w:bidi="ar"/>
              </w:rPr>
              <w:t>。</w:t>
            </w:r>
          </w:p>
          <w:p w14:paraId="14689F02">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（2）舱内摄像机（1套）</w:t>
            </w:r>
          </w:p>
          <w:p w14:paraId="47E650EC">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①POE半球摄像机；</w:t>
            </w:r>
          </w:p>
          <w:p w14:paraId="3E748450">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②支持夜间补光；</w:t>
            </w:r>
          </w:p>
          <w:p w14:paraId="37FC4370">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③支持接入全车视频监控系统。</w:t>
            </w:r>
          </w:p>
          <w:p w14:paraId="4A5EF61A">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（3）硬盘录像机（1套）</w:t>
            </w:r>
          </w:p>
          <w:p w14:paraId="354DDAF7">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①支持</w:t>
            </w:r>
            <w:r>
              <w:rPr>
                <w:rFonts w:hint="eastAsia" w:ascii="宋体" w:hAnsi="宋体" w:eastAsia="宋体" w:cs="宋体"/>
                <w:color w:val="auto"/>
                <w:kern w:val="0"/>
                <w:szCs w:val="21"/>
                <w:highlight w:val="none"/>
                <w:lang w:val="en-US" w:eastAsia="zh-CN" w:bidi="ar"/>
              </w:rPr>
              <w:t>不低于</w:t>
            </w:r>
            <w:r>
              <w:rPr>
                <w:rFonts w:hint="eastAsia" w:ascii="宋体" w:hAnsi="宋体" w:eastAsia="宋体" w:cs="宋体"/>
                <w:color w:val="auto"/>
                <w:kern w:val="0"/>
                <w:szCs w:val="21"/>
                <w:highlight w:val="none"/>
                <w:lang w:bidi="ar"/>
              </w:rPr>
              <w:t>4路</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1080P视频输入；</w:t>
            </w:r>
          </w:p>
          <w:p w14:paraId="09EB367F">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②存储容量≥1T；</w:t>
            </w:r>
          </w:p>
          <w:p w14:paraId="416E2E07">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③支持H.265/H.264压缩模式。</w:t>
            </w:r>
          </w:p>
          <w:p w14:paraId="5D36264C">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（4）配套显示终端（1套）</w:t>
            </w:r>
          </w:p>
          <w:p w14:paraId="1FF58EB8">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分辨率:不低于1080P；数量≥3台。</w:t>
            </w:r>
          </w:p>
          <w:p w14:paraId="708DACB1">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（5）混切矩阵（1套）</w:t>
            </w:r>
          </w:p>
          <w:p w14:paraId="6A1B7211">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①全数字化切换；</w:t>
            </w:r>
          </w:p>
          <w:p w14:paraId="7829268F">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②输入不少于8路信号，输出不少于8路信号；</w:t>
            </w:r>
          </w:p>
          <w:p w14:paraId="75732979">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③任意信号输入输出；</w:t>
            </w:r>
          </w:p>
          <w:p w14:paraId="255F4685">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④实时无缝切换；</w:t>
            </w:r>
          </w:p>
          <w:p w14:paraId="5B27EE1D">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⑤输入信号分辨率自适应，输出分辨率可调；</w:t>
            </w:r>
          </w:p>
          <w:p w14:paraId="788C8B03">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⑥支持模拟音频输入和输出；</w:t>
            </w:r>
          </w:p>
          <w:p w14:paraId="306A8178">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⑦支持对外接口控制，开放控制协议，方便第三方串口控制；</w:t>
            </w:r>
          </w:p>
          <w:p w14:paraId="2F02F2DC">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⑧支持断电现场保护；</w:t>
            </w:r>
          </w:p>
          <w:p w14:paraId="3D590D30">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⑨标准插卡式工业机箱。</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DB57F">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D53B4">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套</w:t>
            </w:r>
          </w:p>
        </w:tc>
      </w:tr>
      <w:tr w14:paraId="30BE8AD1">
        <w:tblPrEx>
          <w:tblCellMar>
            <w:top w:w="0" w:type="dxa"/>
            <w:left w:w="108" w:type="dxa"/>
            <w:bottom w:w="0" w:type="dxa"/>
            <w:right w:w="108" w:type="dxa"/>
          </w:tblCellMar>
        </w:tblPrEx>
        <w:trPr>
          <w:trHeight w:val="23"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1E065">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2.4</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BF24">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通信传输系统</w:t>
            </w:r>
          </w:p>
        </w:tc>
        <w:tc>
          <w:tcPr>
            <w:tcW w:w="4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A15A3">
            <w:pP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1.功能要求：配备北斗全球导航定位系统、4G/5G移动通信、卫星通信等功能，具备与指挥模组近距离有线数据传输的能力。</w:t>
            </w:r>
          </w:p>
          <w:p w14:paraId="515B3632">
            <w:pP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2.技术指标：</w:t>
            </w:r>
          </w:p>
          <w:p w14:paraId="54AC4F75">
            <w:pP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（1）北斗传输设备</w:t>
            </w:r>
          </w:p>
          <w:p w14:paraId="688D3688">
            <w:pPr>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①</w:t>
            </w:r>
            <w:r>
              <w:rPr>
                <w:rFonts w:hint="eastAsia" w:ascii="Times New Roman" w:hAnsi="Times New Roman" w:eastAsia="宋体" w:cs="Times New Roman"/>
                <w:color w:val="auto"/>
                <w:kern w:val="0"/>
                <w:szCs w:val="21"/>
                <w:highlight w:val="none"/>
                <w:lang w:bidi="ar"/>
              </w:rPr>
              <w:t>定位功能：具备支持单独使用北斗定位功能；</w:t>
            </w:r>
          </w:p>
          <w:p w14:paraId="4E3C589B">
            <w:pPr>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②</w:t>
            </w:r>
            <w:r>
              <w:rPr>
                <w:rFonts w:hint="eastAsia" w:ascii="Times New Roman" w:hAnsi="Times New Roman" w:eastAsia="宋体" w:cs="Times New Roman"/>
                <w:color w:val="auto"/>
                <w:kern w:val="0"/>
                <w:szCs w:val="21"/>
                <w:highlight w:val="none"/>
                <w:lang w:bidi="ar"/>
              </w:rPr>
              <w:t>定位精度：≤5 m；测速精度：≤0.2 m/s；</w:t>
            </w:r>
          </w:p>
          <w:p w14:paraId="7F715441">
            <w:pPr>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③</w:t>
            </w:r>
            <w:r>
              <w:rPr>
                <w:rFonts w:hint="eastAsia" w:ascii="Times New Roman" w:hAnsi="Times New Roman" w:eastAsia="宋体" w:cs="Times New Roman"/>
                <w:color w:val="auto"/>
                <w:kern w:val="0"/>
                <w:szCs w:val="21"/>
                <w:highlight w:val="none"/>
                <w:lang w:bidi="ar"/>
              </w:rPr>
              <w:t>首次定位时间：冷启动≤120秒，热启动≤10秒；</w:t>
            </w:r>
          </w:p>
          <w:p w14:paraId="48AFA881">
            <w:pPr>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④</w:t>
            </w:r>
            <w:r>
              <w:rPr>
                <w:rFonts w:hint="eastAsia" w:ascii="Times New Roman" w:hAnsi="Times New Roman" w:eastAsia="宋体" w:cs="Times New Roman"/>
                <w:color w:val="auto"/>
                <w:kern w:val="0"/>
                <w:szCs w:val="21"/>
                <w:highlight w:val="none"/>
                <w:lang w:bidi="ar"/>
              </w:rPr>
              <w:t>接收频率：支持北斗B1频段；</w:t>
            </w:r>
          </w:p>
          <w:p w14:paraId="4F28C6E1">
            <w:pPr>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⑤</w:t>
            </w:r>
            <w:r>
              <w:rPr>
                <w:rFonts w:hint="eastAsia" w:ascii="Times New Roman" w:hAnsi="Times New Roman" w:eastAsia="宋体" w:cs="Times New Roman"/>
                <w:color w:val="auto"/>
                <w:kern w:val="0"/>
                <w:szCs w:val="21"/>
                <w:highlight w:val="none"/>
                <w:lang w:bidi="ar"/>
              </w:rPr>
              <w:t>捕获灵敏度：≤-133 dBm；跟踪灵敏度：≤-147 dBm；</w:t>
            </w:r>
          </w:p>
          <w:p w14:paraId="13C9F68C">
            <w:pPr>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⑥</w:t>
            </w:r>
            <w:r>
              <w:rPr>
                <w:rFonts w:hint="eastAsia" w:ascii="Times New Roman" w:hAnsi="Times New Roman" w:eastAsia="宋体" w:cs="Times New Roman"/>
                <w:color w:val="auto"/>
                <w:kern w:val="0"/>
                <w:szCs w:val="21"/>
                <w:highlight w:val="none"/>
                <w:lang w:bidi="ar"/>
              </w:rPr>
              <w:t>接收波束个数：北斗二号≥10个，北斗三号≥14个；</w:t>
            </w:r>
          </w:p>
          <w:p w14:paraId="6E766194">
            <w:pPr>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⑦</w:t>
            </w:r>
            <w:r>
              <w:rPr>
                <w:rFonts w:hint="eastAsia" w:ascii="Times New Roman" w:hAnsi="Times New Roman" w:eastAsia="宋体" w:cs="Times New Roman"/>
                <w:color w:val="auto"/>
                <w:kern w:val="0"/>
                <w:szCs w:val="21"/>
                <w:highlight w:val="none"/>
                <w:lang w:bidi="ar"/>
              </w:rPr>
              <w:t>发射频点：Lf1、Lf2；</w:t>
            </w:r>
          </w:p>
          <w:p w14:paraId="529C294D">
            <w:pPr>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⑧</w:t>
            </w:r>
            <w:r>
              <w:rPr>
                <w:rFonts w:hint="eastAsia" w:ascii="Times New Roman" w:hAnsi="Times New Roman" w:eastAsia="宋体" w:cs="Times New Roman"/>
                <w:color w:val="auto"/>
                <w:kern w:val="0"/>
                <w:szCs w:val="21"/>
                <w:highlight w:val="none"/>
                <w:lang w:bidi="ar"/>
              </w:rPr>
              <w:t>支持北斗三号系统，支持北斗三号区域短报文通信服务；</w:t>
            </w:r>
          </w:p>
          <w:p w14:paraId="12C98EE8">
            <w:pPr>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⑨</w:t>
            </w:r>
            <w:r>
              <w:rPr>
                <w:rFonts w:hint="eastAsia" w:ascii="Times New Roman" w:hAnsi="Times New Roman" w:eastAsia="宋体" w:cs="Times New Roman"/>
                <w:color w:val="auto"/>
                <w:kern w:val="0"/>
                <w:szCs w:val="21"/>
                <w:highlight w:val="none"/>
                <w:lang w:bidi="ar"/>
              </w:rPr>
              <w:t>防护等级：≥IP67。</w:t>
            </w:r>
          </w:p>
          <w:p w14:paraId="306270E8">
            <w:pP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（2）4G/5G传输设备</w:t>
            </w:r>
          </w:p>
          <w:p w14:paraId="0A290123">
            <w:pPr>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①</w:t>
            </w:r>
            <w:r>
              <w:rPr>
                <w:rFonts w:hint="eastAsia" w:ascii="Times New Roman" w:hAnsi="Times New Roman" w:eastAsia="宋体" w:cs="Times New Roman"/>
                <w:color w:val="auto"/>
                <w:kern w:val="0"/>
                <w:szCs w:val="21"/>
                <w:highlight w:val="none"/>
                <w:lang w:bidi="ar"/>
              </w:rPr>
              <w:t>理论带宽（上行）：</w:t>
            </w:r>
          </w:p>
          <w:p w14:paraId="6CF2A937">
            <w:pP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NRSA独立组网：≥Max.1 Gbps；</w:t>
            </w:r>
          </w:p>
          <w:p w14:paraId="325E7D8B">
            <w:pP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NRNSA非独立组网：≥Max.575 Mbps；</w:t>
            </w:r>
          </w:p>
          <w:p w14:paraId="75874BAC">
            <w:pP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LTE：≥150 Mbps。</w:t>
            </w:r>
          </w:p>
          <w:p w14:paraId="02ABE8F5">
            <w:pPr>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②</w:t>
            </w:r>
            <w:r>
              <w:rPr>
                <w:rFonts w:hint="eastAsia" w:ascii="Times New Roman" w:hAnsi="Times New Roman" w:eastAsia="宋体" w:cs="Times New Roman"/>
                <w:color w:val="auto"/>
                <w:kern w:val="0"/>
                <w:szCs w:val="21"/>
                <w:highlight w:val="none"/>
                <w:lang w:bidi="ar"/>
              </w:rPr>
              <w:t>WiFi：2×2 MIMO，双频(2.4 GHz+5 GHz)，外置可拆卸天线；5G：4×4 MIMO(Sub-6GHz)，外置可拆卸天线。</w:t>
            </w:r>
          </w:p>
          <w:p w14:paraId="427312DA">
            <w:pP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（3）千兆交换机（含光模块）</w:t>
            </w:r>
          </w:p>
          <w:p w14:paraId="0C964990">
            <w:pP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支持不少于24个10/100/1000 Base-TX以太网端口，4个千兆SFP；IP路由：支持IPv4和IPv6的三层路由功能。</w:t>
            </w:r>
          </w:p>
          <w:p w14:paraId="411B4CFC">
            <w:pP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（4）卫星通信系统</w:t>
            </w:r>
          </w:p>
          <w:p w14:paraId="0FD3B172">
            <w:pPr>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①</w:t>
            </w:r>
            <w:r>
              <w:rPr>
                <w:rFonts w:hint="eastAsia" w:ascii="Times New Roman" w:hAnsi="Times New Roman" w:eastAsia="宋体" w:cs="Times New Roman"/>
                <w:color w:val="auto"/>
                <w:kern w:val="0"/>
                <w:szCs w:val="21"/>
                <w:highlight w:val="none"/>
                <w:lang w:bidi="ar"/>
              </w:rPr>
              <w:t>具备气象“专网”和“高通量互联网”双网模式；</w:t>
            </w:r>
          </w:p>
          <w:p w14:paraId="75DF3FB4">
            <w:pPr>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②</w:t>
            </w:r>
            <w:r>
              <w:rPr>
                <w:rFonts w:hint="eastAsia" w:ascii="Times New Roman" w:hAnsi="Times New Roman" w:eastAsia="宋体" w:cs="Times New Roman"/>
                <w:color w:val="auto"/>
                <w:kern w:val="0"/>
                <w:szCs w:val="21"/>
                <w:highlight w:val="none"/>
                <w:lang w:bidi="ar"/>
              </w:rPr>
              <w:t>卫星在“高通量互联网”模式下实现上行速率≥4 Mbps，下行速率≥9 Mbps；</w:t>
            </w:r>
          </w:p>
          <w:p w14:paraId="2C56C529">
            <w:pPr>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③</w:t>
            </w:r>
            <w:r>
              <w:rPr>
                <w:rFonts w:hint="eastAsia" w:ascii="Times New Roman" w:hAnsi="Times New Roman" w:eastAsia="宋体" w:cs="Times New Roman"/>
                <w:color w:val="auto"/>
                <w:kern w:val="0"/>
                <w:szCs w:val="21"/>
                <w:highlight w:val="none"/>
                <w:lang w:bidi="ar"/>
              </w:rPr>
              <w:t>采用Ku波段卫星天线（避开毫米波测云雷达频段）；</w:t>
            </w:r>
          </w:p>
          <w:p w14:paraId="2968B78A">
            <w:pP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④</w:t>
            </w:r>
            <w:r>
              <w:rPr>
                <w:rFonts w:hint="eastAsia" w:ascii="Times New Roman" w:hAnsi="Times New Roman" w:eastAsia="宋体" w:cs="Times New Roman"/>
                <w:color w:val="auto"/>
                <w:kern w:val="0"/>
                <w:szCs w:val="21"/>
                <w:highlight w:val="none"/>
                <w:lang w:bidi="ar"/>
              </w:rPr>
              <w:t>配</w:t>
            </w:r>
            <w:r>
              <w:rPr>
                <w:rFonts w:hint="eastAsia" w:ascii="Times New Roman" w:hAnsi="Times New Roman" w:eastAsia="宋体" w:cs="Times New Roman"/>
                <w:color w:val="auto"/>
                <w:kern w:val="0"/>
                <w:szCs w:val="21"/>
                <w:highlight w:val="none"/>
                <w:lang w:val="en-US" w:eastAsia="zh-CN" w:bidi="ar"/>
              </w:rPr>
              <w:t>不少于1套</w:t>
            </w:r>
            <w:r>
              <w:rPr>
                <w:rFonts w:hint="eastAsia" w:ascii="Times New Roman" w:hAnsi="Times New Roman" w:eastAsia="宋体" w:cs="Times New Roman"/>
                <w:color w:val="auto"/>
                <w:kern w:val="0"/>
                <w:szCs w:val="21"/>
                <w:highlight w:val="none"/>
                <w:lang w:bidi="ar"/>
              </w:rPr>
              <w:t>会议终端、会议摄像机、拾音系统和扬声器，用于卫星条件下现场音视频会商。</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8FD9C">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C6B3E">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套</w:t>
            </w:r>
          </w:p>
        </w:tc>
      </w:tr>
      <w:tr w14:paraId="405A4C24">
        <w:tblPrEx>
          <w:tblCellMar>
            <w:top w:w="0" w:type="dxa"/>
            <w:left w:w="108" w:type="dxa"/>
            <w:bottom w:w="0" w:type="dxa"/>
            <w:right w:w="108" w:type="dxa"/>
          </w:tblCellMar>
        </w:tblPrEx>
        <w:trPr>
          <w:trHeight w:val="23"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B99DC">
            <w:pPr>
              <w:widowControl/>
              <w:snapToGrid w:val="0"/>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3</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EBFA">
            <w:pPr>
              <w:widowControl/>
              <w:snapToGrid w:val="0"/>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szCs w:val="21"/>
                <w:highlight w:val="none"/>
              </w:rPr>
              <w:t>X波段相控阵雷达</w:t>
            </w:r>
          </w:p>
        </w:tc>
        <w:tc>
          <w:tcPr>
            <w:tcW w:w="4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019AA">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bidi="ar"/>
              </w:rPr>
              <w:t>1.</w:t>
            </w:r>
            <w:r>
              <w:rPr>
                <w:rFonts w:hint="eastAsia" w:ascii="Times New Roman" w:hAnsi="Times New Roman" w:eastAsia="宋体" w:cs="Times New Roman"/>
                <w:color w:val="auto"/>
                <w:kern w:val="0"/>
                <w:szCs w:val="21"/>
                <w:highlight w:val="none"/>
                <w:lang w:bidi="ar"/>
              </w:rPr>
              <w:t>雷达体制：双线偏振一维全固态数字平面相控阵体制。</w:t>
            </w:r>
          </w:p>
          <w:p w14:paraId="44CE4BE9">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2.收发模式：双发双收、单发双收、宽发窄收、窄发窄收。</w:t>
            </w:r>
          </w:p>
          <w:p w14:paraId="4325B0FF">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3.工作频率：9.3GHz～9.5 GHz，点频工作。</w:t>
            </w:r>
          </w:p>
          <w:p w14:paraId="3FA18591">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4.整机寿命≥15年</w:t>
            </w:r>
          </w:p>
          <w:p w14:paraId="2A675452">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5.探测距离范围</w:t>
            </w:r>
          </w:p>
          <w:p w14:paraId="69FD04A6">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（1）强度：警戒≥120 km；</w:t>
            </w:r>
          </w:p>
          <w:p w14:paraId="0575529C">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（2）定量：≥60 km；</w:t>
            </w:r>
          </w:p>
          <w:p w14:paraId="76D4C311">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（3）速度：≥60 km；</w:t>
            </w:r>
          </w:p>
          <w:p w14:paraId="2A4E70C1">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（4）谱宽：≥60 km；</w:t>
            </w:r>
          </w:p>
          <w:p w14:paraId="198C11BC">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（5）极化参数：≥60 km。</w:t>
            </w:r>
          </w:p>
          <w:p w14:paraId="69D2AA34">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6.近距离盲区范围≤300 m</w:t>
            </w:r>
          </w:p>
          <w:p w14:paraId="47F1514F">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7.可探测的最小反射率因子</w:t>
            </w:r>
          </w:p>
          <w:p w14:paraId="26796AFB">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（1）≤8 dBZ（3千米处、脉宽0.5</w:t>
            </w:r>
            <w:r>
              <w:rPr>
                <w:rFonts w:ascii="Times New Roman" w:hAnsi="Times New Roman" w:eastAsia="宋体" w:cs="Times New Roman"/>
                <w:color w:val="auto"/>
                <w:kern w:val="0"/>
                <w:szCs w:val="21"/>
                <w:highlight w:val="none"/>
                <w:lang w:bidi="ar"/>
              </w:rPr>
              <w:t xml:space="preserve"> μs</w:t>
            </w:r>
            <w:r>
              <w:rPr>
                <w:rFonts w:hint="eastAsia" w:ascii="Times New Roman" w:hAnsi="Times New Roman" w:eastAsia="宋体" w:cs="Times New Roman"/>
                <w:color w:val="auto"/>
                <w:kern w:val="0"/>
                <w:szCs w:val="21"/>
                <w:highlight w:val="none"/>
                <w:lang w:bidi="ar"/>
              </w:rPr>
              <w:t>、分辨率75 m、法向、单极化）；</w:t>
            </w:r>
          </w:p>
          <w:p w14:paraId="472A30C7">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（2）≤5 dBZ（12千米处、脉宽20</w:t>
            </w:r>
            <w:r>
              <w:rPr>
                <w:rFonts w:ascii="Times New Roman" w:hAnsi="Times New Roman" w:eastAsia="宋体" w:cs="Times New Roman"/>
                <w:color w:val="auto"/>
                <w:kern w:val="0"/>
                <w:szCs w:val="21"/>
                <w:highlight w:val="none"/>
                <w:lang w:bidi="ar"/>
              </w:rPr>
              <w:t xml:space="preserve"> μs</w:t>
            </w:r>
            <w:r>
              <w:rPr>
                <w:rFonts w:hint="eastAsia" w:ascii="Times New Roman" w:hAnsi="Times New Roman" w:eastAsia="宋体" w:cs="Times New Roman"/>
                <w:color w:val="auto"/>
                <w:kern w:val="0"/>
                <w:szCs w:val="21"/>
                <w:highlight w:val="none"/>
                <w:lang w:bidi="ar"/>
              </w:rPr>
              <w:t>、分辨率75 m、法向、单极化）；</w:t>
            </w:r>
          </w:p>
          <w:p w14:paraId="1B4F6E34">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（3）≤11 dBZ（50千米处、脉宽</w:t>
            </w:r>
            <w:r>
              <w:rPr>
                <w:rFonts w:ascii="Times New Roman" w:hAnsi="Times New Roman" w:eastAsia="宋体" w:cs="Times New Roman"/>
                <w:color w:val="auto"/>
                <w:kern w:val="0"/>
                <w:szCs w:val="21"/>
                <w:highlight w:val="none"/>
                <w:lang w:bidi="ar"/>
              </w:rPr>
              <w:t>100 μs</w:t>
            </w:r>
            <w:r>
              <w:rPr>
                <w:rFonts w:hint="eastAsia" w:ascii="Times New Roman" w:hAnsi="Times New Roman" w:eastAsia="宋体" w:cs="Times New Roman"/>
                <w:color w:val="auto"/>
                <w:kern w:val="0"/>
                <w:szCs w:val="21"/>
                <w:highlight w:val="none"/>
                <w:lang w:bidi="ar"/>
              </w:rPr>
              <w:t>、分辨率75 m、法向、单极化）；</w:t>
            </w:r>
          </w:p>
          <w:p w14:paraId="4C60954C">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（4）≤16 dBZ（3千米处、脉宽0.5</w:t>
            </w:r>
            <w:r>
              <w:rPr>
                <w:rFonts w:ascii="Times New Roman" w:hAnsi="Times New Roman" w:eastAsia="宋体" w:cs="Times New Roman"/>
                <w:color w:val="auto"/>
                <w:kern w:val="0"/>
                <w:szCs w:val="21"/>
                <w:highlight w:val="none"/>
                <w:lang w:bidi="ar"/>
              </w:rPr>
              <w:t xml:space="preserve"> μs</w:t>
            </w:r>
            <w:r>
              <w:rPr>
                <w:rFonts w:hint="eastAsia" w:ascii="Times New Roman" w:hAnsi="Times New Roman" w:eastAsia="宋体" w:cs="Times New Roman"/>
                <w:color w:val="auto"/>
                <w:kern w:val="0"/>
                <w:szCs w:val="21"/>
                <w:highlight w:val="none"/>
                <w:lang w:bidi="ar"/>
              </w:rPr>
              <w:t>、分辨率75 m、发射4倍波束展宽、单极化）；</w:t>
            </w:r>
          </w:p>
          <w:p w14:paraId="34CEC59D">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（5）≤13 dBZ（12千米处、脉宽20</w:t>
            </w:r>
            <w:r>
              <w:rPr>
                <w:rFonts w:ascii="Times New Roman" w:hAnsi="Times New Roman" w:eastAsia="宋体" w:cs="Times New Roman"/>
                <w:color w:val="auto"/>
                <w:kern w:val="0"/>
                <w:szCs w:val="21"/>
                <w:highlight w:val="none"/>
                <w:lang w:bidi="ar"/>
              </w:rPr>
              <w:t xml:space="preserve"> μs</w:t>
            </w:r>
            <w:r>
              <w:rPr>
                <w:rFonts w:hint="eastAsia" w:ascii="Times New Roman" w:hAnsi="Times New Roman" w:eastAsia="宋体" w:cs="Times New Roman"/>
                <w:color w:val="auto"/>
                <w:kern w:val="0"/>
                <w:szCs w:val="21"/>
                <w:highlight w:val="none"/>
                <w:lang w:bidi="ar"/>
              </w:rPr>
              <w:t>、分辨率75 m、发射4倍波束展宽、单极化）；</w:t>
            </w:r>
          </w:p>
          <w:p w14:paraId="5012567C">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（6）≤19 dBZ（50千米处、脉宽100</w:t>
            </w:r>
            <w:r>
              <w:rPr>
                <w:rFonts w:ascii="Times New Roman" w:hAnsi="Times New Roman" w:eastAsia="宋体" w:cs="Times New Roman"/>
                <w:color w:val="auto"/>
                <w:kern w:val="0"/>
                <w:szCs w:val="21"/>
                <w:highlight w:val="none"/>
                <w:lang w:bidi="ar"/>
              </w:rPr>
              <w:t xml:space="preserve"> μs</w:t>
            </w:r>
            <w:r>
              <w:rPr>
                <w:rFonts w:hint="eastAsia" w:ascii="Times New Roman" w:hAnsi="Times New Roman" w:eastAsia="宋体" w:cs="Times New Roman"/>
                <w:color w:val="auto"/>
                <w:kern w:val="0"/>
                <w:szCs w:val="21"/>
                <w:highlight w:val="none"/>
                <w:lang w:bidi="ar"/>
              </w:rPr>
              <w:t>、分辨率75 m、发射4倍波束展宽、单极化）；</w:t>
            </w:r>
          </w:p>
          <w:p w14:paraId="0CDE0074">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（7）≤19 dBZ（3千米处、脉宽0.5</w:t>
            </w:r>
            <w:r>
              <w:rPr>
                <w:rFonts w:ascii="Times New Roman" w:hAnsi="Times New Roman" w:eastAsia="宋体" w:cs="Times New Roman"/>
                <w:color w:val="auto"/>
                <w:kern w:val="0"/>
                <w:szCs w:val="21"/>
                <w:highlight w:val="none"/>
                <w:lang w:bidi="ar"/>
              </w:rPr>
              <w:t xml:space="preserve"> μs</w:t>
            </w:r>
            <w:r>
              <w:rPr>
                <w:rFonts w:hint="eastAsia" w:ascii="Times New Roman" w:hAnsi="Times New Roman" w:eastAsia="宋体" w:cs="Times New Roman"/>
                <w:color w:val="auto"/>
                <w:kern w:val="0"/>
                <w:szCs w:val="21"/>
                <w:highlight w:val="none"/>
                <w:lang w:bidi="ar"/>
              </w:rPr>
              <w:t>、分辨率75 m、发射8倍波束展宽、单极化）；</w:t>
            </w:r>
          </w:p>
          <w:p w14:paraId="7DA3EB40">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（8）≤16 dBZ（12千米处、脉宽20</w:t>
            </w:r>
            <w:r>
              <w:rPr>
                <w:rFonts w:ascii="Times New Roman" w:hAnsi="Times New Roman" w:eastAsia="宋体" w:cs="Times New Roman"/>
                <w:color w:val="auto"/>
                <w:kern w:val="0"/>
                <w:szCs w:val="21"/>
                <w:highlight w:val="none"/>
                <w:lang w:bidi="ar"/>
              </w:rPr>
              <w:t xml:space="preserve"> μs</w:t>
            </w:r>
            <w:r>
              <w:rPr>
                <w:rFonts w:hint="eastAsia" w:ascii="Times New Roman" w:hAnsi="Times New Roman" w:eastAsia="宋体" w:cs="Times New Roman"/>
                <w:color w:val="auto"/>
                <w:kern w:val="0"/>
                <w:szCs w:val="21"/>
                <w:highlight w:val="none"/>
                <w:lang w:bidi="ar"/>
              </w:rPr>
              <w:t>、分辨率75 m、发射8倍波束展宽、单极化）；</w:t>
            </w:r>
          </w:p>
          <w:p w14:paraId="73EDF2A8">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（9）≤22 dBZ（50千米处、脉宽100</w:t>
            </w:r>
            <w:r>
              <w:rPr>
                <w:rFonts w:ascii="Times New Roman" w:hAnsi="Times New Roman" w:eastAsia="宋体" w:cs="Times New Roman"/>
                <w:color w:val="auto"/>
                <w:kern w:val="0"/>
                <w:szCs w:val="21"/>
                <w:highlight w:val="none"/>
                <w:lang w:bidi="ar"/>
              </w:rPr>
              <w:t xml:space="preserve"> μs</w:t>
            </w:r>
            <w:r>
              <w:rPr>
                <w:rFonts w:hint="eastAsia" w:ascii="Times New Roman" w:hAnsi="Times New Roman" w:eastAsia="宋体" w:cs="Times New Roman"/>
                <w:color w:val="auto"/>
                <w:kern w:val="0"/>
                <w:szCs w:val="21"/>
                <w:highlight w:val="none"/>
                <w:lang w:bidi="ar"/>
              </w:rPr>
              <w:t>、分辨率75 m、发射8倍波束展宽、单极化）。</w:t>
            </w:r>
          </w:p>
          <w:p w14:paraId="06235B35">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8.测量范围</w:t>
            </w:r>
          </w:p>
          <w:p w14:paraId="5F183CC9">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（1）</w:t>
            </w:r>
            <w:r>
              <w:rPr>
                <w:rFonts w:ascii="Times New Roman" w:hAnsi="Times New Roman" w:eastAsia="宋体" w:cs="Times New Roman"/>
                <w:color w:val="auto"/>
                <w:kern w:val="0"/>
                <w:szCs w:val="21"/>
                <w:highlight w:val="none"/>
                <w:lang w:bidi="ar"/>
              </w:rPr>
              <w:t>强度：-15 dBZ～+80 dBZ；</w:t>
            </w:r>
          </w:p>
          <w:p w14:paraId="3624D956">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w:t>
            </w:r>
            <w:r>
              <w:rPr>
                <w:rFonts w:ascii="Times New Roman" w:hAnsi="Times New Roman" w:eastAsia="宋体" w:cs="Times New Roman"/>
                <w:color w:val="auto"/>
                <w:kern w:val="0"/>
                <w:szCs w:val="21"/>
                <w:highlight w:val="none"/>
                <w:lang w:bidi="ar"/>
              </w:rPr>
              <w:t>速度：±48 m/s；</w:t>
            </w:r>
          </w:p>
          <w:p w14:paraId="3FC8D23E">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（3）</w:t>
            </w:r>
            <w:r>
              <w:rPr>
                <w:rFonts w:ascii="Times New Roman" w:hAnsi="Times New Roman" w:eastAsia="宋体" w:cs="Times New Roman"/>
                <w:color w:val="auto"/>
                <w:kern w:val="0"/>
                <w:szCs w:val="21"/>
                <w:highlight w:val="none"/>
                <w:lang w:bidi="ar"/>
              </w:rPr>
              <w:t>谱宽：0 m/s～16 m/s；</w:t>
            </w:r>
          </w:p>
          <w:p w14:paraId="1002CFA5">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（4）</w:t>
            </w:r>
            <w:r>
              <w:rPr>
                <w:rFonts w:ascii="Times New Roman" w:hAnsi="Times New Roman" w:eastAsia="宋体" w:cs="Times New Roman"/>
                <w:color w:val="auto"/>
                <w:kern w:val="0"/>
                <w:szCs w:val="21"/>
                <w:highlight w:val="none"/>
                <w:lang w:bidi="ar"/>
              </w:rPr>
              <w:t>差分反射率因子：-</w:t>
            </w:r>
            <w:r>
              <w:rPr>
                <w:rFonts w:hint="eastAsia" w:ascii="Times New Roman" w:hAnsi="Times New Roman" w:eastAsia="宋体" w:cs="Times New Roman"/>
                <w:color w:val="auto"/>
                <w:kern w:val="0"/>
                <w:szCs w:val="21"/>
                <w:highlight w:val="none"/>
                <w:lang w:bidi="ar"/>
              </w:rPr>
              <w:t>7.</w:t>
            </w:r>
            <w:r>
              <w:rPr>
                <w:rFonts w:ascii="Times New Roman" w:hAnsi="Times New Roman" w:eastAsia="宋体" w:cs="Times New Roman"/>
                <w:color w:val="auto"/>
                <w:kern w:val="0"/>
                <w:szCs w:val="21"/>
                <w:highlight w:val="none"/>
                <w:lang w:bidi="ar"/>
              </w:rPr>
              <w:t>9 dB～+</w:t>
            </w:r>
            <w:r>
              <w:rPr>
                <w:rFonts w:hint="eastAsia" w:ascii="Times New Roman" w:hAnsi="Times New Roman" w:eastAsia="宋体" w:cs="Times New Roman"/>
                <w:color w:val="auto"/>
                <w:kern w:val="0"/>
                <w:szCs w:val="21"/>
                <w:highlight w:val="none"/>
                <w:lang w:bidi="ar"/>
              </w:rPr>
              <w:t>7.</w:t>
            </w:r>
            <w:r>
              <w:rPr>
                <w:rFonts w:ascii="Times New Roman" w:hAnsi="Times New Roman" w:eastAsia="宋体" w:cs="Times New Roman"/>
                <w:color w:val="auto"/>
                <w:kern w:val="0"/>
                <w:szCs w:val="21"/>
                <w:highlight w:val="none"/>
                <w:lang w:bidi="ar"/>
              </w:rPr>
              <w:t>9 dB；</w:t>
            </w:r>
          </w:p>
          <w:p w14:paraId="350796C9">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（5）</w:t>
            </w:r>
            <w:r>
              <w:rPr>
                <w:rFonts w:ascii="Times New Roman" w:hAnsi="Times New Roman" w:eastAsia="宋体" w:cs="Times New Roman"/>
                <w:color w:val="auto"/>
                <w:kern w:val="0"/>
                <w:szCs w:val="21"/>
                <w:highlight w:val="none"/>
                <w:lang w:bidi="ar"/>
              </w:rPr>
              <w:t>差分传播相移：-180°～+180°；</w:t>
            </w:r>
          </w:p>
          <w:p w14:paraId="2C854CFA">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（6）</w:t>
            </w:r>
            <w:r>
              <w:rPr>
                <w:rFonts w:ascii="Times New Roman" w:hAnsi="Times New Roman" w:eastAsia="宋体" w:cs="Times New Roman"/>
                <w:color w:val="auto"/>
                <w:kern w:val="0"/>
                <w:szCs w:val="21"/>
                <w:highlight w:val="none"/>
                <w:lang w:bidi="ar"/>
              </w:rPr>
              <w:t>差分传播相移率：-2°/km～+20°/km；</w:t>
            </w:r>
          </w:p>
          <w:p w14:paraId="0563A64C">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（7）</w:t>
            </w:r>
            <w:r>
              <w:rPr>
                <w:rFonts w:ascii="Times New Roman" w:hAnsi="Times New Roman" w:eastAsia="宋体" w:cs="Times New Roman"/>
                <w:color w:val="auto"/>
                <w:kern w:val="0"/>
                <w:szCs w:val="21"/>
                <w:highlight w:val="none"/>
                <w:lang w:bidi="ar"/>
              </w:rPr>
              <w:t>相关系数：0～1。</w:t>
            </w:r>
          </w:p>
          <w:p w14:paraId="5D18BCFB">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9.参数测量精度（标准差）</w:t>
            </w:r>
          </w:p>
          <w:p w14:paraId="0C4F43CD">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（1）强度：≤1 dB；</w:t>
            </w:r>
          </w:p>
          <w:p w14:paraId="612823CB">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（2）速度：≤1 m/s；</w:t>
            </w:r>
          </w:p>
          <w:p w14:paraId="4DD01B64">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（3）谱宽：≤1 m/s；</w:t>
            </w:r>
          </w:p>
          <w:p w14:paraId="027BD958">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（4）差分反射率因子：≤0.2 dB；</w:t>
            </w:r>
          </w:p>
          <w:p w14:paraId="354574A5">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（5）差分传播相移：≤3°；</w:t>
            </w:r>
          </w:p>
          <w:p w14:paraId="7DAAAC3A">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（6）差分传播相移率：0.2</w:t>
            </w:r>
            <w:r>
              <w:rPr>
                <w:rFonts w:ascii="Times New Roman" w:hAnsi="Times New Roman" w:eastAsia="宋体" w:cs="Times New Roman"/>
                <w:color w:val="auto"/>
                <w:kern w:val="0"/>
                <w:szCs w:val="21"/>
                <w:highlight w:val="none"/>
                <w:lang w:bidi="ar"/>
              </w:rPr>
              <w:t>°/</w:t>
            </w:r>
            <w:r>
              <w:rPr>
                <w:rFonts w:hint="eastAsia" w:ascii="Times New Roman" w:hAnsi="Times New Roman" w:eastAsia="宋体" w:cs="Times New Roman"/>
                <w:color w:val="auto"/>
                <w:kern w:val="0"/>
                <w:szCs w:val="21"/>
                <w:highlight w:val="none"/>
                <w:lang w:bidi="ar"/>
              </w:rPr>
              <w:t>km；</w:t>
            </w:r>
          </w:p>
          <w:p w14:paraId="0E171F62">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（7）相关系数：≤0.01。</w:t>
            </w:r>
          </w:p>
          <w:p w14:paraId="6A64A73C">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10.距离分辨率≤75 m</w:t>
            </w:r>
          </w:p>
          <w:p w14:paraId="556182FA">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11.数据分辨力</w:t>
            </w:r>
          </w:p>
          <w:p w14:paraId="449279C4">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（1）方位角和俯仰角：≤0.01°；</w:t>
            </w:r>
          </w:p>
          <w:p w14:paraId="5F2FE5F4">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（2）强度：≤0.1 dB；</w:t>
            </w:r>
          </w:p>
          <w:p w14:paraId="740D70C6">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（3）速度：≤0.1 m/s；</w:t>
            </w:r>
          </w:p>
          <w:p w14:paraId="7B676A0C">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（4）谱宽：≤0.1 m/s；</w:t>
            </w:r>
          </w:p>
          <w:p w14:paraId="71FAD241">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（5）差分反射率因子：≤0.01 dB；</w:t>
            </w:r>
          </w:p>
          <w:p w14:paraId="0883ADFC">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（6）差分传播相移：≤0.1°；</w:t>
            </w:r>
          </w:p>
          <w:p w14:paraId="0854B92C">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（7）差分传播相移率：0.01°/km；</w:t>
            </w:r>
          </w:p>
          <w:p w14:paraId="24E2E5E4">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（8）相关系数：≤0.001。</w:t>
            </w:r>
          </w:p>
          <w:p w14:paraId="23DADBF8">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12.系统噪声系数≤3.5 dB（脉宽1 μs，带宽1 MHz）</w:t>
            </w:r>
          </w:p>
          <w:p w14:paraId="170F6C84">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13.系统线性动态范围≥95 dB（脉宽1 μs，带宽1 MHz）</w:t>
            </w:r>
          </w:p>
          <w:p w14:paraId="051A4C31">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14.系统相位噪声≤0.1°（脉宽1 μs，带宽1 MHz）</w:t>
            </w:r>
          </w:p>
          <w:p w14:paraId="1ECCFE26">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15.实际地物对消能力≥50 dB</w:t>
            </w:r>
          </w:p>
          <w:p w14:paraId="6C9F6A9B">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16.输出参数：强度、速度、谱宽、差分反射率因子、差分传播相移、差分传播相移率、相关系数、信噪比。</w:t>
            </w:r>
          </w:p>
          <w:p w14:paraId="6B0AFD79">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17.数据产品</w:t>
            </w:r>
          </w:p>
          <w:p w14:paraId="737084B3">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（1）基本产品</w:t>
            </w:r>
          </w:p>
          <w:p w14:paraId="1E34C847">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①滤波前回波强度（TR）</w:t>
            </w:r>
          </w:p>
          <w:p w14:paraId="71E87943">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②滤波后回波强度（R）</w:t>
            </w:r>
          </w:p>
          <w:p w14:paraId="34F2E478">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③径向速度（V）</w:t>
            </w:r>
          </w:p>
          <w:p w14:paraId="0FAB26A1">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④速度谱宽（SW）</w:t>
            </w:r>
          </w:p>
          <w:p w14:paraId="4773D841">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⑤差分反射率因子（ZDR）</w:t>
            </w:r>
          </w:p>
          <w:p w14:paraId="64AD4E4A">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⑥差分传播相移（PDP）</w:t>
            </w:r>
          </w:p>
          <w:p w14:paraId="5C58408A">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⑦差分传播相移率（KDP）</w:t>
            </w:r>
          </w:p>
          <w:p w14:paraId="6C178B8E">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⑧相关系数</w:t>
            </w:r>
            <w:r>
              <w:rPr>
                <w:rFonts w:hint="eastAsia" w:ascii="Times New Roman" w:hAnsi="Times New Roman" w:eastAsia="宋体" w:cs="Times New Roman"/>
                <w:color w:val="auto"/>
                <w:kern w:val="0"/>
                <w:szCs w:val="21"/>
                <w:highlight w:val="none"/>
                <w:lang w:bidi="ar"/>
              </w:rPr>
              <w:t>（CC）</w:t>
            </w:r>
          </w:p>
          <w:p w14:paraId="1AFF06FD">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⑨水平通道信噪比（SNRH）</w:t>
            </w:r>
          </w:p>
          <w:p w14:paraId="3BE58309">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⑩垂直通道信噪比（</w:t>
            </w:r>
            <w:r>
              <w:rPr>
                <w:rFonts w:hint="eastAsia" w:ascii="Times New Roman" w:hAnsi="Times New Roman" w:eastAsia="宋体" w:cs="Times New Roman"/>
                <w:color w:val="auto"/>
                <w:kern w:val="0"/>
                <w:szCs w:val="21"/>
                <w:highlight w:val="none"/>
                <w:lang w:bidi="ar"/>
              </w:rPr>
              <w:t>SNRV）</w:t>
            </w:r>
          </w:p>
          <w:p w14:paraId="626CA519">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（2）二次产品</w:t>
            </w:r>
          </w:p>
          <w:p w14:paraId="4222438C">
            <w:pPr>
              <w:widowControl/>
              <w:jc w:val="left"/>
              <w:rPr>
                <w:rFonts w:ascii="Times New Roman" w:hAnsi="Times New Roman" w:eastAsia="宋体" w:cs="Times New Roman"/>
                <w:color w:val="auto"/>
                <w:kern w:val="0"/>
                <w:szCs w:val="21"/>
                <w:highlight w:val="none"/>
                <w:lang w:bidi="ar"/>
              </w:rPr>
            </w:pPr>
            <w:r>
              <w:rPr>
                <w:rFonts w:hint="eastAsia" w:cs="Times New Roman"/>
                <w:color w:val="auto"/>
                <w:kern w:val="0"/>
                <w:szCs w:val="21"/>
                <w:highlight w:val="none"/>
                <w:lang w:val="en-US" w:eastAsia="zh-CN" w:bidi="ar"/>
              </w:rPr>
              <w:t>①</w:t>
            </w:r>
            <w:r>
              <w:rPr>
                <w:rFonts w:hint="eastAsia" w:ascii="Times New Roman" w:hAnsi="Times New Roman" w:eastAsia="宋体" w:cs="Times New Roman"/>
                <w:color w:val="auto"/>
                <w:kern w:val="0"/>
                <w:szCs w:val="21"/>
                <w:highlight w:val="none"/>
                <w:lang w:bidi="ar"/>
              </w:rPr>
              <w:t>回波顶高（ET）</w:t>
            </w:r>
          </w:p>
          <w:p w14:paraId="0000EB90">
            <w:pPr>
              <w:widowControl/>
              <w:jc w:val="left"/>
              <w:rPr>
                <w:rFonts w:ascii="Times New Roman" w:hAnsi="Times New Roman" w:eastAsia="宋体" w:cs="Times New Roman"/>
                <w:color w:val="auto"/>
                <w:kern w:val="0"/>
                <w:szCs w:val="21"/>
                <w:highlight w:val="none"/>
                <w:lang w:bidi="ar"/>
              </w:rPr>
            </w:pPr>
            <w:r>
              <w:rPr>
                <w:rFonts w:hint="eastAsia" w:cs="Times New Roman"/>
                <w:color w:val="auto"/>
                <w:kern w:val="0"/>
                <w:szCs w:val="21"/>
                <w:highlight w:val="none"/>
                <w:lang w:val="en-US" w:eastAsia="zh-CN" w:bidi="ar"/>
              </w:rPr>
              <w:t>②</w:t>
            </w:r>
            <w:r>
              <w:rPr>
                <w:rFonts w:hint="eastAsia" w:ascii="Times New Roman" w:hAnsi="Times New Roman" w:eastAsia="宋体" w:cs="Times New Roman"/>
                <w:color w:val="auto"/>
                <w:kern w:val="0"/>
                <w:szCs w:val="21"/>
                <w:highlight w:val="none"/>
                <w:lang w:bidi="ar"/>
              </w:rPr>
              <w:t>回波底高（EB）</w:t>
            </w:r>
          </w:p>
          <w:p w14:paraId="06A7F15F">
            <w:pPr>
              <w:widowControl/>
              <w:jc w:val="left"/>
              <w:rPr>
                <w:rFonts w:ascii="Times New Roman" w:hAnsi="Times New Roman" w:eastAsia="宋体" w:cs="Times New Roman"/>
                <w:color w:val="auto"/>
                <w:kern w:val="0"/>
                <w:szCs w:val="21"/>
                <w:highlight w:val="none"/>
                <w:lang w:bidi="ar"/>
              </w:rPr>
            </w:pPr>
            <w:r>
              <w:rPr>
                <w:rFonts w:hint="eastAsia" w:cs="Times New Roman"/>
                <w:color w:val="auto"/>
                <w:kern w:val="0"/>
                <w:szCs w:val="21"/>
                <w:highlight w:val="none"/>
                <w:lang w:val="en-US" w:eastAsia="zh-CN" w:bidi="ar"/>
              </w:rPr>
              <w:t>③</w:t>
            </w:r>
            <w:r>
              <w:rPr>
                <w:rFonts w:hint="eastAsia" w:ascii="Times New Roman" w:hAnsi="Times New Roman" w:eastAsia="宋体" w:cs="Times New Roman"/>
                <w:color w:val="auto"/>
                <w:kern w:val="0"/>
                <w:szCs w:val="21"/>
                <w:highlight w:val="none"/>
                <w:lang w:bidi="ar"/>
              </w:rPr>
              <w:t>垂直积分液态水（VIL）</w:t>
            </w:r>
          </w:p>
          <w:p w14:paraId="3FB942D2">
            <w:pPr>
              <w:widowControl/>
              <w:jc w:val="left"/>
              <w:rPr>
                <w:rFonts w:ascii="Times New Roman" w:hAnsi="Times New Roman" w:eastAsia="宋体" w:cs="Times New Roman"/>
                <w:color w:val="auto"/>
                <w:kern w:val="0"/>
                <w:szCs w:val="21"/>
                <w:highlight w:val="none"/>
                <w:lang w:bidi="ar"/>
              </w:rPr>
            </w:pPr>
            <w:r>
              <w:rPr>
                <w:rFonts w:hint="eastAsia" w:cs="Times New Roman"/>
                <w:color w:val="auto"/>
                <w:kern w:val="0"/>
                <w:szCs w:val="21"/>
                <w:highlight w:val="none"/>
                <w:lang w:val="en-US" w:eastAsia="zh-CN" w:bidi="ar"/>
              </w:rPr>
              <w:t>④</w:t>
            </w:r>
            <w:r>
              <w:rPr>
                <w:rFonts w:hint="eastAsia" w:ascii="Times New Roman" w:hAnsi="Times New Roman" w:eastAsia="宋体" w:cs="Times New Roman"/>
                <w:color w:val="auto"/>
                <w:kern w:val="0"/>
                <w:szCs w:val="21"/>
                <w:highlight w:val="none"/>
                <w:lang w:bidi="ar"/>
              </w:rPr>
              <w:t>最强回波高度（HMAX）</w:t>
            </w:r>
          </w:p>
          <w:p w14:paraId="4B5A99C8">
            <w:pPr>
              <w:widowControl/>
              <w:jc w:val="left"/>
              <w:rPr>
                <w:rFonts w:ascii="Times New Roman" w:hAnsi="Times New Roman" w:eastAsia="宋体" w:cs="Times New Roman"/>
                <w:color w:val="auto"/>
                <w:kern w:val="0"/>
                <w:szCs w:val="21"/>
                <w:highlight w:val="none"/>
                <w:lang w:bidi="ar"/>
              </w:rPr>
            </w:pPr>
            <w:r>
              <w:rPr>
                <w:rFonts w:hint="eastAsia" w:cs="Times New Roman"/>
                <w:color w:val="auto"/>
                <w:kern w:val="0"/>
                <w:szCs w:val="21"/>
                <w:highlight w:val="none"/>
                <w:lang w:val="en-US" w:eastAsia="zh-CN" w:bidi="ar"/>
              </w:rPr>
              <w:t>⑤</w:t>
            </w:r>
            <w:r>
              <w:rPr>
                <w:rFonts w:hint="eastAsia" w:ascii="Times New Roman" w:hAnsi="Times New Roman" w:eastAsia="宋体" w:cs="Times New Roman"/>
                <w:color w:val="auto"/>
                <w:kern w:val="0"/>
                <w:szCs w:val="21"/>
                <w:highlight w:val="none"/>
                <w:lang w:bidi="ar"/>
              </w:rPr>
              <w:t>组合反射率（CR）</w:t>
            </w:r>
          </w:p>
          <w:p w14:paraId="4904ED80">
            <w:pPr>
              <w:widowControl/>
              <w:jc w:val="left"/>
              <w:rPr>
                <w:rFonts w:ascii="Times New Roman" w:hAnsi="Times New Roman" w:eastAsia="宋体" w:cs="Times New Roman"/>
                <w:color w:val="auto"/>
                <w:kern w:val="0"/>
                <w:szCs w:val="21"/>
                <w:highlight w:val="none"/>
                <w:lang w:bidi="ar"/>
              </w:rPr>
            </w:pPr>
            <w:r>
              <w:rPr>
                <w:rFonts w:hint="eastAsia" w:cs="Times New Roman"/>
                <w:color w:val="auto"/>
                <w:kern w:val="0"/>
                <w:szCs w:val="21"/>
                <w:highlight w:val="none"/>
                <w:lang w:val="en-US" w:eastAsia="zh-CN" w:bidi="ar"/>
              </w:rPr>
              <w:t>⑥</w:t>
            </w:r>
            <w:r>
              <w:rPr>
                <w:rFonts w:hint="eastAsia" w:ascii="Times New Roman" w:hAnsi="Times New Roman" w:eastAsia="宋体" w:cs="Times New Roman"/>
                <w:color w:val="auto"/>
                <w:kern w:val="0"/>
                <w:szCs w:val="21"/>
                <w:highlight w:val="none"/>
                <w:lang w:bidi="ar"/>
              </w:rPr>
              <w:t>反射率等高平面位置显示（CAP）</w:t>
            </w:r>
          </w:p>
          <w:p w14:paraId="7C77D081">
            <w:pPr>
              <w:widowControl/>
              <w:jc w:val="left"/>
              <w:rPr>
                <w:rFonts w:ascii="Times New Roman" w:hAnsi="Times New Roman" w:eastAsia="宋体" w:cs="Times New Roman"/>
                <w:color w:val="auto"/>
                <w:kern w:val="0"/>
                <w:szCs w:val="21"/>
                <w:highlight w:val="none"/>
                <w:lang w:bidi="ar"/>
              </w:rPr>
            </w:pPr>
            <w:r>
              <w:rPr>
                <w:rFonts w:hint="eastAsia" w:cs="Times New Roman"/>
                <w:color w:val="auto"/>
                <w:kern w:val="0"/>
                <w:szCs w:val="21"/>
                <w:highlight w:val="none"/>
                <w:lang w:val="en-US" w:eastAsia="zh-CN" w:bidi="ar"/>
              </w:rPr>
              <w:t>⑦</w:t>
            </w:r>
            <w:r>
              <w:rPr>
                <w:rFonts w:hint="eastAsia" w:ascii="Times New Roman" w:hAnsi="Times New Roman" w:eastAsia="宋体" w:cs="Times New Roman"/>
                <w:color w:val="auto"/>
                <w:kern w:val="0"/>
                <w:szCs w:val="21"/>
                <w:highlight w:val="none"/>
                <w:lang w:bidi="ar"/>
              </w:rPr>
              <w:t>速度方位显示（VAD）</w:t>
            </w:r>
          </w:p>
          <w:p w14:paraId="67839A24">
            <w:pPr>
              <w:widowControl/>
              <w:jc w:val="left"/>
              <w:rPr>
                <w:rFonts w:ascii="Times New Roman" w:hAnsi="Times New Roman" w:eastAsia="宋体" w:cs="Times New Roman"/>
                <w:color w:val="auto"/>
                <w:kern w:val="0"/>
                <w:szCs w:val="21"/>
                <w:highlight w:val="none"/>
                <w:lang w:bidi="ar"/>
              </w:rPr>
            </w:pPr>
            <w:r>
              <w:rPr>
                <w:rFonts w:hint="eastAsia" w:cs="Times New Roman"/>
                <w:color w:val="auto"/>
                <w:kern w:val="0"/>
                <w:szCs w:val="21"/>
                <w:highlight w:val="none"/>
                <w:lang w:val="en-US" w:eastAsia="zh-CN" w:bidi="ar"/>
              </w:rPr>
              <w:t>⑧</w:t>
            </w:r>
            <w:r>
              <w:rPr>
                <w:rFonts w:hint="eastAsia" w:ascii="Times New Roman" w:hAnsi="Times New Roman" w:eastAsia="宋体" w:cs="Times New Roman"/>
                <w:color w:val="auto"/>
                <w:kern w:val="0"/>
                <w:szCs w:val="21"/>
                <w:highlight w:val="none"/>
                <w:lang w:bidi="ar"/>
              </w:rPr>
              <w:t>速度方位显示风廓线（VWP）</w:t>
            </w:r>
          </w:p>
          <w:p w14:paraId="4FD21F6E">
            <w:pPr>
              <w:widowControl/>
              <w:jc w:val="left"/>
              <w:rPr>
                <w:rFonts w:ascii="Times New Roman" w:hAnsi="Times New Roman" w:eastAsia="宋体" w:cs="Times New Roman"/>
                <w:color w:val="auto"/>
                <w:kern w:val="0"/>
                <w:szCs w:val="21"/>
                <w:highlight w:val="none"/>
                <w:lang w:bidi="ar"/>
              </w:rPr>
            </w:pPr>
            <w:r>
              <w:rPr>
                <w:rFonts w:hint="eastAsia" w:cs="Times New Roman"/>
                <w:color w:val="auto"/>
                <w:kern w:val="0"/>
                <w:szCs w:val="21"/>
                <w:highlight w:val="none"/>
                <w:lang w:val="en-US" w:eastAsia="zh-CN" w:bidi="ar"/>
              </w:rPr>
              <w:t>⑨</w:t>
            </w:r>
            <w:r>
              <w:rPr>
                <w:rFonts w:hint="eastAsia" w:ascii="Times New Roman" w:hAnsi="Times New Roman" w:eastAsia="宋体" w:cs="Times New Roman"/>
                <w:color w:val="auto"/>
                <w:kern w:val="0"/>
                <w:szCs w:val="21"/>
                <w:highlight w:val="none"/>
                <w:lang w:bidi="ar"/>
              </w:rPr>
              <w:t>1小时累积降水量（OHP）</w:t>
            </w:r>
          </w:p>
          <w:p w14:paraId="48C4775D">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⑩3小时累积降水量（THP）</w:t>
            </w:r>
          </w:p>
          <w:p w14:paraId="5DEE7E5B">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⑪</w:t>
            </w:r>
            <w:r>
              <w:rPr>
                <w:rFonts w:hint="eastAsia" w:ascii="Times New Roman" w:hAnsi="Times New Roman" w:eastAsia="宋体" w:cs="Times New Roman"/>
                <w:color w:val="auto"/>
                <w:kern w:val="0"/>
                <w:szCs w:val="21"/>
                <w:highlight w:val="none"/>
                <w:lang w:bidi="ar"/>
              </w:rPr>
              <w:t>N小时累积降水量（NHP）</w:t>
            </w:r>
          </w:p>
          <w:p w14:paraId="0D066E2A">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⑫</w:t>
            </w:r>
            <w:r>
              <w:rPr>
                <w:rFonts w:hint="eastAsia" w:ascii="Times New Roman" w:hAnsi="Times New Roman" w:eastAsia="宋体" w:cs="Times New Roman"/>
                <w:color w:val="auto"/>
                <w:kern w:val="0"/>
                <w:szCs w:val="21"/>
                <w:highlight w:val="none"/>
                <w:lang w:bidi="ar"/>
              </w:rPr>
              <w:t>质心高度（RCH）</w:t>
            </w:r>
          </w:p>
          <w:p w14:paraId="210D3B9F">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⑬</w:t>
            </w:r>
            <w:r>
              <w:rPr>
                <w:rFonts w:hint="eastAsia" w:ascii="Times New Roman" w:hAnsi="Times New Roman" w:eastAsia="宋体" w:cs="Times New Roman"/>
                <w:color w:val="auto"/>
                <w:kern w:val="0"/>
                <w:szCs w:val="21"/>
                <w:highlight w:val="none"/>
                <w:lang w:bidi="ar"/>
              </w:rPr>
              <w:t>风场反演（WIND）</w:t>
            </w:r>
          </w:p>
          <w:p w14:paraId="5C649E6B">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⑭</w:t>
            </w:r>
            <w:r>
              <w:rPr>
                <w:rFonts w:hint="eastAsia" w:ascii="Times New Roman" w:hAnsi="Times New Roman" w:eastAsia="宋体" w:cs="Times New Roman"/>
                <w:color w:val="auto"/>
                <w:kern w:val="0"/>
                <w:szCs w:val="21"/>
                <w:highlight w:val="none"/>
                <w:lang w:bidi="ar"/>
              </w:rPr>
              <w:t>风暴相对径向速度（SRM）</w:t>
            </w:r>
          </w:p>
          <w:p w14:paraId="3A401BFC">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18.天线</w:t>
            </w:r>
          </w:p>
          <w:p w14:paraId="25983416">
            <w:pPr>
              <w:widowControl/>
              <w:jc w:val="left"/>
              <w:rPr>
                <w:rFonts w:ascii="Times New Roman" w:hAnsi="Times New Roman" w:eastAsia="宋体" w:cs="Times New Roman"/>
                <w:b/>
                <w:bCs/>
                <w:color w:val="auto"/>
                <w:kern w:val="0"/>
                <w:szCs w:val="21"/>
                <w:highlight w:val="none"/>
                <w:lang w:bidi="ar"/>
              </w:rPr>
            </w:pPr>
            <w:r>
              <w:rPr>
                <w:rFonts w:hint="eastAsia" w:ascii="宋体" w:hAnsi="宋体" w:eastAsia="宋体" w:cs="宋体"/>
                <w:b/>
                <w:color w:val="auto"/>
                <w:szCs w:val="21"/>
                <w:highlight w:val="none"/>
              </w:rPr>
              <w:t>#</w:t>
            </w:r>
            <w:r>
              <w:rPr>
                <w:rFonts w:hint="eastAsia" w:ascii="Times New Roman" w:hAnsi="Times New Roman" w:eastAsia="宋体" w:cs="Times New Roman"/>
                <w:color w:val="auto"/>
                <w:kern w:val="0"/>
                <w:szCs w:val="21"/>
                <w:highlight w:val="none"/>
                <w:lang w:bidi="ar"/>
              </w:rPr>
              <w:t>（1）</w:t>
            </w:r>
            <w:r>
              <w:rPr>
                <w:rFonts w:ascii="Times New Roman" w:hAnsi="Times New Roman" w:eastAsia="宋体" w:cs="Times New Roman"/>
                <w:color w:val="auto"/>
                <w:kern w:val="0"/>
                <w:szCs w:val="21"/>
                <w:highlight w:val="none"/>
                <w:lang w:bidi="ar"/>
              </w:rPr>
              <w:t>方位波束宽度（水平极化和垂直极化）</w:t>
            </w:r>
            <w:r>
              <w:rPr>
                <w:rFonts w:hint="eastAsia" w:ascii="Times New Roman" w:hAnsi="Times New Roman" w:eastAsia="宋体" w:cs="Times New Roman"/>
                <w:color w:val="auto"/>
                <w:kern w:val="0"/>
                <w:szCs w:val="21"/>
                <w:highlight w:val="none"/>
                <w:lang w:bidi="ar"/>
              </w:rPr>
              <w:t>：发射、接收均≤1.8</w:t>
            </w:r>
            <w:r>
              <w:rPr>
                <w:rFonts w:ascii="Times New Roman" w:hAnsi="Times New Roman" w:eastAsia="宋体" w:cs="Times New Roman"/>
                <w:color w:val="auto"/>
                <w:kern w:val="0"/>
                <w:szCs w:val="21"/>
                <w:highlight w:val="none"/>
                <w:lang w:bidi="ar"/>
              </w:rPr>
              <w:t>°</w:t>
            </w:r>
            <w:r>
              <w:rPr>
                <w:rFonts w:hint="eastAsia" w:ascii="Times New Roman" w:hAnsi="Times New Roman" w:eastAsia="宋体" w:cs="Times New Roman"/>
                <w:color w:val="auto"/>
                <w:kern w:val="0"/>
                <w:szCs w:val="21"/>
                <w:highlight w:val="none"/>
                <w:lang w:bidi="ar"/>
              </w:rPr>
              <w:t>。</w:t>
            </w:r>
            <w:r>
              <w:rPr>
                <w:rFonts w:hint="eastAsia" w:ascii="Times New Roman" w:hAnsi="Times New Roman" w:eastAsia="宋体" w:cs="Times New Roman"/>
                <w:b/>
                <w:bCs/>
                <w:color w:val="auto"/>
                <w:kern w:val="0"/>
                <w:szCs w:val="21"/>
                <w:highlight w:val="none"/>
                <w:lang w:eastAsia="zh-CN" w:bidi="ar"/>
              </w:rPr>
              <w:t>【</w:t>
            </w:r>
            <w:r>
              <w:rPr>
                <w:rFonts w:hint="eastAsia" w:ascii="Times New Roman" w:hAnsi="Times New Roman" w:eastAsia="宋体" w:cs="Times New Roman"/>
                <w:b/>
                <w:bCs/>
                <w:color w:val="auto"/>
                <w:kern w:val="0"/>
                <w:szCs w:val="21"/>
                <w:highlight w:val="none"/>
                <w:lang w:val="en-US" w:eastAsia="zh-CN" w:bidi="ar"/>
              </w:rPr>
              <w:t>需提供国家认可的第三方认证（检测）机构出具认证证书（检测报告）</w:t>
            </w:r>
            <w:r>
              <w:rPr>
                <w:rFonts w:hint="eastAsia" w:ascii="Times New Roman" w:hAnsi="Times New Roman" w:eastAsia="宋体" w:cs="Times New Roman"/>
                <w:b/>
                <w:bCs/>
                <w:color w:val="auto"/>
                <w:kern w:val="0"/>
                <w:szCs w:val="21"/>
                <w:highlight w:val="none"/>
                <w:lang w:eastAsia="zh-CN" w:bidi="ar"/>
              </w:rPr>
              <w:t>】</w:t>
            </w:r>
          </w:p>
          <w:p w14:paraId="30F552F0">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w:t>
            </w:r>
            <w:r>
              <w:rPr>
                <w:rFonts w:ascii="Times New Roman" w:hAnsi="Times New Roman" w:eastAsia="宋体" w:cs="Times New Roman"/>
                <w:color w:val="auto"/>
                <w:kern w:val="0"/>
                <w:szCs w:val="21"/>
                <w:highlight w:val="none"/>
                <w:lang w:bidi="ar"/>
              </w:rPr>
              <w:t>电扫波束宽度（水平极化和垂直极化）</w:t>
            </w:r>
          </w:p>
          <w:p w14:paraId="68EA2D3D">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①</w:t>
            </w:r>
            <w:r>
              <w:rPr>
                <w:rFonts w:ascii="Times New Roman" w:hAnsi="Times New Roman" w:eastAsia="宋体" w:cs="Times New Roman"/>
                <w:color w:val="auto"/>
                <w:kern w:val="0"/>
                <w:szCs w:val="21"/>
                <w:highlight w:val="none"/>
                <w:lang w:bidi="ar"/>
              </w:rPr>
              <w:t>发射、接收均法向</w:t>
            </w:r>
            <w:r>
              <w:rPr>
                <w:rFonts w:hint="eastAsia" w:ascii="宋体" w:hAnsi="宋体" w:eastAsia="宋体" w:cs="宋体"/>
                <w:color w:val="auto"/>
                <w:kern w:val="0"/>
                <w:szCs w:val="21"/>
                <w:highlight w:val="none"/>
                <w:lang w:bidi="ar"/>
              </w:rPr>
              <w:t>≤</w:t>
            </w:r>
            <w:r>
              <w:rPr>
                <w:rFonts w:ascii="Times New Roman" w:hAnsi="Times New Roman" w:eastAsia="宋体" w:cs="Times New Roman"/>
                <w:color w:val="auto"/>
                <w:kern w:val="0"/>
                <w:szCs w:val="21"/>
                <w:highlight w:val="none"/>
                <w:lang w:bidi="ar"/>
              </w:rPr>
              <w:t>1.8°</w:t>
            </w:r>
            <w:r>
              <w:rPr>
                <w:rFonts w:hint="eastAsia" w:ascii="Times New Roman" w:hAnsi="Times New Roman" w:eastAsia="宋体" w:cs="Times New Roman"/>
                <w:color w:val="auto"/>
                <w:kern w:val="0"/>
                <w:szCs w:val="21"/>
                <w:highlight w:val="none"/>
                <w:lang w:bidi="ar"/>
              </w:rPr>
              <w:t>；</w:t>
            </w:r>
          </w:p>
          <w:p w14:paraId="2196C944">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②</w:t>
            </w:r>
            <w:r>
              <w:rPr>
                <w:rFonts w:ascii="Times New Roman" w:hAnsi="Times New Roman" w:eastAsia="宋体" w:cs="Times New Roman"/>
                <w:color w:val="auto"/>
                <w:kern w:val="0"/>
                <w:szCs w:val="21"/>
                <w:highlight w:val="none"/>
                <w:lang w:bidi="ar"/>
              </w:rPr>
              <w:t>偏离法向±20°H面和E面发射、接收均</w:t>
            </w:r>
            <w:r>
              <w:rPr>
                <w:rFonts w:hint="eastAsia" w:ascii="宋体" w:hAnsi="宋体" w:eastAsia="宋体" w:cs="宋体"/>
                <w:color w:val="auto"/>
                <w:kern w:val="0"/>
                <w:szCs w:val="21"/>
                <w:highlight w:val="none"/>
                <w:lang w:bidi="ar"/>
              </w:rPr>
              <w:t>≤</w:t>
            </w:r>
            <w:r>
              <w:rPr>
                <w:rFonts w:ascii="Times New Roman" w:hAnsi="Times New Roman" w:eastAsia="宋体" w:cs="Times New Roman"/>
                <w:color w:val="auto"/>
                <w:kern w:val="0"/>
                <w:szCs w:val="21"/>
                <w:highlight w:val="none"/>
                <w:lang w:bidi="ar"/>
              </w:rPr>
              <w:t>1.91°</w:t>
            </w:r>
            <w:r>
              <w:rPr>
                <w:rFonts w:hint="eastAsia" w:ascii="Times New Roman" w:hAnsi="Times New Roman" w:eastAsia="宋体" w:cs="Times New Roman"/>
                <w:color w:val="auto"/>
                <w:kern w:val="0"/>
                <w:szCs w:val="21"/>
                <w:highlight w:val="none"/>
                <w:lang w:bidi="ar"/>
              </w:rPr>
              <w:t>。</w:t>
            </w:r>
          </w:p>
          <w:p w14:paraId="6AC1908A">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（3）发射增益（法向、不含馈线）≥38.5 dB</w:t>
            </w:r>
          </w:p>
          <w:p w14:paraId="0B2D9B52">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（4）发射增益（偏离法向±20</w:t>
            </w:r>
            <w:r>
              <w:rPr>
                <w:rFonts w:ascii="Times New Roman" w:hAnsi="Times New Roman" w:eastAsia="宋体" w:cs="Times New Roman"/>
                <w:color w:val="auto"/>
                <w:kern w:val="0"/>
                <w:szCs w:val="21"/>
                <w:highlight w:val="none"/>
                <w:lang w:bidi="ar"/>
              </w:rPr>
              <w:t>°</w:t>
            </w:r>
            <w:r>
              <w:rPr>
                <w:rFonts w:hint="eastAsia" w:ascii="Times New Roman" w:hAnsi="Times New Roman" w:eastAsia="宋体" w:cs="Times New Roman"/>
                <w:color w:val="auto"/>
                <w:kern w:val="0"/>
                <w:szCs w:val="21"/>
                <w:highlight w:val="none"/>
                <w:lang w:bidi="ar"/>
              </w:rPr>
              <w:t>、不含馈线）≥37.5 dB</w:t>
            </w:r>
          </w:p>
          <w:p w14:paraId="6680F8D7">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（5）发射增益（发射4倍波束展宽、不含馈线）≥30.5 dB</w:t>
            </w:r>
          </w:p>
          <w:p w14:paraId="19AC97D6">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（6）发射增益（发射8倍波束展宽、不含馈线）≥27.5 dB</w:t>
            </w:r>
          </w:p>
          <w:p w14:paraId="7B12A726">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（7）发射增益（</w:t>
            </w:r>
            <w:r>
              <w:rPr>
                <w:color w:val="auto"/>
                <w:highlight w:val="none"/>
              </w:rPr>
              <w:t>4倍波束展宽增益波动</w:t>
            </w:r>
            <w:r>
              <w:rPr>
                <w:rFonts w:hint="eastAsia"/>
                <w:color w:val="auto"/>
                <w:highlight w:val="none"/>
              </w:rPr>
              <w:t>、</w:t>
            </w:r>
            <w:r>
              <w:rPr>
                <w:color w:val="auto"/>
                <w:highlight w:val="none"/>
              </w:rPr>
              <w:t>不含馈线</w:t>
            </w:r>
            <w:r>
              <w:rPr>
                <w:rFonts w:hint="eastAsia" w:ascii="Times New Roman" w:hAnsi="Times New Roman" w:eastAsia="宋体" w:cs="Times New Roman"/>
                <w:color w:val="auto"/>
                <w:kern w:val="0"/>
                <w:szCs w:val="21"/>
                <w:highlight w:val="none"/>
                <w:lang w:bidi="ar"/>
              </w:rPr>
              <w:t>）</w:t>
            </w:r>
            <w:r>
              <w:rPr>
                <w:color w:val="auto"/>
                <w:highlight w:val="none"/>
              </w:rPr>
              <w:t>≤1dB</w:t>
            </w:r>
          </w:p>
          <w:p w14:paraId="42F50C38">
            <w:pPr>
              <w:widowControl/>
              <w:jc w:val="left"/>
              <w:rPr>
                <w:rFonts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bidi="ar"/>
              </w:rPr>
              <w:t>（8）发射增益（</w:t>
            </w:r>
            <w:r>
              <w:rPr>
                <w:rFonts w:ascii="宋体" w:hAnsi="宋体" w:eastAsia="宋体"/>
                <w:color w:val="auto"/>
                <w:szCs w:val="21"/>
                <w:highlight w:val="none"/>
              </w:rPr>
              <w:t>8倍波束展宽增益波动</w:t>
            </w:r>
            <w:r>
              <w:rPr>
                <w:rFonts w:hint="eastAsia" w:ascii="宋体" w:hAnsi="宋体" w:eastAsia="宋体"/>
                <w:color w:val="auto"/>
                <w:szCs w:val="21"/>
                <w:highlight w:val="none"/>
              </w:rPr>
              <w:t>、</w:t>
            </w:r>
            <w:r>
              <w:rPr>
                <w:rFonts w:ascii="宋体" w:hAnsi="宋体" w:eastAsia="宋体"/>
                <w:color w:val="auto"/>
                <w:szCs w:val="21"/>
                <w:highlight w:val="none"/>
              </w:rPr>
              <w:t>不含馈线</w:t>
            </w:r>
            <w:r>
              <w:rPr>
                <w:rFonts w:hint="eastAsia" w:ascii="宋体" w:hAnsi="宋体" w:eastAsia="宋体" w:cs="Times New Roman"/>
                <w:color w:val="auto"/>
                <w:kern w:val="0"/>
                <w:szCs w:val="21"/>
                <w:highlight w:val="none"/>
                <w:lang w:bidi="ar"/>
              </w:rPr>
              <w:t>）</w:t>
            </w:r>
            <w:r>
              <w:rPr>
                <w:rFonts w:ascii="宋体" w:hAnsi="宋体" w:eastAsia="宋体"/>
                <w:color w:val="auto"/>
                <w:szCs w:val="21"/>
                <w:highlight w:val="none"/>
              </w:rPr>
              <w:t>≤2dB</w:t>
            </w:r>
          </w:p>
          <w:p w14:paraId="72C240B6">
            <w:pPr>
              <w:widowControl/>
              <w:jc w:val="left"/>
              <w:rPr>
                <w:rFonts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bidi="ar"/>
              </w:rPr>
              <w:t>（9）接收增益（法向、不含馈线）≥37.5 dB</w:t>
            </w:r>
          </w:p>
          <w:p w14:paraId="099591AC">
            <w:pPr>
              <w:widowControl/>
              <w:jc w:val="left"/>
              <w:rPr>
                <w:rFonts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bidi="ar"/>
              </w:rPr>
              <w:t>（10）接收增益（偏离法向±20</w:t>
            </w:r>
            <w:r>
              <w:rPr>
                <w:rFonts w:ascii="宋体" w:hAnsi="宋体" w:eastAsia="宋体" w:cs="Times New Roman"/>
                <w:color w:val="auto"/>
                <w:kern w:val="0"/>
                <w:szCs w:val="21"/>
                <w:highlight w:val="none"/>
                <w:lang w:bidi="ar"/>
              </w:rPr>
              <w:t>°</w:t>
            </w:r>
            <w:r>
              <w:rPr>
                <w:rFonts w:hint="eastAsia" w:ascii="宋体" w:hAnsi="宋体" w:eastAsia="宋体" w:cs="Times New Roman"/>
                <w:color w:val="auto"/>
                <w:kern w:val="0"/>
                <w:szCs w:val="21"/>
                <w:highlight w:val="none"/>
                <w:lang w:bidi="ar"/>
              </w:rPr>
              <w:t>、不含馈线）≥36.5 dB</w:t>
            </w:r>
          </w:p>
          <w:p w14:paraId="5D34AFE3">
            <w:pPr>
              <w:widowControl/>
              <w:jc w:val="left"/>
              <w:rPr>
                <w:rFonts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Times New Roman"/>
                <w:color w:val="auto"/>
                <w:kern w:val="0"/>
                <w:szCs w:val="21"/>
                <w:highlight w:val="none"/>
                <w:lang w:bidi="ar"/>
              </w:rPr>
              <w:t>（11）</w:t>
            </w:r>
            <w:r>
              <w:rPr>
                <w:rFonts w:hint="eastAsia" w:ascii="宋体" w:hAnsi="宋体" w:eastAsia="宋体" w:cs="宋体"/>
                <w:color w:val="auto"/>
                <w:szCs w:val="21"/>
                <w:highlight w:val="none"/>
              </w:rPr>
              <w:t>交叉极化隔离度：</w:t>
            </w:r>
          </w:p>
          <w:p w14:paraId="1ACB0142">
            <w:pPr>
              <w:widowControl/>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①</w:t>
            </w:r>
            <w:r>
              <w:rPr>
                <w:rFonts w:hint="eastAsia" w:ascii="宋体" w:hAnsi="宋体" w:eastAsia="宋体" w:cs="宋体"/>
                <w:color w:val="auto"/>
                <w:szCs w:val="21"/>
                <w:highlight w:val="none"/>
              </w:rPr>
              <w:t>收发均满足且偏离法向±10°≥35dB</w:t>
            </w:r>
          </w:p>
          <w:p w14:paraId="0288BEAB">
            <w:pPr>
              <w:widowControl/>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②</w:t>
            </w:r>
            <w:r>
              <w:rPr>
                <w:rFonts w:hint="eastAsia" w:ascii="宋体" w:hAnsi="宋体" w:eastAsia="宋体" w:cs="宋体"/>
                <w:color w:val="auto"/>
                <w:szCs w:val="21"/>
                <w:highlight w:val="none"/>
              </w:rPr>
              <w:t>发射、接收均满足且偏离法向±10°～±20°≥33dB</w:t>
            </w:r>
          </w:p>
          <w:p w14:paraId="2DF38F1E">
            <w:pPr>
              <w:widowControl/>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19.</w:t>
            </w:r>
            <w:r>
              <w:rPr>
                <w:rFonts w:hint="eastAsia" w:ascii="宋体" w:hAnsi="宋体" w:eastAsia="宋体" w:cs="宋体"/>
                <w:color w:val="auto"/>
                <w:szCs w:val="21"/>
                <w:highlight w:val="none"/>
              </w:rPr>
              <w:t>方位方向最大副瓣电平：发射、接收均≤</w:t>
            </w:r>
          </w:p>
          <w:p w14:paraId="2D5AD853">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-30dB。</w:t>
            </w:r>
          </w:p>
          <w:p w14:paraId="59F622D4">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20</w:t>
            </w:r>
            <w:r>
              <w:rPr>
                <w:rFonts w:hint="eastAsia" w:ascii="Times New Roman" w:hAnsi="Times New Roman" w:eastAsia="宋体" w:cs="Times New Roman"/>
                <w:color w:val="auto"/>
                <w:kern w:val="0"/>
                <w:szCs w:val="21"/>
                <w:highlight w:val="none"/>
                <w:lang w:bidi="ar"/>
              </w:rPr>
              <w:t>.伺服：波束扫描方式，平面位置扫描、体积扫描、扇形扫描、定点扫描、用户自定义</w:t>
            </w:r>
          </w:p>
          <w:p w14:paraId="2AA14B37">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w:t>
            </w:r>
            <w:r>
              <w:rPr>
                <w:rFonts w:hint="eastAsia" w:ascii="Times New Roman" w:hAnsi="Times New Roman" w:eastAsia="宋体" w:cs="Times New Roman"/>
                <w:color w:val="auto"/>
                <w:kern w:val="0"/>
                <w:szCs w:val="21"/>
                <w:highlight w:val="none"/>
                <w:lang w:val="en-US" w:eastAsia="zh-CN" w:bidi="ar"/>
              </w:rPr>
              <w:t>1</w:t>
            </w:r>
            <w:r>
              <w:rPr>
                <w:rFonts w:hint="eastAsia" w:ascii="Times New Roman" w:hAnsi="Times New Roman" w:eastAsia="宋体" w:cs="Times New Roman"/>
                <w:color w:val="auto"/>
                <w:kern w:val="0"/>
                <w:szCs w:val="21"/>
                <w:highlight w:val="none"/>
                <w:lang w:bidi="ar"/>
              </w:rPr>
              <w:t>.数字收发单元</w:t>
            </w:r>
          </w:p>
          <w:p w14:paraId="66554B3D">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b/>
                <w:color w:val="auto"/>
                <w:szCs w:val="21"/>
                <w:highlight w:val="none"/>
              </w:rPr>
              <w:t>#</w:t>
            </w:r>
            <w:r>
              <w:rPr>
                <w:rFonts w:hint="eastAsia" w:ascii="Times New Roman" w:hAnsi="Times New Roman" w:eastAsia="宋体" w:cs="Times New Roman"/>
                <w:color w:val="auto"/>
                <w:kern w:val="0"/>
                <w:szCs w:val="21"/>
                <w:highlight w:val="none"/>
                <w:lang w:bidi="ar"/>
              </w:rPr>
              <w:t>（1）发射单元</w:t>
            </w:r>
          </w:p>
          <w:p w14:paraId="5A1841C4">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①EIRP（法向、单极化）≥96.5 dBm</w:t>
            </w:r>
          </w:p>
          <w:p w14:paraId="6E3C01EA">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②EIRP（±20°、单极化）≥95.5 dBm</w:t>
            </w:r>
          </w:p>
          <w:p w14:paraId="6A611767">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③EIRP（4倍波束展宽、单极化）≥88.5 dBm</w:t>
            </w:r>
          </w:p>
          <w:p w14:paraId="4D5547A2">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④EIRP（8倍波束展宽、单极化）≥85.5 dBm</w:t>
            </w:r>
          </w:p>
          <w:p w14:paraId="62718DB5">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b/>
                <w:color w:val="auto"/>
                <w:szCs w:val="21"/>
                <w:highlight w:val="none"/>
              </w:rPr>
              <w:t>#</w:t>
            </w:r>
            <w:r>
              <w:rPr>
                <w:rFonts w:hint="eastAsia" w:ascii="Times New Roman" w:hAnsi="Times New Roman" w:eastAsia="宋体" w:cs="Times New Roman"/>
                <w:color w:val="auto"/>
                <w:kern w:val="0"/>
                <w:szCs w:val="21"/>
                <w:highlight w:val="none"/>
                <w:lang w:bidi="ar"/>
              </w:rPr>
              <w:t>（2）接收单元</w:t>
            </w:r>
          </w:p>
          <w:p w14:paraId="6E1F6401">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①</w:t>
            </w:r>
            <w:r>
              <w:rPr>
                <w:rFonts w:ascii="Times New Roman" w:hAnsi="Times New Roman" w:eastAsia="宋体" w:cs="Times New Roman"/>
                <w:color w:val="auto"/>
                <w:kern w:val="0"/>
                <w:szCs w:val="21"/>
                <w:highlight w:val="none"/>
                <w:lang w:bidi="ar"/>
              </w:rPr>
              <w:t>G/T（法向、带宽1MHz）</w:t>
            </w:r>
            <w:r>
              <w:rPr>
                <w:rFonts w:hint="eastAsia" w:ascii="宋体" w:hAnsi="宋体" w:eastAsia="宋体" w:cs="宋体"/>
                <w:color w:val="auto"/>
                <w:kern w:val="0"/>
                <w:szCs w:val="21"/>
                <w:highlight w:val="none"/>
                <w:lang w:bidi="ar"/>
              </w:rPr>
              <w:t>≥</w:t>
            </w:r>
            <w:r>
              <w:rPr>
                <w:rFonts w:hint="eastAsia" w:ascii="Times New Roman" w:hAnsi="Times New Roman" w:eastAsia="宋体" w:cs="Times New Roman"/>
                <w:color w:val="auto"/>
                <w:kern w:val="0"/>
                <w:szCs w:val="21"/>
                <w:highlight w:val="none"/>
                <w:lang w:bidi="ar"/>
              </w:rPr>
              <w:t>6.</w:t>
            </w:r>
            <w:r>
              <w:rPr>
                <w:rFonts w:ascii="Times New Roman" w:hAnsi="Times New Roman" w:eastAsia="宋体" w:cs="Times New Roman"/>
                <w:color w:val="auto"/>
                <w:kern w:val="0"/>
                <w:szCs w:val="21"/>
                <w:highlight w:val="none"/>
                <w:lang w:bidi="ar"/>
              </w:rPr>
              <w:t>5</w:t>
            </w:r>
            <w:r>
              <w:rPr>
                <w:rFonts w:hint="eastAsia" w:ascii="Times New Roman" w:hAnsi="Times New Roman" w:eastAsia="宋体" w:cs="Times New Roman"/>
                <w:color w:val="auto"/>
                <w:kern w:val="0"/>
                <w:szCs w:val="21"/>
                <w:highlight w:val="none"/>
                <w:lang w:bidi="ar"/>
              </w:rPr>
              <w:t xml:space="preserve"> </w:t>
            </w:r>
            <w:r>
              <w:rPr>
                <w:rFonts w:ascii="Times New Roman" w:hAnsi="Times New Roman" w:eastAsia="宋体" w:cs="Times New Roman"/>
                <w:color w:val="auto"/>
                <w:kern w:val="0"/>
                <w:szCs w:val="21"/>
                <w:highlight w:val="none"/>
                <w:lang w:bidi="ar"/>
              </w:rPr>
              <w:t>dB/K</w:t>
            </w:r>
          </w:p>
          <w:p w14:paraId="1D176E47">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②</w:t>
            </w:r>
            <w:r>
              <w:rPr>
                <w:rFonts w:ascii="Times New Roman" w:hAnsi="Times New Roman" w:eastAsia="宋体" w:cs="Times New Roman"/>
                <w:color w:val="auto"/>
                <w:kern w:val="0"/>
                <w:szCs w:val="21"/>
                <w:highlight w:val="none"/>
                <w:lang w:bidi="ar"/>
              </w:rPr>
              <w:t>G/T（±20°、带宽1MHz）</w:t>
            </w:r>
            <w:r>
              <w:rPr>
                <w:rFonts w:hint="eastAsia" w:ascii="宋体" w:hAnsi="宋体" w:eastAsia="宋体" w:cs="宋体"/>
                <w:color w:val="auto"/>
                <w:kern w:val="0"/>
                <w:szCs w:val="21"/>
                <w:highlight w:val="none"/>
                <w:lang w:bidi="ar"/>
              </w:rPr>
              <w:t>≥</w:t>
            </w:r>
            <w:r>
              <w:rPr>
                <w:rFonts w:hint="eastAsia" w:ascii="Times New Roman" w:hAnsi="Times New Roman" w:eastAsia="宋体" w:cs="Times New Roman"/>
                <w:color w:val="auto"/>
                <w:kern w:val="0"/>
                <w:szCs w:val="21"/>
                <w:highlight w:val="none"/>
                <w:lang w:bidi="ar"/>
              </w:rPr>
              <w:t>5.</w:t>
            </w:r>
            <w:r>
              <w:rPr>
                <w:rFonts w:ascii="Times New Roman" w:hAnsi="Times New Roman" w:eastAsia="宋体" w:cs="Times New Roman"/>
                <w:color w:val="auto"/>
                <w:kern w:val="0"/>
                <w:szCs w:val="21"/>
                <w:highlight w:val="none"/>
                <w:lang w:bidi="ar"/>
              </w:rPr>
              <w:t>5</w:t>
            </w:r>
            <w:r>
              <w:rPr>
                <w:rFonts w:hint="eastAsia" w:ascii="Times New Roman" w:hAnsi="Times New Roman" w:eastAsia="宋体" w:cs="Times New Roman"/>
                <w:color w:val="auto"/>
                <w:kern w:val="0"/>
                <w:szCs w:val="21"/>
                <w:highlight w:val="none"/>
                <w:lang w:bidi="ar"/>
              </w:rPr>
              <w:t xml:space="preserve"> </w:t>
            </w:r>
            <w:r>
              <w:rPr>
                <w:rFonts w:ascii="Times New Roman" w:hAnsi="Times New Roman" w:eastAsia="宋体" w:cs="Times New Roman"/>
                <w:color w:val="auto"/>
                <w:kern w:val="0"/>
                <w:szCs w:val="21"/>
                <w:highlight w:val="none"/>
                <w:lang w:bidi="ar"/>
              </w:rPr>
              <w:t>dB/K</w:t>
            </w:r>
          </w:p>
          <w:p w14:paraId="2D0534C5">
            <w:pPr>
              <w:widowControl/>
              <w:jc w:val="left"/>
              <w:rPr>
                <w:rFonts w:hint="eastAsia" w:ascii="Times New Roman" w:hAnsi="Times New Roman" w:eastAsia="宋体" w:cs="Times New Roman"/>
                <w:color w:val="auto"/>
                <w:kern w:val="0"/>
                <w:szCs w:val="21"/>
                <w:highlight w:val="none"/>
                <w:lang w:eastAsia="zh-CN" w:bidi="ar"/>
              </w:rPr>
            </w:pPr>
            <w:r>
              <w:rPr>
                <w:rFonts w:hint="eastAsia" w:ascii="宋体" w:hAnsi="宋体" w:eastAsia="宋体" w:cs="宋体"/>
                <w:b/>
                <w:color w:val="auto"/>
                <w:szCs w:val="21"/>
                <w:highlight w:val="none"/>
              </w:rPr>
              <w:t>#</w:t>
            </w:r>
            <w:r>
              <w:rPr>
                <w:rFonts w:hint="eastAsia" w:ascii="Times New Roman" w:hAnsi="Times New Roman" w:eastAsia="宋体" w:cs="Times New Roman"/>
                <w:color w:val="auto"/>
                <w:kern w:val="0"/>
                <w:szCs w:val="21"/>
                <w:highlight w:val="none"/>
                <w:lang w:bidi="ar"/>
              </w:rPr>
              <w:t>2</w:t>
            </w:r>
            <w:r>
              <w:rPr>
                <w:rFonts w:hint="eastAsia" w:ascii="Times New Roman" w:hAnsi="Times New Roman" w:eastAsia="宋体" w:cs="Times New Roman"/>
                <w:color w:val="auto"/>
                <w:kern w:val="0"/>
                <w:szCs w:val="21"/>
                <w:highlight w:val="none"/>
                <w:lang w:eastAsia="zh-CN" w:bidi="ar"/>
              </w:rPr>
              <w:t>2</w:t>
            </w:r>
            <w:r>
              <w:rPr>
                <w:rFonts w:hint="eastAsia" w:ascii="Times New Roman" w:hAnsi="Times New Roman" w:eastAsia="宋体" w:cs="Times New Roman"/>
                <w:color w:val="auto"/>
                <w:kern w:val="0"/>
                <w:szCs w:val="21"/>
                <w:highlight w:val="none"/>
                <w:lang w:bidi="ar"/>
              </w:rPr>
              <w:t>.数字波束控制与合成</w:t>
            </w:r>
            <w:r>
              <w:rPr>
                <w:rFonts w:hint="eastAsia" w:ascii="Times New Roman" w:hAnsi="Times New Roman" w:eastAsia="宋体" w:cs="Times New Roman"/>
                <w:color w:val="auto"/>
                <w:kern w:val="0"/>
                <w:szCs w:val="21"/>
                <w:highlight w:val="none"/>
                <w:lang w:eastAsia="zh-CN" w:bidi="ar"/>
              </w:rPr>
              <w:t>：</w:t>
            </w:r>
          </w:p>
          <w:p w14:paraId="37ABF2A6">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①电扫方向发射最大副瓣电平≤-23 dB</w:t>
            </w:r>
            <w:r>
              <w:rPr>
                <w:rFonts w:ascii="宋体" w:hAnsi="宋体" w:eastAsia="宋体"/>
                <w:color w:val="auto"/>
                <w:highlight w:val="none"/>
              </w:rPr>
              <w:t>（法向波束宽度≤1.8°，偏离法向±20°波束宽度≤1.91°）</w:t>
            </w:r>
            <w:r>
              <w:rPr>
                <w:rFonts w:hint="eastAsia" w:ascii="Times New Roman" w:hAnsi="Times New Roman" w:eastAsia="宋体" w:cs="Times New Roman"/>
                <w:color w:val="auto"/>
                <w:kern w:val="0"/>
                <w:szCs w:val="21"/>
                <w:highlight w:val="none"/>
                <w:lang w:bidi="ar"/>
              </w:rPr>
              <w:t>。</w:t>
            </w:r>
          </w:p>
          <w:p w14:paraId="4CC3046F">
            <w:pPr>
              <w:widowControl/>
              <w:jc w:val="left"/>
              <w:rPr>
                <w:color w:val="auto"/>
                <w:highlight w:val="none"/>
              </w:rPr>
            </w:pPr>
            <w:r>
              <w:rPr>
                <w:rFonts w:hint="eastAsia" w:ascii="Times New Roman" w:hAnsi="Times New Roman" w:eastAsia="宋体" w:cs="Times New Roman"/>
                <w:color w:val="auto"/>
                <w:kern w:val="0"/>
                <w:szCs w:val="21"/>
                <w:highlight w:val="none"/>
                <w:lang w:bidi="ar"/>
              </w:rPr>
              <w:t>②电扫方向接收最大副瓣电平≤-35 dB</w:t>
            </w:r>
            <w:r>
              <w:rPr>
                <w:rFonts w:ascii="宋体" w:hAnsi="宋体" w:eastAsia="宋体"/>
                <w:color w:val="auto"/>
                <w:highlight w:val="none"/>
              </w:rPr>
              <w:t>（</w:t>
            </w:r>
            <w:r>
              <w:rPr>
                <w:rFonts w:hint="eastAsia" w:ascii="宋体" w:hAnsi="宋体" w:eastAsia="宋体" w:cs="Times New Roman"/>
                <w:bCs/>
                <w:color w:val="auto"/>
                <w:szCs w:val="20"/>
                <w:highlight w:val="none"/>
              </w:rPr>
              <w:t>法向波束宽度≤1.8°，偏离法向±20°波束宽度≤1.91°</w:t>
            </w:r>
            <w:r>
              <w:rPr>
                <w:rFonts w:ascii="宋体" w:hAnsi="宋体" w:eastAsia="宋体"/>
                <w:color w:val="auto"/>
                <w:highlight w:val="none"/>
              </w:rPr>
              <w:t>）</w:t>
            </w:r>
            <w:r>
              <w:rPr>
                <w:rFonts w:hint="eastAsia" w:ascii="Times New Roman" w:hAnsi="Times New Roman" w:eastAsia="宋体" w:cs="Times New Roman"/>
                <w:color w:val="auto"/>
                <w:kern w:val="0"/>
                <w:szCs w:val="21"/>
                <w:highlight w:val="none"/>
                <w:lang w:bidi="ar"/>
              </w:rPr>
              <w:t>。</w:t>
            </w:r>
          </w:p>
          <w:p w14:paraId="26E5E3D1">
            <w:pPr>
              <w:widowControl/>
              <w:jc w:val="left"/>
              <w:rPr>
                <w:rFonts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bidi="ar"/>
              </w:rPr>
              <w:t>2</w:t>
            </w:r>
            <w:r>
              <w:rPr>
                <w:rFonts w:hint="eastAsia" w:ascii="宋体" w:hAnsi="宋体" w:eastAsia="宋体" w:cs="Times New Roman"/>
                <w:color w:val="auto"/>
                <w:kern w:val="0"/>
                <w:szCs w:val="21"/>
                <w:highlight w:val="none"/>
                <w:lang w:val="en-US" w:eastAsia="zh-CN" w:bidi="ar"/>
              </w:rPr>
              <w:t>3</w:t>
            </w:r>
            <w:r>
              <w:rPr>
                <w:rFonts w:hint="eastAsia" w:ascii="宋体" w:hAnsi="宋体" w:eastAsia="宋体" w:cs="Times New Roman"/>
                <w:color w:val="auto"/>
                <w:kern w:val="0"/>
                <w:szCs w:val="21"/>
                <w:highlight w:val="none"/>
                <w:lang w:bidi="ar"/>
              </w:rPr>
              <w:t>.信号处理单元：</w:t>
            </w:r>
          </w:p>
          <w:p w14:paraId="384D8C07">
            <w:pPr>
              <w:widowControl/>
              <w:ind w:firstLine="0" w:firstLineChars="0"/>
              <w:jc w:val="left"/>
              <w:rPr>
                <w:rFonts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bidi="ar"/>
              </w:rPr>
              <w:t>（1）最大脉冲压缩比≥100。</w:t>
            </w:r>
          </w:p>
          <w:p w14:paraId="71CA862E">
            <w:pPr>
              <w:widowControl/>
              <w:jc w:val="left"/>
              <w:rPr>
                <w:rFonts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bidi="ar"/>
              </w:rPr>
              <w:t>（2）</w:t>
            </w:r>
            <w:r>
              <w:rPr>
                <w:rFonts w:ascii="宋体" w:hAnsi="宋体" w:eastAsia="宋体"/>
                <w:color w:val="auto"/>
                <w:highlight w:val="none"/>
              </w:rPr>
              <w:t>脉冲压缩主副瓣比</w:t>
            </w:r>
            <w:r>
              <w:rPr>
                <w:rFonts w:hint="eastAsia" w:ascii="宋体" w:hAnsi="宋体" w:eastAsia="宋体" w:cs="Times New Roman"/>
                <w:color w:val="auto"/>
                <w:kern w:val="0"/>
                <w:szCs w:val="21"/>
                <w:highlight w:val="none"/>
                <w:lang w:bidi="ar"/>
              </w:rPr>
              <w:t>≥</w:t>
            </w:r>
            <w:r>
              <w:rPr>
                <w:rFonts w:ascii="宋体" w:hAnsi="宋体" w:eastAsia="宋体"/>
                <w:color w:val="auto"/>
                <w:highlight w:val="none"/>
              </w:rPr>
              <w:t>50dB（脉压比≥100）</w:t>
            </w:r>
          </w:p>
          <w:p w14:paraId="0D3BF4DD">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w:t>
            </w:r>
            <w:r>
              <w:rPr>
                <w:rFonts w:hint="eastAsia" w:ascii="Times New Roman" w:hAnsi="Times New Roman" w:eastAsia="宋体" w:cs="Times New Roman"/>
                <w:color w:val="auto"/>
                <w:kern w:val="0"/>
                <w:szCs w:val="21"/>
                <w:highlight w:val="none"/>
                <w:lang w:val="en-US" w:eastAsia="zh-CN" w:bidi="ar"/>
              </w:rPr>
              <w:t>4</w:t>
            </w:r>
            <w:r>
              <w:rPr>
                <w:rFonts w:hint="eastAsia" w:ascii="Times New Roman" w:hAnsi="Times New Roman" w:eastAsia="宋体" w:cs="Times New Roman"/>
                <w:color w:val="auto"/>
                <w:kern w:val="0"/>
                <w:szCs w:val="21"/>
                <w:highlight w:val="none"/>
                <w:lang w:bidi="ar"/>
              </w:rPr>
              <w:t>.电源要求：三相AC 380 V±10%，50 Hz±5%或单相AC 220 V±10%，50 Hz±5%。</w:t>
            </w:r>
          </w:p>
          <w:p w14:paraId="4E52FF37">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w:t>
            </w:r>
            <w:r>
              <w:rPr>
                <w:rFonts w:hint="eastAsia" w:ascii="Times New Roman" w:hAnsi="Times New Roman" w:eastAsia="宋体" w:cs="Times New Roman"/>
                <w:color w:val="auto"/>
                <w:kern w:val="0"/>
                <w:szCs w:val="21"/>
                <w:highlight w:val="none"/>
                <w:lang w:val="en-US" w:eastAsia="zh-CN" w:bidi="ar"/>
              </w:rPr>
              <w:t>5</w:t>
            </w:r>
            <w:r>
              <w:rPr>
                <w:rFonts w:hint="eastAsia" w:ascii="Times New Roman" w:hAnsi="Times New Roman" w:eastAsia="宋体" w:cs="Times New Roman"/>
                <w:color w:val="auto"/>
                <w:kern w:val="0"/>
                <w:szCs w:val="21"/>
                <w:highlight w:val="none"/>
                <w:lang w:bidi="ar"/>
              </w:rPr>
              <w:t>.重量≤3吨</w:t>
            </w:r>
          </w:p>
          <w:p w14:paraId="32EC8E07">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w:t>
            </w:r>
            <w:r>
              <w:rPr>
                <w:rFonts w:hint="eastAsia" w:ascii="Times New Roman" w:hAnsi="Times New Roman" w:eastAsia="宋体" w:cs="Times New Roman"/>
                <w:color w:val="auto"/>
                <w:kern w:val="0"/>
                <w:szCs w:val="21"/>
                <w:highlight w:val="none"/>
                <w:lang w:val="en-US" w:eastAsia="zh-CN" w:bidi="ar"/>
              </w:rPr>
              <w:t>6</w:t>
            </w:r>
            <w:r>
              <w:rPr>
                <w:rFonts w:hint="eastAsia" w:ascii="Times New Roman" w:hAnsi="Times New Roman" w:eastAsia="宋体" w:cs="Times New Roman"/>
                <w:color w:val="auto"/>
                <w:kern w:val="0"/>
                <w:szCs w:val="21"/>
                <w:highlight w:val="none"/>
                <w:lang w:bidi="ar"/>
              </w:rPr>
              <w:t>.环境要求</w:t>
            </w:r>
          </w:p>
          <w:p w14:paraId="5C572095">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（1）环境温度：室内为0℃～+40℃；室外为-40℃～+50℃；</w:t>
            </w:r>
          </w:p>
          <w:p w14:paraId="562D0293">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（2）贮存温度：-40℃～+60℃；</w:t>
            </w:r>
          </w:p>
          <w:p w14:paraId="6EFB6A10">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（3）环境最大湿度：室内为≤90%（+30℃）；室外为≤95%（+35℃）；</w:t>
            </w:r>
          </w:p>
          <w:p w14:paraId="4935A10A">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（4）工作高度：海拔高度≤5000 m；</w:t>
            </w:r>
          </w:p>
          <w:p w14:paraId="236E02EE">
            <w:pPr>
              <w:rPr>
                <w:color w:val="auto"/>
                <w:highlight w:val="none"/>
              </w:rPr>
            </w:pPr>
          </w:p>
          <w:p w14:paraId="445A5F06">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w:t>
            </w:r>
            <w:r>
              <w:rPr>
                <w:rFonts w:hint="eastAsia" w:ascii="Times New Roman" w:hAnsi="Times New Roman" w:eastAsia="宋体" w:cs="Times New Roman"/>
                <w:color w:val="auto"/>
                <w:kern w:val="0"/>
                <w:szCs w:val="21"/>
                <w:highlight w:val="none"/>
                <w:lang w:val="en-US" w:eastAsia="zh-CN" w:bidi="ar"/>
              </w:rPr>
              <w:t>5</w:t>
            </w:r>
            <w:r>
              <w:rPr>
                <w:rFonts w:hint="eastAsia" w:ascii="Times New Roman" w:hAnsi="Times New Roman" w:eastAsia="宋体" w:cs="Times New Roman"/>
                <w:color w:val="auto"/>
                <w:kern w:val="0"/>
                <w:szCs w:val="21"/>
                <w:highlight w:val="none"/>
                <w:lang w:bidi="ar"/>
              </w:rPr>
              <w:t>）抗干扰：电源干扰、电磁干扰、无线电频率干扰；</w:t>
            </w:r>
          </w:p>
          <w:p w14:paraId="0CB2B7A7">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w:t>
            </w:r>
            <w:r>
              <w:rPr>
                <w:rFonts w:hint="eastAsia" w:ascii="Times New Roman" w:hAnsi="Times New Roman" w:eastAsia="宋体" w:cs="Times New Roman"/>
                <w:color w:val="auto"/>
                <w:kern w:val="0"/>
                <w:szCs w:val="21"/>
                <w:highlight w:val="none"/>
                <w:lang w:val="en-US" w:eastAsia="zh-CN" w:bidi="ar"/>
              </w:rPr>
              <w:t>6</w:t>
            </w:r>
            <w:r>
              <w:rPr>
                <w:rFonts w:hint="eastAsia" w:ascii="Times New Roman" w:hAnsi="Times New Roman" w:eastAsia="宋体" w:cs="Times New Roman"/>
                <w:color w:val="auto"/>
                <w:kern w:val="0"/>
                <w:szCs w:val="21"/>
                <w:highlight w:val="none"/>
                <w:lang w:bidi="ar"/>
              </w:rPr>
              <w:t>）其他：防水、防霉、防盐雾。</w:t>
            </w:r>
          </w:p>
          <w:p w14:paraId="0D342532">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w:t>
            </w:r>
            <w:r>
              <w:rPr>
                <w:rFonts w:hint="eastAsia" w:ascii="Times New Roman" w:hAnsi="Times New Roman" w:eastAsia="宋体" w:cs="Times New Roman"/>
                <w:color w:val="auto"/>
                <w:kern w:val="0"/>
                <w:szCs w:val="21"/>
                <w:highlight w:val="none"/>
                <w:lang w:val="en-US" w:eastAsia="zh-CN" w:bidi="ar"/>
              </w:rPr>
              <w:t>7</w:t>
            </w:r>
            <w:r>
              <w:rPr>
                <w:rFonts w:hint="eastAsia" w:ascii="Times New Roman" w:hAnsi="Times New Roman" w:eastAsia="宋体" w:cs="Times New Roman"/>
                <w:color w:val="auto"/>
                <w:kern w:val="0"/>
                <w:szCs w:val="21"/>
                <w:highlight w:val="none"/>
                <w:lang w:bidi="ar"/>
              </w:rPr>
              <w:t>.平均严重故障间隔时间（MTBCF）≥5000 h</w:t>
            </w:r>
          </w:p>
          <w:p w14:paraId="2BF0402E">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w:t>
            </w:r>
            <w:r>
              <w:rPr>
                <w:rFonts w:hint="eastAsia" w:ascii="Times New Roman" w:hAnsi="Times New Roman" w:eastAsia="宋体" w:cs="Times New Roman"/>
                <w:color w:val="auto"/>
                <w:kern w:val="0"/>
                <w:szCs w:val="21"/>
                <w:highlight w:val="none"/>
                <w:lang w:val="en-US" w:eastAsia="zh-CN" w:bidi="ar"/>
              </w:rPr>
              <w:t>8</w:t>
            </w:r>
            <w:r>
              <w:rPr>
                <w:rFonts w:hint="eastAsia" w:ascii="Times New Roman" w:hAnsi="Times New Roman" w:eastAsia="宋体" w:cs="Times New Roman"/>
                <w:color w:val="auto"/>
                <w:kern w:val="0"/>
                <w:szCs w:val="21"/>
                <w:highlight w:val="none"/>
                <w:lang w:bidi="ar"/>
              </w:rPr>
              <w:t>.平均故障修复时间≤0.5 h</w:t>
            </w:r>
          </w:p>
          <w:p w14:paraId="501E95FD">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w:t>
            </w:r>
            <w:r>
              <w:rPr>
                <w:rFonts w:hint="eastAsia" w:ascii="Times New Roman" w:hAnsi="Times New Roman" w:eastAsia="宋体" w:cs="Times New Roman"/>
                <w:color w:val="auto"/>
                <w:kern w:val="0"/>
                <w:szCs w:val="21"/>
                <w:highlight w:val="none"/>
                <w:lang w:val="en-US" w:eastAsia="zh-CN" w:bidi="ar"/>
              </w:rPr>
              <w:t>9</w:t>
            </w:r>
            <w:r>
              <w:rPr>
                <w:rFonts w:hint="eastAsia" w:ascii="Times New Roman" w:hAnsi="Times New Roman" w:eastAsia="宋体" w:cs="Times New Roman"/>
                <w:color w:val="auto"/>
                <w:kern w:val="0"/>
                <w:szCs w:val="21"/>
                <w:highlight w:val="none"/>
                <w:lang w:bidi="ar"/>
              </w:rPr>
              <w:t>.架设方式：固定架设</w:t>
            </w:r>
          </w:p>
          <w:p w14:paraId="1C1DAC6E">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30</w:t>
            </w:r>
            <w:r>
              <w:rPr>
                <w:rFonts w:hint="eastAsia" w:ascii="Times New Roman" w:hAnsi="Times New Roman" w:eastAsia="宋体" w:cs="Times New Roman"/>
                <w:color w:val="auto"/>
                <w:kern w:val="0"/>
                <w:szCs w:val="21"/>
                <w:highlight w:val="none"/>
                <w:lang w:bidi="ar"/>
              </w:rPr>
              <w:t>.雷达整机功耗≤15 kW</w:t>
            </w:r>
          </w:p>
          <w:p w14:paraId="0DB21B8A">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3</w:t>
            </w:r>
            <w:r>
              <w:rPr>
                <w:rFonts w:hint="eastAsia" w:ascii="Times New Roman" w:hAnsi="Times New Roman" w:eastAsia="宋体" w:cs="Times New Roman"/>
                <w:color w:val="auto"/>
                <w:kern w:val="0"/>
                <w:szCs w:val="21"/>
                <w:highlight w:val="none"/>
                <w:lang w:val="en-US" w:eastAsia="zh-CN" w:bidi="ar"/>
              </w:rPr>
              <w:t>1</w:t>
            </w:r>
            <w:r>
              <w:rPr>
                <w:rFonts w:hint="eastAsia" w:ascii="Times New Roman" w:hAnsi="Times New Roman" w:eastAsia="宋体" w:cs="Times New Roman"/>
                <w:color w:val="auto"/>
                <w:kern w:val="0"/>
                <w:szCs w:val="21"/>
                <w:highlight w:val="none"/>
                <w:lang w:bidi="ar"/>
              </w:rPr>
              <w:t>.连续工作时间：无人值守7×24 h工作。</w:t>
            </w:r>
          </w:p>
          <w:p w14:paraId="7BFBE07E">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3</w:t>
            </w:r>
            <w:r>
              <w:rPr>
                <w:rFonts w:hint="eastAsia" w:ascii="Times New Roman" w:hAnsi="Times New Roman" w:eastAsia="宋体" w:cs="Times New Roman"/>
                <w:color w:val="auto"/>
                <w:kern w:val="0"/>
                <w:szCs w:val="21"/>
                <w:highlight w:val="none"/>
                <w:lang w:val="en-US" w:eastAsia="zh-CN" w:bidi="ar"/>
              </w:rPr>
              <w:t>2</w:t>
            </w:r>
            <w:r>
              <w:rPr>
                <w:rFonts w:hint="eastAsia" w:ascii="Times New Roman" w:hAnsi="Times New Roman" w:eastAsia="宋体" w:cs="Times New Roman"/>
                <w:color w:val="auto"/>
                <w:kern w:val="0"/>
                <w:szCs w:val="21"/>
                <w:highlight w:val="none"/>
                <w:lang w:bidi="ar"/>
              </w:rPr>
              <w:t>.微波辐射安全性：电磁辐射暴露限制应符合GJB 5313A-2017的要求。</w:t>
            </w:r>
          </w:p>
          <w:p w14:paraId="00B5D11C">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3</w:t>
            </w:r>
            <w:r>
              <w:rPr>
                <w:rFonts w:hint="eastAsia" w:ascii="Times New Roman" w:hAnsi="Times New Roman" w:eastAsia="宋体" w:cs="Times New Roman"/>
                <w:color w:val="auto"/>
                <w:kern w:val="0"/>
                <w:szCs w:val="21"/>
                <w:highlight w:val="none"/>
                <w:lang w:val="en-US" w:eastAsia="zh-CN" w:bidi="ar"/>
              </w:rPr>
              <w:t>3</w:t>
            </w:r>
            <w:r>
              <w:rPr>
                <w:rFonts w:hint="eastAsia" w:ascii="Times New Roman" w:hAnsi="Times New Roman" w:eastAsia="宋体" w:cs="Times New Roman"/>
                <w:color w:val="auto"/>
                <w:kern w:val="0"/>
                <w:szCs w:val="21"/>
                <w:highlight w:val="none"/>
                <w:lang w:bidi="ar"/>
              </w:rPr>
              <w:t>.防雷要求：雷达电源线输入端应加装防雷滤波器，室外电缆</w:t>
            </w:r>
            <w:r>
              <w:rPr>
                <w:rFonts w:hint="eastAsia" w:ascii="Times New Roman" w:hAnsi="Times New Roman" w:eastAsia="宋体" w:cs="Times New Roman"/>
                <w:color w:val="auto"/>
                <w:kern w:val="0"/>
                <w:szCs w:val="21"/>
                <w:highlight w:val="none"/>
                <w:lang w:val="en-US" w:eastAsia="zh-CN" w:bidi="ar"/>
              </w:rPr>
              <w:t>均</w:t>
            </w:r>
            <w:r>
              <w:rPr>
                <w:rFonts w:hint="eastAsia" w:ascii="Times New Roman" w:hAnsi="Times New Roman" w:eastAsia="宋体" w:cs="Times New Roman"/>
                <w:color w:val="auto"/>
                <w:kern w:val="0"/>
                <w:szCs w:val="21"/>
                <w:highlight w:val="none"/>
                <w:lang w:bidi="ar"/>
              </w:rPr>
              <w:t>采用屏蔽电缆。</w:t>
            </w:r>
          </w:p>
          <w:p w14:paraId="32206ED3">
            <w:pP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3</w:t>
            </w:r>
            <w:r>
              <w:rPr>
                <w:rFonts w:hint="eastAsia" w:ascii="Times New Roman" w:hAnsi="Times New Roman" w:eastAsia="宋体" w:cs="Times New Roman"/>
                <w:color w:val="auto"/>
                <w:kern w:val="0"/>
                <w:szCs w:val="21"/>
                <w:highlight w:val="none"/>
                <w:lang w:val="en-US" w:eastAsia="zh-CN" w:bidi="ar"/>
              </w:rPr>
              <w:t>4</w:t>
            </w:r>
            <w:r>
              <w:rPr>
                <w:rFonts w:hint="eastAsia" w:ascii="Times New Roman" w:hAnsi="Times New Roman" w:eastAsia="宋体" w:cs="Times New Roman"/>
                <w:color w:val="auto"/>
                <w:kern w:val="0"/>
                <w:szCs w:val="21"/>
                <w:highlight w:val="none"/>
                <w:lang w:bidi="ar"/>
              </w:rPr>
              <w:t>.环境噪声要求：终端操作室噪声不大于65 dB。</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C73BF">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72B0">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套</w:t>
            </w:r>
          </w:p>
        </w:tc>
      </w:tr>
      <w:tr w14:paraId="6558B396">
        <w:tblPrEx>
          <w:tblCellMar>
            <w:top w:w="0" w:type="dxa"/>
            <w:left w:w="108" w:type="dxa"/>
            <w:bottom w:w="0" w:type="dxa"/>
            <w:right w:w="108" w:type="dxa"/>
          </w:tblCellMar>
        </w:tblPrEx>
        <w:trPr>
          <w:trHeight w:val="23"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4C985">
            <w:pPr>
              <w:widowControl/>
              <w:snapToGrid w:val="0"/>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4</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4ECAF">
            <w:pPr>
              <w:widowControl/>
              <w:snapToGrid w:val="0"/>
              <w:textAlignment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六要素气象站</w:t>
            </w:r>
          </w:p>
        </w:tc>
        <w:tc>
          <w:tcPr>
            <w:tcW w:w="4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56FFC">
            <w:pPr>
              <w:widowControl/>
              <w:ind w:firstLine="0" w:firstLineChars="0"/>
              <w:rPr>
                <w:rFonts w:ascii="宋体" w:hAnsi="宋体" w:eastAsia="宋体" w:cs="宋体"/>
                <w:color w:val="auto"/>
                <w:kern w:val="0"/>
                <w:szCs w:val="21"/>
                <w:highlight w:val="none"/>
                <w:lang w:bidi="ar"/>
              </w:rPr>
            </w:pPr>
            <w:r>
              <w:rPr>
                <w:rFonts w:hint="eastAsia" w:ascii="宋体" w:hAnsi="宋体" w:eastAsia="宋体" w:cs="宋体"/>
                <w:b/>
                <w:bCs/>
                <w:color w:val="auto"/>
                <w:kern w:val="0"/>
                <w:szCs w:val="21"/>
                <w:highlight w:val="none"/>
                <w:lang w:bidi="ar"/>
              </w:rPr>
              <w:t>包含温湿度传感器、超声风传感器、气压传感器、雨感器、数据采集模块等，监测要素包括温度、相对湿度、气压、风速、风向、降水量</w:t>
            </w:r>
            <w:r>
              <w:rPr>
                <w:rFonts w:hint="eastAsia" w:ascii="宋体" w:hAnsi="宋体" w:eastAsia="宋体" w:cs="宋体"/>
                <w:color w:val="auto"/>
                <w:kern w:val="0"/>
                <w:szCs w:val="21"/>
                <w:highlight w:val="none"/>
                <w:lang w:bidi="ar"/>
              </w:rPr>
              <w:t>。</w:t>
            </w:r>
          </w:p>
          <w:p w14:paraId="4389F99F">
            <w:pP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1.温度</w:t>
            </w:r>
          </w:p>
          <w:p w14:paraId="2EBC51F5">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b/>
                <w:color w:val="auto"/>
                <w:szCs w:val="21"/>
                <w:highlight w:val="none"/>
              </w:rPr>
              <w:t>#</w:t>
            </w:r>
            <w:r>
              <w:rPr>
                <w:rFonts w:hint="eastAsia" w:ascii="Times New Roman" w:hAnsi="Times New Roman" w:eastAsia="宋体" w:cs="Times New Roman"/>
                <w:color w:val="auto"/>
                <w:kern w:val="0"/>
                <w:szCs w:val="21"/>
                <w:highlight w:val="none"/>
                <w:lang w:bidi="ar"/>
              </w:rPr>
              <w:t>（1）测量范围：-50℃～+60℃</w:t>
            </w:r>
            <w:r>
              <w:rPr>
                <w:rFonts w:hint="eastAsia" w:ascii="Times New Roman" w:hAnsi="Times New Roman" w:eastAsia="宋体" w:cs="Times New Roman"/>
                <w:b/>
                <w:bCs/>
                <w:color w:val="auto"/>
                <w:kern w:val="0"/>
                <w:szCs w:val="21"/>
                <w:highlight w:val="none"/>
                <w:lang w:eastAsia="zh-CN" w:bidi="ar"/>
              </w:rPr>
              <w:t>【</w:t>
            </w:r>
            <w:r>
              <w:rPr>
                <w:rFonts w:hint="eastAsia" w:ascii="Times New Roman" w:hAnsi="Times New Roman" w:eastAsia="宋体" w:cs="Times New Roman"/>
                <w:b/>
                <w:bCs/>
                <w:color w:val="auto"/>
                <w:kern w:val="0"/>
                <w:szCs w:val="21"/>
                <w:highlight w:val="none"/>
                <w:lang w:val="en-US" w:eastAsia="zh-CN" w:bidi="ar"/>
              </w:rPr>
              <w:t>需提供国家认可的第三方认证（检测）机构出具认证证书（检测报告）</w:t>
            </w:r>
            <w:r>
              <w:rPr>
                <w:rFonts w:hint="eastAsia" w:ascii="Times New Roman" w:hAnsi="Times New Roman" w:eastAsia="宋体" w:cs="Times New Roman"/>
                <w:b/>
                <w:bCs/>
                <w:color w:val="auto"/>
                <w:kern w:val="0"/>
                <w:szCs w:val="21"/>
                <w:highlight w:val="none"/>
                <w:lang w:eastAsia="zh-CN" w:bidi="ar"/>
              </w:rPr>
              <w:t>】</w:t>
            </w:r>
          </w:p>
          <w:p w14:paraId="64D2DA6B">
            <w:pP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（2）分辨率：≤0.1℃</w:t>
            </w:r>
          </w:p>
          <w:p w14:paraId="59596BD7">
            <w:pPr>
              <w:rPr>
                <w:rFonts w:ascii="宋体" w:hAnsi="宋体" w:eastAsia="宋体" w:cs="宋体"/>
                <w:color w:val="auto"/>
                <w:kern w:val="0"/>
                <w:szCs w:val="21"/>
                <w:highlight w:val="none"/>
                <w:lang w:bidi="ar"/>
              </w:rPr>
            </w:pPr>
            <w:r>
              <w:rPr>
                <w:rFonts w:hint="eastAsia" w:ascii="Times New Roman" w:hAnsi="Times New Roman" w:eastAsia="宋体" w:cs="Times New Roman"/>
                <w:color w:val="auto"/>
                <w:kern w:val="0"/>
                <w:szCs w:val="21"/>
                <w:highlight w:val="none"/>
                <w:lang w:bidi="ar"/>
              </w:rPr>
              <w:t>（3）准确度：≤±0.5℃</w:t>
            </w:r>
          </w:p>
          <w:p w14:paraId="34393A2A">
            <w:pP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2.湿度</w:t>
            </w:r>
          </w:p>
          <w:p w14:paraId="03EC18A3">
            <w:pPr>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（1）</w:t>
            </w:r>
            <w:r>
              <w:rPr>
                <w:rFonts w:hint="eastAsia" w:ascii="Times New Roman" w:hAnsi="Times New Roman" w:eastAsia="宋体" w:cs="Times New Roman"/>
                <w:color w:val="auto"/>
                <w:kern w:val="0"/>
                <w:szCs w:val="21"/>
                <w:highlight w:val="none"/>
                <w:lang w:bidi="ar"/>
              </w:rPr>
              <w:t>测量范围：0％RH～100％RH</w:t>
            </w:r>
          </w:p>
          <w:p w14:paraId="46714A71">
            <w:pP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（2）分辨率：≤1％RH</w:t>
            </w:r>
          </w:p>
          <w:p w14:paraId="719D4F69">
            <w:pPr>
              <w:rPr>
                <w:rFonts w:ascii="宋体" w:hAnsi="宋体" w:eastAsia="宋体" w:cs="宋体"/>
                <w:color w:val="auto"/>
                <w:kern w:val="0"/>
                <w:szCs w:val="21"/>
                <w:highlight w:val="none"/>
                <w:lang w:bidi="ar"/>
              </w:rPr>
            </w:pPr>
            <w:r>
              <w:rPr>
                <w:rFonts w:hint="eastAsia" w:ascii="Times New Roman" w:hAnsi="Times New Roman" w:eastAsia="宋体" w:cs="Times New Roman"/>
                <w:color w:val="auto"/>
                <w:kern w:val="0"/>
                <w:szCs w:val="21"/>
                <w:highlight w:val="none"/>
                <w:lang w:bidi="ar"/>
              </w:rPr>
              <w:t>（3）准确度≤±5％RH</w:t>
            </w:r>
          </w:p>
          <w:p w14:paraId="70A0923A">
            <w:pP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3.风向</w:t>
            </w:r>
          </w:p>
          <w:p w14:paraId="6FC582F7">
            <w:pPr>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（1）</w:t>
            </w:r>
            <w:r>
              <w:rPr>
                <w:rFonts w:hint="eastAsia" w:ascii="Times New Roman" w:hAnsi="Times New Roman" w:eastAsia="宋体" w:cs="Times New Roman"/>
                <w:color w:val="auto"/>
                <w:kern w:val="0"/>
                <w:szCs w:val="21"/>
                <w:highlight w:val="none"/>
                <w:lang w:bidi="ar"/>
              </w:rPr>
              <w:t>测量范围：0</w:t>
            </w:r>
            <w:r>
              <w:rPr>
                <w:rFonts w:ascii="Times New Roman" w:hAnsi="Times New Roman" w:eastAsia="宋体" w:cs="Times New Roman"/>
                <w:color w:val="auto"/>
                <w:kern w:val="0"/>
                <w:szCs w:val="21"/>
                <w:highlight w:val="none"/>
                <w:lang w:bidi="ar"/>
              </w:rPr>
              <w:t>°</w:t>
            </w:r>
            <w:r>
              <w:rPr>
                <w:rFonts w:hint="eastAsia" w:ascii="Times New Roman" w:hAnsi="Times New Roman" w:eastAsia="宋体" w:cs="Times New Roman"/>
                <w:color w:val="auto"/>
                <w:kern w:val="0"/>
                <w:szCs w:val="21"/>
                <w:highlight w:val="none"/>
                <w:lang w:bidi="ar"/>
              </w:rPr>
              <w:t>～360</w:t>
            </w:r>
            <w:r>
              <w:rPr>
                <w:rFonts w:ascii="Times New Roman" w:hAnsi="Times New Roman" w:eastAsia="宋体" w:cs="Times New Roman"/>
                <w:color w:val="auto"/>
                <w:kern w:val="0"/>
                <w:szCs w:val="21"/>
                <w:highlight w:val="none"/>
                <w:lang w:bidi="ar"/>
              </w:rPr>
              <w:t>°</w:t>
            </w:r>
          </w:p>
          <w:p w14:paraId="091B1EEF">
            <w:pP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（2）分辨率：≤1</w:t>
            </w:r>
            <w:r>
              <w:rPr>
                <w:rFonts w:ascii="Times New Roman" w:hAnsi="Times New Roman" w:eastAsia="宋体" w:cs="Times New Roman"/>
                <w:color w:val="auto"/>
                <w:kern w:val="0"/>
                <w:szCs w:val="21"/>
                <w:highlight w:val="none"/>
                <w:lang w:bidi="ar"/>
              </w:rPr>
              <w:t>°</w:t>
            </w:r>
          </w:p>
          <w:p w14:paraId="2F0A9A43">
            <w:pPr>
              <w:rPr>
                <w:rFonts w:ascii="宋体" w:hAnsi="宋体" w:eastAsia="宋体" w:cs="宋体"/>
                <w:color w:val="auto"/>
                <w:kern w:val="0"/>
                <w:szCs w:val="21"/>
                <w:highlight w:val="none"/>
                <w:lang w:bidi="ar"/>
              </w:rPr>
            </w:pPr>
            <w:r>
              <w:rPr>
                <w:rFonts w:hint="eastAsia" w:ascii="Times New Roman" w:hAnsi="Times New Roman" w:eastAsia="宋体" w:cs="Times New Roman"/>
                <w:color w:val="auto"/>
                <w:kern w:val="0"/>
                <w:szCs w:val="21"/>
                <w:highlight w:val="none"/>
                <w:lang w:bidi="ar"/>
              </w:rPr>
              <w:t>（3）准确度≤±5</w:t>
            </w:r>
            <w:r>
              <w:rPr>
                <w:rFonts w:ascii="Times New Roman" w:hAnsi="Times New Roman" w:eastAsia="宋体" w:cs="Times New Roman"/>
                <w:color w:val="auto"/>
                <w:kern w:val="0"/>
                <w:szCs w:val="21"/>
                <w:highlight w:val="none"/>
                <w:lang w:bidi="ar"/>
              </w:rPr>
              <w:t>°</w:t>
            </w:r>
          </w:p>
          <w:p w14:paraId="692D8636">
            <w:pP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4.风速</w:t>
            </w:r>
          </w:p>
          <w:p w14:paraId="537B5467">
            <w:pP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（1）测量范围：0 m/s～60 m/s</w:t>
            </w:r>
          </w:p>
          <w:p w14:paraId="052B8FB4">
            <w:pP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（2）分辨率：≤0.1 m/s</w:t>
            </w:r>
          </w:p>
          <w:p w14:paraId="5C86E545">
            <w:pPr>
              <w:rPr>
                <w:rFonts w:ascii="宋体" w:hAnsi="宋体" w:eastAsia="宋体" w:cs="宋体"/>
                <w:color w:val="auto"/>
                <w:kern w:val="0"/>
                <w:szCs w:val="21"/>
                <w:highlight w:val="none"/>
                <w:lang w:bidi="ar"/>
              </w:rPr>
            </w:pPr>
            <w:r>
              <w:rPr>
                <w:rFonts w:hint="eastAsia" w:ascii="Times New Roman" w:hAnsi="Times New Roman" w:eastAsia="宋体" w:cs="Times New Roman"/>
                <w:color w:val="auto"/>
                <w:kern w:val="0"/>
                <w:szCs w:val="21"/>
                <w:highlight w:val="none"/>
                <w:lang w:bidi="ar"/>
              </w:rPr>
              <w:t>（3）准确度：±1 m/s(≤10 m/s)，±10%（＞10 m/s）</w:t>
            </w:r>
          </w:p>
          <w:p w14:paraId="6FEAA961">
            <w:pP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5.气压</w:t>
            </w:r>
          </w:p>
          <w:p w14:paraId="2CD6A64A">
            <w:pP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（1）测量范围：</w:t>
            </w:r>
            <w:r>
              <w:rPr>
                <w:rFonts w:hint="default" w:ascii="Times New Roman" w:hAnsi="Times New Roman" w:eastAsia="宋体" w:cs="Times New Roman"/>
                <w:color w:val="auto"/>
                <w:kern w:val="0"/>
                <w:szCs w:val="21"/>
                <w:highlight w:val="none"/>
                <w:lang w:val="en-US" w:eastAsia="zh-CN" w:bidi="ar"/>
              </w:rPr>
              <w:t>450</w:t>
            </w:r>
            <w:r>
              <w:rPr>
                <w:rFonts w:hint="eastAsia" w:ascii="Times New Roman" w:hAnsi="Times New Roman" w:eastAsia="宋体" w:cs="Times New Roman"/>
                <w:color w:val="auto"/>
                <w:kern w:val="0"/>
                <w:szCs w:val="21"/>
                <w:highlight w:val="none"/>
                <w:lang w:bidi="ar"/>
              </w:rPr>
              <w:t>hPa～1100 hPa</w:t>
            </w:r>
          </w:p>
          <w:p w14:paraId="3D260219">
            <w:pP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（2）分辨率：≤0.1 hPa</w:t>
            </w:r>
          </w:p>
          <w:p w14:paraId="74A71A72">
            <w:pP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（3）准确度≤±0.5 hPa</w:t>
            </w:r>
          </w:p>
          <w:p w14:paraId="0BBDE805">
            <w:pPr>
              <w:rPr>
                <w:rFonts w:ascii="宋体" w:hAnsi="宋体" w:eastAsia="宋体" w:cs="宋体"/>
                <w:color w:val="auto"/>
                <w:kern w:val="0"/>
                <w:szCs w:val="21"/>
                <w:highlight w:val="none"/>
                <w:lang w:bidi="ar"/>
              </w:rPr>
            </w:pPr>
            <w:r>
              <w:rPr>
                <w:rFonts w:hint="eastAsia" w:ascii="Times New Roman" w:hAnsi="Times New Roman" w:eastAsia="宋体" w:cs="Times New Roman"/>
                <w:color w:val="auto"/>
                <w:kern w:val="0"/>
                <w:szCs w:val="21"/>
                <w:highlight w:val="none"/>
                <w:lang w:bidi="ar"/>
              </w:rPr>
              <w:t>6.</w:t>
            </w:r>
            <w:r>
              <w:rPr>
                <w:rFonts w:hint="eastAsia" w:ascii="宋体" w:hAnsi="宋体" w:eastAsia="宋体" w:cs="宋体"/>
                <w:color w:val="auto"/>
                <w:kern w:val="0"/>
                <w:szCs w:val="21"/>
                <w:highlight w:val="none"/>
                <w:lang w:bidi="ar"/>
              </w:rPr>
              <w:t>雨量</w:t>
            </w:r>
          </w:p>
          <w:p w14:paraId="57F98927">
            <w:pP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（1）测量范围：雨强0 mm/min～4 mm/min</w:t>
            </w:r>
          </w:p>
          <w:p w14:paraId="097CE150">
            <w:pP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（2）分辨率：≤0.1 mm</w:t>
            </w:r>
          </w:p>
          <w:p w14:paraId="0599A081">
            <w:pPr>
              <w:rPr>
                <w:rFonts w:hint="eastAsia"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（3）准确度≤2 mm(小时雨量)：±1 mm(绝对误差)；＞2 mm(小时雨量)：±20%。</w:t>
            </w:r>
          </w:p>
          <w:p w14:paraId="5420E8C0">
            <w:pPr>
              <w:rPr>
                <w:rFonts w:ascii="宋体" w:hAnsi="宋体" w:eastAsia="宋体" w:cs="宋体"/>
                <w:color w:val="auto"/>
                <w:kern w:val="0"/>
                <w:szCs w:val="21"/>
                <w:highlight w:val="none"/>
                <w:lang w:bidi="ar"/>
              </w:rPr>
            </w:pPr>
            <w:r>
              <w:rPr>
                <w:rFonts w:hint="eastAsia" w:ascii="Times New Roman" w:hAnsi="Times New Roman" w:eastAsia="宋体" w:cs="Times New Roman"/>
                <w:b/>
                <w:bCs/>
                <w:color w:val="auto"/>
                <w:kern w:val="0"/>
                <w:szCs w:val="21"/>
                <w:highlight w:val="none"/>
                <w:lang w:bidi="ar"/>
              </w:rPr>
              <w:t>▲</w:t>
            </w:r>
            <w:r>
              <w:rPr>
                <w:rFonts w:hint="eastAsia" w:ascii="Times New Roman" w:hAnsi="Times New Roman" w:eastAsia="宋体" w:cs="Times New Roman"/>
                <w:b/>
                <w:bCs/>
                <w:color w:val="auto"/>
                <w:kern w:val="0"/>
                <w:szCs w:val="21"/>
                <w:highlight w:val="none"/>
                <w:lang w:val="en-US" w:eastAsia="zh-CN" w:bidi="ar"/>
              </w:rPr>
              <w:t>7</w:t>
            </w:r>
            <w:r>
              <w:rPr>
                <w:rFonts w:hint="eastAsia" w:ascii="Times New Roman" w:hAnsi="Times New Roman" w:eastAsia="宋体" w:cs="Times New Roman"/>
                <w:b/>
                <w:bCs/>
                <w:color w:val="auto"/>
                <w:kern w:val="0"/>
                <w:szCs w:val="21"/>
                <w:highlight w:val="none"/>
                <w:lang w:bidi="ar"/>
              </w:rPr>
              <w:t>.</w:t>
            </w:r>
            <w:r>
              <w:rPr>
                <w:rFonts w:hint="eastAsia" w:ascii="Times New Roman" w:hAnsi="Times New Roman" w:eastAsia="宋体" w:cs="Times New Roman"/>
                <w:b/>
                <w:bCs/>
                <w:color w:val="auto"/>
                <w:kern w:val="0"/>
                <w:sz w:val="21"/>
                <w:szCs w:val="21"/>
                <w:highlight w:val="none"/>
                <w:lang w:bidi="ar"/>
              </w:rPr>
              <w:t>便携式自动气象站</w:t>
            </w:r>
            <w:r>
              <w:rPr>
                <w:rFonts w:hint="eastAsia" w:ascii="Times New Roman" w:hAnsi="Times New Roman" w:eastAsia="宋体" w:cs="Times New Roman"/>
                <w:b/>
                <w:bCs/>
                <w:color w:val="auto"/>
                <w:kern w:val="0"/>
                <w:szCs w:val="21"/>
                <w:highlight w:val="none"/>
                <w:lang w:bidi="ar"/>
              </w:rPr>
              <w:t>具有中国气象局颁发的《气象专用技术装备使用许可证》。</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24562">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1CC6">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套</w:t>
            </w:r>
          </w:p>
        </w:tc>
      </w:tr>
      <w:tr w14:paraId="265A7716">
        <w:tblPrEx>
          <w:tblCellMar>
            <w:top w:w="0" w:type="dxa"/>
            <w:left w:w="108" w:type="dxa"/>
            <w:bottom w:w="0" w:type="dxa"/>
            <w:right w:w="108" w:type="dxa"/>
          </w:tblCellMar>
        </w:tblPrEx>
        <w:trPr>
          <w:trHeight w:val="23"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E42A6">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b/>
                <w:bCs/>
                <w:color w:val="auto"/>
                <w:szCs w:val="21"/>
                <w:highlight w:val="none"/>
              </w:rPr>
              <w:t>5</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8C05">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b/>
                <w:bCs/>
                <w:color w:val="auto"/>
                <w:szCs w:val="21"/>
                <w:highlight w:val="none"/>
              </w:rPr>
              <w:t>激光云高仪</w:t>
            </w:r>
          </w:p>
        </w:tc>
        <w:tc>
          <w:tcPr>
            <w:tcW w:w="4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780D">
            <w:pPr>
              <w:widowControl/>
              <w:ind w:firstLine="0" w:firstLineChars="0"/>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包括温控系统、光学系统、信号处理单元、激光发射单元、激光接收单元，能够测量云底高、云厚、云层数量、垂直能见度等参数。具有自动加热吹风控制系统、窗口自动监测系统，配有减震安装台，可有效避免载车平台运行振动对测量造成的影响。</w:t>
            </w:r>
          </w:p>
          <w:p w14:paraId="78D3F470">
            <w:pPr>
              <w:widowControl/>
              <w:jc w:val="left"/>
              <w:rPr>
                <w:color w:val="auto"/>
                <w:highlight w:val="none"/>
              </w:rPr>
            </w:pPr>
            <w:r>
              <w:rPr>
                <w:rFonts w:hint="eastAsia" w:ascii="宋体" w:hAnsi="宋体" w:eastAsia="宋体" w:cs="宋体"/>
                <w:b/>
                <w:color w:val="auto"/>
                <w:szCs w:val="21"/>
                <w:highlight w:val="none"/>
              </w:rPr>
              <w:t>#</w:t>
            </w:r>
            <w:r>
              <w:rPr>
                <w:rFonts w:hint="eastAsia" w:ascii="宋体" w:hAnsi="宋体" w:eastAsia="宋体" w:cs="宋体"/>
                <w:color w:val="auto"/>
                <w:kern w:val="0"/>
                <w:szCs w:val="21"/>
                <w:highlight w:val="none"/>
                <w:lang w:bidi="ar"/>
              </w:rPr>
              <w:t>1.测量范围：</w:t>
            </w:r>
            <w:r>
              <w:rPr>
                <w:rFonts w:hint="eastAsia" w:ascii="Times New Roman" w:hAnsi="Times New Roman" w:eastAsia="宋体" w:cs="Times New Roman"/>
                <w:color w:val="auto"/>
                <w:kern w:val="0"/>
                <w:szCs w:val="21"/>
                <w:highlight w:val="none"/>
                <w:lang w:bidi="ar"/>
              </w:rPr>
              <w:t>5 m～12 km</w:t>
            </w:r>
            <w:r>
              <w:rPr>
                <w:rFonts w:hint="eastAsia" w:ascii="Times New Roman" w:hAnsi="Times New Roman" w:eastAsia="宋体" w:cs="Times New Roman"/>
                <w:b/>
                <w:bCs/>
                <w:color w:val="auto"/>
                <w:kern w:val="0"/>
                <w:szCs w:val="21"/>
                <w:highlight w:val="none"/>
                <w:lang w:eastAsia="zh-CN" w:bidi="ar"/>
              </w:rPr>
              <w:t>【</w:t>
            </w:r>
            <w:r>
              <w:rPr>
                <w:rFonts w:hint="eastAsia" w:ascii="Times New Roman" w:hAnsi="Times New Roman" w:eastAsia="宋体" w:cs="Times New Roman"/>
                <w:b/>
                <w:bCs/>
                <w:color w:val="auto"/>
                <w:kern w:val="0"/>
                <w:szCs w:val="21"/>
                <w:highlight w:val="none"/>
                <w:lang w:val="en-US" w:eastAsia="zh-CN" w:bidi="ar"/>
              </w:rPr>
              <w:t>需提供国家认可的第三方认证（检测）机构出具认证证书（检测报告）</w:t>
            </w:r>
            <w:r>
              <w:rPr>
                <w:rFonts w:hint="eastAsia" w:ascii="Times New Roman" w:hAnsi="Times New Roman" w:eastAsia="宋体" w:cs="Times New Roman"/>
                <w:b/>
                <w:bCs/>
                <w:color w:val="auto"/>
                <w:kern w:val="0"/>
                <w:szCs w:val="21"/>
                <w:highlight w:val="none"/>
                <w:lang w:eastAsia="zh-CN" w:bidi="ar"/>
              </w:rPr>
              <w:t>】</w:t>
            </w:r>
          </w:p>
          <w:p w14:paraId="0A24C787">
            <w:pPr>
              <w:widowControl/>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w:t>
            </w:r>
            <w:r>
              <w:rPr>
                <w:rFonts w:hint="eastAsia" w:ascii="宋体" w:hAnsi="宋体" w:eastAsia="宋体" w:cs="宋体"/>
                <w:color w:val="auto"/>
                <w:kern w:val="0"/>
                <w:szCs w:val="21"/>
                <w:highlight w:val="none"/>
                <w:lang w:bidi="ar"/>
              </w:rPr>
              <w:t>准确度</w:t>
            </w:r>
          </w:p>
          <w:p w14:paraId="6F027546">
            <w:pPr>
              <w:widowControl/>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（1）测量精度＜150 m时，±15 m；150～300 m时，±10%；＞300 m时±20%。</w:t>
            </w:r>
          </w:p>
          <w:p w14:paraId="5DD1A393">
            <w:pPr>
              <w:widowControl/>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（2）固体目标测量精度：15m</w:t>
            </w:r>
          </w:p>
          <w:p w14:paraId="79F8782B">
            <w:pPr>
              <w:widowControl/>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3.</w:t>
            </w:r>
            <w:r>
              <w:rPr>
                <w:rFonts w:hint="eastAsia" w:ascii="宋体" w:hAnsi="宋体" w:eastAsia="宋体" w:cs="宋体"/>
                <w:color w:val="auto"/>
                <w:kern w:val="0"/>
                <w:szCs w:val="21"/>
                <w:highlight w:val="none"/>
                <w:lang w:bidi="ar"/>
              </w:rPr>
              <w:t>测量周期：</w:t>
            </w:r>
            <w:r>
              <w:rPr>
                <w:rFonts w:hint="eastAsia" w:ascii="Times New Roman" w:hAnsi="Times New Roman" w:eastAsia="宋体" w:cs="Times New Roman"/>
                <w:color w:val="auto"/>
                <w:kern w:val="0"/>
                <w:szCs w:val="21"/>
                <w:highlight w:val="none"/>
                <w:lang w:bidi="ar"/>
              </w:rPr>
              <w:t>30 s</w:t>
            </w:r>
          </w:p>
          <w:p w14:paraId="26E6B33B">
            <w:pPr>
              <w:widowControl/>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4.</w:t>
            </w:r>
            <w:r>
              <w:rPr>
                <w:rFonts w:hint="eastAsia" w:ascii="宋体" w:hAnsi="宋体" w:eastAsia="宋体" w:cs="宋体"/>
                <w:color w:val="auto"/>
                <w:kern w:val="0"/>
                <w:szCs w:val="21"/>
                <w:highlight w:val="none"/>
                <w:lang w:bidi="ar"/>
              </w:rPr>
              <w:t>测云层数</w:t>
            </w:r>
            <w:r>
              <w:rPr>
                <w:rFonts w:hint="eastAsia" w:ascii="Times New Roman" w:hAnsi="Times New Roman" w:eastAsia="宋体" w:cs="Times New Roman"/>
                <w:color w:val="auto"/>
                <w:kern w:val="0"/>
                <w:szCs w:val="21"/>
                <w:highlight w:val="none"/>
                <w:lang w:bidi="ar"/>
              </w:rPr>
              <w:t>≥3层</w:t>
            </w:r>
          </w:p>
          <w:p w14:paraId="7F15BF3F">
            <w:pPr>
              <w:widowControl/>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5.</w:t>
            </w:r>
            <w:r>
              <w:rPr>
                <w:rFonts w:hint="eastAsia" w:ascii="Times New Roman" w:hAnsi="Times New Roman" w:eastAsia="宋体" w:cs="Times New Roman"/>
                <w:color w:val="auto"/>
                <w:kern w:val="0"/>
                <w:szCs w:val="21"/>
                <w:highlight w:val="none"/>
                <w:lang w:val="en-US" w:eastAsia="zh-CN" w:bidi="ar"/>
              </w:rPr>
              <w:t>最小</w:t>
            </w:r>
            <w:r>
              <w:rPr>
                <w:rFonts w:hint="eastAsia" w:ascii="Times New Roman" w:hAnsi="Times New Roman" w:eastAsia="宋体" w:cs="Times New Roman"/>
                <w:color w:val="auto"/>
                <w:kern w:val="0"/>
                <w:szCs w:val="21"/>
                <w:highlight w:val="none"/>
                <w:lang w:bidi="ar"/>
              </w:rPr>
              <w:t>分辨</w:t>
            </w:r>
            <w:r>
              <w:rPr>
                <w:rFonts w:hint="eastAsia" w:ascii="Times New Roman" w:hAnsi="Times New Roman" w:eastAsia="宋体" w:cs="Times New Roman"/>
                <w:color w:val="auto"/>
                <w:kern w:val="0"/>
                <w:szCs w:val="21"/>
                <w:highlight w:val="none"/>
                <w:lang w:val="en-US" w:eastAsia="zh-CN" w:bidi="ar"/>
              </w:rPr>
              <w:t>力</w:t>
            </w:r>
            <w:r>
              <w:rPr>
                <w:rFonts w:hint="eastAsia" w:ascii="宋体" w:hAnsi="宋体" w:eastAsia="宋体" w:cs="宋体"/>
                <w:color w:val="auto"/>
                <w:kern w:val="0"/>
                <w:szCs w:val="21"/>
                <w:highlight w:val="none"/>
                <w:lang w:bidi="ar"/>
              </w:rPr>
              <w:t>：</w:t>
            </w:r>
            <w:r>
              <w:rPr>
                <w:rFonts w:hint="eastAsia" w:ascii="Times New Roman" w:hAnsi="Times New Roman" w:eastAsia="宋体" w:cs="Times New Roman"/>
                <w:color w:val="auto"/>
                <w:kern w:val="0"/>
                <w:szCs w:val="21"/>
                <w:highlight w:val="none"/>
                <w:lang w:bidi="ar"/>
              </w:rPr>
              <w:t>5 m</w:t>
            </w:r>
          </w:p>
          <w:p w14:paraId="4E4356BE">
            <w:pPr>
              <w:widowControl/>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6.</w:t>
            </w:r>
            <w:r>
              <w:rPr>
                <w:rFonts w:hint="eastAsia" w:ascii="宋体" w:hAnsi="宋体" w:eastAsia="宋体" w:cs="宋体"/>
                <w:color w:val="auto"/>
                <w:kern w:val="0"/>
                <w:szCs w:val="21"/>
                <w:highlight w:val="none"/>
                <w:lang w:bidi="ar"/>
              </w:rPr>
              <w:t>功耗</w:t>
            </w:r>
            <w:r>
              <w:rPr>
                <w:rFonts w:hint="eastAsia" w:ascii="Times New Roman" w:hAnsi="Times New Roman" w:eastAsia="宋体" w:cs="Times New Roman"/>
                <w:color w:val="auto"/>
                <w:kern w:val="0"/>
                <w:szCs w:val="21"/>
                <w:highlight w:val="none"/>
                <w:lang w:bidi="ar"/>
              </w:rPr>
              <w:t>≤10 W（不加热时），≤100 W（加热时）</w:t>
            </w:r>
          </w:p>
          <w:p w14:paraId="1D4B157D">
            <w:pPr>
              <w:widowControl/>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7.</w:t>
            </w:r>
            <w:r>
              <w:rPr>
                <w:rFonts w:hint="eastAsia" w:ascii="宋体" w:hAnsi="宋体" w:eastAsia="宋体" w:cs="宋体"/>
                <w:color w:val="auto"/>
                <w:kern w:val="0"/>
                <w:szCs w:val="21"/>
                <w:highlight w:val="none"/>
                <w:lang w:bidi="ar"/>
              </w:rPr>
              <w:t>重量</w:t>
            </w:r>
            <w:r>
              <w:rPr>
                <w:rFonts w:hint="eastAsia" w:ascii="Times New Roman" w:hAnsi="Times New Roman" w:eastAsia="宋体" w:cs="Times New Roman"/>
                <w:color w:val="auto"/>
                <w:kern w:val="0"/>
                <w:szCs w:val="21"/>
                <w:highlight w:val="none"/>
                <w:lang w:bidi="ar"/>
              </w:rPr>
              <w:t>≤20 kg</w:t>
            </w:r>
          </w:p>
          <w:p w14:paraId="7D6E1DB6">
            <w:pPr>
              <w:widowControl/>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8.</w:t>
            </w:r>
            <w:r>
              <w:rPr>
                <w:rFonts w:hint="eastAsia" w:ascii="宋体" w:hAnsi="宋体" w:eastAsia="宋体" w:cs="宋体"/>
                <w:color w:val="auto"/>
                <w:kern w:val="0"/>
                <w:szCs w:val="21"/>
                <w:highlight w:val="none"/>
                <w:lang w:bidi="ar"/>
              </w:rPr>
              <w:t>环境适应性</w:t>
            </w:r>
          </w:p>
          <w:p w14:paraId="43344F99">
            <w:pPr>
              <w:widowControl/>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（1）防护等级：≥IP66</w:t>
            </w:r>
          </w:p>
          <w:p w14:paraId="73EC148F">
            <w:pPr>
              <w:widowControl/>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（2）工作温度：-45℃～55℃</w:t>
            </w:r>
          </w:p>
          <w:p w14:paraId="48D255B9">
            <w:pPr>
              <w:widowControl/>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（3）工作湿度：0% RH～100% RH</w:t>
            </w:r>
          </w:p>
          <w:p w14:paraId="4AB0A164">
            <w:pPr>
              <w:widowControl/>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（4）贮存温度：-50℃～60℃</w:t>
            </w:r>
          </w:p>
          <w:p w14:paraId="738FCC1C">
            <w:pPr>
              <w:widowControl/>
              <w:rPr>
                <w:rFonts w:hint="eastAsia"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（5）贮存湿度：0% RH～100% RH</w:t>
            </w:r>
          </w:p>
          <w:p w14:paraId="12B8A616">
            <w:pPr>
              <w:rPr>
                <w:rFonts w:ascii="宋体" w:hAnsi="宋体" w:eastAsia="宋体" w:cs="宋体"/>
                <w:color w:val="auto"/>
                <w:kern w:val="0"/>
                <w:szCs w:val="21"/>
                <w:highlight w:val="none"/>
                <w:lang w:bidi="ar"/>
              </w:rPr>
            </w:pPr>
            <w:r>
              <w:rPr>
                <w:rFonts w:hint="eastAsia" w:ascii="Times New Roman" w:hAnsi="Times New Roman" w:eastAsia="宋体" w:cs="Times New Roman"/>
                <w:b/>
                <w:bCs/>
                <w:color w:val="auto"/>
                <w:kern w:val="0"/>
                <w:szCs w:val="21"/>
                <w:highlight w:val="none"/>
                <w:lang w:bidi="ar"/>
              </w:rPr>
              <w:t>▲</w:t>
            </w:r>
            <w:r>
              <w:rPr>
                <w:rFonts w:hint="eastAsia" w:ascii="Times New Roman" w:hAnsi="Times New Roman" w:eastAsia="宋体" w:cs="Times New Roman"/>
                <w:b/>
                <w:bCs/>
                <w:color w:val="auto"/>
                <w:kern w:val="0"/>
                <w:szCs w:val="21"/>
                <w:highlight w:val="none"/>
                <w:lang w:val="en-US" w:eastAsia="zh-CN" w:bidi="ar"/>
              </w:rPr>
              <w:t>9</w:t>
            </w:r>
            <w:r>
              <w:rPr>
                <w:rFonts w:hint="eastAsia" w:ascii="Times New Roman" w:hAnsi="Times New Roman" w:eastAsia="宋体" w:cs="Times New Roman"/>
                <w:b/>
                <w:bCs/>
                <w:color w:val="auto"/>
                <w:kern w:val="0"/>
                <w:szCs w:val="21"/>
                <w:highlight w:val="none"/>
                <w:lang w:bidi="ar"/>
              </w:rPr>
              <w:t>.激光云高仪具有中国气象局颁发的《气象专用技术装备使用许可证》。</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22667">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b/>
                <w:bCs/>
                <w:color w:val="auto"/>
                <w:kern w:val="0"/>
                <w:szCs w:val="21"/>
                <w:highlight w:val="none"/>
                <w:lang w:bidi="ar"/>
              </w:rPr>
              <w:t>1</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6BD11">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b/>
                <w:bCs/>
                <w:color w:val="auto"/>
                <w:kern w:val="0"/>
                <w:szCs w:val="21"/>
                <w:highlight w:val="none"/>
                <w:lang w:bidi="ar"/>
              </w:rPr>
              <w:t>套</w:t>
            </w:r>
          </w:p>
        </w:tc>
      </w:tr>
      <w:tr w14:paraId="6007CC3A">
        <w:tblPrEx>
          <w:tblCellMar>
            <w:top w:w="0" w:type="dxa"/>
            <w:left w:w="108" w:type="dxa"/>
            <w:bottom w:w="0" w:type="dxa"/>
            <w:right w:w="108" w:type="dxa"/>
          </w:tblCellMar>
        </w:tblPrEx>
        <w:trPr>
          <w:trHeight w:val="23"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C5CD6">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b/>
                <w:bCs/>
                <w:color w:val="auto"/>
                <w:szCs w:val="21"/>
                <w:highlight w:val="none"/>
              </w:rPr>
              <w:t>6</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1DB84">
            <w:pPr>
              <w:widowControl/>
              <w:snapToGrid w:val="0"/>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毫米波</w:t>
            </w:r>
          </w:p>
          <w:p w14:paraId="21D125CD">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b/>
                <w:bCs/>
                <w:color w:val="auto"/>
                <w:szCs w:val="21"/>
                <w:highlight w:val="none"/>
              </w:rPr>
              <w:t>测云雷达</w:t>
            </w:r>
          </w:p>
        </w:tc>
        <w:tc>
          <w:tcPr>
            <w:tcW w:w="4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8F253">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bidi="ar"/>
              </w:rPr>
              <w:t>1.偏振类型：双发双收线偏振（支持单发双收线偏振）</w:t>
            </w:r>
          </w:p>
          <w:p w14:paraId="13D3569A">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2.发射机形式：全固态</w:t>
            </w:r>
          </w:p>
          <w:p w14:paraId="1364EC4B">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3.工作频率：34.5 GHz～35.5 GHz范围频点可选，带宽≤200 MHz。</w:t>
            </w:r>
          </w:p>
          <w:p w14:paraId="7923E3AB">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4.整机寿命≥8年</w:t>
            </w:r>
          </w:p>
          <w:p w14:paraId="5DC15820">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5.探测距离范围：警戒≥20 km，定量≥15 km。</w:t>
            </w:r>
          </w:p>
          <w:p w14:paraId="48958F2F">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6.近距离盲区范围≤150 m</w:t>
            </w:r>
          </w:p>
          <w:p w14:paraId="65EA3DA3">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7.基数据产品测量范围</w:t>
            </w:r>
          </w:p>
          <w:p w14:paraId="29DB771B">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（1）反射率因子</w:t>
            </w:r>
            <w:r>
              <w:rPr>
                <w:rFonts w:hint="eastAsia" w:ascii="Times New Roman" w:hAnsi="Times New Roman" w:eastAsia="宋体" w:cs="Times New Roman"/>
                <w:color w:val="auto"/>
                <w:kern w:val="0"/>
                <w:szCs w:val="21"/>
                <w:highlight w:val="none"/>
                <w:lang w:bidi="ar"/>
              </w:rPr>
              <w:t>：-45 dBZ～+35 dBZ</w:t>
            </w:r>
          </w:p>
          <w:p w14:paraId="35BC247E">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（2）径向速度</w:t>
            </w:r>
            <w:r>
              <w:rPr>
                <w:rFonts w:hint="eastAsia" w:ascii="Times New Roman" w:hAnsi="Times New Roman" w:eastAsia="宋体" w:cs="Times New Roman"/>
                <w:color w:val="auto"/>
                <w:kern w:val="0"/>
                <w:szCs w:val="21"/>
                <w:highlight w:val="none"/>
                <w:lang w:bidi="ar"/>
              </w:rPr>
              <w:t>：-17 m/s～+17 m/s</w:t>
            </w:r>
          </w:p>
          <w:p w14:paraId="33C267F9">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（3）速度谱宽</w:t>
            </w:r>
            <w:r>
              <w:rPr>
                <w:rFonts w:hint="eastAsia" w:ascii="Times New Roman" w:hAnsi="Times New Roman" w:eastAsia="宋体" w:cs="Times New Roman"/>
                <w:color w:val="auto"/>
                <w:kern w:val="0"/>
                <w:szCs w:val="21"/>
                <w:highlight w:val="none"/>
                <w:lang w:bidi="ar"/>
              </w:rPr>
              <w:t>：0 m/s～8 m/s</w:t>
            </w:r>
          </w:p>
          <w:p w14:paraId="1117A060">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（4）差分反射率因子</w:t>
            </w:r>
            <w:r>
              <w:rPr>
                <w:rFonts w:hint="eastAsia" w:ascii="Times New Roman" w:hAnsi="Times New Roman" w:eastAsia="宋体" w:cs="Times New Roman"/>
                <w:color w:val="auto"/>
                <w:kern w:val="0"/>
                <w:szCs w:val="21"/>
                <w:highlight w:val="none"/>
                <w:lang w:bidi="ar"/>
              </w:rPr>
              <w:t>：-8 dB～+8 dB</w:t>
            </w:r>
          </w:p>
          <w:p w14:paraId="25206B0D">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（5）差分传播相移</w:t>
            </w:r>
            <w:r>
              <w:rPr>
                <w:rFonts w:hint="eastAsia" w:ascii="Times New Roman" w:hAnsi="Times New Roman" w:eastAsia="宋体" w:cs="Times New Roman"/>
                <w:color w:val="auto"/>
                <w:kern w:val="0"/>
                <w:szCs w:val="21"/>
                <w:highlight w:val="none"/>
                <w:lang w:bidi="ar"/>
              </w:rPr>
              <w:t>：-180</w:t>
            </w:r>
            <w:r>
              <w:rPr>
                <w:rFonts w:ascii="Times New Roman" w:hAnsi="Times New Roman" w:eastAsia="宋体" w:cs="Times New Roman"/>
                <w:color w:val="auto"/>
                <w:kern w:val="0"/>
                <w:szCs w:val="21"/>
                <w:highlight w:val="none"/>
                <w:lang w:bidi="ar"/>
              </w:rPr>
              <w:t>°</w:t>
            </w:r>
            <w:r>
              <w:rPr>
                <w:rFonts w:hint="eastAsia" w:ascii="Times New Roman" w:hAnsi="Times New Roman" w:eastAsia="宋体" w:cs="Times New Roman"/>
                <w:color w:val="auto"/>
                <w:kern w:val="0"/>
                <w:szCs w:val="21"/>
                <w:highlight w:val="none"/>
                <w:lang w:bidi="ar"/>
              </w:rPr>
              <w:t>～+180</w:t>
            </w:r>
            <w:r>
              <w:rPr>
                <w:rFonts w:ascii="Times New Roman" w:hAnsi="Times New Roman" w:eastAsia="宋体" w:cs="Times New Roman"/>
                <w:color w:val="auto"/>
                <w:kern w:val="0"/>
                <w:szCs w:val="21"/>
                <w:highlight w:val="none"/>
                <w:lang w:bidi="ar"/>
              </w:rPr>
              <w:t>°</w:t>
            </w:r>
          </w:p>
          <w:p w14:paraId="65CC5A41">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（6）差分传播相移率</w:t>
            </w:r>
            <w:r>
              <w:rPr>
                <w:rFonts w:hint="eastAsia" w:ascii="Times New Roman" w:hAnsi="Times New Roman" w:eastAsia="宋体" w:cs="Times New Roman"/>
                <w:color w:val="auto"/>
                <w:kern w:val="0"/>
                <w:szCs w:val="21"/>
                <w:highlight w:val="none"/>
                <w:lang w:bidi="ar"/>
              </w:rPr>
              <w:t>：-10</w:t>
            </w:r>
            <w:r>
              <w:rPr>
                <w:rFonts w:ascii="Times New Roman" w:hAnsi="Times New Roman" w:eastAsia="宋体" w:cs="Times New Roman"/>
                <w:color w:val="auto"/>
                <w:kern w:val="0"/>
                <w:szCs w:val="21"/>
                <w:highlight w:val="none"/>
                <w:lang w:bidi="ar"/>
              </w:rPr>
              <w:t>°</w:t>
            </w:r>
            <w:r>
              <w:rPr>
                <w:rFonts w:hint="eastAsia" w:ascii="Times New Roman" w:hAnsi="Times New Roman" w:eastAsia="宋体" w:cs="Times New Roman"/>
                <w:color w:val="auto"/>
                <w:kern w:val="0"/>
                <w:szCs w:val="21"/>
                <w:highlight w:val="none"/>
                <w:lang w:bidi="ar"/>
              </w:rPr>
              <w:t>/km～+10</w:t>
            </w:r>
            <w:r>
              <w:rPr>
                <w:rFonts w:ascii="Times New Roman" w:hAnsi="Times New Roman" w:eastAsia="宋体" w:cs="Times New Roman"/>
                <w:color w:val="auto"/>
                <w:kern w:val="0"/>
                <w:szCs w:val="21"/>
                <w:highlight w:val="none"/>
                <w:lang w:bidi="ar"/>
              </w:rPr>
              <w:t>°</w:t>
            </w:r>
            <w:r>
              <w:rPr>
                <w:rFonts w:hint="eastAsia" w:ascii="Times New Roman" w:hAnsi="Times New Roman" w:eastAsia="宋体" w:cs="Times New Roman"/>
                <w:color w:val="auto"/>
                <w:kern w:val="0"/>
                <w:szCs w:val="21"/>
                <w:highlight w:val="none"/>
                <w:lang w:bidi="ar"/>
              </w:rPr>
              <w:t>/km；</w:t>
            </w:r>
          </w:p>
          <w:p w14:paraId="40CA3A50">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（7）退偏振比：</w:t>
            </w:r>
            <w:r>
              <w:rPr>
                <w:rFonts w:ascii="Times New Roman" w:hAnsi="Times New Roman" w:eastAsia="宋体" w:cs="Times New Roman"/>
                <w:color w:val="auto"/>
                <w:kern w:val="0"/>
                <w:szCs w:val="21"/>
                <w:highlight w:val="none"/>
                <w:lang w:bidi="ar"/>
              </w:rPr>
              <w:t>-30 dB～0 dB（单发双收工作模式）</w:t>
            </w:r>
          </w:p>
          <w:p w14:paraId="6CA53E17">
            <w:pPr>
              <w:widowControl/>
              <w:jc w:val="left"/>
              <w:rPr>
                <w:rFonts w:ascii="宋体" w:hAnsi="宋体" w:eastAsia="宋体" w:cs="宋体"/>
                <w:color w:val="auto"/>
                <w:kern w:val="0"/>
                <w:szCs w:val="21"/>
                <w:highlight w:val="none"/>
                <w:lang w:bidi="ar"/>
              </w:rPr>
            </w:pPr>
            <w:r>
              <w:rPr>
                <w:rFonts w:hint="eastAsia" w:ascii="Times New Roman" w:hAnsi="Times New Roman" w:eastAsia="宋体" w:cs="Times New Roman"/>
                <w:color w:val="auto"/>
                <w:kern w:val="0"/>
                <w:szCs w:val="21"/>
                <w:highlight w:val="none"/>
                <w:lang w:bidi="ar"/>
              </w:rPr>
              <w:t>（8）</w:t>
            </w:r>
            <w:r>
              <w:rPr>
                <w:rFonts w:ascii="Times New Roman" w:hAnsi="Times New Roman" w:eastAsia="宋体" w:cs="Times New Roman"/>
                <w:color w:val="auto"/>
                <w:kern w:val="0"/>
                <w:szCs w:val="21"/>
                <w:highlight w:val="none"/>
                <w:lang w:bidi="ar"/>
              </w:rPr>
              <w:t>相关系数：0～1</w:t>
            </w:r>
          </w:p>
          <w:p w14:paraId="5C7E6990">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8.基数据产品分辨力</w:t>
            </w:r>
          </w:p>
          <w:p w14:paraId="7713BE6C">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（1）距离</w:t>
            </w:r>
            <w:r>
              <w:rPr>
                <w:rFonts w:hint="eastAsia" w:ascii="Times New Roman" w:hAnsi="Times New Roman" w:eastAsia="宋体" w:cs="Times New Roman"/>
                <w:color w:val="auto"/>
                <w:kern w:val="0"/>
                <w:szCs w:val="21"/>
                <w:highlight w:val="none"/>
                <w:lang w:bidi="ar"/>
              </w:rPr>
              <w:t>：30 m</w:t>
            </w:r>
          </w:p>
          <w:p w14:paraId="3A7FA454">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（2）角度</w:t>
            </w:r>
            <w:r>
              <w:rPr>
                <w:rFonts w:hint="eastAsia" w:ascii="Times New Roman" w:hAnsi="Times New Roman" w:eastAsia="宋体" w:cs="Times New Roman"/>
                <w:color w:val="auto"/>
                <w:kern w:val="0"/>
                <w:szCs w:val="21"/>
                <w:highlight w:val="none"/>
                <w:lang w:bidi="ar"/>
              </w:rPr>
              <w:t>≤0.4</w:t>
            </w:r>
            <w:r>
              <w:rPr>
                <w:rFonts w:ascii="Times New Roman" w:hAnsi="Times New Roman" w:eastAsia="宋体" w:cs="Times New Roman"/>
                <w:color w:val="auto"/>
                <w:kern w:val="0"/>
                <w:szCs w:val="21"/>
                <w:highlight w:val="none"/>
                <w:lang w:bidi="ar"/>
              </w:rPr>
              <w:t>°</w:t>
            </w:r>
          </w:p>
          <w:p w14:paraId="78BB855D">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（3）反射率因子</w:t>
            </w:r>
            <w:r>
              <w:rPr>
                <w:rFonts w:hint="eastAsia" w:ascii="Times New Roman" w:hAnsi="Times New Roman" w:eastAsia="宋体" w:cs="Times New Roman"/>
                <w:color w:val="auto"/>
                <w:kern w:val="0"/>
                <w:szCs w:val="21"/>
                <w:highlight w:val="none"/>
                <w:lang w:bidi="ar"/>
              </w:rPr>
              <w:t>：0.1 dBZ</w:t>
            </w:r>
          </w:p>
          <w:p w14:paraId="6DFF7C44">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（4）径向速度</w:t>
            </w:r>
            <w:r>
              <w:rPr>
                <w:rFonts w:hint="eastAsia" w:ascii="Times New Roman" w:hAnsi="Times New Roman" w:eastAsia="宋体" w:cs="Times New Roman"/>
                <w:color w:val="auto"/>
                <w:kern w:val="0"/>
                <w:szCs w:val="21"/>
                <w:highlight w:val="none"/>
                <w:lang w:bidi="ar"/>
              </w:rPr>
              <w:t>：0.1 m/s</w:t>
            </w:r>
          </w:p>
          <w:p w14:paraId="65B2C13D">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（5）速度谱宽</w:t>
            </w:r>
            <w:r>
              <w:rPr>
                <w:rFonts w:hint="eastAsia" w:ascii="Times New Roman" w:hAnsi="Times New Roman" w:eastAsia="宋体" w:cs="Times New Roman"/>
                <w:color w:val="auto"/>
                <w:kern w:val="0"/>
                <w:szCs w:val="21"/>
                <w:highlight w:val="none"/>
                <w:lang w:bidi="ar"/>
              </w:rPr>
              <w:t>：0.1 m/s</w:t>
            </w:r>
          </w:p>
          <w:p w14:paraId="7E36A3C6">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（6）差分反射率因子</w:t>
            </w:r>
            <w:r>
              <w:rPr>
                <w:rFonts w:hint="eastAsia" w:ascii="Times New Roman" w:hAnsi="Times New Roman" w:eastAsia="宋体" w:cs="Times New Roman"/>
                <w:color w:val="auto"/>
                <w:kern w:val="0"/>
                <w:szCs w:val="21"/>
                <w:highlight w:val="none"/>
                <w:lang w:bidi="ar"/>
              </w:rPr>
              <w:t>：0.1 dB</w:t>
            </w:r>
          </w:p>
          <w:p w14:paraId="1497AB51">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（7）差分传播相移</w:t>
            </w:r>
            <w:r>
              <w:rPr>
                <w:rFonts w:hint="eastAsia" w:ascii="Times New Roman" w:hAnsi="Times New Roman" w:eastAsia="宋体" w:cs="Times New Roman"/>
                <w:color w:val="auto"/>
                <w:kern w:val="0"/>
                <w:szCs w:val="21"/>
                <w:highlight w:val="none"/>
                <w:lang w:bidi="ar"/>
              </w:rPr>
              <w:t>：1°</w:t>
            </w:r>
          </w:p>
          <w:p w14:paraId="7962C8F1">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（8）差分传播相移率：0.1</w:t>
            </w:r>
            <w:r>
              <w:rPr>
                <w:rFonts w:ascii="Times New Roman" w:hAnsi="Times New Roman" w:eastAsia="宋体" w:cs="Times New Roman"/>
                <w:color w:val="auto"/>
                <w:kern w:val="0"/>
                <w:szCs w:val="21"/>
                <w:highlight w:val="none"/>
                <w:lang w:bidi="ar"/>
              </w:rPr>
              <w:t>°</w:t>
            </w:r>
            <w:r>
              <w:rPr>
                <w:rFonts w:hint="eastAsia" w:ascii="宋体" w:hAnsi="宋体" w:eastAsia="宋体" w:cs="宋体"/>
                <w:color w:val="auto"/>
                <w:kern w:val="0"/>
                <w:szCs w:val="21"/>
                <w:highlight w:val="none"/>
                <w:lang w:bidi="ar"/>
              </w:rPr>
              <w:t>/km</w:t>
            </w:r>
          </w:p>
          <w:p w14:paraId="4F227D47">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（9）退偏振比</w:t>
            </w:r>
            <w:r>
              <w:rPr>
                <w:rFonts w:hint="eastAsia" w:ascii="Times New Roman" w:hAnsi="Times New Roman" w:eastAsia="宋体" w:cs="Times New Roman"/>
                <w:color w:val="auto"/>
                <w:kern w:val="0"/>
                <w:szCs w:val="21"/>
                <w:highlight w:val="none"/>
                <w:lang w:bidi="ar"/>
              </w:rPr>
              <w:t>：0.1dB（单发双收工作模式）</w:t>
            </w:r>
          </w:p>
          <w:p w14:paraId="68B5C3D8">
            <w:pPr>
              <w:widowControl/>
              <w:jc w:val="left"/>
              <w:rPr>
                <w:rFonts w:ascii="宋体" w:hAnsi="宋体" w:eastAsia="宋体" w:cs="宋体"/>
                <w:color w:val="auto"/>
                <w:kern w:val="0"/>
                <w:szCs w:val="21"/>
                <w:highlight w:val="none"/>
                <w:lang w:bidi="ar"/>
              </w:rPr>
            </w:pPr>
            <w:r>
              <w:rPr>
                <w:rFonts w:hint="eastAsia" w:ascii="Times New Roman" w:hAnsi="Times New Roman" w:eastAsia="宋体" w:cs="Times New Roman"/>
                <w:color w:val="auto"/>
                <w:kern w:val="0"/>
                <w:szCs w:val="21"/>
                <w:highlight w:val="none"/>
                <w:lang w:bidi="ar"/>
              </w:rPr>
              <w:t>（10）相关系数：0.01</w:t>
            </w:r>
          </w:p>
          <w:p w14:paraId="4E2B7CDF">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9.基数据产品测量精度</w:t>
            </w:r>
          </w:p>
          <w:p w14:paraId="48766CE8">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（1）反射率因子</w:t>
            </w:r>
            <w:r>
              <w:rPr>
                <w:rFonts w:hint="eastAsia" w:ascii="Times New Roman" w:hAnsi="Times New Roman" w:eastAsia="宋体" w:cs="Times New Roman"/>
                <w:color w:val="auto"/>
                <w:kern w:val="0"/>
                <w:szCs w:val="21"/>
                <w:highlight w:val="none"/>
                <w:lang w:bidi="ar"/>
              </w:rPr>
              <w:t>：±1 dB</w:t>
            </w:r>
          </w:p>
          <w:p w14:paraId="6D578945">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（2）径向速度</w:t>
            </w:r>
            <w:r>
              <w:rPr>
                <w:rFonts w:hint="eastAsia" w:ascii="Times New Roman" w:hAnsi="Times New Roman" w:eastAsia="宋体" w:cs="Times New Roman"/>
                <w:color w:val="auto"/>
                <w:kern w:val="0"/>
                <w:szCs w:val="21"/>
                <w:highlight w:val="none"/>
                <w:lang w:bidi="ar"/>
              </w:rPr>
              <w:t>：±0.5 m/s</w:t>
            </w:r>
          </w:p>
          <w:p w14:paraId="20D04E72">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（3）速度谱宽</w:t>
            </w:r>
            <w:r>
              <w:rPr>
                <w:rFonts w:hint="eastAsia" w:ascii="Times New Roman" w:hAnsi="Times New Roman" w:eastAsia="宋体" w:cs="Times New Roman"/>
                <w:color w:val="auto"/>
                <w:kern w:val="0"/>
                <w:szCs w:val="21"/>
                <w:highlight w:val="none"/>
                <w:lang w:bidi="ar"/>
              </w:rPr>
              <w:t>：±0.5 m/s</w:t>
            </w:r>
          </w:p>
          <w:p w14:paraId="6BE9DD01">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（4）差分反射率因子</w:t>
            </w:r>
            <w:r>
              <w:rPr>
                <w:rFonts w:hint="eastAsia" w:ascii="Times New Roman" w:hAnsi="Times New Roman" w:eastAsia="宋体" w:cs="Times New Roman"/>
                <w:color w:val="auto"/>
                <w:kern w:val="0"/>
                <w:szCs w:val="21"/>
                <w:highlight w:val="none"/>
                <w:lang w:bidi="ar"/>
              </w:rPr>
              <w:t>：±0.2 dB</w:t>
            </w:r>
          </w:p>
          <w:p w14:paraId="296599BE">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（5）差分传播相移</w:t>
            </w:r>
            <w:r>
              <w:rPr>
                <w:rFonts w:hint="eastAsia" w:ascii="Times New Roman" w:hAnsi="Times New Roman" w:eastAsia="宋体" w:cs="Times New Roman"/>
                <w:color w:val="auto"/>
                <w:kern w:val="0"/>
                <w:szCs w:val="21"/>
                <w:highlight w:val="none"/>
                <w:lang w:bidi="ar"/>
              </w:rPr>
              <w:t>：±5</w:t>
            </w:r>
            <w:r>
              <w:rPr>
                <w:rFonts w:ascii="Times New Roman" w:hAnsi="Times New Roman" w:eastAsia="宋体" w:cs="Times New Roman"/>
                <w:color w:val="auto"/>
                <w:kern w:val="0"/>
                <w:szCs w:val="21"/>
                <w:highlight w:val="none"/>
                <w:lang w:bidi="ar"/>
              </w:rPr>
              <w:t>°</w:t>
            </w:r>
          </w:p>
          <w:p w14:paraId="3C326F8E">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（6）差分传播相移率</w:t>
            </w:r>
            <w:r>
              <w:rPr>
                <w:rFonts w:hint="eastAsia" w:ascii="Times New Roman" w:hAnsi="Times New Roman" w:eastAsia="宋体" w:cs="Times New Roman"/>
                <w:color w:val="auto"/>
                <w:kern w:val="0"/>
                <w:szCs w:val="21"/>
                <w:highlight w:val="none"/>
                <w:lang w:bidi="ar"/>
              </w:rPr>
              <w:t>：±0.2</w:t>
            </w:r>
            <w:r>
              <w:rPr>
                <w:rFonts w:ascii="Times New Roman" w:hAnsi="Times New Roman" w:eastAsia="宋体" w:cs="Times New Roman"/>
                <w:color w:val="auto"/>
                <w:kern w:val="0"/>
                <w:szCs w:val="21"/>
                <w:highlight w:val="none"/>
                <w:lang w:bidi="ar"/>
              </w:rPr>
              <w:t>°</w:t>
            </w:r>
            <w:r>
              <w:rPr>
                <w:rFonts w:hint="eastAsia" w:ascii="Times New Roman" w:hAnsi="Times New Roman" w:eastAsia="宋体" w:cs="Times New Roman"/>
                <w:color w:val="auto"/>
                <w:kern w:val="0"/>
                <w:szCs w:val="21"/>
                <w:highlight w:val="none"/>
                <w:lang w:bidi="ar"/>
              </w:rPr>
              <w:t>/km</w:t>
            </w:r>
          </w:p>
          <w:p w14:paraId="3D5884A0">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（7）退偏振比</w:t>
            </w:r>
            <w:r>
              <w:rPr>
                <w:rFonts w:hint="eastAsia" w:ascii="Times New Roman" w:hAnsi="Times New Roman" w:eastAsia="宋体" w:cs="Times New Roman"/>
                <w:color w:val="auto"/>
                <w:kern w:val="0"/>
                <w:szCs w:val="21"/>
                <w:highlight w:val="none"/>
                <w:lang w:bidi="ar"/>
              </w:rPr>
              <w:t>：±0.2 dB（单发双收工作模式）</w:t>
            </w:r>
          </w:p>
          <w:p w14:paraId="0EC163F1">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（8）相关系数：±0.01</w:t>
            </w:r>
          </w:p>
          <w:p w14:paraId="4B252217">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10.物理量产品测量精度：</w:t>
            </w:r>
          </w:p>
          <w:p w14:paraId="7CE287C9">
            <w:pPr>
              <w:widowControl/>
              <w:jc w:val="left"/>
              <w:rPr>
                <w:rFonts w:ascii="Times New Roman" w:hAnsi="Times New Roman" w:eastAsia="宋体" w:cs="Times New Roman"/>
                <w:b/>
                <w:bCs/>
                <w:color w:val="auto"/>
                <w:kern w:val="0"/>
                <w:szCs w:val="21"/>
                <w:highlight w:val="none"/>
                <w:lang w:bidi="ar"/>
              </w:rPr>
            </w:pPr>
            <w:r>
              <w:rPr>
                <w:rFonts w:hint="eastAsia" w:ascii="宋体" w:hAnsi="宋体" w:eastAsia="宋体" w:cs="宋体"/>
                <w:b/>
                <w:color w:val="auto"/>
                <w:szCs w:val="21"/>
                <w:highlight w:val="none"/>
              </w:rPr>
              <w:t>#</w:t>
            </w:r>
            <w:r>
              <w:rPr>
                <w:rFonts w:hint="eastAsia" w:ascii="宋体" w:hAnsi="宋体" w:eastAsia="宋体" w:cs="宋体"/>
                <w:color w:val="auto"/>
                <w:kern w:val="0"/>
                <w:szCs w:val="21"/>
                <w:highlight w:val="none"/>
                <w:lang w:bidi="ar"/>
              </w:rPr>
              <w:t>（1）云底高度：云高＜1000 m时，±100 m；云高≥1000 m时，±10%。</w:t>
            </w:r>
            <w:r>
              <w:rPr>
                <w:rFonts w:hint="eastAsia" w:ascii="Times New Roman" w:hAnsi="Times New Roman" w:eastAsia="宋体" w:cs="Times New Roman"/>
                <w:b/>
                <w:bCs/>
                <w:color w:val="auto"/>
                <w:kern w:val="0"/>
                <w:szCs w:val="21"/>
                <w:highlight w:val="none"/>
                <w:lang w:eastAsia="zh-CN" w:bidi="ar"/>
              </w:rPr>
              <w:t>【</w:t>
            </w:r>
            <w:r>
              <w:rPr>
                <w:rFonts w:hint="eastAsia" w:ascii="Times New Roman" w:hAnsi="Times New Roman" w:eastAsia="宋体" w:cs="Times New Roman"/>
                <w:b/>
                <w:bCs/>
                <w:color w:val="auto"/>
                <w:kern w:val="0"/>
                <w:szCs w:val="21"/>
                <w:highlight w:val="none"/>
                <w:lang w:val="en-US" w:eastAsia="zh-CN" w:bidi="ar"/>
              </w:rPr>
              <w:t>需提供国家认可的第三方认证（检测）机构出具认证证书（检测报告）</w:t>
            </w:r>
            <w:r>
              <w:rPr>
                <w:rFonts w:hint="eastAsia" w:ascii="Times New Roman" w:hAnsi="Times New Roman" w:eastAsia="宋体" w:cs="Times New Roman"/>
                <w:b/>
                <w:bCs/>
                <w:color w:val="auto"/>
                <w:kern w:val="0"/>
                <w:szCs w:val="21"/>
                <w:highlight w:val="none"/>
                <w:lang w:eastAsia="zh-CN" w:bidi="ar"/>
              </w:rPr>
              <w:t>】</w:t>
            </w:r>
          </w:p>
          <w:p w14:paraId="575F01F8">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（2）云顶高度：云高＜1000 m时，±100m；云高≥1000 m时，±10%。</w:t>
            </w:r>
          </w:p>
          <w:p w14:paraId="4BD063CA">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（3）云量（扫描型）：±20%。</w:t>
            </w:r>
          </w:p>
          <w:p w14:paraId="3D36EA2C">
            <w:pPr>
              <w:widowControl/>
              <w:snapToGrid/>
              <w:jc w:val="left"/>
              <w:textAlignment w:val="auto"/>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11.远距离可探测最小反射率因子（256点FFT处理情况下）（不计大气衰减）≤-30 dBZ@10km</w:t>
            </w:r>
          </w:p>
          <w:p w14:paraId="2C1C3820">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12.数据产品</w:t>
            </w:r>
          </w:p>
          <w:p w14:paraId="1C423456">
            <w:pPr>
              <w:widowControl/>
              <w:snapToGrid/>
              <w:jc w:val="left"/>
              <w:textAlignment w:val="auto"/>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（1）原始数据产品：功率谱（FFT）</w:t>
            </w:r>
          </w:p>
          <w:p w14:paraId="0437C1A3">
            <w:pPr>
              <w:widowControl/>
              <w:snapToGrid/>
              <w:jc w:val="left"/>
              <w:textAlignment w:val="auto"/>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（2）基数据产品</w:t>
            </w:r>
          </w:p>
          <w:p w14:paraId="4C116188">
            <w:pPr>
              <w:widowControl/>
              <w:snapToGrid/>
              <w:jc w:val="left"/>
              <w:textAlignment w:val="auto"/>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①</w:t>
            </w:r>
            <w:r>
              <w:rPr>
                <w:rFonts w:ascii="宋体" w:hAnsi="宋体" w:eastAsia="宋体" w:cs="宋体"/>
                <w:color w:val="auto"/>
                <w:kern w:val="0"/>
                <w:szCs w:val="21"/>
                <w:highlight w:val="none"/>
                <w:lang w:bidi="ar"/>
              </w:rPr>
              <w:t>反射率因子（Z）</w:t>
            </w:r>
          </w:p>
          <w:p w14:paraId="2C19F1DC">
            <w:pPr>
              <w:widowControl/>
              <w:snapToGrid/>
              <w:jc w:val="left"/>
              <w:textAlignment w:val="auto"/>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②</w:t>
            </w:r>
            <w:r>
              <w:rPr>
                <w:rFonts w:ascii="宋体" w:hAnsi="宋体" w:eastAsia="宋体" w:cs="宋体"/>
                <w:color w:val="auto"/>
                <w:kern w:val="0"/>
                <w:szCs w:val="21"/>
                <w:highlight w:val="none"/>
                <w:lang w:bidi="ar"/>
              </w:rPr>
              <w:t>径向速度（V）</w:t>
            </w:r>
          </w:p>
          <w:p w14:paraId="4FE9E3BC">
            <w:pPr>
              <w:widowControl/>
              <w:snapToGrid/>
              <w:jc w:val="left"/>
              <w:textAlignment w:val="auto"/>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③</w:t>
            </w:r>
            <w:r>
              <w:rPr>
                <w:rFonts w:ascii="宋体" w:hAnsi="宋体" w:eastAsia="宋体" w:cs="宋体"/>
                <w:color w:val="auto"/>
                <w:kern w:val="0"/>
                <w:szCs w:val="21"/>
                <w:highlight w:val="none"/>
                <w:lang w:bidi="ar"/>
              </w:rPr>
              <w:t>速度谱宽（W）</w:t>
            </w:r>
          </w:p>
          <w:p w14:paraId="7AFCC239">
            <w:pPr>
              <w:widowControl/>
              <w:snapToGrid/>
              <w:jc w:val="left"/>
              <w:textAlignment w:val="auto"/>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④</w:t>
            </w:r>
            <w:r>
              <w:rPr>
                <w:rFonts w:ascii="宋体" w:hAnsi="宋体" w:eastAsia="宋体" w:cs="宋体"/>
                <w:color w:val="auto"/>
                <w:kern w:val="0"/>
                <w:szCs w:val="21"/>
                <w:highlight w:val="none"/>
                <w:lang w:bidi="ar"/>
              </w:rPr>
              <w:t>信噪比（SNR）</w:t>
            </w:r>
          </w:p>
          <w:p w14:paraId="6E7AE346">
            <w:pPr>
              <w:widowControl/>
              <w:snapToGrid/>
              <w:jc w:val="left"/>
              <w:textAlignment w:val="auto"/>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⑤</w:t>
            </w:r>
            <w:r>
              <w:rPr>
                <w:rFonts w:ascii="宋体" w:hAnsi="宋体" w:eastAsia="宋体" w:cs="宋体"/>
                <w:color w:val="auto"/>
                <w:kern w:val="0"/>
                <w:szCs w:val="21"/>
                <w:highlight w:val="none"/>
                <w:lang w:bidi="ar"/>
              </w:rPr>
              <w:t>退偏振比（LDR）（单发双收偏振模式）</w:t>
            </w:r>
          </w:p>
          <w:p w14:paraId="2496E08F">
            <w:pPr>
              <w:widowControl/>
              <w:snapToGrid/>
              <w:jc w:val="left"/>
              <w:textAlignment w:val="auto"/>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⑥</w:t>
            </w:r>
            <w:r>
              <w:rPr>
                <w:rFonts w:ascii="宋体" w:hAnsi="宋体" w:eastAsia="宋体" w:cs="宋体"/>
                <w:color w:val="auto"/>
                <w:kern w:val="0"/>
                <w:szCs w:val="21"/>
                <w:highlight w:val="none"/>
                <w:lang w:bidi="ar"/>
              </w:rPr>
              <w:t>差分反射率因子（ZDR）</w:t>
            </w:r>
          </w:p>
          <w:p w14:paraId="49183059">
            <w:pPr>
              <w:widowControl/>
              <w:snapToGrid/>
              <w:jc w:val="left"/>
              <w:textAlignment w:val="auto"/>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⑦</w:t>
            </w:r>
            <w:r>
              <w:rPr>
                <w:rFonts w:ascii="宋体" w:hAnsi="宋体" w:eastAsia="宋体" w:cs="宋体"/>
                <w:color w:val="auto"/>
                <w:kern w:val="0"/>
                <w:szCs w:val="21"/>
                <w:highlight w:val="none"/>
                <w:lang w:bidi="ar"/>
              </w:rPr>
              <w:t>差分传播相移(ΦDP）</w:t>
            </w:r>
          </w:p>
          <w:p w14:paraId="0E205844">
            <w:pPr>
              <w:widowControl/>
              <w:snapToGrid/>
              <w:jc w:val="left"/>
              <w:textAlignment w:val="auto"/>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⑧</w:t>
            </w:r>
            <w:r>
              <w:rPr>
                <w:rFonts w:ascii="宋体" w:hAnsi="宋体" w:eastAsia="宋体" w:cs="宋体"/>
                <w:color w:val="auto"/>
                <w:kern w:val="0"/>
                <w:szCs w:val="21"/>
                <w:highlight w:val="none"/>
                <w:lang w:bidi="ar"/>
              </w:rPr>
              <w:t>差分传播相移率（KDP）</w:t>
            </w:r>
          </w:p>
          <w:p w14:paraId="40E631DB">
            <w:pPr>
              <w:widowControl/>
              <w:snapToGrid/>
              <w:jc w:val="left"/>
              <w:textAlignment w:val="auto"/>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⑨</w:t>
            </w:r>
            <w:r>
              <w:rPr>
                <w:rFonts w:ascii="宋体" w:hAnsi="宋体" w:eastAsia="宋体" w:cs="宋体"/>
                <w:color w:val="auto"/>
                <w:kern w:val="0"/>
                <w:szCs w:val="21"/>
                <w:highlight w:val="none"/>
                <w:lang w:bidi="ar"/>
              </w:rPr>
              <w:t>相关系数(ρHV）</w:t>
            </w:r>
          </w:p>
          <w:p w14:paraId="0CB0AB67">
            <w:pPr>
              <w:widowControl/>
              <w:snapToGrid/>
              <w:jc w:val="left"/>
              <w:textAlignment w:val="auto"/>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cs="宋体"/>
                <w:color w:val="auto"/>
                <w:kern w:val="0"/>
                <w:szCs w:val="21"/>
                <w:highlight w:val="none"/>
                <w:lang w:val="en-US" w:eastAsia="zh-CN" w:bidi="ar"/>
              </w:rPr>
              <w:t>3</w:t>
            </w:r>
            <w:r>
              <w:rPr>
                <w:rFonts w:hint="eastAsia" w:ascii="宋体" w:hAnsi="宋体" w:eastAsia="宋体" w:cs="宋体"/>
                <w:color w:val="auto"/>
                <w:kern w:val="0"/>
                <w:szCs w:val="21"/>
                <w:highlight w:val="none"/>
                <w:lang w:bidi="ar"/>
              </w:rPr>
              <w:t>）物理量产品</w:t>
            </w:r>
          </w:p>
          <w:p w14:paraId="2FE0EFB7">
            <w:pPr>
              <w:widowControl/>
              <w:snapToGrid/>
              <w:jc w:val="left"/>
              <w:textAlignment w:val="auto"/>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①</w:t>
            </w:r>
            <w:r>
              <w:rPr>
                <w:rFonts w:ascii="宋体" w:hAnsi="宋体" w:eastAsia="宋体" w:cs="宋体"/>
                <w:color w:val="auto"/>
                <w:kern w:val="0"/>
                <w:szCs w:val="21"/>
                <w:highlight w:val="none"/>
                <w:lang w:bidi="ar"/>
              </w:rPr>
              <w:t>云顶高度（CT）</w:t>
            </w:r>
          </w:p>
          <w:p w14:paraId="3A1E0E13">
            <w:pPr>
              <w:widowControl/>
              <w:snapToGrid/>
              <w:jc w:val="left"/>
              <w:textAlignment w:val="auto"/>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②</w:t>
            </w:r>
            <w:r>
              <w:rPr>
                <w:rFonts w:ascii="宋体" w:hAnsi="宋体" w:eastAsia="宋体" w:cs="宋体"/>
                <w:color w:val="auto"/>
                <w:kern w:val="0"/>
                <w:szCs w:val="21"/>
                <w:highlight w:val="none"/>
                <w:lang w:bidi="ar"/>
              </w:rPr>
              <w:t>云底高度（CB）</w:t>
            </w:r>
          </w:p>
          <w:p w14:paraId="7507FFD7">
            <w:pPr>
              <w:widowControl/>
              <w:snapToGrid/>
              <w:jc w:val="left"/>
              <w:textAlignment w:val="auto"/>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③</w:t>
            </w:r>
            <w:r>
              <w:rPr>
                <w:rFonts w:ascii="宋体" w:hAnsi="宋体" w:eastAsia="宋体" w:cs="宋体"/>
                <w:color w:val="auto"/>
                <w:kern w:val="0"/>
                <w:szCs w:val="21"/>
                <w:highlight w:val="none"/>
                <w:lang w:bidi="ar"/>
              </w:rPr>
              <w:t>云量（CC）</w:t>
            </w:r>
          </w:p>
          <w:p w14:paraId="243F78C4">
            <w:pPr>
              <w:widowControl/>
              <w:snapToGrid/>
              <w:jc w:val="left"/>
              <w:textAlignment w:val="auto"/>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④</w:t>
            </w:r>
            <w:r>
              <w:rPr>
                <w:rFonts w:ascii="宋体" w:hAnsi="宋体" w:eastAsia="宋体" w:cs="宋体"/>
                <w:color w:val="auto"/>
                <w:kern w:val="0"/>
                <w:szCs w:val="21"/>
                <w:highlight w:val="none"/>
                <w:lang w:bidi="ar"/>
              </w:rPr>
              <w:t>云粒子相态（CHCL）</w:t>
            </w:r>
          </w:p>
          <w:p w14:paraId="5BADBE34">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⑤</w:t>
            </w:r>
            <w:r>
              <w:rPr>
                <w:rFonts w:ascii="宋体" w:hAnsi="宋体" w:eastAsia="宋体" w:cs="宋体"/>
                <w:color w:val="auto"/>
                <w:kern w:val="0"/>
                <w:szCs w:val="21"/>
                <w:highlight w:val="none"/>
                <w:lang w:bidi="ar"/>
              </w:rPr>
              <w:t>零度层高度（BB）</w:t>
            </w:r>
          </w:p>
          <w:p w14:paraId="5CC355E6">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13.天线分系统</w:t>
            </w:r>
          </w:p>
          <w:p w14:paraId="1A211E65">
            <w:pPr>
              <w:widowControl/>
              <w:snapToGrid/>
              <w:jc w:val="left"/>
              <w:textAlignment w:val="auto"/>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（1）天线有效口径：1.8 m</w:t>
            </w:r>
          </w:p>
          <w:p w14:paraId="5AB5E44E">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（2）第一副瓣电平≤-23 dB</w:t>
            </w:r>
          </w:p>
          <w:p w14:paraId="108F32F8">
            <w:pPr>
              <w:widowControl/>
              <w:jc w:val="left"/>
              <w:rPr>
                <w:color w:val="auto"/>
                <w:highlight w:val="none"/>
              </w:rPr>
            </w:pPr>
            <w:r>
              <w:rPr>
                <w:rFonts w:hint="eastAsia" w:ascii="宋体" w:hAnsi="宋体" w:eastAsia="宋体" w:cs="宋体"/>
                <w:b/>
                <w:color w:val="auto"/>
                <w:szCs w:val="21"/>
                <w:highlight w:val="none"/>
              </w:rPr>
              <w:t>#</w:t>
            </w:r>
            <w:r>
              <w:rPr>
                <w:rFonts w:hint="eastAsia" w:ascii="宋体" w:hAnsi="宋体" w:eastAsia="宋体" w:cs="宋体"/>
                <w:color w:val="auto"/>
                <w:kern w:val="0"/>
                <w:szCs w:val="21"/>
                <w:highlight w:val="none"/>
                <w:lang w:bidi="ar"/>
              </w:rPr>
              <w:t>14.馈线分系统：驻波比≤1.5</w:t>
            </w:r>
            <w:r>
              <w:rPr>
                <w:rFonts w:hint="eastAsia" w:ascii="Times New Roman" w:hAnsi="Times New Roman" w:eastAsia="宋体" w:cs="Times New Roman"/>
                <w:b/>
                <w:bCs/>
                <w:color w:val="auto"/>
                <w:kern w:val="0"/>
                <w:szCs w:val="21"/>
                <w:highlight w:val="none"/>
                <w:lang w:eastAsia="zh-CN" w:bidi="ar"/>
              </w:rPr>
              <w:t>【</w:t>
            </w:r>
            <w:r>
              <w:rPr>
                <w:rFonts w:hint="eastAsia" w:ascii="Times New Roman" w:hAnsi="Times New Roman" w:eastAsia="宋体" w:cs="Times New Roman"/>
                <w:b/>
                <w:bCs/>
                <w:color w:val="auto"/>
                <w:kern w:val="0"/>
                <w:szCs w:val="21"/>
                <w:highlight w:val="none"/>
                <w:lang w:val="en-US" w:eastAsia="zh-CN" w:bidi="ar"/>
              </w:rPr>
              <w:t>需提供国家认可的第三方认证（检测）机构出具认证证书（检测报告）</w:t>
            </w:r>
            <w:r>
              <w:rPr>
                <w:rFonts w:hint="eastAsia" w:ascii="Times New Roman" w:hAnsi="Times New Roman" w:eastAsia="宋体" w:cs="Times New Roman"/>
                <w:b/>
                <w:bCs/>
                <w:color w:val="auto"/>
                <w:kern w:val="0"/>
                <w:szCs w:val="21"/>
                <w:highlight w:val="none"/>
                <w:lang w:eastAsia="zh-CN" w:bidi="ar"/>
              </w:rPr>
              <w:t>】</w:t>
            </w:r>
          </w:p>
          <w:p w14:paraId="600E96D9">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15.伺服转台分系统：天线控制方式：预置全自动、人工干预自动/手动控制。</w:t>
            </w:r>
          </w:p>
          <w:p w14:paraId="261CDEBE">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16.收发分系统：脉冲峰值功率≥100 W。</w:t>
            </w:r>
          </w:p>
          <w:p w14:paraId="10973BAF">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17.系统相位噪声≤0.4°</w:t>
            </w:r>
          </w:p>
          <w:p w14:paraId="17CC7944">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18.地物杂波抑制比≥42 dB</w:t>
            </w:r>
          </w:p>
          <w:p w14:paraId="6912FEE7">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19.电源要求：单相AC220V±10%，50 Hz±5%。</w:t>
            </w:r>
          </w:p>
          <w:p w14:paraId="3F50D356">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20.重量（标准配置，参考值）≤2000 Kg（不包括天线罩）</w:t>
            </w:r>
          </w:p>
          <w:p w14:paraId="49714C6D">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21.环境要求</w:t>
            </w:r>
          </w:p>
          <w:p w14:paraId="37F59F9E">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（1）工作温度：室外装置：-40℃～+50℃,室内装置：0℃～+40℃；</w:t>
            </w:r>
          </w:p>
          <w:p w14:paraId="48D96830">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（2）贮存温度：-50℃～+60℃；</w:t>
            </w:r>
          </w:p>
          <w:p w14:paraId="0D76EC73">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（3）最大湿度（+30℃)：室外装置：≤95%，室内装置：≤90%；</w:t>
            </w:r>
          </w:p>
          <w:p w14:paraId="3D1A6579">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（4）抗阵风能力：≥30 m/s不损坏（锥形天线罩）；</w:t>
            </w:r>
          </w:p>
          <w:p w14:paraId="32EB786D">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（5）淋雨：最大降水强度：≥6 mm/min；</w:t>
            </w:r>
          </w:p>
          <w:p w14:paraId="3FA2EB8A">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（6）抗干扰：抗电源干扰、电磁干扰、无线电频率干扰等；</w:t>
            </w:r>
          </w:p>
          <w:p w14:paraId="0B9794CA">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（7）其他：防水、防盐雾。</w:t>
            </w:r>
          </w:p>
          <w:p w14:paraId="76AD7E6D">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22.整机功耗（峰值）≤3 kW</w:t>
            </w:r>
          </w:p>
          <w:p w14:paraId="5DAD1374">
            <w:pPr>
              <w:widowControl/>
              <w:jc w:val="left"/>
              <w:rPr>
                <w:rFonts w:ascii="宋体" w:hAnsi="宋体" w:eastAsia="宋体" w:cs="宋体"/>
                <w:color w:val="auto"/>
                <w:kern w:val="0"/>
                <w:szCs w:val="21"/>
                <w:highlight w:val="none"/>
                <w:lang w:bidi="ar"/>
              </w:rPr>
            </w:pPr>
            <w:r>
              <w:rPr>
                <w:rFonts w:hint="eastAsia" w:ascii="宋体" w:hAnsi="宋体" w:eastAsia="宋体" w:cs="宋体"/>
                <w:b/>
                <w:color w:val="auto"/>
                <w:szCs w:val="21"/>
                <w:highlight w:val="none"/>
              </w:rPr>
              <w:t>#</w:t>
            </w:r>
            <w:r>
              <w:rPr>
                <w:rFonts w:hint="eastAsia" w:ascii="宋体" w:hAnsi="宋体" w:eastAsia="宋体" w:cs="宋体"/>
                <w:color w:val="auto"/>
                <w:kern w:val="0"/>
                <w:szCs w:val="21"/>
                <w:highlight w:val="none"/>
                <w:lang w:bidi="ar"/>
              </w:rPr>
              <w:t>23.平均无故障时间（MTBF）≥2000 h</w:t>
            </w:r>
          </w:p>
          <w:p w14:paraId="3B5597E4">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24.平均故障修复时间（MTTR）≤0.5 h</w:t>
            </w:r>
          </w:p>
          <w:p w14:paraId="176C3685">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25.架设方式：可固定架设也可移动式。</w:t>
            </w:r>
          </w:p>
          <w:p w14:paraId="53A3D9F9">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26.微波辐射安全性：雷达微波漏能功率密度应符合GJB 5313</w:t>
            </w:r>
            <w:r>
              <w:rPr>
                <w:rFonts w:hint="eastAsia" w:ascii="宋体" w:hAnsi="宋体" w:eastAsia="宋体" w:cs="宋体"/>
                <w:color w:val="auto"/>
                <w:kern w:val="0"/>
                <w:szCs w:val="21"/>
                <w:highlight w:val="none"/>
                <w:lang w:val="en-US" w:eastAsia="zh-CN" w:bidi="ar"/>
              </w:rPr>
              <w:t>A</w:t>
            </w:r>
            <w:r>
              <w:rPr>
                <w:rFonts w:hint="eastAsia" w:ascii="宋体" w:hAnsi="宋体" w:eastAsia="宋体" w:cs="宋体"/>
                <w:color w:val="auto"/>
                <w:kern w:val="0"/>
                <w:szCs w:val="21"/>
                <w:highlight w:val="none"/>
                <w:lang w:bidi="ar"/>
              </w:rPr>
              <w:t>-20</w:t>
            </w:r>
            <w:r>
              <w:rPr>
                <w:rFonts w:hint="eastAsia" w:ascii="宋体" w:hAnsi="宋体" w:eastAsia="宋体" w:cs="宋体"/>
                <w:color w:val="auto"/>
                <w:kern w:val="0"/>
                <w:szCs w:val="21"/>
                <w:highlight w:val="none"/>
                <w:lang w:val="en-US" w:eastAsia="zh-CN" w:bidi="ar"/>
              </w:rPr>
              <w:t>17</w:t>
            </w:r>
            <w:r>
              <w:rPr>
                <w:rFonts w:hint="eastAsia" w:ascii="宋体" w:hAnsi="宋体" w:eastAsia="宋体" w:cs="宋体"/>
                <w:color w:val="auto"/>
                <w:kern w:val="0"/>
                <w:szCs w:val="21"/>
                <w:highlight w:val="none"/>
                <w:lang w:bidi="ar"/>
              </w:rPr>
              <w:t>的要求。</w:t>
            </w:r>
          </w:p>
          <w:p w14:paraId="6F7BC9B1">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27.防雷要求：接地电阻应不大于4Ω,雷达电源线输入端应加装防雷滤波器，室外电缆一律采用屏蔽电缆或光缆。</w:t>
            </w:r>
          </w:p>
          <w:p w14:paraId="63C9E918">
            <w:pPr>
              <w:rPr>
                <w:rFonts w:ascii="宋体" w:hAnsi="宋体" w:eastAsia="宋体" w:cs="宋体"/>
                <w:color w:val="auto"/>
                <w:kern w:val="0"/>
                <w:szCs w:val="21"/>
                <w:highlight w:val="none"/>
                <w:lang w:bidi="ar"/>
              </w:rPr>
            </w:pPr>
            <w:r>
              <w:rPr>
                <w:rFonts w:hint="eastAsia" w:ascii="宋体" w:hAnsi="宋体" w:eastAsia="宋体" w:cs="宋体"/>
                <w:color w:val="auto"/>
                <w:szCs w:val="21"/>
                <w:highlight w:val="none"/>
              </w:rPr>
              <w:t>▲</w:t>
            </w:r>
            <w:r>
              <w:rPr>
                <w:rFonts w:hint="eastAsia" w:ascii="Times New Roman" w:hAnsi="Times New Roman" w:eastAsia="宋体" w:cs="Times New Roman"/>
                <w:b/>
                <w:bCs/>
                <w:color w:val="auto"/>
                <w:kern w:val="0"/>
                <w:szCs w:val="21"/>
                <w:highlight w:val="none"/>
                <w:lang w:bidi="ar"/>
              </w:rPr>
              <w:t>28.产品具有中国气象局颁发的《气象专用技术装备使用许可证》。</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E1FD">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b/>
                <w:bCs/>
                <w:color w:val="auto"/>
                <w:kern w:val="0"/>
                <w:szCs w:val="21"/>
                <w:highlight w:val="none"/>
                <w:lang w:bidi="ar"/>
              </w:rPr>
              <w:t>1</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29184">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b/>
                <w:bCs/>
                <w:color w:val="auto"/>
                <w:kern w:val="0"/>
                <w:szCs w:val="21"/>
                <w:highlight w:val="none"/>
                <w:lang w:bidi="ar"/>
              </w:rPr>
              <w:t>套</w:t>
            </w:r>
          </w:p>
        </w:tc>
      </w:tr>
      <w:tr w14:paraId="1E04B37D">
        <w:tblPrEx>
          <w:tblCellMar>
            <w:top w:w="0" w:type="dxa"/>
            <w:left w:w="108" w:type="dxa"/>
            <w:bottom w:w="0" w:type="dxa"/>
            <w:right w:w="108" w:type="dxa"/>
          </w:tblCellMar>
        </w:tblPrEx>
        <w:trPr>
          <w:trHeight w:val="23"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BC90F">
            <w:pPr>
              <w:widowControl/>
              <w:snapToGrid w:val="0"/>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szCs w:val="21"/>
                <w:highlight w:val="none"/>
              </w:rPr>
              <w:t>7</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1911F">
            <w:pPr>
              <w:widowControl/>
              <w:snapToGrid w:val="0"/>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小型旋翼</w:t>
            </w:r>
          </w:p>
          <w:p w14:paraId="7726FCE6">
            <w:pPr>
              <w:widowControl/>
              <w:snapToGrid w:val="0"/>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无人机</w:t>
            </w:r>
          </w:p>
        </w:tc>
        <w:tc>
          <w:tcPr>
            <w:tcW w:w="4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96EA">
            <w:pPr>
              <w:widowControl/>
              <w:ind w:firstLine="0" w:firstLineChars="0"/>
              <w:rPr>
                <w:rFonts w:ascii="宋体" w:hAnsi="宋体" w:eastAsia="宋体" w:cs="宋体"/>
                <w:color w:val="auto"/>
                <w:kern w:val="0"/>
                <w:szCs w:val="21"/>
                <w:highlight w:val="none"/>
                <w:lang w:bidi="ar"/>
              </w:rPr>
            </w:pPr>
            <w:r>
              <w:rPr>
                <w:rFonts w:hint="eastAsia" w:ascii="宋体" w:hAnsi="宋体" w:eastAsia="宋体" w:cs="宋体"/>
                <w:b/>
                <w:bCs/>
                <w:color w:val="auto"/>
                <w:kern w:val="0"/>
                <w:szCs w:val="21"/>
                <w:highlight w:val="none"/>
                <w:lang w:bidi="ar"/>
              </w:rPr>
              <w:t>小型旋翼无人机由无人机平台、无人机遥控器、云台相机组成，同时支持搭载国内无人机气象模块负载，进行气象多参数多要素测量。支持飞行轨迹编程、远程控制、一键起降功能，配备专业化操作软件，具有模块化吊舱设计，可根据任务需要搭载不同任务吊舱。</w:t>
            </w:r>
          </w:p>
          <w:p w14:paraId="14F67292">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1.飞行高度：0m～500m（电子限高）</w:t>
            </w:r>
          </w:p>
          <w:p w14:paraId="1D2D155F">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2.电池：≥2块智能动力电池，提供≥30 min续航。</w:t>
            </w:r>
          </w:p>
          <w:p w14:paraId="31E3C738">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3.地面站遥控距离≥5 km</w:t>
            </w:r>
          </w:p>
          <w:p w14:paraId="4777EB6D">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4.重量≤20 kg，满足便携性要求。</w:t>
            </w:r>
          </w:p>
          <w:p w14:paraId="155421A3">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5.工作频率（参考）</w:t>
            </w:r>
          </w:p>
          <w:p w14:paraId="1557C3D3">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（1）2.4000 GHz 至2.4835 GHz</w:t>
            </w:r>
          </w:p>
          <w:p w14:paraId="3437EEF6">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（2）5.150 GHz 至5.250 GHz（CE：5.170 GHz至5.250 GHz）</w:t>
            </w:r>
          </w:p>
          <w:p w14:paraId="71334473">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（3）5.725 GHz至5.850 GHz</w:t>
            </w:r>
          </w:p>
          <w:p w14:paraId="2EEEE442">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6.最长飞行时间≥30 min</w:t>
            </w:r>
          </w:p>
          <w:p w14:paraId="6DD7403B">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7.IP防护等级≥IP55</w:t>
            </w:r>
          </w:p>
          <w:p w14:paraId="64D6A1A2">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8.云台：高清摄像，有效像素≥2.1亿，图传。</w:t>
            </w:r>
          </w:p>
          <w:p w14:paraId="2802D385">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9.功能</w:t>
            </w:r>
          </w:p>
          <w:p w14:paraId="6F5F9965">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（1）支持可编程飞行轨迹；</w:t>
            </w:r>
          </w:p>
          <w:p w14:paraId="25D5A395">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（2）支持远程控制；</w:t>
            </w:r>
          </w:p>
          <w:p w14:paraId="3FF3A481">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（3）支持一键起飞降落；</w:t>
            </w:r>
          </w:p>
          <w:p w14:paraId="006ED7F1">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（4）模块化吊舱设计；</w:t>
            </w:r>
          </w:p>
          <w:p w14:paraId="5A08F6A2">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（5）搭载气象参数多要素测量（温度、湿度和气压等）；</w:t>
            </w:r>
          </w:p>
          <w:p w14:paraId="58F585FD">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（6）配备专业软件，操作简单；</w:t>
            </w:r>
          </w:p>
          <w:p w14:paraId="5BE03D94">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（7）支持手机与平板的APP应用，支持数据的二次开发。</w:t>
            </w:r>
          </w:p>
          <w:p w14:paraId="3F22EA16">
            <w:pPr>
              <w:widowControl/>
              <w:jc w:val="left"/>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1</w:t>
            </w:r>
            <w:r>
              <w:rPr>
                <w:rFonts w:ascii="宋体" w:hAnsi="宋体" w:eastAsia="宋体" w:cs="宋体"/>
                <w:color w:val="auto"/>
                <w:kern w:val="0"/>
                <w:szCs w:val="21"/>
                <w:highlight w:val="none"/>
                <w:lang w:bidi="ar"/>
              </w:rPr>
              <w:t>0</w:t>
            </w:r>
            <w:r>
              <w:rPr>
                <w:rFonts w:hint="eastAsia" w:ascii="宋体" w:hAnsi="宋体" w:eastAsia="宋体" w:cs="宋体"/>
                <w:color w:val="auto"/>
                <w:kern w:val="0"/>
                <w:szCs w:val="21"/>
                <w:highlight w:val="none"/>
                <w:lang w:bidi="ar"/>
              </w:rPr>
              <w:t>.质保期：≥</w:t>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年。</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84C27">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1DA5C">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架</w:t>
            </w:r>
          </w:p>
        </w:tc>
      </w:tr>
    </w:tbl>
    <w:p w14:paraId="7CAE4EF5">
      <w:pPr>
        <w:spacing w:line="360" w:lineRule="auto"/>
        <w:outlineLvl w:val="4"/>
        <w:rPr>
          <w:rFonts w:hint="eastAsia" w:eastAsia="宋体"/>
          <w:b/>
          <w:bCs/>
          <w:color w:val="auto"/>
          <w:highlight w:val="none"/>
        </w:rPr>
      </w:pPr>
      <w:r>
        <w:rPr>
          <w:rFonts w:hint="eastAsia" w:eastAsia="宋体"/>
          <w:b/>
          <w:bCs/>
          <w:color w:val="auto"/>
          <w:highlight w:val="none"/>
        </w:rPr>
        <w:t>（2）指挥模组</w:t>
      </w:r>
    </w:p>
    <w:p w14:paraId="530ABB83">
      <w:pPr>
        <w:spacing w:line="360" w:lineRule="auto"/>
        <w:ind w:firstLine="420" w:firstLineChars="200"/>
        <w:rPr>
          <w:rFonts w:hint="eastAsia" w:eastAsia="宋体"/>
          <w:color w:val="auto"/>
          <w:highlight w:val="none"/>
        </w:rPr>
      </w:pPr>
      <w:r>
        <w:rPr>
          <w:rFonts w:hint="eastAsia" w:eastAsia="宋体"/>
          <w:color w:val="auto"/>
          <w:highlight w:val="none"/>
        </w:rPr>
        <w:t>由载车平台、任务方舱、作业指挥平台和通信系统组成，通信系统主要由信息网络系统、会商系统、通讯系统、指挥调度平台及供电系统等组成，技术性能指标具体见下表：</w:t>
      </w:r>
    </w:p>
    <w:tbl>
      <w:tblPr>
        <w:tblStyle w:val="51"/>
        <w:tblW w:w="8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237"/>
        <w:gridCol w:w="4908"/>
        <w:gridCol w:w="813"/>
        <w:gridCol w:w="645"/>
      </w:tblGrid>
      <w:tr w14:paraId="4937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shd w:val="clear" w:color="auto" w:fill="auto"/>
            <w:noWrap/>
            <w:vAlign w:val="center"/>
          </w:tcPr>
          <w:p w14:paraId="13953971">
            <w:pPr>
              <w:widowControl/>
              <w:snapToGrid w:val="0"/>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序号</w:t>
            </w:r>
          </w:p>
        </w:tc>
        <w:tc>
          <w:tcPr>
            <w:tcW w:w="1237" w:type="dxa"/>
            <w:shd w:val="clear" w:color="auto" w:fill="auto"/>
            <w:noWrap/>
            <w:vAlign w:val="center"/>
          </w:tcPr>
          <w:p w14:paraId="16CC0E48">
            <w:pPr>
              <w:widowControl/>
              <w:snapToGrid w:val="0"/>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设备内容</w:t>
            </w:r>
          </w:p>
        </w:tc>
        <w:tc>
          <w:tcPr>
            <w:tcW w:w="4908" w:type="dxa"/>
            <w:shd w:val="clear" w:color="auto" w:fill="auto"/>
            <w:noWrap/>
            <w:vAlign w:val="center"/>
          </w:tcPr>
          <w:p w14:paraId="1F7B3F67">
            <w:pPr>
              <w:widowControl/>
              <w:snapToGrid w:val="0"/>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主要性能指标</w:t>
            </w:r>
          </w:p>
        </w:tc>
        <w:tc>
          <w:tcPr>
            <w:tcW w:w="813" w:type="dxa"/>
            <w:shd w:val="clear" w:color="auto" w:fill="auto"/>
            <w:noWrap/>
            <w:vAlign w:val="center"/>
          </w:tcPr>
          <w:p w14:paraId="2EF5461B">
            <w:pPr>
              <w:widowControl/>
              <w:snapToGrid w:val="0"/>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数量</w:t>
            </w:r>
          </w:p>
        </w:tc>
        <w:tc>
          <w:tcPr>
            <w:tcW w:w="645" w:type="dxa"/>
            <w:shd w:val="clear" w:color="auto" w:fill="auto"/>
            <w:noWrap/>
            <w:vAlign w:val="center"/>
          </w:tcPr>
          <w:p w14:paraId="586776E4">
            <w:pPr>
              <w:widowControl/>
              <w:snapToGrid w:val="0"/>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单位</w:t>
            </w:r>
          </w:p>
        </w:tc>
      </w:tr>
      <w:tr w14:paraId="4712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jc w:val="center"/>
        </w:trPr>
        <w:tc>
          <w:tcPr>
            <w:tcW w:w="673" w:type="dxa"/>
            <w:shd w:val="clear" w:color="auto" w:fill="auto"/>
            <w:noWrap/>
            <w:vAlign w:val="center"/>
          </w:tcPr>
          <w:p w14:paraId="76411883">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b/>
                <w:bCs/>
                <w:color w:val="auto"/>
                <w:kern w:val="0"/>
                <w:szCs w:val="21"/>
                <w:highlight w:val="none"/>
                <w:lang w:bidi="ar"/>
              </w:rPr>
              <w:t>1</w:t>
            </w:r>
          </w:p>
        </w:tc>
        <w:tc>
          <w:tcPr>
            <w:tcW w:w="1237" w:type="dxa"/>
            <w:shd w:val="clear" w:color="auto" w:fill="auto"/>
            <w:noWrap/>
            <w:vAlign w:val="center"/>
          </w:tcPr>
          <w:p w14:paraId="7B29C61E">
            <w:pPr>
              <w:widowControl/>
              <w:snapToGrid w:val="0"/>
              <w:jc w:val="left"/>
              <w:textAlignment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载车平台</w:t>
            </w:r>
          </w:p>
        </w:tc>
        <w:tc>
          <w:tcPr>
            <w:tcW w:w="4908" w:type="dxa"/>
            <w:shd w:val="clear" w:color="auto" w:fill="auto"/>
            <w:noWrap/>
            <w:vAlign w:val="center"/>
          </w:tcPr>
          <w:p w14:paraId="04B8FA57">
            <w:pPr>
              <w:snapToGrid w:val="0"/>
              <w:ind w:firstLine="0" w:firstLineChars="0"/>
              <w:rPr>
                <w:rFonts w:ascii="宋体" w:hAnsi="宋体" w:eastAsia="宋体" w:cs="宋体"/>
                <w:b/>
                <w:bCs/>
                <w:color w:val="auto"/>
                <w:kern w:val="0"/>
                <w:szCs w:val="21"/>
                <w:highlight w:val="none"/>
                <w:lang w:bidi="ar"/>
              </w:rPr>
            </w:pPr>
            <w:r>
              <w:rPr>
                <w:rFonts w:hint="eastAsia" w:ascii="宋体" w:hAnsi="宋体" w:eastAsia="宋体" w:cs="宋体"/>
                <w:color w:val="auto"/>
                <w:szCs w:val="21"/>
                <w:highlight w:val="none"/>
              </w:rPr>
              <w:t>▲</w:t>
            </w:r>
            <w:r>
              <w:rPr>
                <w:rFonts w:hint="eastAsia" w:ascii="宋体" w:hAnsi="宋体" w:cs="宋体"/>
                <w:b/>
                <w:bCs/>
                <w:color w:val="auto"/>
                <w:szCs w:val="21"/>
                <w:highlight w:val="none"/>
                <w:lang w:val="en-US" w:eastAsia="zh-CN"/>
              </w:rPr>
              <w:t>交货时须</w:t>
            </w:r>
            <w:r>
              <w:rPr>
                <w:rFonts w:hint="eastAsia" w:ascii="宋体" w:hAnsi="宋体" w:eastAsia="宋体" w:cs="宋体"/>
                <w:b/>
                <w:bCs/>
                <w:color w:val="auto"/>
                <w:kern w:val="0"/>
                <w:szCs w:val="21"/>
                <w:highlight w:val="none"/>
                <w:lang w:bidi="ar"/>
              </w:rPr>
              <w:t>包含特种车辆合格证、原车底盘合格证、车辆一致性证书、国家环保合格证、CCC 证书、车载设备合格证、车辆说明书、车载设备使用手册等。可满足国内公路运输条件（省级以上公路按照40 km/h～100 km/h速度进行运输，碎石路（或土路）按照20 km/h～40 km/h速度进行装箱运输），经过运输后，所有零件不破损、不松动，安装架设后能正常工作。</w:t>
            </w:r>
          </w:p>
          <w:p w14:paraId="710C2591">
            <w:pPr>
              <w:widowControl/>
              <w:snapToGrid w:val="0"/>
              <w:textAlignment w:val="auto"/>
              <w:rPr>
                <w:rFonts w:ascii="宋体" w:hAnsi="宋体" w:eastAsia="宋体" w:cs="宋体"/>
                <w:b/>
                <w:bCs/>
                <w:color w:val="auto"/>
                <w:kern w:val="0"/>
                <w:szCs w:val="21"/>
                <w:highlight w:val="none"/>
                <w:lang w:bidi="ar"/>
              </w:rPr>
            </w:pPr>
            <w:r>
              <w:rPr>
                <w:rFonts w:hint="eastAsia" w:ascii="宋体" w:hAnsi="宋体" w:eastAsia="宋体" w:cs="宋体"/>
                <w:color w:val="auto"/>
                <w:kern w:val="0"/>
                <w:szCs w:val="21"/>
                <w:highlight w:val="none"/>
                <w:lang w:bidi="ar"/>
              </w:rPr>
              <w:t>1.二类汽车底盘:具备高强度车架结构，能承载车身、动力系统及改装设备的重量，同时通过发动机、传动系统实现自主行驶，满足基本的移动需求。</w:t>
            </w:r>
          </w:p>
          <w:p w14:paraId="408582B4">
            <w:pPr>
              <w:widowControl/>
              <w:snapToGrid w:val="0"/>
              <w:ind w:firstLine="0" w:firstLineChars="0"/>
              <w:textAlignment w:val="auto"/>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（1）最高车速≥95km/h</w:t>
            </w:r>
          </w:p>
          <w:p w14:paraId="4C9C53FE">
            <w:pPr>
              <w:widowControl/>
              <w:snapToGrid w:val="0"/>
              <w:ind w:firstLine="0" w:firstLineChars="0"/>
              <w:textAlignment w:val="auto"/>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（2）最大爬坡度≥30%</w:t>
            </w:r>
          </w:p>
          <w:p w14:paraId="4D0E0A18">
            <w:pPr>
              <w:snapToGrid w:val="0"/>
              <w:ind w:firstLine="0" w:firstLineChars="0"/>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（3）公路续驶里程≥600km</w:t>
            </w:r>
          </w:p>
          <w:p w14:paraId="5B3CE7D9">
            <w:pPr>
              <w:snapToGrid w:val="0"/>
              <w:ind w:firstLine="0" w:firstLineChars="0"/>
              <w:rPr>
                <w:rFonts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（4）驱动方式6*6或6*4</w:t>
            </w:r>
          </w:p>
          <w:p w14:paraId="36303AE3">
            <w:pPr>
              <w:snapToGrid w:val="0"/>
              <w:ind w:firstLine="0" w:firstLineChars="0"/>
              <w:rPr>
                <w:rFonts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（5）发动机功率：≥257kw</w:t>
            </w:r>
          </w:p>
          <w:p w14:paraId="0EB6607A">
            <w:pPr>
              <w:snapToGrid w:val="0"/>
              <w:rPr>
                <w:rFonts w:ascii="宋体" w:hAnsi="宋体" w:eastAsia="宋体" w:cs="宋体"/>
                <w:b/>
                <w:bCs/>
                <w:color w:val="auto"/>
                <w:kern w:val="0"/>
                <w:szCs w:val="21"/>
                <w:highlight w:val="none"/>
                <w:lang w:bidi="ar"/>
              </w:rPr>
            </w:pPr>
            <w:r>
              <w:rPr>
                <w:rFonts w:hint="eastAsia" w:ascii="宋体" w:hAnsi="宋体" w:eastAsia="宋体" w:cs="宋体"/>
                <w:color w:val="auto"/>
                <w:kern w:val="0"/>
                <w:szCs w:val="21"/>
                <w:highlight w:val="none"/>
                <w:lang w:bidi="ar"/>
              </w:rPr>
              <w:t>2.电动调平支腿：单腿承重≥10吨，调平精度≤0.1°，能够检测车体水平状态，并具有自动和手动调平能力。调平系统具备限位报警、过流报警等功能；具备水平姿态角及工作状态或故障的实时显示功能；在紧急情况下有急停按钮，在系统失电时具备长期锁定能力。</w:t>
            </w:r>
          </w:p>
          <w:p w14:paraId="73101304">
            <w:pPr>
              <w:snapToGrid w:val="0"/>
              <w:rPr>
                <w:rFonts w:ascii="宋体" w:hAnsi="宋体" w:eastAsia="宋体" w:cs="宋体"/>
                <w:b/>
                <w:bCs/>
                <w:color w:val="auto"/>
                <w:kern w:val="0"/>
                <w:szCs w:val="21"/>
                <w:highlight w:val="none"/>
                <w:lang w:bidi="ar"/>
              </w:rPr>
            </w:pPr>
            <w:r>
              <w:rPr>
                <w:rFonts w:hint="eastAsia" w:ascii="宋体" w:hAnsi="宋体" w:eastAsia="宋体" w:cs="宋体"/>
                <w:color w:val="auto"/>
                <w:kern w:val="0"/>
                <w:szCs w:val="21"/>
                <w:highlight w:val="none"/>
                <w:lang w:bidi="ar"/>
              </w:rPr>
              <w:t>3.副车架：副车架纵梁采用高强度方管及汽车大梁板折弯压制成型的横梁焊而成。副车架上面铺设花纹铝板。</w:t>
            </w:r>
          </w:p>
          <w:p w14:paraId="46AC2B87">
            <w:pP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4.工具箱：箱体以优质冷轧钢板为材料，折弯成框架，通过满焊成型，门板与门框的封闭结构有水密作用，并镶嵌有水气密封条；箱体锁具采用圆柱锁，锁体为不锈钢结构。箱体及其框架涂覆工艺同副车架结构。</w:t>
            </w:r>
          </w:p>
        </w:tc>
        <w:tc>
          <w:tcPr>
            <w:tcW w:w="813" w:type="dxa"/>
            <w:shd w:val="clear" w:color="auto" w:fill="auto"/>
            <w:noWrap/>
            <w:vAlign w:val="center"/>
          </w:tcPr>
          <w:p w14:paraId="1A888E26">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p>
        </w:tc>
        <w:tc>
          <w:tcPr>
            <w:tcW w:w="645" w:type="dxa"/>
            <w:shd w:val="clear" w:color="auto" w:fill="auto"/>
            <w:noWrap/>
            <w:vAlign w:val="center"/>
          </w:tcPr>
          <w:p w14:paraId="55688FA2">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辆</w:t>
            </w:r>
          </w:p>
        </w:tc>
      </w:tr>
      <w:tr w14:paraId="3869D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shd w:val="clear" w:color="auto" w:fill="auto"/>
            <w:noWrap/>
            <w:vAlign w:val="center"/>
          </w:tcPr>
          <w:p w14:paraId="734A9F3F">
            <w:pPr>
              <w:widowControl/>
              <w:snapToGrid w:val="0"/>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2</w:t>
            </w:r>
          </w:p>
        </w:tc>
        <w:tc>
          <w:tcPr>
            <w:tcW w:w="1237" w:type="dxa"/>
            <w:shd w:val="clear" w:color="auto" w:fill="auto"/>
            <w:vAlign w:val="center"/>
          </w:tcPr>
          <w:p w14:paraId="019FD5A6">
            <w:pPr>
              <w:widowControl/>
              <w:snapToGrid w:val="0"/>
              <w:jc w:val="left"/>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车载式方舱</w:t>
            </w:r>
          </w:p>
        </w:tc>
        <w:tc>
          <w:tcPr>
            <w:tcW w:w="4908" w:type="dxa"/>
            <w:shd w:val="clear" w:color="auto" w:fill="auto"/>
            <w:noWrap/>
            <w:vAlign w:val="center"/>
          </w:tcPr>
          <w:p w14:paraId="4A453CDE">
            <w:pPr>
              <w:widowControl/>
              <w:snapToGrid w:val="0"/>
              <w:ind w:firstLine="420" w:firstLineChars="200"/>
              <w:jc w:val="left"/>
              <w:textAlignment w:val="center"/>
              <w:rPr>
                <w:rFonts w:ascii="宋体" w:hAnsi="宋体" w:eastAsia="宋体" w:cs="宋体"/>
                <w:b/>
                <w:bCs/>
                <w:color w:val="auto"/>
                <w:szCs w:val="21"/>
                <w:highlight w:val="none"/>
              </w:rPr>
            </w:pPr>
            <w:r>
              <w:rPr>
                <w:rFonts w:hint="eastAsia" w:ascii="宋体" w:hAnsi="宋体" w:eastAsia="宋体" w:cs="宋体"/>
                <w:color w:val="auto"/>
                <w:kern w:val="0"/>
                <w:szCs w:val="21"/>
                <w:highlight w:val="none"/>
                <w:lang w:bidi="ar"/>
              </w:rPr>
              <w:t>方舱主要由设备舱、工作舱、温湿调控系统、供电系统、录像设备、电动天窗、方舱调平仪和便携式大气参数探测设备存储舱等组成。方舱外形尺寸需满足指挥模组功能要求。</w:t>
            </w:r>
          </w:p>
        </w:tc>
        <w:tc>
          <w:tcPr>
            <w:tcW w:w="813" w:type="dxa"/>
            <w:shd w:val="clear" w:color="auto" w:fill="auto"/>
            <w:noWrap/>
            <w:vAlign w:val="center"/>
          </w:tcPr>
          <w:p w14:paraId="466F80C5">
            <w:pPr>
              <w:widowControl/>
              <w:snapToGrid w:val="0"/>
              <w:jc w:val="center"/>
              <w:textAlignment w:val="center"/>
              <w:rPr>
                <w:rFonts w:ascii="宋体" w:hAnsi="宋体" w:eastAsia="宋体" w:cs="宋体"/>
                <w:b/>
                <w:bCs/>
                <w:color w:val="auto"/>
                <w:szCs w:val="21"/>
                <w:highlight w:val="none"/>
              </w:rPr>
            </w:pPr>
            <w:r>
              <w:rPr>
                <w:rFonts w:hint="eastAsia" w:ascii="宋体" w:hAnsi="宋体" w:eastAsia="宋体" w:cs="宋体"/>
                <w:color w:val="auto"/>
                <w:kern w:val="0"/>
                <w:szCs w:val="21"/>
                <w:highlight w:val="none"/>
                <w:lang w:bidi="ar"/>
              </w:rPr>
              <w:t>1</w:t>
            </w:r>
          </w:p>
        </w:tc>
        <w:tc>
          <w:tcPr>
            <w:tcW w:w="645" w:type="dxa"/>
            <w:shd w:val="clear" w:color="auto" w:fill="auto"/>
            <w:noWrap/>
            <w:vAlign w:val="center"/>
          </w:tcPr>
          <w:p w14:paraId="08E6E281">
            <w:pPr>
              <w:widowControl/>
              <w:snapToGrid w:val="0"/>
              <w:jc w:val="center"/>
              <w:textAlignment w:val="center"/>
              <w:rPr>
                <w:rFonts w:ascii="宋体" w:hAnsi="宋体" w:eastAsia="宋体" w:cs="宋体"/>
                <w:b/>
                <w:bCs/>
                <w:color w:val="auto"/>
                <w:szCs w:val="21"/>
                <w:highlight w:val="none"/>
              </w:rPr>
            </w:pPr>
            <w:r>
              <w:rPr>
                <w:rFonts w:hint="eastAsia" w:ascii="宋体" w:hAnsi="宋体" w:eastAsia="宋体" w:cs="宋体"/>
                <w:color w:val="auto"/>
                <w:kern w:val="0"/>
                <w:szCs w:val="21"/>
                <w:highlight w:val="none"/>
                <w:lang w:bidi="ar"/>
              </w:rPr>
              <w:t>套</w:t>
            </w:r>
          </w:p>
        </w:tc>
      </w:tr>
      <w:tr w14:paraId="65E1A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shd w:val="clear" w:color="auto" w:fill="auto"/>
            <w:noWrap/>
            <w:vAlign w:val="center"/>
          </w:tcPr>
          <w:p w14:paraId="31E51688">
            <w:pPr>
              <w:widowControl/>
              <w:snapToGrid w:val="0"/>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2.1</w:t>
            </w:r>
          </w:p>
        </w:tc>
        <w:tc>
          <w:tcPr>
            <w:tcW w:w="1237" w:type="dxa"/>
            <w:shd w:val="clear" w:color="auto" w:fill="auto"/>
            <w:vAlign w:val="center"/>
          </w:tcPr>
          <w:p w14:paraId="5F343C91">
            <w:pPr>
              <w:widowControl/>
              <w:snapToGrid w:val="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方舱主厢体</w:t>
            </w:r>
          </w:p>
        </w:tc>
        <w:tc>
          <w:tcPr>
            <w:tcW w:w="4908" w:type="dxa"/>
            <w:shd w:val="clear" w:color="auto" w:fill="auto"/>
            <w:noWrap/>
            <w:vAlign w:val="center"/>
          </w:tcPr>
          <w:p w14:paraId="117D892E">
            <w:pPr>
              <w:widowControl/>
              <w:snapToGrid w:val="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1.采用直角方舱，宽度≤2438mm，配备8个角安装方舱角件，厢体按钢骨架铝合金蒙皮进行制作，外蒙皮选用厚度≥2mm 铝板，选用高密度的阻燃聚氨酯泡沫作为夹芯层（隔热芯材），大板中所用的骨架为钢骨架焊接而成，内外蒙皮与骨架粘接固定,厢体骨架整体防腐处理。内饰型材及外包型材、门结构采用铝型材。各开孔和承重处均设置骨架的预埋件，满足车厢的承重要求和安装要求。</w:t>
            </w:r>
          </w:p>
          <w:p w14:paraId="5786EBDA">
            <w:pPr>
              <w:widowControl/>
              <w:snapToGrid w:val="0"/>
              <w:textAlignment w:val="center"/>
              <w:rPr>
                <w:rFonts w:ascii="宋体" w:hAnsi="宋体" w:eastAsia="宋体" w:cs="宋体"/>
                <w:strike/>
                <w:color w:val="auto"/>
                <w:kern w:val="0"/>
                <w:szCs w:val="21"/>
                <w:highlight w:val="none"/>
                <w:lang w:bidi="ar"/>
              </w:rPr>
            </w:pPr>
            <w:r>
              <w:rPr>
                <w:rFonts w:ascii="宋体" w:hAnsi="宋体"/>
                <w:color w:val="auto"/>
                <w:szCs w:val="21"/>
                <w:highlight w:val="none"/>
              </w:rPr>
              <w:t xml:space="preserve"> </w:t>
            </w:r>
            <w:r>
              <w:rPr>
                <w:rFonts w:hint="eastAsia" w:ascii="宋体" w:hAnsi="宋体"/>
                <w:color w:val="auto"/>
                <w:szCs w:val="21"/>
                <w:highlight w:val="none"/>
              </w:rPr>
              <w:t>2.舱体尺寸适配指挥模组载车底盘安装固定。</w:t>
            </w:r>
          </w:p>
        </w:tc>
        <w:tc>
          <w:tcPr>
            <w:tcW w:w="813" w:type="dxa"/>
            <w:shd w:val="clear" w:color="auto" w:fill="auto"/>
            <w:noWrap/>
            <w:vAlign w:val="center"/>
          </w:tcPr>
          <w:p w14:paraId="69472401">
            <w:pPr>
              <w:widowControl/>
              <w:snapToGrid w:val="0"/>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645" w:type="dxa"/>
            <w:shd w:val="clear" w:color="auto" w:fill="auto"/>
            <w:noWrap/>
            <w:vAlign w:val="center"/>
          </w:tcPr>
          <w:p w14:paraId="72DB43DE">
            <w:pPr>
              <w:widowControl/>
              <w:snapToGrid w:val="0"/>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r>
      <w:tr w14:paraId="1826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shd w:val="clear" w:color="auto" w:fill="auto"/>
            <w:noWrap/>
            <w:vAlign w:val="center"/>
          </w:tcPr>
          <w:p w14:paraId="72CF98D4">
            <w:pPr>
              <w:widowControl/>
              <w:snapToGrid w:val="0"/>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2.2</w:t>
            </w:r>
          </w:p>
        </w:tc>
        <w:tc>
          <w:tcPr>
            <w:tcW w:w="1237" w:type="dxa"/>
            <w:shd w:val="clear" w:color="auto" w:fill="auto"/>
            <w:vAlign w:val="center"/>
          </w:tcPr>
          <w:p w14:paraId="3D079CF7">
            <w:pPr>
              <w:widowControl/>
              <w:snapToGrid w:val="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方舱配套设施</w:t>
            </w:r>
          </w:p>
        </w:tc>
        <w:tc>
          <w:tcPr>
            <w:tcW w:w="4908" w:type="dxa"/>
            <w:shd w:val="clear" w:color="auto" w:fill="auto"/>
            <w:noWrap/>
            <w:vAlign w:val="center"/>
          </w:tcPr>
          <w:p w14:paraId="5E91D00E">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kern w:val="0"/>
                <w:szCs w:val="21"/>
                <w:highlight w:val="none"/>
                <w:lang w:bidi="ar"/>
              </w:rPr>
              <w:t>登舱门</w:t>
            </w:r>
          </w:p>
          <w:p w14:paraId="5C10A87B">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侧开门开启角度≥90°，采用三点锁紧机构，入户门配备机械锁，在舱内能够将门打开。</w:t>
            </w:r>
          </w:p>
          <w:p w14:paraId="6CBB9EFE">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kern w:val="0"/>
                <w:szCs w:val="21"/>
                <w:highlight w:val="none"/>
                <w:lang w:bidi="ar"/>
              </w:rPr>
              <w:t>采光窗</w:t>
            </w:r>
          </w:p>
          <w:p w14:paraId="1B82B1C5">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采用双层钢化玻璃。</w:t>
            </w:r>
          </w:p>
          <w:p w14:paraId="3A3C8664">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kern w:val="0"/>
                <w:szCs w:val="21"/>
                <w:highlight w:val="none"/>
                <w:lang w:bidi="ar"/>
              </w:rPr>
              <w:t>发电机检修门</w:t>
            </w:r>
          </w:p>
          <w:p w14:paraId="2C5F8D3D">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采用高强度铝合金结构，门板上配备百叶窗式格栅，用于设备通风散热。</w:t>
            </w:r>
          </w:p>
          <w:p w14:paraId="2C65A073">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kern w:val="0"/>
                <w:szCs w:val="21"/>
                <w:highlight w:val="none"/>
                <w:lang w:bidi="ar"/>
              </w:rPr>
              <w:t>采光窗帘</w:t>
            </w:r>
          </w:p>
          <w:p w14:paraId="002C942C">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采用避光防蚊一体式窗帘。</w:t>
            </w:r>
          </w:p>
          <w:p w14:paraId="7CF49117">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kern w:val="0"/>
                <w:szCs w:val="21"/>
                <w:highlight w:val="none"/>
                <w:lang w:bidi="ar"/>
              </w:rPr>
              <w:t>设备机柜</w:t>
            </w:r>
          </w:p>
          <w:p w14:paraId="137F2ED0">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标准19英寸机架，表面喷塑，包含安装件、减震等，尺寸符合设备上装要求。</w:t>
            </w:r>
          </w:p>
          <w:p w14:paraId="4C10FD2F">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kern w:val="0"/>
                <w:szCs w:val="21"/>
                <w:highlight w:val="none"/>
                <w:lang w:bidi="ar"/>
              </w:rPr>
              <w:t>舱体地板</w:t>
            </w:r>
          </w:p>
          <w:p w14:paraId="7CACCEAC">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会议区和操作区表面铺地板革，发电机区铺设花纹铝板。</w:t>
            </w:r>
          </w:p>
          <w:p w14:paraId="26F55979">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kern w:val="0"/>
                <w:szCs w:val="21"/>
                <w:highlight w:val="none"/>
                <w:lang w:bidi="ar"/>
              </w:rPr>
              <w:t>舱内基础内饰</w:t>
            </w:r>
          </w:p>
          <w:p w14:paraId="2D99359A">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对厢体内部进行平整处理，会议区和操作区表面喷漆或软包装饰，发电区墙面喷漆处理。</w:t>
            </w:r>
          </w:p>
          <w:p w14:paraId="2DACDD44">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kern w:val="0"/>
                <w:szCs w:val="21"/>
                <w:highlight w:val="none"/>
                <w:lang w:bidi="ar"/>
              </w:rPr>
              <w:t>机柜台面</w:t>
            </w:r>
          </w:p>
          <w:p w14:paraId="58A40B91">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采用环保免漆板制作。</w:t>
            </w:r>
          </w:p>
          <w:p w14:paraId="6822F562">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eastAsia="宋体" w:cs="宋体"/>
                <w:color w:val="auto"/>
                <w:kern w:val="0"/>
                <w:szCs w:val="21"/>
                <w:highlight w:val="none"/>
                <w:lang w:bidi="ar"/>
              </w:rPr>
              <w:t>操作员座椅3套</w:t>
            </w:r>
          </w:p>
          <w:p w14:paraId="3D4C4B16">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可旋转、前后滑移。</w:t>
            </w:r>
          </w:p>
          <w:p w14:paraId="4549BB39">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eastAsia="宋体" w:cs="宋体"/>
                <w:color w:val="auto"/>
                <w:kern w:val="0"/>
                <w:szCs w:val="21"/>
                <w:highlight w:val="none"/>
                <w:lang w:bidi="ar"/>
              </w:rPr>
              <w:t>油漆及外饰</w:t>
            </w:r>
          </w:p>
          <w:p w14:paraId="3C7CC3C2">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专业烤漆房烤漆，外观贴字根据</w:t>
            </w:r>
            <w:r>
              <w:rPr>
                <w:rFonts w:hint="eastAsia" w:ascii="宋体" w:hAnsi="宋体" w:eastAsia="宋体" w:cs="宋体"/>
                <w:color w:val="auto"/>
                <w:kern w:val="0"/>
                <w:szCs w:val="21"/>
                <w:highlight w:val="none"/>
                <w:lang w:val="en-US" w:eastAsia="zh-CN" w:bidi="ar"/>
              </w:rPr>
              <w:t>采购人</w:t>
            </w:r>
            <w:r>
              <w:rPr>
                <w:rFonts w:hint="eastAsia" w:ascii="宋体" w:hAnsi="宋体" w:eastAsia="宋体" w:cs="宋体"/>
                <w:color w:val="auto"/>
                <w:kern w:val="0"/>
                <w:szCs w:val="21"/>
                <w:highlight w:val="none"/>
                <w:lang w:bidi="ar"/>
              </w:rPr>
              <w:t>需求定制。</w:t>
            </w:r>
          </w:p>
          <w:p w14:paraId="550A5BC7">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kern w:val="0"/>
                <w:szCs w:val="21"/>
                <w:highlight w:val="none"/>
                <w:lang w:bidi="ar"/>
              </w:rPr>
              <w:t>车内外照明系统</w:t>
            </w:r>
          </w:p>
          <w:p w14:paraId="6623F70B">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车内外 LED 照明灯满足工作及车外场地照明需求。</w:t>
            </w:r>
          </w:p>
          <w:p w14:paraId="206958B2">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12.车内配备温湿调控系统:满足车内工作温度和湿度控制需求。</w:t>
            </w:r>
          </w:p>
          <w:p w14:paraId="1FA6A2E2">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13.</w:t>
            </w:r>
            <w:r>
              <w:rPr>
                <w:rFonts w:hint="eastAsia" w:ascii="宋体" w:hAnsi="宋体" w:eastAsia="宋体" w:cs="宋体"/>
                <w:color w:val="auto"/>
                <w:kern w:val="0"/>
                <w:szCs w:val="21"/>
                <w:highlight w:val="none"/>
                <w:lang w:bidi="ar"/>
              </w:rPr>
              <w:t>其他辅助设施</w:t>
            </w:r>
          </w:p>
          <w:p w14:paraId="29C93E4F">
            <w:pPr>
              <w:keepNext w:val="0"/>
              <w:keepLines w:val="0"/>
              <w:pageBreakBefore w:val="0"/>
              <w:widowControl/>
              <w:kinsoku/>
              <w:wordWrap/>
              <w:overflowPunct/>
              <w:topLinePunct w:val="0"/>
              <w:autoSpaceDE/>
              <w:autoSpaceDN/>
              <w:bidi w:val="0"/>
              <w:adjustRightInd/>
              <w:snapToGrid w:val="0"/>
              <w:ind w:firstLine="0" w:firstLineChars="0"/>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配备</w:t>
            </w:r>
            <w:r>
              <w:rPr>
                <w:rFonts w:hint="eastAsia" w:ascii="宋体" w:hAnsi="宋体" w:cs="宋体"/>
                <w:color w:val="auto"/>
                <w:kern w:val="0"/>
                <w:szCs w:val="21"/>
                <w:highlight w:val="none"/>
                <w:lang w:val="en-US" w:eastAsia="zh-CN" w:bidi="ar"/>
              </w:rPr>
              <w:t>不少于</w:t>
            </w:r>
            <w:r>
              <w:rPr>
                <w:rFonts w:hint="eastAsia" w:ascii="宋体" w:hAnsi="宋体" w:eastAsia="宋体" w:cs="宋体"/>
                <w:color w:val="auto"/>
                <w:kern w:val="0"/>
                <w:szCs w:val="21"/>
                <w:highlight w:val="none"/>
                <w:lang w:val="en-US" w:eastAsia="zh-CN" w:bidi="ar"/>
              </w:rPr>
              <w:t>1套</w:t>
            </w:r>
            <w:r>
              <w:rPr>
                <w:rFonts w:hint="eastAsia" w:ascii="宋体" w:hAnsi="宋体" w:eastAsia="宋体" w:cs="宋体"/>
                <w:color w:val="auto"/>
                <w:kern w:val="0"/>
                <w:szCs w:val="21"/>
                <w:highlight w:val="none"/>
                <w:lang w:bidi="ar"/>
              </w:rPr>
              <w:t>联座沙发柜</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打印机</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储存柜</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会议桌，5孔电源插座≥3，并预留外部设备信息采集接口，灭火器、综合布线、集成制作等附件耗材，包含波纹管、胶带、扎带、接插件等。</w:t>
            </w:r>
          </w:p>
          <w:p w14:paraId="66914C04">
            <w:pPr>
              <w:keepNext w:val="0"/>
              <w:keepLines w:val="0"/>
              <w:pageBreakBefore w:val="0"/>
              <w:widowControl/>
              <w:kinsoku/>
              <w:wordWrap/>
              <w:overflowPunct/>
              <w:topLinePunct w:val="0"/>
              <w:autoSpaceDE/>
              <w:autoSpaceDN/>
              <w:bidi w:val="0"/>
              <w:adjustRightInd/>
              <w:snapToGrid w:val="0"/>
              <w:ind w:firstLine="0" w:firstLineChars="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val="en-US" w:eastAsia="zh-CN" w:bidi="ar"/>
              </w:rPr>
              <w:t>4</w:t>
            </w:r>
            <w:r>
              <w:rPr>
                <w:rFonts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bidi="ar"/>
              </w:rPr>
              <w:t>舱体自卸举升机构</w:t>
            </w:r>
          </w:p>
          <w:p w14:paraId="2907AC9B">
            <w:pPr>
              <w:keepNext w:val="0"/>
              <w:keepLines w:val="0"/>
              <w:pageBreakBefore w:val="0"/>
              <w:widowControl/>
              <w:kinsoku/>
              <w:wordWrap/>
              <w:overflowPunct/>
              <w:topLinePunct w:val="0"/>
              <w:autoSpaceDE/>
              <w:autoSpaceDN/>
              <w:bidi w:val="0"/>
              <w:adjustRightInd w:val="0"/>
              <w:snapToGrid w:val="0"/>
              <w:ind w:firstLine="0" w:firstLineChars="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）额定提升重量：满足舱体设计使用重量要</w:t>
            </w:r>
            <w:r>
              <w:rPr>
                <w:rFonts w:hint="eastAsia" w:ascii="宋体" w:hAnsi="宋体" w:cs="宋体"/>
                <w:color w:val="auto"/>
                <w:kern w:val="0"/>
                <w:szCs w:val="21"/>
                <w:highlight w:val="none"/>
                <w:lang w:val="en-US" w:eastAsia="zh-CN" w:bidi="ar"/>
              </w:rPr>
              <w:t>求</w:t>
            </w:r>
            <w:r>
              <w:rPr>
                <w:rFonts w:hint="eastAsia" w:ascii="宋体" w:hAnsi="宋体" w:eastAsia="宋体" w:cs="宋体"/>
                <w:color w:val="auto"/>
                <w:kern w:val="0"/>
                <w:szCs w:val="21"/>
                <w:highlight w:val="none"/>
                <w:lang w:bidi="ar"/>
              </w:rPr>
              <w:t>，并具备</w:t>
            </w:r>
            <w:r>
              <w:rPr>
                <w:rFonts w:ascii="宋体" w:hAnsi="宋体" w:eastAsia="宋体" w:cs="宋体"/>
                <w:color w:val="auto"/>
                <w:kern w:val="0"/>
                <w:szCs w:val="21"/>
                <w:highlight w:val="none"/>
                <w:lang w:bidi="ar"/>
              </w:rPr>
              <w:t xml:space="preserve">30%以上冗余能力； </w:t>
            </w:r>
          </w:p>
          <w:p w14:paraId="656F60D2">
            <w:pPr>
              <w:keepNext w:val="0"/>
              <w:keepLines w:val="0"/>
              <w:pageBreakBefore w:val="0"/>
              <w:widowControl/>
              <w:kinsoku/>
              <w:wordWrap/>
              <w:overflowPunct/>
              <w:topLinePunct w:val="0"/>
              <w:autoSpaceDE/>
              <w:autoSpaceDN/>
              <w:bidi w:val="0"/>
              <w:adjustRightInd/>
              <w:snapToGrid w:val="0"/>
              <w:ind w:firstLine="0" w:firstLineChars="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 xml:space="preserve">额定举升高度：≥1500mm； </w:t>
            </w:r>
          </w:p>
          <w:p w14:paraId="16CDBD50">
            <w:pPr>
              <w:keepNext w:val="0"/>
              <w:keepLines w:val="0"/>
              <w:pageBreakBefore w:val="0"/>
              <w:widowControl/>
              <w:kinsoku/>
              <w:wordWrap/>
              <w:overflowPunct/>
              <w:topLinePunct w:val="0"/>
              <w:autoSpaceDE/>
              <w:autoSpaceDN/>
              <w:bidi w:val="0"/>
              <w:adjustRightInd/>
              <w:snapToGrid w:val="0"/>
              <w:ind w:firstLine="0" w:firstLineChars="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cs="宋体"/>
                <w:color w:val="auto"/>
                <w:kern w:val="0"/>
                <w:szCs w:val="21"/>
                <w:highlight w:val="none"/>
                <w:lang w:val="en-US" w:eastAsia="zh-CN" w:bidi="ar"/>
              </w:rPr>
              <w:t>3</w:t>
            </w: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 xml:space="preserve">升降时间(单程)：≤15min； </w:t>
            </w:r>
          </w:p>
          <w:p w14:paraId="29D16BB7">
            <w:pPr>
              <w:keepNext w:val="0"/>
              <w:keepLines w:val="0"/>
              <w:pageBreakBefore w:val="0"/>
              <w:widowControl/>
              <w:kinsoku/>
              <w:wordWrap/>
              <w:overflowPunct/>
              <w:topLinePunct w:val="0"/>
              <w:autoSpaceDE/>
              <w:autoSpaceDN/>
              <w:bidi w:val="0"/>
              <w:adjustRightInd/>
              <w:snapToGrid w:val="0"/>
              <w:ind w:firstLine="0" w:firstLineChars="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cs="宋体"/>
                <w:color w:val="auto"/>
                <w:kern w:val="0"/>
                <w:szCs w:val="21"/>
                <w:highlight w:val="none"/>
                <w:lang w:val="en-US" w:eastAsia="zh-CN" w:bidi="ar"/>
              </w:rPr>
              <w:t>4</w:t>
            </w: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 xml:space="preserve">调平时间：＜3min（6m 长方舱所需时间）； </w:t>
            </w:r>
          </w:p>
          <w:p w14:paraId="2EAD0EC9">
            <w:pPr>
              <w:keepNext w:val="0"/>
              <w:keepLines w:val="0"/>
              <w:pageBreakBefore w:val="0"/>
              <w:widowControl/>
              <w:kinsoku/>
              <w:wordWrap/>
              <w:overflowPunct/>
              <w:topLinePunct w:val="0"/>
              <w:autoSpaceDE/>
              <w:autoSpaceDN/>
              <w:bidi w:val="0"/>
              <w:adjustRightInd/>
              <w:snapToGrid w:val="0"/>
              <w:ind w:firstLine="0" w:firstLineChars="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cs="宋体"/>
                <w:color w:val="auto"/>
                <w:kern w:val="0"/>
                <w:szCs w:val="21"/>
                <w:highlight w:val="none"/>
                <w:lang w:val="en-US" w:eastAsia="zh-CN" w:bidi="ar"/>
              </w:rPr>
              <w:t>5</w:t>
            </w: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 xml:space="preserve">调平精度：≤0.5 度； </w:t>
            </w:r>
          </w:p>
          <w:p w14:paraId="54B5DB85">
            <w:pPr>
              <w:keepNext w:val="0"/>
              <w:keepLines w:val="0"/>
              <w:pageBreakBefore w:val="0"/>
              <w:widowControl/>
              <w:kinsoku/>
              <w:wordWrap/>
              <w:overflowPunct/>
              <w:topLinePunct w:val="0"/>
              <w:autoSpaceDE/>
              <w:autoSpaceDN/>
              <w:bidi w:val="0"/>
              <w:adjustRightInd/>
              <w:snapToGrid w:val="0"/>
              <w:ind w:firstLine="0" w:firstLineChars="0"/>
              <w:textAlignment w:val="center"/>
              <w:rPr>
                <w:color w:val="auto"/>
                <w:highlight w:val="none"/>
              </w:rPr>
            </w:pPr>
            <w:r>
              <w:rPr>
                <w:rFonts w:hint="eastAsia" w:ascii="宋体" w:hAnsi="宋体" w:eastAsia="宋体" w:cs="宋体"/>
                <w:color w:val="auto"/>
                <w:kern w:val="0"/>
                <w:szCs w:val="21"/>
                <w:highlight w:val="none"/>
                <w:lang w:bidi="ar"/>
              </w:rPr>
              <w:t>（</w:t>
            </w:r>
            <w:r>
              <w:rPr>
                <w:rFonts w:hint="eastAsia" w:ascii="宋体" w:hAnsi="宋体" w:cs="宋体"/>
                <w:color w:val="auto"/>
                <w:kern w:val="0"/>
                <w:szCs w:val="21"/>
                <w:highlight w:val="none"/>
                <w:lang w:val="en-US" w:eastAsia="zh-CN" w:bidi="ar"/>
              </w:rPr>
              <w:t>6</w:t>
            </w: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工作方式：液压或电动（可手动）。</w:t>
            </w:r>
          </w:p>
        </w:tc>
        <w:tc>
          <w:tcPr>
            <w:tcW w:w="813" w:type="dxa"/>
            <w:shd w:val="clear" w:color="auto" w:fill="auto"/>
            <w:noWrap/>
            <w:vAlign w:val="center"/>
          </w:tcPr>
          <w:p w14:paraId="1552D2E0">
            <w:pPr>
              <w:widowControl/>
              <w:snapToGrid w:val="0"/>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645" w:type="dxa"/>
            <w:shd w:val="clear" w:color="auto" w:fill="auto"/>
            <w:noWrap/>
            <w:vAlign w:val="center"/>
          </w:tcPr>
          <w:p w14:paraId="04E176C9">
            <w:pPr>
              <w:widowControl/>
              <w:snapToGrid w:val="0"/>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r>
      <w:tr w14:paraId="564F2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shd w:val="clear" w:color="auto" w:fill="auto"/>
            <w:noWrap/>
            <w:vAlign w:val="center"/>
          </w:tcPr>
          <w:p w14:paraId="0E26A40A">
            <w:pPr>
              <w:widowControl/>
              <w:snapToGrid w:val="0"/>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2.3</w:t>
            </w:r>
          </w:p>
        </w:tc>
        <w:tc>
          <w:tcPr>
            <w:tcW w:w="1237" w:type="dxa"/>
            <w:shd w:val="clear" w:color="auto" w:fill="auto"/>
            <w:vAlign w:val="center"/>
          </w:tcPr>
          <w:p w14:paraId="4F09887B">
            <w:pPr>
              <w:widowControl/>
              <w:snapToGrid w:val="0"/>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供电系统</w:t>
            </w:r>
          </w:p>
        </w:tc>
        <w:tc>
          <w:tcPr>
            <w:tcW w:w="4908" w:type="dxa"/>
            <w:shd w:val="clear" w:color="auto" w:fill="auto"/>
            <w:noWrap/>
            <w:vAlign w:val="center"/>
          </w:tcPr>
          <w:p w14:paraId="4AE1DA40">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1.功能要求</w:t>
            </w:r>
          </w:p>
          <w:p w14:paraId="13EF1243">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方舱具备 1 路 380V频率 50×（1±5%）Hz 或 1 路 220V频率 50×（1±5%）Hz市电供电，1 路发电机供电接口，供电总功率不低于 15kW，供电方式可以切换，满足市电、发电机、UPS 不间断供电要求。配备满足功率的手动或电动市电线缆轴长度</w:t>
            </w:r>
            <w:r>
              <w:rPr>
                <w:rFonts w:hint="eastAsia" w:ascii="宋体" w:hAnsi="宋体" w:eastAsia="宋体" w:cs="宋体"/>
                <w:color w:val="auto"/>
                <w:kern w:val="0"/>
                <w:szCs w:val="21"/>
                <w:highlight w:val="none"/>
                <w:lang w:eastAsia="zh-CN" w:bidi="ar"/>
              </w:rPr>
              <w:t>不小于</w:t>
            </w:r>
            <w:r>
              <w:rPr>
                <w:rFonts w:hint="eastAsia" w:ascii="宋体" w:hAnsi="宋体" w:eastAsia="宋体" w:cs="宋体"/>
                <w:color w:val="auto"/>
                <w:kern w:val="0"/>
                <w:szCs w:val="21"/>
                <w:highlight w:val="none"/>
                <w:lang w:bidi="ar"/>
              </w:rPr>
              <w:t>45米。通过舱体对外提供供电及接地的转接板，当外部电源接至转接板后，内部通过配电箱给各设备供电。</w:t>
            </w:r>
          </w:p>
          <w:p w14:paraId="0C38797E">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2.技术要求</w:t>
            </w:r>
          </w:p>
          <w:p w14:paraId="7A894122">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（1）静音发电机</w:t>
            </w:r>
          </w:p>
          <w:p w14:paraId="75B05946">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额定频率：50 HZ</w:t>
            </w:r>
          </w:p>
          <w:p w14:paraId="1315C69A">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额定输出功率：</w:t>
            </w:r>
            <w:r>
              <w:rPr>
                <w:rFonts w:hint="eastAsia" w:ascii="宋体" w:hAnsi="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15KW</w:t>
            </w:r>
          </w:p>
          <w:p w14:paraId="194B1D06">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额定电压：230 V 或 400 V</w:t>
            </w:r>
          </w:p>
          <w:p w14:paraId="0F09092C">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机组连续运行时间：≥8h</w:t>
            </w:r>
          </w:p>
          <w:p w14:paraId="1F54FFF5">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噪音（1m 处）：≤75 dB(A)</w:t>
            </w:r>
          </w:p>
          <w:p w14:paraId="66914DAA">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（2）UPS 不间断电源</w:t>
            </w:r>
          </w:p>
          <w:p w14:paraId="3DAE28AE">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额定容量</w:t>
            </w:r>
            <w:r>
              <w:rPr>
                <w:rFonts w:hint="eastAsia" w:ascii="宋体" w:hAnsi="宋体" w:eastAsia="宋体" w:cs="宋体"/>
                <w:color w:val="auto"/>
                <w:kern w:val="0"/>
                <w:szCs w:val="21"/>
                <w:highlight w:val="none"/>
                <w:lang w:val="en-US" w:eastAsia="zh-CN" w:bidi="ar"/>
              </w:rPr>
              <w:t>不小于</w:t>
            </w:r>
            <w:r>
              <w:rPr>
                <w:rFonts w:hint="eastAsia" w:ascii="宋体" w:hAnsi="宋体" w:eastAsia="宋体" w:cs="宋体"/>
                <w:color w:val="auto"/>
                <w:kern w:val="0"/>
                <w:szCs w:val="21"/>
                <w:highlight w:val="none"/>
                <w:lang w:bidi="ar"/>
              </w:rPr>
              <w:t xml:space="preserve">9KVA，额定电压支持车内用电设备运行；电池容量满足 UPS 主机正常运行,满足后备电源 </w:t>
            </w:r>
            <w:r>
              <w:rPr>
                <w:rFonts w:hint="eastAsia" w:ascii="宋体" w:hAnsi="宋体" w:eastAsia="宋体" w:cs="宋体"/>
                <w:color w:val="auto"/>
                <w:kern w:val="0"/>
                <w:szCs w:val="21"/>
                <w:highlight w:val="none"/>
                <w:lang w:val="en-US" w:eastAsia="zh-CN" w:bidi="ar"/>
              </w:rPr>
              <w:t>不少于</w:t>
            </w:r>
            <w:r>
              <w:rPr>
                <w:rFonts w:hint="eastAsia" w:ascii="宋体" w:hAnsi="宋体" w:eastAsia="宋体" w:cs="宋体"/>
                <w:color w:val="auto"/>
                <w:kern w:val="0"/>
                <w:szCs w:val="21"/>
                <w:highlight w:val="none"/>
                <w:lang w:bidi="ar"/>
              </w:rPr>
              <w:t>30 分钟供电时长。</w:t>
            </w:r>
          </w:p>
          <w:p w14:paraId="41B70871">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（3）配电箱</w:t>
            </w:r>
          </w:p>
          <w:p w14:paraId="1809E21C">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集中式电源管理系统，含支路开关、指示灯、电源电压电流显示等，开关分别控制空调、设备用电等；配电盘面板为数控机床加工，表面喷塑处理。</w:t>
            </w:r>
          </w:p>
          <w:p w14:paraId="10C5DF02">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（4）全车接地</w:t>
            </w:r>
          </w:p>
          <w:p w14:paraId="02A9AC13">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含接地桩、接地线，电源防浪涌装置。</w:t>
            </w:r>
          </w:p>
          <w:p w14:paraId="5F61FCBD">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（5）对外接口板</w:t>
            </w:r>
          </w:p>
          <w:p w14:paraId="316B66DC">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含电源、数据传输接口。</w:t>
            </w:r>
          </w:p>
        </w:tc>
        <w:tc>
          <w:tcPr>
            <w:tcW w:w="813" w:type="dxa"/>
            <w:shd w:val="clear" w:color="auto" w:fill="auto"/>
            <w:noWrap/>
            <w:vAlign w:val="center"/>
          </w:tcPr>
          <w:p w14:paraId="318D98F6">
            <w:pPr>
              <w:widowControl/>
              <w:snapToGrid w:val="0"/>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645" w:type="dxa"/>
            <w:shd w:val="clear" w:color="auto" w:fill="auto"/>
            <w:noWrap/>
            <w:vAlign w:val="center"/>
          </w:tcPr>
          <w:p w14:paraId="4C9A6F54">
            <w:pPr>
              <w:widowControl/>
              <w:snapToGrid w:val="0"/>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r>
      <w:tr w14:paraId="00F4B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shd w:val="clear" w:color="auto" w:fill="auto"/>
            <w:noWrap/>
            <w:vAlign w:val="center"/>
          </w:tcPr>
          <w:p w14:paraId="5A726804">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2.4</w:t>
            </w:r>
          </w:p>
        </w:tc>
        <w:tc>
          <w:tcPr>
            <w:tcW w:w="1237" w:type="dxa"/>
            <w:shd w:val="clear" w:color="auto" w:fill="auto"/>
            <w:vAlign w:val="center"/>
          </w:tcPr>
          <w:p w14:paraId="41AC53E0">
            <w:pPr>
              <w:widowControl/>
              <w:snapToGrid w:val="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视频采集及显示系统</w:t>
            </w:r>
          </w:p>
        </w:tc>
        <w:tc>
          <w:tcPr>
            <w:tcW w:w="4908" w:type="dxa"/>
            <w:shd w:val="clear" w:color="auto" w:fill="auto"/>
            <w:noWrap/>
            <w:vAlign w:val="center"/>
          </w:tcPr>
          <w:p w14:paraId="630C69BB">
            <w:pPr>
              <w:keepNext w:val="0"/>
              <w:keepLines w:val="0"/>
              <w:pageBreakBefore w:val="0"/>
              <w:widowControl/>
              <w:kinsoku/>
              <w:wordWrap/>
              <w:overflowPunct/>
              <w:topLinePunct w:val="0"/>
              <w:autoSpaceDE/>
              <w:autoSpaceDN/>
              <w:bidi w:val="0"/>
              <w:adjustRightInd/>
              <w:ind w:firstLine="0" w:firstLineChars="0"/>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1.功能要求：配备舱顶云台摄像机、舱内摄像机、硬盘录像机、</w:t>
            </w:r>
            <w:r>
              <w:rPr>
                <w:rFonts w:hint="eastAsia" w:ascii="宋体" w:hAnsi="宋体" w:eastAsia="宋体" w:cs="宋体"/>
                <w:color w:val="auto"/>
                <w:kern w:val="0"/>
                <w:szCs w:val="21"/>
                <w:highlight w:val="none"/>
                <w:lang w:bidi="ar"/>
              </w:rPr>
              <w:t>配套显示终端</w:t>
            </w:r>
            <w:r>
              <w:rPr>
                <w:rFonts w:hint="eastAsia" w:ascii="Times New Roman" w:hAnsi="Times New Roman" w:eastAsia="宋体" w:cs="Times New Roman"/>
                <w:color w:val="auto"/>
                <w:kern w:val="0"/>
                <w:szCs w:val="21"/>
                <w:highlight w:val="none"/>
                <w:lang w:bidi="ar"/>
              </w:rPr>
              <w:t>、混切矩阵。</w:t>
            </w:r>
          </w:p>
          <w:p w14:paraId="4629239F">
            <w:pPr>
              <w:keepNext w:val="0"/>
              <w:keepLines w:val="0"/>
              <w:pageBreakBefore w:val="0"/>
              <w:widowControl/>
              <w:kinsoku/>
              <w:wordWrap/>
              <w:overflowPunct/>
              <w:topLinePunct w:val="0"/>
              <w:autoSpaceDE/>
              <w:autoSpaceDN/>
              <w:bidi w:val="0"/>
              <w:adjustRightInd/>
              <w:ind w:firstLine="0" w:firstLineChars="0"/>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2.技术指标：</w:t>
            </w:r>
          </w:p>
          <w:p w14:paraId="54509705">
            <w:pPr>
              <w:keepNext w:val="0"/>
              <w:keepLines w:val="0"/>
              <w:pageBreakBefore w:val="0"/>
              <w:widowControl/>
              <w:kinsoku/>
              <w:wordWrap/>
              <w:overflowPunct/>
              <w:topLinePunct w:val="0"/>
              <w:autoSpaceDE/>
              <w:autoSpaceDN/>
              <w:bidi w:val="0"/>
              <w:adjustRightInd/>
              <w:snapToGrid w:val="0"/>
              <w:ind w:firstLine="0" w:firstLineChars="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（1）舱顶云台摄像机（1台）</w:t>
            </w:r>
          </w:p>
          <w:p w14:paraId="25BEE888">
            <w:pPr>
              <w:keepNext w:val="0"/>
              <w:keepLines w:val="0"/>
              <w:pageBreakBefore w:val="0"/>
              <w:widowControl/>
              <w:kinsoku/>
              <w:wordWrap/>
              <w:overflowPunct/>
              <w:topLinePunct w:val="0"/>
              <w:autoSpaceDE/>
              <w:autoSpaceDN/>
              <w:bidi w:val="0"/>
              <w:adjustRightInd/>
              <w:snapToGrid w:val="0"/>
              <w:ind w:firstLine="0" w:firstLineChars="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摄像机镜头技术参数：</w:t>
            </w:r>
          </w:p>
          <w:p w14:paraId="58722143">
            <w:pPr>
              <w:keepNext w:val="0"/>
              <w:keepLines w:val="0"/>
              <w:pageBreakBefore w:val="0"/>
              <w:widowControl/>
              <w:kinsoku/>
              <w:wordWrap/>
              <w:overflowPunct/>
              <w:topLinePunct w:val="0"/>
              <w:autoSpaceDE/>
              <w:autoSpaceDN/>
              <w:bidi w:val="0"/>
              <w:adjustRightInd/>
              <w:snapToGrid w:val="0"/>
              <w:ind w:firstLine="0" w:firstLineChars="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①图像传感器：1/2.8″2.0MP逐行扫描CMOS；</w:t>
            </w:r>
          </w:p>
          <w:p w14:paraId="1D42CFC5">
            <w:pPr>
              <w:keepNext w:val="0"/>
              <w:keepLines w:val="0"/>
              <w:pageBreakBefore w:val="0"/>
              <w:widowControl/>
              <w:kinsoku/>
              <w:wordWrap/>
              <w:overflowPunct/>
              <w:topLinePunct w:val="0"/>
              <w:autoSpaceDE/>
              <w:autoSpaceDN/>
              <w:bidi w:val="0"/>
              <w:adjustRightInd/>
              <w:snapToGrid w:val="0"/>
              <w:ind w:firstLine="0" w:firstLineChars="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②镜头倍数：</w:t>
            </w:r>
            <w:r>
              <w:rPr>
                <w:rFonts w:hint="eastAsia" w:ascii="宋体" w:hAnsi="宋体" w:eastAsia="宋体" w:cs="宋体"/>
                <w:color w:val="auto"/>
                <w:kern w:val="0"/>
                <w:szCs w:val="21"/>
                <w:highlight w:val="none"/>
                <w:lang w:val="en-US" w:eastAsia="zh-CN" w:bidi="ar"/>
              </w:rPr>
              <w:t>不低于</w:t>
            </w:r>
            <w:r>
              <w:rPr>
                <w:rFonts w:hint="eastAsia" w:ascii="宋体" w:hAnsi="宋体" w:eastAsia="宋体" w:cs="宋体"/>
                <w:color w:val="auto"/>
                <w:kern w:val="0"/>
                <w:szCs w:val="21"/>
                <w:highlight w:val="none"/>
                <w:lang w:bidi="ar"/>
              </w:rPr>
              <w:t>20倍光学变焦；</w:t>
            </w:r>
            <w:r>
              <w:rPr>
                <w:rFonts w:ascii="宋体" w:hAnsi="宋体" w:eastAsia="宋体" w:cs="宋体"/>
                <w:color w:val="auto"/>
                <w:kern w:val="0"/>
                <w:szCs w:val="21"/>
                <w:highlight w:val="none"/>
                <w:lang w:bidi="ar"/>
              </w:rPr>
              <w:t xml:space="preserve"> </w:t>
            </w:r>
          </w:p>
          <w:p w14:paraId="0951BB41">
            <w:pPr>
              <w:keepNext w:val="0"/>
              <w:keepLines w:val="0"/>
              <w:pageBreakBefore w:val="0"/>
              <w:widowControl/>
              <w:kinsoku/>
              <w:wordWrap/>
              <w:overflowPunct/>
              <w:topLinePunct w:val="0"/>
              <w:autoSpaceDE/>
              <w:autoSpaceDN/>
              <w:bidi w:val="0"/>
              <w:adjustRightInd/>
              <w:snapToGrid w:val="0"/>
              <w:ind w:firstLine="0" w:firstLineChars="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③焦距(mm)：f4.3～86 mm；</w:t>
            </w:r>
            <w:r>
              <w:rPr>
                <w:rFonts w:ascii="宋体" w:hAnsi="宋体" w:eastAsia="宋体" w:cs="宋体"/>
                <w:color w:val="auto"/>
                <w:kern w:val="0"/>
                <w:szCs w:val="21"/>
                <w:highlight w:val="none"/>
                <w:lang w:bidi="ar"/>
              </w:rPr>
              <w:t xml:space="preserve"> </w:t>
            </w:r>
          </w:p>
          <w:p w14:paraId="3882887A">
            <w:pPr>
              <w:keepNext w:val="0"/>
              <w:keepLines w:val="0"/>
              <w:pageBreakBefore w:val="0"/>
              <w:widowControl/>
              <w:kinsoku/>
              <w:wordWrap/>
              <w:overflowPunct/>
              <w:topLinePunct w:val="0"/>
              <w:autoSpaceDE/>
              <w:autoSpaceDN/>
              <w:bidi w:val="0"/>
              <w:adjustRightInd/>
              <w:snapToGrid w:val="0"/>
              <w:ind w:firstLine="0" w:firstLineChars="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④光圈：Fw1.6～Ft3.4；</w:t>
            </w:r>
          </w:p>
          <w:p w14:paraId="10EDA170">
            <w:pPr>
              <w:keepNext w:val="0"/>
              <w:keepLines w:val="0"/>
              <w:pageBreakBefore w:val="0"/>
              <w:widowControl/>
              <w:kinsoku/>
              <w:wordWrap/>
              <w:overflowPunct/>
              <w:topLinePunct w:val="0"/>
              <w:autoSpaceDE/>
              <w:autoSpaceDN/>
              <w:bidi w:val="0"/>
              <w:adjustRightInd/>
              <w:snapToGrid w:val="0"/>
              <w:ind w:firstLine="0" w:firstLineChars="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摄像机云台技术参数：</w:t>
            </w:r>
          </w:p>
          <w:p w14:paraId="1F13DC2A">
            <w:pPr>
              <w:keepNext w:val="0"/>
              <w:keepLines w:val="0"/>
              <w:pageBreakBefore w:val="0"/>
              <w:widowControl/>
              <w:kinsoku/>
              <w:wordWrap/>
              <w:overflowPunct/>
              <w:topLinePunct w:val="0"/>
              <w:autoSpaceDE/>
              <w:autoSpaceDN/>
              <w:bidi w:val="0"/>
              <w:adjustRightInd/>
              <w:snapToGrid w:val="0"/>
              <w:ind w:firstLine="0" w:firstLineChars="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①水平角度：360°无限位旋转；</w:t>
            </w:r>
          </w:p>
          <w:p w14:paraId="65F627CC">
            <w:pPr>
              <w:keepNext w:val="0"/>
              <w:keepLines w:val="0"/>
              <w:pageBreakBefore w:val="0"/>
              <w:widowControl/>
              <w:kinsoku/>
              <w:wordWrap/>
              <w:overflowPunct/>
              <w:topLinePunct w:val="0"/>
              <w:autoSpaceDE/>
              <w:autoSpaceDN/>
              <w:bidi w:val="0"/>
              <w:adjustRightInd/>
              <w:snapToGrid w:val="0"/>
              <w:ind w:firstLine="0" w:firstLineChars="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②垂直角度：+90°～-90°；</w:t>
            </w:r>
          </w:p>
          <w:p w14:paraId="7F678043">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③防护等级：≥IP66；</w:t>
            </w:r>
          </w:p>
          <w:p w14:paraId="012D3E27">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摄像机重要功能：</w:t>
            </w:r>
          </w:p>
          <w:p w14:paraId="2A150ADB">
            <w:pPr>
              <w:keepNext w:val="0"/>
              <w:keepLines w:val="0"/>
              <w:pageBreakBefore w:val="0"/>
              <w:widowControl/>
              <w:kinsoku/>
              <w:wordWrap/>
              <w:overflowPunct/>
              <w:topLinePunct w:val="0"/>
              <w:autoSpaceDE/>
              <w:autoSpaceDN/>
              <w:bidi w:val="0"/>
              <w:adjustRightInd/>
              <w:snapToGrid w:val="0"/>
              <w:ind w:firstLine="0" w:firstLineChars="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①电机带断电自锁功能；</w:t>
            </w:r>
          </w:p>
          <w:p w14:paraId="30C82026">
            <w:pPr>
              <w:keepNext w:val="0"/>
              <w:keepLines w:val="0"/>
              <w:pageBreakBefore w:val="0"/>
              <w:widowControl/>
              <w:kinsoku/>
              <w:wordWrap/>
              <w:overflowPunct/>
              <w:topLinePunct w:val="0"/>
              <w:autoSpaceDE/>
              <w:autoSpaceDN/>
              <w:bidi w:val="0"/>
              <w:adjustRightInd/>
              <w:snapToGrid w:val="0"/>
              <w:ind w:firstLine="0" w:firstLineChars="0"/>
              <w:textAlignment w:val="center"/>
              <w:rPr>
                <w:color w:val="auto"/>
                <w:highlight w:val="none"/>
              </w:rPr>
            </w:pPr>
            <w:r>
              <w:rPr>
                <w:rFonts w:hint="eastAsia" w:ascii="宋体" w:hAnsi="宋体" w:eastAsia="宋体" w:cs="宋体"/>
                <w:color w:val="auto"/>
                <w:kern w:val="0"/>
                <w:szCs w:val="21"/>
                <w:highlight w:val="none"/>
                <w:lang w:bidi="ar"/>
              </w:rPr>
              <w:t>②支持接入全车视频监控系统；</w:t>
            </w:r>
          </w:p>
          <w:p w14:paraId="02DB0EA3">
            <w:pPr>
              <w:keepNext w:val="0"/>
              <w:keepLines w:val="0"/>
              <w:pageBreakBefore w:val="0"/>
              <w:widowControl/>
              <w:kinsoku/>
              <w:wordWrap/>
              <w:overflowPunct/>
              <w:topLinePunct w:val="0"/>
              <w:autoSpaceDE/>
              <w:autoSpaceDN/>
              <w:bidi w:val="0"/>
              <w:adjustRightInd/>
              <w:snapToGrid w:val="0"/>
              <w:ind w:firstLine="0" w:firstLineChars="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（2）舱内摄像机（1套）</w:t>
            </w:r>
          </w:p>
          <w:p w14:paraId="63F53DD2">
            <w:pPr>
              <w:keepNext w:val="0"/>
              <w:keepLines w:val="0"/>
              <w:pageBreakBefore w:val="0"/>
              <w:widowControl/>
              <w:kinsoku/>
              <w:wordWrap/>
              <w:overflowPunct/>
              <w:topLinePunct w:val="0"/>
              <w:autoSpaceDE/>
              <w:autoSpaceDN/>
              <w:bidi w:val="0"/>
              <w:adjustRightInd/>
              <w:snapToGrid w:val="0"/>
              <w:ind w:firstLine="0" w:firstLineChars="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①POE半球摄像机；</w:t>
            </w:r>
          </w:p>
          <w:p w14:paraId="137DCF50">
            <w:pPr>
              <w:keepNext w:val="0"/>
              <w:keepLines w:val="0"/>
              <w:pageBreakBefore w:val="0"/>
              <w:widowControl/>
              <w:kinsoku/>
              <w:wordWrap/>
              <w:overflowPunct/>
              <w:topLinePunct w:val="0"/>
              <w:autoSpaceDE/>
              <w:autoSpaceDN/>
              <w:bidi w:val="0"/>
              <w:adjustRightInd/>
              <w:snapToGrid w:val="0"/>
              <w:ind w:firstLine="0" w:firstLineChars="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②支持夜间补光；</w:t>
            </w:r>
          </w:p>
          <w:p w14:paraId="7410E332">
            <w:pPr>
              <w:keepNext w:val="0"/>
              <w:keepLines w:val="0"/>
              <w:pageBreakBefore w:val="0"/>
              <w:widowControl/>
              <w:kinsoku/>
              <w:wordWrap/>
              <w:overflowPunct/>
              <w:topLinePunct w:val="0"/>
              <w:autoSpaceDE/>
              <w:autoSpaceDN/>
              <w:bidi w:val="0"/>
              <w:adjustRightInd/>
              <w:snapToGrid w:val="0"/>
              <w:ind w:firstLine="0" w:firstLineChars="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③支持接入全车视频监控系统。</w:t>
            </w:r>
          </w:p>
          <w:p w14:paraId="6AAD9FA3">
            <w:pPr>
              <w:keepNext w:val="0"/>
              <w:keepLines w:val="0"/>
              <w:pageBreakBefore w:val="0"/>
              <w:widowControl/>
              <w:kinsoku/>
              <w:wordWrap/>
              <w:overflowPunct/>
              <w:topLinePunct w:val="0"/>
              <w:autoSpaceDE/>
              <w:autoSpaceDN/>
              <w:bidi w:val="0"/>
              <w:adjustRightInd/>
              <w:snapToGrid w:val="0"/>
              <w:ind w:firstLine="0" w:firstLineChars="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（3）硬盘录像机（1套）</w:t>
            </w:r>
          </w:p>
          <w:p w14:paraId="4AE45F2B">
            <w:pPr>
              <w:keepNext w:val="0"/>
              <w:keepLines w:val="0"/>
              <w:pageBreakBefore w:val="0"/>
              <w:widowControl/>
              <w:kinsoku/>
              <w:wordWrap/>
              <w:overflowPunct/>
              <w:topLinePunct w:val="0"/>
              <w:autoSpaceDE/>
              <w:autoSpaceDN/>
              <w:bidi w:val="0"/>
              <w:adjustRightInd/>
              <w:snapToGrid w:val="0"/>
              <w:ind w:firstLine="0" w:firstLineChars="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①支持</w:t>
            </w:r>
            <w:r>
              <w:rPr>
                <w:rFonts w:hint="eastAsia" w:ascii="宋体" w:hAnsi="宋体" w:eastAsia="宋体" w:cs="宋体"/>
                <w:color w:val="auto"/>
                <w:kern w:val="0"/>
                <w:szCs w:val="21"/>
                <w:highlight w:val="none"/>
                <w:lang w:val="en-US" w:eastAsia="zh-CN" w:bidi="ar"/>
              </w:rPr>
              <w:t>不低于</w:t>
            </w:r>
            <w:r>
              <w:rPr>
                <w:rFonts w:hint="eastAsia" w:ascii="宋体" w:hAnsi="宋体" w:eastAsia="宋体" w:cs="宋体"/>
                <w:color w:val="auto"/>
                <w:kern w:val="0"/>
                <w:szCs w:val="21"/>
                <w:highlight w:val="none"/>
                <w:lang w:bidi="ar"/>
              </w:rPr>
              <w:t>4路1080P视频输入；</w:t>
            </w:r>
          </w:p>
          <w:p w14:paraId="57F65AD6">
            <w:pPr>
              <w:keepNext w:val="0"/>
              <w:keepLines w:val="0"/>
              <w:pageBreakBefore w:val="0"/>
              <w:widowControl/>
              <w:kinsoku/>
              <w:wordWrap/>
              <w:overflowPunct/>
              <w:topLinePunct w:val="0"/>
              <w:autoSpaceDE/>
              <w:autoSpaceDN/>
              <w:bidi w:val="0"/>
              <w:adjustRightInd/>
              <w:snapToGrid w:val="0"/>
              <w:ind w:firstLine="0" w:firstLineChars="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②存储容量≥1 T；</w:t>
            </w:r>
          </w:p>
          <w:p w14:paraId="6EC79FF6">
            <w:pPr>
              <w:keepNext w:val="0"/>
              <w:keepLines w:val="0"/>
              <w:pageBreakBefore w:val="0"/>
              <w:widowControl/>
              <w:kinsoku/>
              <w:wordWrap/>
              <w:overflowPunct/>
              <w:topLinePunct w:val="0"/>
              <w:autoSpaceDE/>
              <w:autoSpaceDN/>
              <w:bidi w:val="0"/>
              <w:adjustRightInd/>
              <w:snapToGrid w:val="0"/>
              <w:ind w:firstLine="0" w:firstLineChars="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③支持H.265/H.264压缩模式。</w:t>
            </w:r>
          </w:p>
          <w:p w14:paraId="7685F377">
            <w:pPr>
              <w:keepNext w:val="0"/>
              <w:keepLines w:val="0"/>
              <w:pageBreakBefore w:val="0"/>
              <w:widowControl/>
              <w:kinsoku/>
              <w:wordWrap/>
              <w:overflowPunct/>
              <w:topLinePunct w:val="0"/>
              <w:autoSpaceDE/>
              <w:autoSpaceDN/>
              <w:bidi w:val="0"/>
              <w:adjustRightInd/>
              <w:snapToGrid w:val="0"/>
              <w:ind w:firstLine="0" w:firstLineChars="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（4）配套显示终端（1套）</w:t>
            </w:r>
          </w:p>
          <w:p w14:paraId="57AB82B8">
            <w:pPr>
              <w:keepNext w:val="0"/>
              <w:keepLines w:val="0"/>
              <w:pageBreakBefore w:val="0"/>
              <w:widowControl/>
              <w:kinsoku/>
              <w:wordWrap/>
              <w:overflowPunct/>
              <w:topLinePunct w:val="0"/>
              <w:autoSpaceDE/>
              <w:autoSpaceDN/>
              <w:bidi w:val="0"/>
              <w:adjustRightInd/>
              <w:snapToGrid w:val="0"/>
              <w:ind w:firstLine="0" w:firstLineChars="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分辨率:不低于1080P；数量≥6台。</w:t>
            </w:r>
          </w:p>
          <w:p w14:paraId="50EDED5A">
            <w:pPr>
              <w:keepNext w:val="0"/>
              <w:keepLines w:val="0"/>
              <w:pageBreakBefore w:val="0"/>
              <w:widowControl/>
              <w:kinsoku/>
              <w:wordWrap/>
              <w:overflowPunct/>
              <w:topLinePunct w:val="0"/>
              <w:autoSpaceDE/>
              <w:autoSpaceDN/>
              <w:bidi w:val="0"/>
              <w:adjustRightInd/>
              <w:ind w:firstLine="0" w:firstLineChars="0"/>
              <w:jc w:val="left"/>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kern w:val="0"/>
                <w:szCs w:val="21"/>
                <w:highlight w:val="none"/>
                <w:lang w:bidi="ar"/>
              </w:rPr>
              <w:t>混切矩阵</w:t>
            </w:r>
          </w:p>
          <w:p w14:paraId="4F850484">
            <w:pPr>
              <w:keepNext w:val="0"/>
              <w:keepLines w:val="0"/>
              <w:pageBreakBefore w:val="0"/>
              <w:widowControl/>
              <w:kinsoku/>
              <w:wordWrap/>
              <w:overflowPunct/>
              <w:topLinePunct w:val="0"/>
              <w:autoSpaceDE/>
              <w:autoSpaceDN/>
              <w:bidi w:val="0"/>
              <w:adjustRightInd/>
              <w:snapToGrid w:val="0"/>
              <w:ind w:firstLine="0" w:firstLineChars="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①全数字化切换；</w:t>
            </w:r>
          </w:p>
          <w:p w14:paraId="50B75B9C">
            <w:pPr>
              <w:keepNext w:val="0"/>
              <w:keepLines w:val="0"/>
              <w:pageBreakBefore w:val="0"/>
              <w:widowControl/>
              <w:kinsoku/>
              <w:wordWrap/>
              <w:overflowPunct/>
              <w:topLinePunct w:val="0"/>
              <w:autoSpaceDE/>
              <w:autoSpaceDN/>
              <w:bidi w:val="0"/>
              <w:adjustRightInd/>
              <w:snapToGrid w:val="0"/>
              <w:ind w:firstLine="0" w:firstLineChars="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②输入不少于8路信号，输出不少于8路信号；</w:t>
            </w:r>
          </w:p>
          <w:p w14:paraId="7B0457D3">
            <w:pPr>
              <w:keepNext w:val="0"/>
              <w:keepLines w:val="0"/>
              <w:pageBreakBefore w:val="0"/>
              <w:widowControl/>
              <w:kinsoku/>
              <w:wordWrap/>
              <w:overflowPunct/>
              <w:topLinePunct w:val="0"/>
              <w:autoSpaceDE/>
              <w:autoSpaceDN/>
              <w:bidi w:val="0"/>
              <w:adjustRightInd/>
              <w:snapToGrid w:val="0"/>
              <w:ind w:firstLine="0" w:firstLineChars="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③任意信号输入输出；</w:t>
            </w:r>
          </w:p>
          <w:p w14:paraId="5091E26F">
            <w:pPr>
              <w:keepNext w:val="0"/>
              <w:keepLines w:val="0"/>
              <w:pageBreakBefore w:val="0"/>
              <w:widowControl/>
              <w:kinsoku/>
              <w:wordWrap/>
              <w:overflowPunct/>
              <w:topLinePunct w:val="0"/>
              <w:autoSpaceDE/>
              <w:autoSpaceDN/>
              <w:bidi w:val="0"/>
              <w:adjustRightInd/>
              <w:snapToGrid w:val="0"/>
              <w:ind w:firstLine="0" w:firstLineChars="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④实时无缝切换；</w:t>
            </w:r>
          </w:p>
          <w:p w14:paraId="2869806F">
            <w:pPr>
              <w:keepNext w:val="0"/>
              <w:keepLines w:val="0"/>
              <w:pageBreakBefore w:val="0"/>
              <w:widowControl/>
              <w:kinsoku/>
              <w:wordWrap/>
              <w:overflowPunct/>
              <w:topLinePunct w:val="0"/>
              <w:autoSpaceDE/>
              <w:autoSpaceDN/>
              <w:bidi w:val="0"/>
              <w:adjustRightInd/>
              <w:snapToGrid w:val="0"/>
              <w:ind w:firstLine="0" w:firstLineChars="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⑤输入信号分辨率自适应，输出分辨率可调；</w:t>
            </w:r>
          </w:p>
          <w:p w14:paraId="7854772A">
            <w:pPr>
              <w:keepNext w:val="0"/>
              <w:keepLines w:val="0"/>
              <w:pageBreakBefore w:val="0"/>
              <w:widowControl/>
              <w:kinsoku/>
              <w:wordWrap/>
              <w:overflowPunct/>
              <w:topLinePunct w:val="0"/>
              <w:autoSpaceDE/>
              <w:autoSpaceDN/>
              <w:bidi w:val="0"/>
              <w:adjustRightInd/>
              <w:snapToGrid w:val="0"/>
              <w:ind w:firstLine="0" w:firstLineChars="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⑥支持模拟音频输入和输出；</w:t>
            </w:r>
          </w:p>
          <w:p w14:paraId="466BEC9F">
            <w:pPr>
              <w:keepNext w:val="0"/>
              <w:keepLines w:val="0"/>
              <w:pageBreakBefore w:val="0"/>
              <w:widowControl/>
              <w:kinsoku/>
              <w:wordWrap/>
              <w:overflowPunct/>
              <w:topLinePunct w:val="0"/>
              <w:autoSpaceDE/>
              <w:autoSpaceDN/>
              <w:bidi w:val="0"/>
              <w:adjustRightInd/>
              <w:snapToGrid w:val="0"/>
              <w:ind w:firstLine="0" w:firstLineChars="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⑦支持对外接口控制，开放控制协议，方便第三方串口控制；</w:t>
            </w:r>
          </w:p>
          <w:p w14:paraId="72600FB1">
            <w:pPr>
              <w:keepNext w:val="0"/>
              <w:keepLines w:val="0"/>
              <w:pageBreakBefore w:val="0"/>
              <w:widowControl/>
              <w:kinsoku/>
              <w:wordWrap/>
              <w:overflowPunct/>
              <w:topLinePunct w:val="0"/>
              <w:autoSpaceDE/>
              <w:autoSpaceDN/>
              <w:bidi w:val="0"/>
              <w:adjustRightInd/>
              <w:snapToGrid w:val="0"/>
              <w:ind w:firstLine="0" w:firstLineChars="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⑧支持断电现场保护；</w:t>
            </w:r>
          </w:p>
          <w:p w14:paraId="08A5AE9E">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⑨标准插卡式工业机箱。</w:t>
            </w:r>
          </w:p>
        </w:tc>
        <w:tc>
          <w:tcPr>
            <w:tcW w:w="813" w:type="dxa"/>
            <w:shd w:val="clear" w:color="auto" w:fill="auto"/>
            <w:noWrap/>
            <w:vAlign w:val="center"/>
          </w:tcPr>
          <w:p w14:paraId="3254154D">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p>
        </w:tc>
        <w:tc>
          <w:tcPr>
            <w:tcW w:w="645" w:type="dxa"/>
            <w:shd w:val="clear" w:color="auto" w:fill="auto"/>
            <w:noWrap/>
            <w:vAlign w:val="center"/>
          </w:tcPr>
          <w:p w14:paraId="31DC66F3">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套</w:t>
            </w:r>
          </w:p>
        </w:tc>
      </w:tr>
      <w:tr w14:paraId="7BDD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shd w:val="clear" w:color="auto" w:fill="auto"/>
            <w:noWrap/>
            <w:vAlign w:val="center"/>
          </w:tcPr>
          <w:p w14:paraId="37CD00F2">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w:t>
            </w:r>
            <w:r>
              <w:rPr>
                <w:rFonts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bidi="ar"/>
              </w:rPr>
              <w:t>5</w:t>
            </w:r>
          </w:p>
        </w:tc>
        <w:tc>
          <w:tcPr>
            <w:tcW w:w="1237" w:type="dxa"/>
            <w:shd w:val="clear" w:color="auto" w:fill="auto"/>
            <w:vAlign w:val="center"/>
          </w:tcPr>
          <w:p w14:paraId="3CAFC3FC">
            <w:pPr>
              <w:widowControl/>
              <w:snapToGrid w:val="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通信传输系统</w:t>
            </w:r>
          </w:p>
        </w:tc>
        <w:tc>
          <w:tcPr>
            <w:tcW w:w="4908" w:type="dxa"/>
            <w:shd w:val="clear" w:color="auto" w:fill="auto"/>
            <w:noWrap/>
            <w:vAlign w:val="center"/>
          </w:tcPr>
          <w:p w14:paraId="6C714B2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1.功能要求：配备北斗全球导航定位系统、4G/5G 移动通信、卫星通信等功能，具备与探测模组近距离有线数据传输的能力。</w:t>
            </w:r>
          </w:p>
          <w:p w14:paraId="679AA5EB">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2.技术要求</w:t>
            </w:r>
          </w:p>
          <w:p w14:paraId="24DB1BC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（1）北斗传输设备</w:t>
            </w:r>
          </w:p>
          <w:p w14:paraId="4AC3ABA9">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color w:val="auto"/>
                <w:szCs w:val="21"/>
                <w:highlight w:val="none"/>
              </w:rPr>
            </w:pPr>
            <w:r>
              <w:rPr>
                <w:rFonts w:hint="eastAsia" w:ascii="宋体" w:hAnsi="宋体" w:cs="宋体"/>
                <w:color w:val="auto"/>
                <w:szCs w:val="21"/>
                <w:highlight w:val="none"/>
                <w:lang w:val="en-US" w:eastAsia="zh-CN"/>
              </w:rPr>
              <w:t>①</w:t>
            </w:r>
            <w:r>
              <w:rPr>
                <w:rFonts w:hint="eastAsia" w:ascii="宋体" w:hAnsi="宋体" w:eastAsia="宋体" w:cs="宋体"/>
                <w:color w:val="auto"/>
                <w:szCs w:val="21"/>
                <w:highlight w:val="none"/>
              </w:rPr>
              <w:t>定位功能：具备支持单独使用北斗定位功能；</w:t>
            </w:r>
          </w:p>
          <w:p w14:paraId="1B4DF499">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color w:val="auto"/>
                <w:szCs w:val="21"/>
                <w:highlight w:val="none"/>
              </w:rPr>
            </w:pPr>
            <w:r>
              <w:rPr>
                <w:rFonts w:hint="eastAsia" w:ascii="宋体" w:hAnsi="宋体" w:cs="宋体"/>
                <w:color w:val="auto"/>
                <w:szCs w:val="21"/>
                <w:highlight w:val="none"/>
                <w:lang w:val="en-US" w:eastAsia="zh-CN"/>
              </w:rPr>
              <w:t>②</w:t>
            </w:r>
            <w:r>
              <w:rPr>
                <w:rFonts w:hint="eastAsia" w:ascii="宋体" w:hAnsi="宋体" w:eastAsia="宋体" w:cs="宋体"/>
                <w:color w:val="auto"/>
                <w:szCs w:val="21"/>
                <w:highlight w:val="none"/>
              </w:rPr>
              <w:t>定位精度：≤5m；测速精度：≤0.2m/s；</w:t>
            </w:r>
          </w:p>
          <w:p w14:paraId="0032B71C">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color w:val="auto"/>
                <w:szCs w:val="21"/>
                <w:highlight w:val="none"/>
              </w:rPr>
            </w:pPr>
            <w:r>
              <w:rPr>
                <w:rFonts w:hint="eastAsia" w:ascii="宋体" w:hAnsi="宋体" w:cs="宋体"/>
                <w:color w:val="auto"/>
                <w:szCs w:val="21"/>
                <w:highlight w:val="none"/>
                <w:lang w:val="en-US" w:eastAsia="zh-CN"/>
              </w:rPr>
              <w:t>③</w:t>
            </w:r>
            <w:r>
              <w:rPr>
                <w:rFonts w:hint="eastAsia" w:ascii="宋体" w:hAnsi="宋体" w:eastAsia="宋体" w:cs="宋体"/>
                <w:color w:val="auto"/>
                <w:szCs w:val="21"/>
                <w:highlight w:val="none"/>
              </w:rPr>
              <w:t>首次定位时间：冷启动≤120 秒，热启动≤10 秒；</w:t>
            </w:r>
          </w:p>
          <w:p w14:paraId="5C64F516">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color w:val="auto"/>
                <w:szCs w:val="21"/>
                <w:highlight w:val="none"/>
              </w:rPr>
            </w:pPr>
            <w:r>
              <w:rPr>
                <w:rFonts w:hint="eastAsia" w:ascii="宋体" w:hAnsi="宋体" w:cs="宋体"/>
                <w:color w:val="auto"/>
                <w:szCs w:val="21"/>
                <w:highlight w:val="none"/>
                <w:lang w:val="en-US" w:eastAsia="zh-CN"/>
              </w:rPr>
              <w:t>④</w:t>
            </w:r>
            <w:r>
              <w:rPr>
                <w:rFonts w:hint="eastAsia" w:ascii="宋体" w:hAnsi="宋体" w:eastAsia="宋体" w:cs="宋体"/>
                <w:color w:val="auto"/>
                <w:szCs w:val="21"/>
                <w:highlight w:val="none"/>
              </w:rPr>
              <w:t>接收频率：支持北斗 B1 频段；</w:t>
            </w:r>
          </w:p>
          <w:p w14:paraId="115E987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color w:val="auto"/>
                <w:szCs w:val="21"/>
                <w:highlight w:val="none"/>
              </w:rPr>
            </w:pPr>
            <w:r>
              <w:rPr>
                <w:rFonts w:hint="eastAsia" w:ascii="宋体" w:hAnsi="宋体" w:cs="宋体"/>
                <w:color w:val="auto"/>
                <w:szCs w:val="21"/>
                <w:highlight w:val="none"/>
                <w:lang w:val="en-US" w:eastAsia="zh-CN"/>
              </w:rPr>
              <w:t>⑤</w:t>
            </w:r>
            <w:r>
              <w:rPr>
                <w:rFonts w:hint="eastAsia" w:ascii="宋体" w:hAnsi="宋体" w:eastAsia="宋体" w:cs="宋体"/>
                <w:color w:val="auto"/>
                <w:szCs w:val="21"/>
                <w:highlight w:val="none"/>
              </w:rPr>
              <w:t>捕获灵敏度：≤-133dBm；跟踪灵敏度：≤-147dBm；</w:t>
            </w:r>
          </w:p>
          <w:p w14:paraId="3ED423FF">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color w:val="auto"/>
                <w:szCs w:val="21"/>
                <w:highlight w:val="none"/>
              </w:rPr>
            </w:pPr>
            <w:r>
              <w:rPr>
                <w:rFonts w:hint="eastAsia" w:ascii="宋体" w:hAnsi="宋体" w:cs="宋体"/>
                <w:color w:val="auto"/>
                <w:szCs w:val="21"/>
                <w:highlight w:val="none"/>
                <w:lang w:val="en-US" w:eastAsia="zh-CN"/>
              </w:rPr>
              <w:t>⑥</w:t>
            </w:r>
            <w:r>
              <w:rPr>
                <w:rFonts w:hint="eastAsia" w:ascii="宋体" w:hAnsi="宋体" w:eastAsia="宋体" w:cs="宋体"/>
                <w:color w:val="auto"/>
                <w:szCs w:val="21"/>
                <w:highlight w:val="none"/>
              </w:rPr>
              <w:t>接收波束个数：北斗二号≥10 个，北斗三号≥14 个；</w:t>
            </w:r>
          </w:p>
          <w:p w14:paraId="219AAE6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color w:val="auto"/>
                <w:szCs w:val="21"/>
                <w:highlight w:val="none"/>
              </w:rPr>
            </w:pPr>
            <w:r>
              <w:rPr>
                <w:rFonts w:hint="eastAsia" w:ascii="宋体" w:hAnsi="宋体" w:cs="宋体"/>
                <w:color w:val="auto"/>
                <w:szCs w:val="21"/>
                <w:highlight w:val="none"/>
                <w:lang w:val="en-US" w:eastAsia="zh-CN"/>
              </w:rPr>
              <w:t>⑦</w:t>
            </w:r>
            <w:r>
              <w:rPr>
                <w:rFonts w:hint="eastAsia" w:ascii="宋体" w:hAnsi="宋体" w:eastAsia="宋体" w:cs="宋体"/>
                <w:color w:val="auto"/>
                <w:szCs w:val="21"/>
                <w:highlight w:val="none"/>
              </w:rPr>
              <w:t>发射频点：Lf1、Lf2；</w:t>
            </w:r>
          </w:p>
          <w:p w14:paraId="19104079">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color w:val="auto"/>
                <w:szCs w:val="21"/>
                <w:highlight w:val="none"/>
              </w:rPr>
            </w:pPr>
            <w:r>
              <w:rPr>
                <w:rFonts w:hint="eastAsia" w:ascii="宋体" w:hAnsi="宋体" w:cs="宋体"/>
                <w:color w:val="auto"/>
                <w:szCs w:val="21"/>
                <w:highlight w:val="none"/>
                <w:lang w:val="en-US" w:eastAsia="zh-CN"/>
              </w:rPr>
              <w:t>⑧</w:t>
            </w:r>
            <w:r>
              <w:rPr>
                <w:rFonts w:hint="eastAsia" w:ascii="宋体" w:hAnsi="宋体" w:eastAsia="宋体" w:cs="宋体"/>
                <w:color w:val="auto"/>
                <w:szCs w:val="21"/>
                <w:highlight w:val="none"/>
              </w:rPr>
              <w:t>支持北斗三号系统，支持北斗三号区域短报文通信服务；</w:t>
            </w:r>
          </w:p>
          <w:p w14:paraId="6F93CCE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color w:val="auto"/>
                <w:szCs w:val="21"/>
                <w:highlight w:val="none"/>
              </w:rPr>
            </w:pPr>
            <w:r>
              <w:rPr>
                <w:rFonts w:hint="eastAsia" w:ascii="宋体" w:hAnsi="宋体" w:cs="宋体"/>
                <w:color w:val="auto"/>
                <w:szCs w:val="21"/>
                <w:highlight w:val="none"/>
                <w:lang w:val="en-US" w:eastAsia="zh-CN"/>
              </w:rPr>
              <w:t>⑨</w:t>
            </w:r>
            <w:r>
              <w:rPr>
                <w:rFonts w:hint="eastAsia" w:ascii="宋体" w:hAnsi="宋体" w:eastAsia="宋体" w:cs="宋体"/>
                <w:color w:val="auto"/>
                <w:szCs w:val="21"/>
                <w:highlight w:val="none"/>
              </w:rPr>
              <w:t>防护等级：≥IP67。</w:t>
            </w:r>
          </w:p>
          <w:p w14:paraId="5E34BAAF">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（2）4G/5G传输设备</w:t>
            </w:r>
          </w:p>
          <w:p w14:paraId="322B780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color w:val="auto"/>
                <w:szCs w:val="21"/>
                <w:highlight w:val="none"/>
              </w:rPr>
            </w:pPr>
            <w:r>
              <w:rPr>
                <w:rFonts w:hint="eastAsia" w:ascii="宋体" w:hAnsi="宋体" w:cs="宋体"/>
                <w:color w:val="auto"/>
                <w:szCs w:val="21"/>
                <w:highlight w:val="none"/>
                <w:lang w:val="en-US" w:eastAsia="zh-CN"/>
              </w:rPr>
              <w:t>①</w:t>
            </w:r>
            <w:r>
              <w:rPr>
                <w:rFonts w:hint="eastAsia" w:ascii="宋体" w:hAnsi="宋体" w:eastAsia="宋体" w:cs="宋体"/>
                <w:color w:val="auto"/>
                <w:szCs w:val="21"/>
                <w:highlight w:val="none"/>
              </w:rPr>
              <w:t>理论带宽（上行）：</w:t>
            </w:r>
          </w:p>
          <w:p w14:paraId="7EEBA83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NR SA 独立组网：≥Max. 1Gbps</w:t>
            </w:r>
          </w:p>
          <w:p w14:paraId="06444EA5">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NR NSA 非独立组网：≥Max. 575Mbps</w:t>
            </w:r>
          </w:p>
          <w:p w14:paraId="5F39EBB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LTE：≥150Mbps</w:t>
            </w:r>
          </w:p>
          <w:p w14:paraId="3927C74C">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color w:val="auto"/>
                <w:szCs w:val="21"/>
                <w:highlight w:val="none"/>
              </w:rPr>
            </w:pPr>
            <w:r>
              <w:rPr>
                <w:rFonts w:hint="eastAsia" w:ascii="宋体" w:hAnsi="宋体" w:cs="宋体"/>
                <w:color w:val="auto"/>
                <w:szCs w:val="21"/>
                <w:highlight w:val="none"/>
                <w:lang w:val="en-US" w:eastAsia="zh-CN"/>
              </w:rPr>
              <w:t>②</w:t>
            </w:r>
            <w:r>
              <w:rPr>
                <w:rFonts w:hint="eastAsia" w:ascii="宋体" w:hAnsi="宋体" w:eastAsia="宋体" w:cs="宋体"/>
                <w:color w:val="auto"/>
                <w:szCs w:val="21"/>
                <w:highlight w:val="none"/>
              </w:rPr>
              <w:t>WiFi：2×2 MIMO，双频(2.4GHz+5GHz)，外置可拆卸天线；5G：</w:t>
            </w:r>
          </w:p>
          <w:p w14:paraId="7E9C0B1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4×4 MIMO(Sub-6GHz)，外置可拆卸天线。</w:t>
            </w:r>
          </w:p>
          <w:p w14:paraId="36F71B7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（3）千兆交换机（含光模块）</w:t>
            </w:r>
          </w:p>
          <w:p w14:paraId="2B843F8A">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支持不少于24个10/100/1000Base-TX 以太网端口，4 个千兆 SFP；支持 IPv4 和 IPv6 的三层路由功能。</w:t>
            </w:r>
          </w:p>
          <w:p w14:paraId="263B29AA">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（4）卫星通信系统</w:t>
            </w:r>
          </w:p>
          <w:p w14:paraId="66271F7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color w:val="auto"/>
                <w:szCs w:val="21"/>
                <w:highlight w:val="none"/>
              </w:rPr>
            </w:pPr>
            <w:r>
              <w:rPr>
                <w:rFonts w:hint="eastAsia" w:ascii="宋体" w:hAnsi="宋体" w:cs="宋体"/>
                <w:color w:val="auto"/>
                <w:szCs w:val="21"/>
                <w:highlight w:val="none"/>
                <w:lang w:val="en-US" w:eastAsia="zh-CN"/>
              </w:rPr>
              <w:t>①</w:t>
            </w:r>
            <w:r>
              <w:rPr>
                <w:rFonts w:hint="eastAsia" w:ascii="宋体" w:hAnsi="宋体" w:eastAsia="宋体" w:cs="宋体"/>
                <w:color w:val="auto"/>
                <w:szCs w:val="21"/>
                <w:highlight w:val="none"/>
              </w:rPr>
              <w:t>具备气象“专网”和“高通量互联网”双网模式；</w:t>
            </w:r>
          </w:p>
          <w:p w14:paraId="1374FEB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color w:val="auto"/>
                <w:szCs w:val="21"/>
                <w:highlight w:val="none"/>
              </w:rPr>
            </w:pPr>
            <w:r>
              <w:rPr>
                <w:rFonts w:hint="eastAsia" w:ascii="宋体" w:hAnsi="宋体" w:cs="宋体"/>
                <w:color w:val="auto"/>
                <w:szCs w:val="21"/>
                <w:highlight w:val="none"/>
                <w:lang w:val="en-US" w:eastAsia="zh-CN"/>
              </w:rPr>
              <w:t>②</w:t>
            </w:r>
            <w:r>
              <w:rPr>
                <w:rFonts w:hint="eastAsia" w:ascii="宋体" w:hAnsi="宋体" w:eastAsia="宋体" w:cs="宋体"/>
                <w:color w:val="auto"/>
                <w:szCs w:val="21"/>
                <w:highlight w:val="none"/>
              </w:rPr>
              <w:t>卫星在“高通量互联网”模式下实现上行速率≥4Mbps，下行速</w:t>
            </w:r>
          </w:p>
          <w:p w14:paraId="356F884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率≥9Mbps；</w:t>
            </w:r>
          </w:p>
          <w:p w14:paraId="6C2A34A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color w:val="auto"/>
                <w:szCs w:val="21"/>
                <w:highlight w:val="none"/>
              </w:rPr>
            </w:pPr>
            <w:r>
              <w:rPr>
                <w:rFonts w:hint="eastAsia" w:ascii="宋体" w:hAnsi="宋体" w:cs="宋体"/>
                <w:color w:val="auto"/>
                <w:szCs w:val="21"/>
                <w:highlight w:val="none"/>
                <w:lang w:val="en-US" w:eastAsia="zh-CN"/>
              </w:rPr>
              <w:t>③</w:t>
            </w:r>
            <w:r>
              <w:rPr>
                <w:rFonts w:hint="eastAsia" w:ascii="宋体" w:hAnsi="宋体" w:eastAsia="宋体" w:cs="宋体"/>
                <w:color w:val="auto"/>
                <w:szCs w:val="21"/>
                <w:highlight w:val="none"/>
              </w:rPr>
              <w:t>采用 Ku 波段卫星天线；</w:t>
            </w:r>
          </w:p>
          <w:p w14:paraId="0E263A35">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color w:val="auto"/>
                <w:szCs w:val="21"/>
                <w:highlight w:val="none"/>
              </w:rPr>
            </w:pPr>
            <w:r>
              <w:rPr>
                <w:rFonts w:hint="eastAsia" w:ascii="宋体" w:hAnsi="宋体" w:cs="宋体"/>
                <w:color w:val="auto"/>
                <w:szCs w:val="21"/>
                <w:highlight w:val="none"/>
                <w:lang w:val="en-US" w:eastAsia="zh-CN"/>
              </w:rPr>
              <w:t>④</w:t>
            </w:r>
            <w:r>
              <w:rPr>
                <w:rFonts w:hint="eastAsia" w:ascii="宋体" w:hAnsi="宋体" w:eastAsia="宋体" w:cs="宋体"/>
                <w:color w:val="auto"/>
                <w:szCs w:val="21"/>
                <w:highlight w:val="none"/>
              </w:rPr>
              <w:t>配</w:t>
            </w:r>
            <w:r>
              <w:rPr>
                <w:rFonts w:hint="eastAsia" w:ascii="宋体" w:hAnsi="宋体" w:eastAsia="宋体" w:cs="宋体"/>
                <w:color w:val="auto"/>
                <w:szCs w:val="21"/>
                <w:highlight w:val="none"/>
                <w:lang w:val="en-US" w:eastAsia="zh-CN"/>
              </w:rPr>
              <w:t>不少于1套</w:t>
            </w:r>
            <w:r>
              <w:rPr>
                <w:rFonts w:hint="eastAsia" w:ascii="宋体" w:hAnsi="宋体" w:eastAsia="宋体" w:cs="宋体"/>
                <w:color w:val="auto"/>
                <w:szCs w:val="21"/>
                <w:highlight w:val="none"/>
              </w:rPr>
              <w:t>会议终端、会议摄像机、拾音系统和扬声器，用于卫星条件下现场音视频会商。</w:t>
            </w:r>
          </w:p>
        </w:tc>
        <w:tc>
          <w:tcPr>
            <w:tcW w:w="813" w:type="dxa"/>
            <w:shd w:val="clear" w:color="auto" w:fill="auto"/>
            <w:noWrap/>
            <w:vAlign w:val="center"/>
          </w:tcPr>
          <w:p w14:paraId="2F338E7D">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p>
        </w:tc>
        <w:tc>
          <w:tcPr>
            <w:tcW w:w="645" w:type="dxa"/>
            <w:shd w:val="clear" w:color="auto" w:fill="auto"/>
            <w:noWrap/>
            <w:vAlign w:val="center"/>
          </w:tcPr>
          <w:p w14:paraId="141394A4">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套</w:t>
            </w:r>
          </w:p>
        </w:tc>
      </w:tr>
      <w:tr w14:paraId="0379C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3" w:type="dxa"/>
            <w:shd w:val="clear" w:color="auto" w:fill="auto"/>
            <w:noWrap/>
            <w:vAlign w:val="center"/>
          </w:tcPr>
          <w:p w14:paraId="06C02250">
            <w:pPr>
              <w:widowControl/>
              <w:snapToGrid w:val="0"/>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3</w:t>
            </w:r>
          </w:p>
        </w:tc>
        <w:tc>
          <w:tcPr>
            <w:tcW w:w="1237" w:type="dxa"/>
            <w:shd w:val="clear" w:color="auto" w:fill="auto"/>
            <w:vAlign w:val="center"/>
          </w:tcPr>
          <w:p w14:paraId="14909277">
            <w:pPr>
              <w:widowControl/>
              <w:snapToGrid w:val="0"/>
              <w:jc w:val="left"/>
              <w:textAlignment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气象信息处理和显控席位</w:t>
            </w:r>
          </w:p>
        </w:tc>
        <w:tc>
          <w:tcPr>
            <w:tcW w:w="4908" w:type="dxa"/>
            <w:shd w:val="clear" w:color="auto" w:fill="auto"/>
            <w:noWrap/>
            <w:vAlign w:val="center"/>
          </w:tcPr>
          <w:p w14:paraId="33530EFE">
            <w:pPr>
              <w:widowControl/>
              <w:ind w:firstLine="420" w:firstLineChars="200"/>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所有显控席位应通过 KVM 切换系统和视频矩阵进行集成，且任意操作席位可通过切换、访问和控制权限内的任一业务主机或服务器；</w:t>
            </w:r>
            <w:r>
              <w:rPr>
                <w:rFonts w:hint="eastAsia" w:ascii="宋体" w:hAnsi="宋体" w:eastAsia="宋体" w:cs="宋体"/>
                <w:strike w:val="0"/>
                <w:color w:val="auto"/>
                <w:kern w:val="0"/>
                <w:szCs w:val="21"/>
                <w:highlight w:val="none"/>
                <w:lang w:bidi="ar"/>
              </w:rPr>
              <w:t>所有显控席位应采用双人、双主机冗余设计，可分别由两人负责操作，在一台主机或席位发生故障时，另一席位可接管操作，确保人影指挥决策、数据信息处理正常工作及无人机飞行安全。</w:t>
            </w:r>
          </w:p>
        </w:tc>
        <w:tc>
          <w:tcPr>
            <w:tcW w:w="813" w:type="dxa"/>
            <w:shd w:val="clear" w:color="auto" w:fill="auto"/>
            <w:noWrap/>
            <w:vAlign w:val="center"/>
          </w:tcPr>
          <w:p w14:paraId="3604CD4B">
            <w:pPr>
              <w:widowControl/>
              <w:snapToGrid w:val="0"/>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645" w:type="dxa"/>
            <w:shd w:val="clear" w:color="auto" w:fill="auto"/>
            <w:noWrap/>
            <w:vAlign w:val="center"/>
          </w:tcPr>
          <w:p w14:paraId="40CF9ED2">
            <w:pPr>
              <w:widowControl/>
              <w:snapToGrid w:val="0"/>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r>
      <w:tr w14:paraId="3CF27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shd w:val="clear" w:color="auto" w:fill="auto"/>
            <w:noWrap/>
            <w:vAlign w:val="center"/>
          </w:tcPr>
          <w:p w14:paraId="5B77B1FB">
            <w:pPr>
              <w:widowControl/>
              <w:snapToGrid w:val="0"/>
              <w:jc w:val="left"/>
              <w:textAlignment w:val="cente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3.1</w:t>
            </w:r>
          </w:p>
        </w:tc>
        <w:tc>
          <w:tcPr>
            <w:tcW w:w="1237" w:type="dxa"/>
            <w:shd w:val="clear" w:color="auto" w:fill="auto"/>
            <w:vAlign w:val="center"/>
          </w:tcPr>
          <w:p w14:paraId="7D511AF1">
            <w:pPr>
              <w:widowControl/>
              <w:snapToGrid w:val="0"/>
              <w:jc w:val="left"/>
              <w:textAlignment w:val="cente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无人机显示席位</w:t>
            </w:r>
          </w:p>
        </w:tc>
        <w:tc>
          <w:tcPr>
            <w:tcW w:w="4908" w:type="dxa"/>
            <w:shd w:val="clear" w:color="auto" w:fill="auto"/>
            <w:noWrap/>
            <w:vAlign w:val="center"/>
          </w:tcPr>
          <w:p w14:paraId="4ECBCE7F">
            <w:pPr>
              <w:widowControl/>
              <w:ind w:firstLine="420" w:firstLineChars="200"/>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实现对无人机飞行轨迹数据和气象参数（温度、湿度、气压等）的实时采集、处理、存储和可视化显示。</w:t>
            </w:r>
          </w:p>
        </w:tc>
        <w:tc>
          <w:tcPr>
            <w:tcW w:w="813" w:type="dxa"/>
            <w:shd w:val="clear" w:color="auto" w:fill="auto"/>
            <w:noWrap/>
            <w:vAlign w:val="center"/>
          </w:tcPr>
          <w:p w14:paraId="032F8725">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p>
        </w:tc>
        <w:tc>
          <w:tcPr>
            <w:tcW w:w="645" w:type="dxa"/>
            <w:shd w:val="clear" w:color="auto" w:fill="auto"/>
            <w:noWrap/>
            <w:vAlign w:val="center"/>
          </w:tcPr>
          <w:p w14:paraId="2CEFE271">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套</w:t>
            </w:r>
          </w:p>
        </w:tc>
      </w:tr>
      <w:tr w14:paraId="3410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shd w:val="clear" w:color="auto" w:fill="auto"/>
            <w:noWrap/>
            <w:vAlign w:val="center"/>
          </w:tcPr>
          <w:p w14:paraId="76C5E48A">
            <w:pPr>
              <w:widowControl/>
              <w:snapToGrid w:val="0"/>
              <w:jc w:val="left"/>
              <w:textAlignment w:val="cente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3.2</w:t>
            </w:r>
          </w:p>
        </w:tc>
        <w:tc>
          <w:tcPr>
            <w:tcW w:w="1237" w:type="dxa"/>
            <w:shd w:val="clear" w:color="auto" w:fill="auto"/>
            <w:vAlign w:val="center"/>
          </w:tcPr>
          <w:p w14:paraId="38286818">
            <w:pPr>
              <w:widowControl/>
              <w:snapToGrid w:val="0"/>
              <w:jc w:val="left"/>
              <w:textAlignment w:val="cente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自动观测设备信息处理及显控席位</w:t>
            </w:r>
          </w:p>
        </w:tc>
        <w:tc>
          <w:tcPr>
            <w:tcW w:w="4908" w:type="dxa"/>
            <w:shd w:val="clear" w:color="auto" w:fill="auto"/>
            <w:noWrap/>
            <w:vAlign w:val="center"/>
          </w:tcPr>
          <w:p w14:paraId="69028338">
            <w:pPr>
              <w:widowControl/>
              <w:ind w:firstLine="420" w:firstLineChars="200"/>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收集并处理自动观测资料，包括温度、湿度、气压、风向、风速、降水气象要素数据。使用图形化的形式展示实时数据，支持动态更新，确保数据实时性，提供时间范围选择功能，支持查询历史数据。</w:t>
            </w:r>
          </w:p>
        </w:tc>
        <w:tc>
          <w:tcPr>
            <w:tcW w:w="813" w:type="dxa"/>
            <w:shd w:val="clear" w:color="auto" w:fill="auto"/>
            <w:noWrap/>
            <w:vAlign w:val="center"/>
          </w:tcPr>
          <w:p w14:paraId="6C949E89">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p>
        </w:tc>
        <w:tc>
          <w:tcPr>
            <w:tcW w:w="645" w:type="dxa"/>
            <w:shd w:val="clear" w:color="auto" w:fill="auto"/>
            <w:noWrap/>
            <w:vAlign w:val="center"/>
          </w:tcPr>
          <w:p w14:paraId="64EE9D77">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套</w:t>
            </w:r>
          </w:p>
        </w:tc>
      </w:tr>
      <w:tr w14:paraId="3BB63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shd w:val="clear" w:color="auto" w:fill="auto"/>
            <w:noWrap/>
            <w:vAlign w:val="center"/>
          </w:tcPr>
          <w:p w14:paraId="7AAE8E17">
            <w:pPr>
              <w:widowControl/>
              <w:snapToGrid w:val="0"/>
              <w:jc w:val="left"/>
              <w:textAlignment w:val="cente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3.3</w:t>
            </w:r>
          </w:p>
        </w:tc>
        <w:tc>
          <w:tcPr>
            <w:tcW w:w="1237" w:type="dxa"/>
            <w:shd w:val="clear" w:color="auto" w:fill="auto"/>
            <w:vAlign w:val="center"/>
          </w:tcPr>
          <w:p w14:paraId="385A369D">
            <w:pPr>
              <w:widowControl/>
              <w:snapToGrid w:val="0"/>
              <w:jc w:val="left"/>
              <w:textAlignment w:val="cente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雷达信息处理及显控席位</w:t>
            </w:r>
          </w:p>
        </w:tc>
        <w:tc>
          <w:tcPr>
            <w:tcW w:w="4908" w:type="dxa"/>
            <w:shd w:val="clear" w:color="auto" w:fill="auto"/>
            <w:noWrap/>
            <w:vAlign w:val="center"/>
          </w:tcPr>
          <w:p w14:paraId="3AB5EBF6">
            <w:pPr>
              <w:widowControl/>
              <w:ind w:firstLine="420" w:firstLineChars="200"/>
              <w:rPr>
                <w:rFonts w:ascii="宋体" w:hAnsi="宋体" w:eastAsia="宋体" w:cs="宋体"/>
                <w:color w:val="auto"/>
                <w:spacing w:val="-1"/>
                <w:szCs w:val="21"/>
                <w:highlight w:val="none"/>
              </w:rPr>
            </w:pPr>
            <w:r>
              <w:rPr>
                <w:rFonts w:hint="eastAsia" w:ascii="宋体" w:hAnsi="宋体" w:eastAsia="宋体" w:cs="宋体"/>
                <w:color w:val="auto"/>
                <w:kern w:val="0"/>
                <w:szCs w:val="21"/>
                <w:highlight w:val="none"/>
                <w:lang w:bidi="ar"/>
              </w:rPr>
              <w:t>显控终端通过网络实现与雷达主机和其他设备之间的通讯连接和信息交互，显控终端实现对雷达数据的可视化展示，并实现对雷达资料进行标准化处理和初级质量控制，生成标准化数据。通过人工干预发送雷达天线控制（PPI、体扫等）、发射控制、标定控制、接收控制、信号处理控制、雷达参数设置等。将采集到的回波数据实时显示到屏幕，支持多屏显示。</w:t>
            </w:r>
          </w:p>
        </w:tc>
        <w:tc>
          <w:tcPr>
            <w:tcW w:w="813" w:type="dxa"/>
            <w:shd w:val="clear" w:color="auto" w:fill="auto"/>
            <w:noWrap/>
            <w:vAlign w:val="center"/>
          </w:tcPr>
          <w:p w14:paraId="077594A3">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p>
        </w:tc>
        <w:tc>
          <w:tcPr>
            <w:tcW w:w="645" w:type="dxa"/>
            <w:shd w:val="clear" w:color="auto" w:fill="auto"/>
            <w:noWrap/>
            <w:vAlign w:val="center"/>
          </w:tcPr>
          <w:p w14:paraId="61D8FD3C">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套</w:t>
            </w:r>
          </w:p>
        </w:tc>
      </w:tr>
      <w:tr w14:paraId="7985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shd w:val="clear" w:color="auto" w:fill="auto"/>
            <w:noWrap/>
            <w:vAlign w:val="center"/>
          </w:tcPr>
          <w:p w14:paraId="0E07D8DD">
            <w:pPr>
              <w:widowControl/>
              <w:snapToGrid w:val="0"/>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4</w:t>
            </w:r>
          </w:p>
        </w:tc>
        <w:tc>
          <w:tcPr>
            <w:tcW w:w="1237" w:type="dxa"/>
            <w:shd w:val="clear" w:color="auto" w:fill="auto"/>
            <w:vAlign w:val="center"/>
          </w:tcPr>
          <w:p w14:paraId="63EBFA88">
            <w:pPr>
              <w:widowControl/>
              <w:snapToGrid w:val="0"/>
              <w:jc w:val="left"/>
              <w:textAlignment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人工影响天气决策支持数据接收处理分析平台</w:t>
            </w:r>
          </w:p>
        </w:tc>
        <w:tc>
          <w:tcPr>
            <w:tcW w:w="4908" w:type="dxa"/>
            <w:shd w:val="clear" w:color="auto" w:fill="auto"/>
            <w:noWrap/>
            <w:vAlign w:val="center"/>
          </w:tcPr>
          <w:p w14:paraId="35859966">
            <w:pPr>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具有“天工”平台数据接口，通信安全；支持 4G/5G 移动网络和卫星通信；支持 DMZ </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VPN</w:t>
            </w:r>
            <w:r>
              <w:rPr>
                <w:rFonts w:hint="eastAsia" w:ascii="宋体" w:hAnsi="宋体" w:eastAsia="宋体" w:cs="宋体"/>
                <w:color w:val="auto"/>
                <w:kern w:val="0"/>
                <w:szCs w:val="21"/>
                <w:highlight w:val="none"/>
                <w:lang w:eastAsia="zh-CN" w:bidi="ar"/>
              </w:rPr>
              <w:t>和</w:t>
            </w:r>
            <w:r>
              <w:rPr>
                <w:rFonts w:hint="eastAsia" w:ascii="宋体" w:hAnsi="宋体" w:eastAsia="宋体" w:cs="宋体"/>
                <w:color w:val="auto"/>
                <w:kern w:val="0"/>
                <w:szCs w:val="21"/>
                <w:highlight w:val="none"/>
                <w:lang w:bidi="ar"/>
              </w:rPr>
              <w:t>无线方式传输可对自动观测设备，X 波段天气雷达和测云雷达等设备信息进行采集；可接入观测方舱数据及周边</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 xml:space="preserve"> 400 公里常规观测和其他观测资料；可对机载探测数据进行接引；对系统接引采集信息和天工系统发布的资料和产品进行显示；支持视频会商。</w:t>
            </w:r>
          </w:p>
        </w:tc>
        <w:tc>
          <w:tcPr>
            <w:tcW w:w="813" w:type="dxa"/>
            <w:shd w:val="clear" w:color="auto" w:fill="auto"/>
            <w:noWrap/>
            <w:vAlign w:val="center"/>
          </w:tcPr>
          <w:p w14:paraId="53AC2AAA">
            <w:pPr>
              <w:widowControl/>
              <w:snapToGrid w:val="0"/>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645" w:type="dxa"/>
            <w:shd w:val="clear" w:color="auto" w:fill="auto"/>
            <w:noWrap/>
            <w:vAlign w:val="center"/>
          </w:tcPr>
          <w:p w14:paraId="7D6CC38A">
            <w:pPr>
              <w:widowControl/>
              <w:snapToGrid w:val="0"/>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r>
    </w:tbl>
    <w:p w14:paraId="24B8A4DD">
      <w:pPr>
        <w:spacing w:line="360" w:lineRule="auto"/>
        <w:outlineLvl w:val="4"/>
        <w:rPr>
          <w:rFonts w:hint="eastAsia" w:eastAsia="宋体"/>
          <w:b/>
          <w:bCs/>
          <w:color w:val="auto"/>
          <w:highlight w:val="none"/>
        </w:rPr>
      </w:pPr>
      <w:r>
        <w:rPr>
          <w:rFonts w:hint="eastAsia" w:eastAsia="宋体"/>
          <w:b/>
          <w:bCs/>
          <w:color w:val="auto"/>
          <w:highlight w:val="none"/>
        </w:rPr>
        <w:t>（3）作业模组</w:t>
      </w:r>
    </w:p>
    <w:p w14:paraId="31CB5BF5">
      <w:pPr>
        <w:spacing w:line="360" w:lineRule="auto"/>
        <w:ind w:firstLine="420" w:firstLineChars="200"/>
        <w:rPr>
          <w:rFonts w:ascii="宋体" w:hAnsi="宋体" w:eastAsia="宋体" w:cs="宋体"/>
          <w:color w:val="auto"/>
          <w:kern w:val="0"/>
          <w:sz w:val="24"/>
          <w:szCs w:val="24"/>
          <w:highlight w:val="none"/>
          <w:lang w:bidi="ar"/>
        </w:rPr>
      </w:pPr>
      <w:r>
        <w:rPr>
          <w:rFonts w:hint="eastAsia" w:eastAsia="宋体"/>
          <w:color w:val="auto"/>
          <w:highlight w:val="none"/>
        </w:rPr>
        <w:t>主要由任务方舱、火箭作业单元、无人机作业单元、弹药临时存储设备以及供电系统等组成，技术性能指标具体见下表：</w:t>
      </w:r>
    </w:p>
    <w:tbl>
      <w:tblPr>
        <w:tblStyle w:val="51"/>
        <w:tblW w:w="8276" w:type="dxa"/>
        <w:jc w:val="center"/>
        <w:tblLayout w:type="fixed"/>
        <w:tblCellMar>
          <w:top w:w="0" w:type="dxa"/>
          <w:left w:w="108" w:type="dxa"/>
          <w:bottom w:w="0" w:type="dxa"/>
          <w:right w:w="108" w:type="dxa"/>
        </w:tblCellMar>
      </w:tblPr>
      <w:tblGrid>
        <w:gridCol w:w="673"/>
        <w:gridCol w:w="916"/>
        <w:gridCol w:w="5361"/>
        <w:gridCol w:w="681"/>
        <w:gridCol w:w="645"/>
      </w:tblGrid>
      <w:tr w14:paraId="2A93F5C2">
        <w:tblPrEx>
          <w:tblCellMar>
            <w:top w:w="0" w:type="dxa"/>
            <w:left w:w="108" w:type="dxa"/>
            <w:bottom w:w="0" w:type="dxa"/>
            <w:right w:w="108" w:type="dxa"/>
          </w:tblCellMar>
        </w:tblPrEx>
        <w:trPr>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35914">
            <w:pPr>
              <w:widowControl/>
              <w:snapToGrid w:val="0"/>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序号</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E918A">
            <w:pPr>
              <w:widowControl/>
              <w:snapToGrid w:val="0"/>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设备内容</w:t>
            </w:r>
          </w:p>
        </w:tc>
        <w:tc>
          <w:tcPr>
            <w:tcW w:w="5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780A">
            <w:pPr>
              <w:widowControl/>
              <w:snapToGrid w:val="0"/>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主要性能指标</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65018">
            <w:pPr>
              <w:widowControl/>
              <w:snapToGrid w:val="0"/>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数量</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E067E">
            <w:pPr>
              <w:widowControl/>
              <w:snapToGrid w:val="0"/>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单位</w:t>
            </w:r>
          </w:p>
        </w:tc>
      </w:tr>
      <w:tr w14:paraId="0A3F9704">
        <w:tblPrEx>
          <w:tblCellMar>
            <w:top w:w="0" w:type="dxa"/>
            <w:left w:w="108" w:type="dxa"/>
            <w:bottom w:w="0" w:type="dxa"/>
            <w:right w:w="108" w:type="dxa"/>
          </w:tblCellMar>
        </w:tblPrEx>
        <w:trPr>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377EC">
            <w:pPr>
              <w:widowControl/>
              <w:snapToGrid w:val="0"/>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6ABDA">
            <w:pPr>
              <w:widowControl/>
              <w:snapToGrid w:val="0"/>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任务方舱</w:t>
            </w:r>
          </w:p>
        </w:tc>
        <w:tc>
          <w:tcPr>
            <w:tcW w:w="5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1EBE">
            <w:pPr>
              <w:widowControl/>
              <w:snapToGrid w:val="0"/>
              <w:ind w:firstLine="420" w:firstLineChars="200"/>
              <w:textAlignment w:val="center"/>
              <w:rPr>
                <w:rFonts w:ascii="宋体" w:hAnsi="宋体" w:eastAsia="宋体" w:cs="宋体"/>
                <w:b/>
                <w:bCs/>
                <w:color w:val="auto"/>
                <w:szCs w:val="21"/>
                <w:highlight w:val="none"/>
              </w:rPr>
            </w:pPr>
            <w:r>
              <w:rPr>
                <w:rFonts w:hint="eastAsia" w:ascii="宋体" w:hAnsi="宋体" w:eastAsia="宋体" w:cs="宋体"/>
                <w:color w:val="auto"/>
                <w:kern w:val="0"/>
                <w:szCs w:val="21"/>
                <w:highlight w:val="none"/>
                <w:lang w:bidi="ar"/>
              </w:rPr>
              <w:t>主要由设备舱、供电系统、录像设备、方舱升降机构、</w:t>
            </w:r>
            <w:r>
              <w:rPr>
                <w:rFonts w:ascii="宋体" w:hAnsi="宋体" w:eastAsia="宋体" w:cs="宋体"/>
                <w:color w:val="auto"/>
                <w:kern w:val="0"/>
                <w:szCs w:val="21"/>
                <w:highlight w:val="none"/>
                <w:lang w:bidi="ar"/>
              </w:rPr>
              <w:t>方舱调平仪等组成</w:t>
            </w: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具备无人机作业单元、移动式火箭发射装置、液压转运平台和弹药临时储运箱装载能力。</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6D451">
            <w:pPr>
              <w:snapToGrid w:val="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799E4">
            <w:pPr>
              <w:snapToGrid w:val="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套</w:t>
            </w:r>
          </w:p>
        </w:tc>
      </w:tr>
      <w:tr w14:paraId="0FD243EA">
        <w:tblPrEx>
          <w:tblCellMar>
            <w:top w:w="0" w:type="dxa"/>
            <w:left w:w="108" w:type="dxa"/>
            <w:bottom w:w="0" w:type="dxa"/>
            <w:right w:w="108" w:type="dxa"/>
          </w:tblCellMar>
        </w:tblPrEx>
        <w:trPr>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7AF8">
            <w:pPr>
              <w:widowControl/>
              <w:snapToGrid w:val="0"/>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1.1</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C61F">
            <w:pPr>
              <w:widowControl/>
              <w:snapToGrid w:val="0"/>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方舱主厢体</w:t>
            </w:r>
          </w:p>
        </w:tc>
        <w:tc>
          <w:tcPr>
            <w:tcW w:w="5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92279">
            <w:pPr>
              <w:widowControl/>
              <w:numPr>
                <w:ilvl w:val="0"/>
                <w:numId w:val="0"/>
              </w:numPr>
              <w:snapToGrid w:val="0"/>
              <w:textAlignment w:val="center"/>
              <w:rPr>
                <w:rFonts w:ascii="宋体" w:hAnsi="宋体" w:eastAsia="宋体" w:cs="宋体"/>
                <w:color w:val="auto"/>
                <w:kern w:val="0"/>
                <w:szCs w:val="21"/>
                <w:highlight w:val="none"/>
                <w:lang w:bidi="ar"/>
              </w:rPr>
            </w:pP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Cs w:val="21"/>
                <w:highlight w:val="none"/>
                <w:lang w:bidi="ar"/>
              </w:rPr>
              <w:t>采用直角方舱，外形宽度≤2438mm，配备 8 个角安装方舱角件，厢体按钢骨架铝合金蒙皮进行制作</w:t>
            </w:r>
            <w:r>
              <w:rPr>
                <w:rFonts w:hint="eastAsia" w:ascii="宋体" w:hAnsi="宋体" w:eastAsia="宋体" w:cs="宋体"/>
                <w:color w:val="auto"/>
                <w:kern w:val="0"/>
                <w:szCs w:val="21"/>
                <w:highlight w:val="none"/>
                <w:lang w:eastAsia="zh-CN" w:bidi="ar"/>
              </w:rPr>
              <w:t>。</w:t>
            </w:r>
          </w:p>
          <w:p w14:paraId="7F507B2A">
            <w:pPr>
              <w:widowControl/>
              <w:numPr>
                <w:ilvl w:val="0"/>
                <w:numId w:val="0"/>
              </w:numPr>
              <w:snapToGrid w:val="0"/>
              <w:textAlignment w:val="center"/>
              <w:rPr>
                <w:rFonts w:ascii="宋体" w:hAnsi="宋体" w:eastAsia="宋体" w:cs="宋体"/>
                <w:color w:val="auto"/>
                <w:kern w:val="0"/>
                <w:szCs w:val="21"/>
                <w:highlight w:val="none"/>
                <w:lang w:bidi="ar"/>
              </w:rPr>
            </w:pP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Cs w:val="21"/>
                <w:highlight w:val="none"/>
                <w:lang w:bidi="ar"/>
              </w:rPr>
              <w:t>外蒙皮选用厚度≥2mm 铝板，选用高密度的阻燃聚氨酯泡沫作为夹芯层（隔热芯材），大板中所用的骨架为钢骨架焊接而成，内外蒙皮与骨架粘接固定, 厢体骨架整体防腐处理，以保证骨架的防腐能力。</w:t>
            </w:r>
          </w:p>
          <w:p w14:paraId="2BDFA75F">
            <w:pPr>
              <w:widowControl/>
              <w:numPr>
                <w:ilvl w:val="0"/>
                <w:numId w:val="0"/>
              </w:numPr>
              <w:snapToGrid w:val="0"/>
              <w:textAlignment w:val="center"/>
              <w:rPr>
                <w:rFonts w:ascii="宋体" w:hAnsi="宋体" w:eastAsia="宋体" w:cs="宋体"/>
                <w:color w:val="auto"/>
                <w:kern w:val="0"/>
                <w:szCs w:val="21"/>
                <w:highlight w:val="none"/>
                <w:lang w:bidi="ar"/>
              </w:rPr>
            </w:pP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Cs w:val="21"/>
                <w:highlight w:val="none"/>
                <w:lang w:bidi="ar"/>
              </w:rPr>
              <w:t>内饰型材及外包型材、门结构采用铝型材。各开孔和承重处均设置骨架的预埋件，满足车厢的承重要求和安装要求。</w:t>
            </w:r>
          </w:p>
          <w:p w14:paraId="685B3BC9">
            <w:pPr>
              <w:widowControl/>
              <w:snapToGrid w:val="0"/>
              <w:textAlignment w:val="center"/>
              <w:rPr>
                <w:rFonts w:hint="default" w:eastAsia="宋体"/>
                <w:color w:val="auto"/>
                <w:highlight w:val="none"/>
                <w:lang w:val="en-US" w:eastAsia="zh-CN"/>
              </w:rPr>
            </w:pPr>
            <w:r>
              <w:rPr>
                <w:rFonts w:hint="eastAsia" w:ascii="宋体" w:hAnsi="宋体" w:cs="宋体"/>
                <w:color w:val="auto"/>
                <w:kern w:val="0"/>
                <w:szCs w:val="21"/>
                <w:highlight w:val="none"/>
                <w:lang w:val="en-US" w:eastAsia="zh-CN" w:bidi="ar"/>
              </w:rPr>
              <w:t>4.</w:t>
            </w:r>
            <w:r>
              <w:rPr>
                <w:rFonts w:hint="eastAsia" w:ascii="宋体" w:hAnsi="宋体" w:eastAsia="宋体" w:cs="宋体"/>
                <w:color w:val="auto"/>
                <w:kern w:val="0"/>
                <w:szCs w:val="21"/>
                <w:highlight w:val="none"/>
                <w:lang w:bidi="ar"/>
              </w:rPr>
              <w:t>舱体尺寸适配指挥模组载车底盘。</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5BAFF">
            <w:pPr>
              <w:widowControl/>
              <w:snapToGrid w:val="0"/>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68677">
            <w:pPr>
              <w:widowControl/>
              <w:snapToGrid w:val="0"/>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个</w:t>
            </w:r>
          </w:p>
        </w:tc>
      </w:tr>
      <w:tr w14:paraId="600644CD">
        <w:tblPrEx>
          <w:tblCellMar>
            <w:top w:w="0" w:type="dxa"/>
            <w:left w:w="108" w:type="dxa"/>
            <w:bottom w:w="0" w:type="dxa"/>
            <w:right w:w="108" w:type="dxa"/>
          </w:tblCellMar>
        </w:tblPrEx>
        <w:trPr>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37663">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1.2</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5ACC">
            <w:pPr>
              <w:widowControl/>
              <w:snapToGrid w:val="0"/>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厢体配套设施</w:t>
            </w:r>
          </w:p>
          <w:p w14:paraId="2932335B">
            <w:pPr>
              <w:widowControl/>
              <w:snapToGrid w:val="0"/>
              <w:jc w:val="center"/>
              <w:textAlignment w:val="center"/>
              <w:rPr>
                <w:rFonts w:ascii="宋体" w:hAnsi="宋体" w:eastAsia="宋体" w:cs="宋体"/>
                <w:color w:val="auto"/>
                <w:szCs w:val="21"/>
                <w:highlight w:val="none"/>
              </w:rPr>
            </w:pPr>
          </w:p>
        </w:tc>
        <w:tc>
          <w:tcPr>
            <w:tcW w:w="5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9C1F4">
            <w:pPr>
              <w:widowControl/>
              <w:tabs>
                <w:tab w:val="left" w:pos="312"/>
              </w:tabs>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r>
              <w:rPr>
                <w:rFonts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bidi="ar"/>
              </w:rPr>
              <w:t>舱体自卸举升机构</w:t>
            </w:r>
          </w:p>
          <w:p w14:paraId="51A9A493">
            <w:pPr>
              <w:widowControl/>
              <w:snapToGrid w:val="0"/>
              <w:ind w:firstLine="420" w:firstLineChars="20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）额定提升重量：满足舱体设计使用重量要求，并具备</w:t>
            </w:r>
            <w:r>
              <w:rPr>
                <w:rFonts w:ascii="宋体" w:hAnsi="宋体" w:eastAsia="宋体" w:cs="宋体"/>
                <w:color w:val="auto"/>
                <w:kern w:val="0"/>
                <w:szCs w:val="21"/>
                <w:highlight w:val="none"/>
                <w:lang w:bidi="ar"/>
              </w:rPr>
              <w:t xml:space="preserve">30%以上冗余能力； </w:t>
            </w:r>
          </w:p>
          <w:p w14:paraId="671B4791">
            <w:pPr>
              <w:widowControl/>
              <w:snapToGrid w:val="0"/>
              <w:ind w:firstLine="420" w:firstLineChars="20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 xml:space="preserve">额定举升高度：≥1500mm； </w:t>
            </w:r>
          </w:p>
          <w:p w14:paraId="3EAD6FC3">
            <w:pPr>
              <w:widowControl/>
              <w:snapToGrid w:val="0"/>
              <w:ind w:firstLine="420" w:firstLineChars="20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cs="宋体"/>
                <w:color w:val="auto"/>
                <w:kern w:val="0"/>
                <w:szCs w:val="21"/>
                <w:highlight w:val="none"/>
                <w:lang w:val="en-US" w:eastAsia="zh-CN" w:bidi="ar"/>
              </w:rPr>
              <w:t>3</w:t>
            </w: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 xml:space="preserve">升降时间(单程)：≤15min； </w:t>
            </w:r>
          </w:p>
          <w:p w14:paraId="014E9005">
            <w:pPr>
              <w:widowControl/>
              <w:snapToGrid w:val="0"/>
              <w:ind w:firstLine="420" w:firstLineChars="20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cs="宋体"/>
                <w:color w:val="auto"/>
                <w:kern w:val="0"/>
                <w:szCs w:val="21"/>
                <w:highlight w:val="none"/>
                <w:lang w:val="en-US" w:eastAsia="zh-CN" w:bidi="ar"/>
              </w:rPr>
              <w:t>4</w:t>
            </w: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 xml:space="preserve">调平时间：＜3min（6m 长方舱所需时间）； </w:t>
            </w:r>
          </w:p>
          <w:p w14:paraId="63990DC1">
            <w:pPr>
              <w:widowControl/>
              <w:snapToGrid w:val="0"/>
              <w:ind w:firstLine="420" w:firstLineChars="20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cs="宋体"/>
                <w:color w:val="auto"/>
                <w:kern w:val="0"/>
                <w:szCs w:val="21"/>
                <w:highlight w:val="none"/>
                <w:lang w:val="en-US" w:eastAsia="zh-CN" w:bidi="ar"/>
              </w:rPr>
              <w:t>5</w:t>
            </w: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 xml:space="preserve">调平精度：≤0.5 度； </w:t>
            </w:r>
          </w:p>
          <w:p w14:paraId="79AC2B1A">
            <w:pPr>
              <w:widowControl/>
              <w:snapToGrid w:val="0"/>
              <w:ind w:firstLine="420" w:firstLineChars="20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cs="宋体"/>
                <w:color w:val="auto"/>
                <w:kern w:val="0"/>
                <w:szCs w:val="21"/>
                <w:highlight w:val="none"/>
                <w:lang w:val="en-US" w:eastAsia="zh-CN" w:bidi="ar"/>
              </w:rPr>
              <w:t>6</w:t>
            </w: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工作方式：液压或电动（可手动）。</w:t>
            </w:r>
          </w:p>
          <w:p w14:paraId="584B4871">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2.发电机检修门：</w:t>
            </w:r>
            <w:r>
              <w:rPr>
                <w:rFonts w:ascii="宋体" w:hAnsi="宋体" w:eastAsia="宋体" w:cs="宋体"/>
                <w:color w:val="auto"/>
                <w:kern w:val="0"/>
                <w:szCs w:val="21"/>
                <w:highlight w:val="none"/>
                <w:lang w:bidi="ar"/>
              </w:rPr>
              <w:t>采用高强度铝合金结构，门板上配备百叶窗式格栅，用于设备通风散热。</w:t>
            </w:r>
          </w:p>
          <w:p w14:paraId="3256FD7D">
            <w:pPr>
              <w:widowControl/>
              <w:tabs>
                <w:tab w:val="left" w:pos="312"/>
              </w:tabs>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3.舱体地板：花纹铝板。</w:t>
            </w:r>
          </w:p>
          <w:p w14:paraId="2F931350">
            <w:pPr>
              <w:widowControl/>
              <w:tabs>
                <w:tab w:val="left" w:pos="312"/>
              </w:tabs>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4.舱内基础内饰：</w:t>
            </w:r>
            <w:r>
              <w:rPr>
                <w:rFonts w:ascii="宋体" w:hAnsi="宋体" w:eastAsia="宋体" w:cs="宋体"/>
                <w:color w:val="auto"/>
                <w:kern w:val="0"/>
                <w:szCs w:val="21"/>
                <w:highlight w:val="none"/>
                <w:lang w:bidi="ar"/>
              </w:rPr>
              <w:t>对厢体内部进行平整处理，发电区墙面喷漆处理。</w:t>
            </w:r>
          </w:p>
          <w:p w14:paraId="61308298">
            <w:pPr>
              <w:widowControl/>
              <w:tabs>
                <w:tab w:val="left" w:pos="312"/>
              </w:tabs>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5.油漆及外饰：</w:t>
            </w:r>
            <w:r>
              <w:rPr>
                <w:rFonts w:ascii="宋体" w:hAnsi="宋体" w:eastAsia="宋体" w:cs="宋体"/>
                <w:color w:val="auto"/>
                <w:kern w:val="0"/>
                <w:szCs w:val="21"/>
                <w:highlight w:val="none"/>
                <w:lang w:bidi="ar"/>
              </w:rPr>
              <w:t>专业烤漆房烤漆，外观贴字</w:t>
            </w:r>
            <w:r>
              <w:rPr>
                <w:rFonts w:hint="eastAsia" w:ascii="宋体" w:hAnsi="宋体" w:eastAsia="宋体" w:cs="宋体"/>
                <w:color w:val="auto"/>
                <w:kern w:val="0"/>
                <w:szCs w:val="21"/>
                <w:highlight w:val="none"/>
                <w:lang w:bidi="ar"/>
              </w:rPr>
              <w:t>可</w:t>
            </w:r>
            <w:r>
              <w:rPr>
                <w:rFonts w:ascii="宋体" w:hAnsi="宋体" w:eastAsia="宋体" w:cs="宋体"/>
                <w:color w:val="auto"/>
                <w:kern w:val="0"/>
                <w:szCs w:val="21"/>
                <w:highlight w:val="none"/>
                <w:lang w:bidi="ar"/>
              </w:rPr>
              <w:t>根据</w:t>
            </w:r>
            <w:r>
              <w:rPr>
                <w:rFonts w:hint="eastAsia" w:ascii="宋体" w:hAnsi="宋体" w:eastAsia="宋体" w:cs="宋体"/>
                <w:color w:val="auto"/>
                <w:kern w:val="0"/>
                <w:szCs w:val="21"/>
                <w:highlight w:val="none"/>
                <w:lang w:val="en-US" w:eastAsia="zh-CN" w:bidi="ar"/>
              </w:rPr>
              <w:t>采购人</w:t>
            </w:r>
            <w:r>
              <w:rPr>
                <w:rFonts w:ascii="宋体" w:hAnsi="宋体" w:eastAsia="宋体" w:cs="宋体"/>
                <w:color w:val="auto"/>
                <w:kern w:val="0"/>
                <w:szCs w:val="21"/>
                <w:highlight w:val="none"/>
                <w:lang w:bidi="ar"/>
              </w:rPr>
              <w:t>需求</w:t>
            </w:r>
            <w:r>
              <w:rPr>
                <w:rFonts w:hint="eastAsia" w:ascii="宋体" w:hAnsi="宋体" w:eastAsia="宋体" w:cs="宋体"/>
                <w:color w:val="auto"/>
                <w:kern w:val="0"/>
                <w:szCs w:val="21"/>
                <w:highlight w:val="none"/>
                <w:lang w:bidi="ar"/>
              </w:rPr>
              <w:t>定制</w:t>
            </w:r>
            <w:r>
              <w:rPr>
                <w:rFonts w:ascii="宋体" w:hAnsi="宋体" w:eastAsia="宋体" w:cs="宋体"/>
                <w:color w:val="auto"/>
                <w:kern w:val="0"/>
                <w:szCs w:val="21"/>
                <w:highlight w:val="none"/>
                <w:lang w:bidi="ar"/>
              </w:rPr>
              <w:t>。</w:t>
            </w:r>
          </w:p>
          <w:p w14:paraId="46376CD5">
            <w:pPr>
              <w:widowControl/>
              <w:tabs>
                <w:tab w:val="left" w:pos="312"/>
              </w:tabs>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6.车内外照明：</w:t>
            </w:r>
            <w:r>
              <w:rPr>
                <w:rFonts w:ascii="宋体" w:hAnsi="宋体" w:eastAsia="宋体" w:cs="宋体"/>
                <w:color w:val="auto"/>
                <w:kern w:val="0"/>
                <w:szCs w:val="21"/>
                <w:highlight w:val="none"/>
                <w:lang w:bidi="ar"/>
              </w:rPr>
              <w:t xml:space="preserve"> LED 照明灯满足工作及车外场地照明需求。</w:t>
            </w:r>
          </w:p>
          <w:p w14:paraId="6E9971CA">
            <w:pPr>
              <w:widowControl/>
              <w:tabs>
                <w:tab w:val="left" w:pos="312"/>
              </w:tabs>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7.其他辅助设施：</w:t>
            </w:r>
            <w:r>
              <w:rPr>
                <w:rFonts w:ascii="宋体" w:hAnsi="宋体" w:eastAsia="宋体" w:cs="宋体"/>
                <w:color w:val="auto"/>
                <w:kern w:val="0"/>
                <w:szCs w:val="21"/>
                <w:highlight w:val="none"/>
                <w:lang w:bidi="ar"/>
              </w:rPr>
              <w:t>配备灭火器、综合布线、集成制作等附件耗材，包含波纹管、胶带、扎带、接插件等。</w:t>
            </w:r>
          </w:p>
          <w:p w14:paraId="60614DB6">
            <w:pPr>
              <w:widowControl/>
              <w:tabs>
                <w:tab w:val="left" w:pos="312"/>
              </w:tabs>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 w:val="21"/>
                <w:szCs w:val="21"/>
                <w:highlight w:val="none"/>
                <w:lang w:val="en-US" w:eastAsia="zh-CN" w:bidi="ar"/>
              </w:rPr>
              <w:t>8.具备人工影响天气作业使用焰条的储运功能。</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A2642">
            <w:pPr>
              <w:widowControl/>
              <w:snapToGrid w:val="0"/>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02B8">
            <w:pPr>
              <w:widowControl/>
              <w:snapToGrid w:val="0"/>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套</w:t>
            </w:r>
          </w:p>
        </w:tc>
      </w:tr>
      <w:tr w14:paraId="68EC5685">
        <w:tblPrEx>
          <w:tblCellMar>
            <w:top w:w="0" w:type="dxa"/>
            <w:left w:w="108" w:type="dxa"/>
            <w:bottom w:w="0" w:type="dxa"/>
            <w:right w:w="108" w:type="dxa"/>
          </w:tblCellMar>
        </w:tblPrEx>
        <w:trPr>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990A6">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25BB">
            <w:pPr>
              <w:widowControl/>
              <w:snapToGrid w:val="0"/>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供电系统</w:t>
            </w:r>
          </w:p>
        </w:tc>
        <w:tc>
          <w:tcPr>
            <w:tcW w:w="5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33ACB">
            <w:pPr>
              <w:widowControl/>
              <w:snapToGrid w:val="0"/>
              <w:ind w:firstLine="210" w:firstLineChars="10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具备1路</w:t>
            </w:r>
            <w:r>
              <w:rPr>
                <w:rFonts w:hint="eastAsia"/>
                <w:color w:val="auto"/>
                <w:highlight w:val="none"/>
                <w:lang w:val="en-US" w:eastAsia="zh-CN"/>
              </w:rPr>
              <w:t>三相四线</w:t>
            </w:r>
            <w:r>
              <w:rPr>
                <w:rFonts w:hint="eastAsia" w:ascii="宋体" w:hAnsi="宋体" w:eastAsia="宋体" w:cs="宋体"/>
                <w:color w:val="auto"/>
                <w:kern w:val="0"/>
                <w:szCs w:val="21"/>
                <w:highlight w:val="none"/>
                <w:lang w:bidi="ar"/>
              </w:rPr>
              <w:t>380V或1路 220V 市电供电，1路发电机供电接口，做好标识。供电方式可以切换。满足市电、发电机、UPS 不间断供电要求。通过舱体对外提供供电及接地的转接板，当外部电源接至转接板后，内部通过配电箱给各设备供电。</w:t>
            </w:r>
          </w:p>
          <w:p w14:paraId="5ABE8840">
            <w:pPr>
              <w:widowControl/>
              <w:snapToGrid w:val="0"/>
              <w:textAlignment w:val="center"/>
              <w:rPr>
                <w:rFonts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市电接入</w:t>
            </w:r>
          </w:p>
          <w:p w14:paraId="6BF5104E">
            <w:pPr>
              <w:widowControl/>
              <w:snapToGrid w:val="0"/>
              <w:ind w:firstLine="420" w:firstLineChars="20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具备1路供电电压 380×（1±10%）V、频率 50×（1±5%）Hz或1路供电电压220×1±10%）V、频率 50×（1±5%）Hz，总功率可满足方舱内所有用电设备正常运行，并预留不低于30%功率冗余，配备满足功率的手动或电动市电线缆轴长度</w:t>
            </w:r>
            <w:r>
              <w:rPr>
                <w:rFonts w:hint="eastAsia" w:ascii="宋体" w:hAnsi="宋体" w:eastAsia="宋体" w:cs="宋体"/>
                <w:color w:val="auto"/>
                <w:kern w:val="0"/>
                <w:szCs w:val="21"/>
                <w:highlight w:val="none"/>
                <w:lang w:eastAsia="zh-CN" w:bidi="ar"/>
              </w:rPr>
              <w:t>不小于</w:t>
            </w:r>
            <w:r>
              <w:rPr>
                <w:rFonts w:hint="eastAsia" w:ascii="宋体" w:hAnsi="宋体" w:eastAsia="宋体" w:cs="宋体"/>
                <w:color w:val="auto"/>
                <w:kern w:val="0"/>
                <w:szCs w:val="21"/>
                <w:highlight w:val="none"/>
                <w:lang w:bidi="ar"/>
              </w:rPr>
              <w:t>45米；配备满足功率的市电对接插头。</w:t>
            </w:r>
          </w:p>
          <w:p w14:paraId="40996F20">
            <w:pPr>
              <w:widowControl/>
              <w:snapToGrid w:val="0"/>
              <w:textAlignment w:val="center"/>
              <w:rPr>
                <w:rFonts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静音发电机</w:t>
            </w:r>
          </w:p>
          <w:p w14:paraId="07EC6815">
            <w:pPr>
              <w:widowControl/>
              <w:snapToGrid w:val="0"/>
              <w:ind w:firstLine="420" w:firstLineChars="20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）额定频率：50 HZ；</w:t>
            </w:r>
          </w:p>
          <w:p w14:paraId="406728A3">
            <w:pPr>
              <w:widowControl/>
              <w:snapToGrid w:val="0"/>
              <w:ind w:firstLine="420" w:firstLineChars="20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）额定输出功率：可满足方舱内所有用电设备正常运行，并预留不低于 30%功率冗余；</w:t>
            </w:r>
          </w:p>
          <w:p w14:paraId="37F0C333">
            <w:pPr>
              <w:widowControl/>
              <w:snapToGrid w:val="0"/>
              <w:ind w:firstLine="420" w:firstLineChars="20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cs="宋体"/>
                <w:color w:val="auto"/>
                <w:kern w:val="0"/>
                <w:szCs w:val="21"/>
                <w:highlight w:val="none"/>
                <w:lang w:val="en-US" w:eastAsia="zh-CN" w:bidi="ar"/>
              </w:rPr>
              <w:t>3</w:t>
            </w:r>
            <w:r>
              <w:rPr>
                <w:rFonts w:hint="eastAsia" w:ascii="宋体" w:hAnsi="宋体" w:eastAsia="宋体" w:cs="宋体"/>
                <w:color w:val="auto"/>
                <w:kern w:val="0"/>
                <w:szCs w:val="21"/>
                <w:highlight w:val="none"/>
                <w:lang w:bidi="ar"/>
              </w:rPr>
              <w:t>）额定电压：230 V 或 400 V；</w:t>
            </w:r>
          </w:p>
          <w:p w14:paraId="7EA00F2D">
            <w:pPr>
              <w:widowControl/>
              <w:snapToGrid w:val="0"/>
              <w:ind w:firstLine="420" w:firstLineChars="20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cs="宋体"/>
                <w:color w:val="auto"/>
                <w:kern w:val="0"/>
                <w:szCs w:val="21"/>
                <w:highlight w:val="none"/>
                <w:lang w:val="en-US" w:eastAsia="zh-CN" w:bidi="ar"/>
              </w:rPr>
              <w:t>4</w:t>
            </w:r>
            <w:r>
              <w:rPr>
                <w:rFonts w:hint="eastAsia" w:ascii="宋体" w:hAnsi="宋体" w:eastAsia="宋体" w:cs="宋体"/>
                <w:color w:val="auto"/>
                <w:kern w:val="0"/>
                <w:szCs w:val="21"/>
                <w:highlight w:val="none"/>
                <w:lang w:bidi="ar"/>
              </w:rPr>
              <w:t>）噪音（1m 处）：≤75 dB(A)。</w:t>
            </w:r>
          </w:p>
          <w:p w14:paraId="74AF1E47">
            <w:pPr>
              <w:widowControl/>
              <w:snapToGrid w:val="0"/>
              <w:textAlignment w:val="center"/>
              <w:rPr>
                <w:rFonts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bidi="ar"/>
              </w:rPr>
              <w:t>3.</w:t>
            </w:r>
            <w:r>
              <w:rPr>
                <w:rFonts w:hint="eastAsia" w:ascii="宋体" w:hAnsi="宋体" w:eastAsia="宋体" w:cs="宋体"/>
                <w:color w:val="auto"/>
                <w:kern w:val="0"/>
                <w:szCs w:val="21"/>
                <w:highlight w:val="none"/>
                <w:lang w:bidi="ar"/>
              </w:rPr>
              <w:t>配电箱</w:t>
            </w:r>
          </w:p>
          <w:p w14:paraId="40295B87">
            <w:pPr>
              <w:widowControl/>
              <w:snapToGrid w:val="0"/>
              <w:ind w:firstLine="420" w:firstLineChars="20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集中式电源管理系统，含电源漏电保护、开关、电源电压电流显示等，开关分别控制空调、设备用电等；配电盘面板为数控机床加工，表面喷塑处理。</w:t>
            </w:r>
          </w:p>
          <w:p w14:paraId="792C47E1">
            <w:pPr>
              <w:widowControl/>
              <w:snapToGrid w:val="0"/>
              <w:textAlignment w:val="center"/>
              <w:rPr>
                <w:rFonts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bidi="ar"/>
              </w:rPr>
              <w:t>4.</w:t>
            </w:r>
            <w:r>
              <w:rPr>
                <w:rFonts w:hint="eastAsia" w:ascii="宋体" w:hAnsi="宋体" w:eastAsia="宋体" w:cs="宋体"/>
                <w:color w:val="auto"/>
                <w:kern w:val="0"/>
                <w:szCs w:val="21"/>
                <w:highlight w:val="none"/>
                <w:lang w:bidi="ar"/>
              </w:rPr>
              <w:t>舱体接地</w:t>
            </w:r>
          </w:p>
          <w:p w14:paraId="0A115809">
            <w:pPr>
              <w:widowControl/>
              <w:snapToGrid w:val="0"/>
              <w:ind w:firstLine="420" w:firstLineChars="20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含接地桩、接地线，电源防浪涌装置。</w:t>
            </w:r>
          </w:p>
          <w:p w14:paraId="7825B78C">
            <w:pPr>
              <w:widowControl/>
              <w:snapToGrid w:val="0"/>
              <w:textAlignment w:val="center"/>
              <w:rPr>
                <w:rFonts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bidi="ar"/>
              </w:rPr>
              <w:t>5.</w:t>
            </w:r>
            <w:r>
              <w:rPr>
                <w:rFonts w:hint="eastAsia" w:ascii="宋体" w:hAnsi="宋体" w:eastAsia="宋体" w:cs="宋体"/>
                <w:color w:val="auto"/>
                <w:kern w:val="0"/>
                <w:szCs w:val="21"/>
                <w:highlight w:val="none"/>
                <w:lang w:bidi="ar"/>
              </w:rPr>
              <w:t>对外接口板</w:t>
            </w:r>
          </w:p>
          <w:p w14:paraId="6479D05A">
            <w:pPr>
              <w:widowControl/>
              <w:snapToGrid w:val="0"/>
              <w:ind w:firstLine="420" w:firstLineChars="20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含电源、数据传输接口。</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3032">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4EBD1">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套</w:t>
            </w:r>
          </w:p>
        </w:tc>
      </w:tr>
      <w:tr w14:paraId="2B34F90E">
        <w:tblPrEx>
          <w:tblCellMar>
            <w:top w:w="0" w:type="dxa"/>
            <w:left w:w="108" w:type="dxa"/>
            <w:bottom w:w="0" w:type="dxa"/>
            <w:right w:w="108" w:type="dxa"/>
          </w:tblCellMar>
        </w:tblPrEx>
        <w:trPr>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BC7D">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1.4</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BA89">
            <w:pPr>
              <w:rPr>
                <w:color w:val="auto"/>
                <w:highlight w:val="none"/>
              </w:rPr>
            </w:pPr>
            <w:r>
              <w:rPr>
                <w:rFonts w:hint="eastAsia" w:ascii="宋体" w:hAnsi="宋体" w:eastAsia="宋体" w:cs="宋体"/>
                <w:color w:val="auto"/>
                <w:szCs w:val="21"/>
                <w:highlight w:val="none"/>
              </w:rPr>
              <w:t>北斗定位系统</w:t>
            </w:r>
          </w:p>
          <w:p w14:paraId="15A2DF37">
            <w:pPr>
              <w:widowControl/>
              <w:snapToGrid w:val="0"/>
              <w:jc w:val="center"/>
              <w:textAlignment w:val="center"/>
              <w:rPr>
                <w:rFonts w:ascii="宋体" w:hAnsi="宋体" w:eastAsia="宋体" w:cs="宋体"/>
                <w:color w:val="auto"/>
                <w:kern w:val="0"/>
                <w:szCs w:val="21"/>
                <w:highlight w:val="none"/>
                <w:lang w:bidi="ar"/>
              </w:rPr>
            </w:pPr>
          </w:p>
        </w:tc>
        <w:tc>
          <w:tcPr>
            <w:tcW w:w="5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76389">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配备北斗全球导航定位系统：</w:t>
            </w:r>
          </w:p>
          <w:p w14:paraId="7BA0E53A">
            <w:pPr>
              <w:widowControl/>
              <w:snapToGrid w:val="0"/>
              <w:textAlignment w:val="center"/>
              <w:rPr>
                <w:rFonts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 xml:space="preserve">定位功能：具备支持单独使用北斗定位功能； </w:t>
            </w:r>
          </w:p>
          <w:p w14:paraId="5639AF43">
            <w:pPr>
              <w:widowControl/>
              <w:snapToGrid w:val="0"/>
              <w:textAlignment w:val="center"/>
              <w:rPr>
                <w:rFonts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bidi="ar"/>
              </w:rPr>
              <w:t>2.</w:t>
            </w:r>
            <w:r>
              <w:rPr>
                <w:rFonts w:ascii="宋体" w:hAnsi="宋体" w:eastAsia="宋体" w:cs="宋体"/>
                <w:color w:val="auto"/>
                <w:kern w:val="0"/>
                <w:szCs w:val="21"/>
                <w:highlight w:val="none"/>
                <w:lang w:bidi="ar"/>
              </w:rPr>
              <w:t xml:space="preserve">定位精度：≤5m；测速精度：≤0.2m/s； </w:t>
            </w:r>
          </w:p>
          <w:p w14:paraId="2C8E6BC0">
            <w:pPr>
              <w:widowControl/>
              <w:snapToGrid w:val="0"/>
              <w:textAlignment w:val="center"/>
              <w:rPr>
                <w:rFonts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bidi="ar"/>
              </w:rPr>
              <w:t>3.</w:t>
            </w:r>
            <w:r>
              <w:rPr>
                <w:rFonts w:ascii="宋体" w:hAnsi="宋体" w:eastAsia="宋体" w:cs="宋体"/>
                <w:color w:val="auto"/>
                <w:kern w:val="0"/>
                <w:szCs w:val="21"/>
                <w:highlight w:val="none"/>
                <w:lang w:bidi="ar"/>
              </w:rPr>
              <w:t xml:space="preserve">首次定位时间：冷启动≤120 秒，热启动≤10 秒； </w:t>
            </w:r>
          </w:p>
          <w:p w14:paraId="04034FA9">
            <w:pPr>
              <w:widowControl/>
              <w:snapToGrid w:val="0"/>
              <w:textAlignment w:val="center"/>
              <w:rPr>
                <w:rFonts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bidi="ar"/>
              </w:rPr>
              <w:t>4.</w:t>
            </w:r>
            <w:r>
              <w:rPr>
                <w:rFonts w:ascii="宋体" w:hAnsi="宋体" w:eastAsia="宋体" w:cs="宋体"/>
                <w:color w:val="auto"/>
                <w:kern w:val="0"/>
                <w:szCs w:val="21"/>
                <w:highlight w:val="none"/>
                <w:lang w:bidi="ar"/>
              </w:rPr>
              <w:t xml:space="preserve">接收频率：支持北斗 B1 频段； </w:t>
            </w:r>
          </w:p>
          <w:p w14:paraId="0DA5C523">
            <w:pPr>
              <w:widowControl/>
              <w:snapToGrid w:val="0"/>
              <w:textAlignment w:val="center"/>
              <w:rPr>
                <w:rFonts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bidi="ar"/>
              </w:rPr>
              <w:t>5.</w:t>
            </w:r>
            <w:r>
              <w:rPr>
                <w:rFonts w:ascii="宋体" w:hAnsi="宋体" w:eastAsia="宋体" w:cs="宋体"/>
                <w:color w:val="auto"/>
                <w:kern w:val="0"/>
                <w:szCs w:val="21"/>
                <w:highlight w:val="none"/>
                <w:lang w:bidi="ar"/>
              </w:rPr>
              <w:t xml:space="preserve">捕获灵敏度：≤-133dBm；跟踪灵敏度：≤-147dBm； </w:t>
            </w:r>
          </w:p>
          <w:p w14:paraId="58D3E5EB">
            <w:pPr>
              <w:widowControl/>
              <w:snapToGrid w:val="0"/>
              <w:textAlignment w:val="center"/>
              <w:rPr>
                <w:rFonts w:ascii="Times New Roman" w:hAnsi="Times New Roman" w:eastAsia="宋体" w:cs="Times New Roman"/>
                <w:color w:val="auto"/>
                <w:kern w:val="0"/>
                <w:szCs w:val="21"/>
                <w:highlight w:val="none"/>
                <w:lang w:bidi="ar"/>
              </w:rPr>
            </w:pPr>
            <w:r>
              <w:rPr>
                <w:rFonts w:hint="eastAsia" w:ascii="宋体" w:hAnsi="宋体" w:cs="宋体"/>
                <w:color w:val="auto"/>
                <w:kern w:val="0"/>
                <w:szCs w:val="21"/>
                <w:highlight w:val="none"/>
                <w:lang w:val="en-US" w:eastAsia="zh-CN" w:bidi="ar"/>
              </w:rPr>
              <w:t>6.</w:t>
            </w:r>
            <w:r>
              <w:rPr>
                <w:rFonts w:ascii="宋体" w:hAnsi="宋体" w:eastAsia="宋体" w:cs="宋体"/>
                <w:color w:val="auto"/>
                <w:kern w:val="0"/>
                <w:szCs w:val="21"/>
                <w:highlight w:val="none"/>
                <w:lang w:bidi="ar"/>
              </w:rPr>
              <w:t>防护等级：≥IP67。</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056C6">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73278">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套</w:t>
            </w:r>
          </w:p>
        </w:tc>
      </w:tr>
      <w:tr w14:paraId="555023CA">
        <w:tblPrEx>
          <w:tblCellMar>
            <w:top w:w="0" w:type="dxa"/>
            <w:left w:w="108" w:type="dxa"/>
            <w:bottom w:w="0" w:type="dxa"/>
            <w:right w:w="108" w:type="dxa"/>
          </w:tblCellMar>
        </w:tblPrEx>
        <w:trPr>
          <w:trHeight w:val="1141"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02B04">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1.5</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8E50">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无人机显控席位</w:t>
            </w:r>
          </w:p>
        </w:tc>
        <w:tc>
          <w:tcPr>
            <w:tcW w:w="5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0CF7A">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实现对无人机操控和飞行轨迹数据和气象参数（温度、湿度、气压等）的实时采集、处理、存储和可视化显示，并搭载无人机指挥系统，可对无人机作业进行实时操控指挥。</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9E4DD">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8F95">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套</w:t>
            </w:r>
          </w:p>
        </w:tc>
      </w:tr>
      <w:tr w14:paraId="259F8B73">
        <w:tblPrEx>
          <w:tblCellMar>
            <w:top w:w="0" w:type="dxa"/>
            <w:left w:w="108" w:type="dxa"/>
            <w:bottom w:w="0" w:type="dxa"/>
            <w:right w:w="108" w:type="dxa"/>
          </w:tblCellMar>
        </w:tblPrEx>
        <w:trPr>
          <w:jc w:val="center"/>
        </w:trPr>
        <w:tc>
          <w:tcPr>
            <w:tcW w:w="67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60127F0">
            <w:pPr>
              <w:widowControl/>
              <w:snapToGrid w:val="0"/>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w:t>
            </w:r>
          </w:p>
        </w:tc>
        <w:tc>
          <w:tcPr>
            <w:tcW w:w="916" w:type="dxa"/>
            <w:tcBorders>
              <w:top w:val="single" w:color="000000" w:sz="4" w:space="0"/>
              <w:left w:val="single" w:color="000000" w:sz="4" w:space="0"/>
              <w:bottom w:val="single" w:color="auto" w:sz="4" w:space="0"/>
              <w:right w:val="single" w:color="000000" w:sz="4" w:space="0"/>
            </w:tcBorders>
            <w:shd w:val="clear" w:color="auto" w:fill="auto"/>
            <w:vAlign w:val="center"/>
          </w:tcPr>
          <w:p w14:paraId="780F681D">
            <w:pPr>
              <w:widowControl/>
              <w:snapToGrid w:val="0"/>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移动式火箭发射单元</w:t>
            </w:r>
          </w:p>
        </w:tc>
        <w:tc>
          <w:tcPr>
            <w:tcW w:w="536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3BD3C6B">
            <w:pPr>
              <w:widowControl/>
              <w:snapToGrid w:val="0"/>
              <w:ind w:firstLine="422" w:firstLineChars="200"/>
              <w:jc w:val="left"/>
              <w:textAlignment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应符合《人工影响天气火箭发射架通用</w:t>
            </w:r>
            <w:r>
              <w:rPr>
                <w:rFonts w:ascii="宋体" w:hAnsi="宋体" w:eastAsia="宋体" w:cs="宋体"/>
                <w:b/>
                <w:bCs/>
                <w:color w:val="auto"/>
                <w:szCs w:val="21"/>
                <w:highlight w:val="none"/>
              </w:rPr>
              <w:t>技术规范》，满足箭架分离、自动化、信息化功能，设备数据实时对接“天工”平台。</w:t>
            </w:r>
          </w:p>
          <w:p w14:paraId="72935D07">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1.在30m外能够无线遥控指挥；</w:t>
            </w:r>
          </w:p>
          <w:p w14:paraId="4DCF17E6">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2.能够进行实时的姿态测量反馈；</w:t>
            </w:r>
          </w:p>
          <w:p w14:paraId="39BE5F28">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3.能够在电气系统异常时启用应急操控；</w:t>
            </w:r>
          </w:p>
          <w:p w14:paraId="37BD3CA2">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4.能够流畅地进行姿态调整；</w:t>
            </w:r>
          </w:p>
          <w:p w14:paraId="418879E6">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5.能够在检测发射时将发射架姿态锁紧；</w:t>
            </w:r>
          </w:p>
          <w:p w14:paraId="58533AF8">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6.能认证人工影响天气作业人员的身份，根据认证结果提供相应的使用授权。</w:t>
            </w:r>
          </w:p>
          <w:p w14:paraId="68DC366A">
            <w:pPr>
              <w:widowControl/>
              <w:jc w:val="left"/>
              <w:textAlignment w:val="center"/>
              <w:rPr>
                <w:rFonts w:ascii="宋体" w:hAnsi="宋体" w:eastAsia="宋体" w:cs="宋体"/>
                <w:b/>
                <w:bCs/>
                <w:color w:val="auto"/>
                <w:szCs w:val="21"/>
                <w:highlight w:val="none"/>
              </w:rPr>
            </w:pPr>
            <w:r>
              <w:rPr>
                <w:rFonts w:hint="eastAsia" w:ascii="宋体" w:hAnsi="宋体" w:eastAsia="宋体" w:cs="宋体"/>
                <w:color w:val="auto"/>
                <w:szCs w:val="21"/>
                <w:highlight w:val="none"/>
              </w:rPr>
              <w:t>7</w:t>
            </w:r>
            <w:r>
              <w:rPr>
                <w:rFonts w:ascii="宋体" w:hAnsi="宋体" w:eastAsia="宋体" w:cs="宋体"/>
                <w:color w:val="auto"/>
                <w:szCs w:val="21"/>
                <w:highlight w:val="none"/>
              </w:rPr>
              <w:t>.</w:t>
            </w:r>
            <w:r>
              <w:rPr>
                <w:rFonts w:hint="eastAsia" w:ascii="宋体" w:hAnsi="宋体" w:eastAsia="宋体" w:cs="宋体"/>
                <w:color w:val="auto"/>
                <w:szCs w:val="21"/>
                <w:highlight w:val="none"/>
              </w:rPr>
              <w:t>质保期：≥</w:t>
            </w:r>
            <w:r>
              <w:rPr>
                <w:rFonts w:ascii="宋体" w:hAnsi="宋体" w:eastAsia="宋体" w:cs="宋体"/>
                <w:color w:val="auto"/>
                <w:szCs w:val="21"/>
                <w:highlight w:val="none"/>
              </w:rPr>
              <w:t>5</w:t>
            </w:r>
            <w:r>
              <w:rPr>
                <w:rFonts w:hint="eastAsia" w:ascii="宋体" w:hAnsi="宋体" w:eastAsia="宋体" w:cs="宋体"/>
                <w:color w:val="auto"/>
                <w:szCs w:val="21"/>
                <w:highlight w:val="none"/>
              </w:rPr>
              <w:t>年，质保期内提供每年</w:t>
            </w:r>
            <w:r>
              <w:rPr>
                <w:rFonts w:ascii="宋体" w:hAnsi="宋体" w:eastAsia="宋体" w:cs="宋体"/>
                <w:color w:val="auto"/>
                <w:szCs w:val="21"/>
                <w:highlight w:val="none"/>
              </w:rPr>
              <w:t>1</w:t>
            </w:r>
            <w:r>
              <w:rPr>
                <w:rFonts w:hint="eastAsia" w:ascii="宋体" w:hAnsi="宋体" w:eastAsia="宋体" w:cs="宋体"/>
                <w:color w:val="auto"/>
                <w:szCs w:val="21"/>
                <w:highlight w:val="none"/>
              </w:rPr>
              <w:t>次的年检。</w:t>
            </w:r>
          </w:p>
        </w:tc>
        <w:tc>
          <w:tcPr>
            <w:tcW w:w="68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9F384B3">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w:t>
            </w:r>
          </w:p>
        </w:tc>
        <w:tc>
          <w:tcPr>
            <w:tcW w:w="6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A478C7F">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套</w:t>
            </w:r>
          </w:p>
        </w:tc>
      </w:tr>
      <w:tr w14:paraId="6C39CD24">
        <w:tblPrEx>
          <w:tblCellMar>
            <w:top w:w="0" w:type="dxa"/>
            <w:left w:w="108" w:type="dxa"/>
            <w:bottom w:w="0" w:type="dxa"/>
            <w:right w:w="108" w:type="dxa"/>
          </w:tblCellMar>
        </w:tblPrEx>
        <w:trPr>
          <w:jc w:val="center"/>
        </w:trPr>
        <w:tc>
          <w:tcPr>
            <w:tcW w:w="67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BF62EF2">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2.1</w:t>
            </w:r>
          </w:p>
        </w:tc>
        <w:tc>
          <w:tcPr>
            <w:tcW w:w="916" w:type="dxa"/>
            <w:tcBorders>
              <w:top w:val="single" w:color="000000" w:sz="4" w:space="0"/>
              <w:left w:val="single" w:color="000000" w:sz="4" w:space="0"/>
              <w:bottom w:val="single" w:color="auto" w:sz="4" w:space="0"/>
              <w:right w:val="single" w:color="000000" w:sz="4" w:space="0"/>
            </w:tcBorders>
            <w:shd w:val="clear" w:color="auto" w:fill="auto"/>
            <w:vAlign w:val="center"/>
          </w:tcPr>
          <w:p w14:paraId="5D9397E0">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火箭发射装置</w:t>
            </w:r>
          </w:p>
        </w:tc>
        <w:tc>
          <w:tcPr>
            <w:tcW w:w="536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85DA1E0">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1.发射轨道长：≥1500mm；</w:t>
            </w:r>
          </w:p>
          <w:p w14:paraId="39656B47">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2.发射轨道数：≥4个；</w:t>
            </w:r>
          </w:p>
          <w:p w14:paraId="628D4089">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3.仰射角调整范围：7°～85°；</w:t>
            </w:r>
          </w:p>
          <w:p w14:paraId="13785A00">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4.仰射角</w:t>
            </w:r>
          </w:p>
          <w:p w14:paraId="00555BAB">
            <w:pPr>
              <w:widowControl/>
              <w:ind w:firstLine="210" w:firstLineChars="10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（1）调整速度：≥3°/s；</w:t>
            </w:r>
          </w:p>
          <w:p w14:paraId="18103C31">
            <w:pPr>
              <w:widowControl/>
              <w:ind w:firstLine="210" w:firstLineChars="10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（2）准确度：</w:t>
            </w:r>
            <w:r>
              <w:rPr>
                <w:rFonts w:ascii="宋体" w:hAnsi="宋体" w:eastAsia="宋体" w:cs="宋体"/>
                <w:color w:val="auto"/>
                <w:szCs w:val="21"/>
                <w:highlight w:val="none"/>
              </w:rPr>
              <w:t>±</w:t>
            </w:r>
            <w:r>
              <w:rPr>
                <w:rFonts w:hint="eastAsia" w:ascii="宋体" w:hAnsi="宋体" w:eastAsia="宋体" w:cs="宋体"/>
                <w:color w:val="auto"/>
                <w:szCs w:val="21"/>
                <w:highlight w:val="none"/>
              </w:rPr>
              <w:t>0.5°；</w:t>
            </w:r>
          </w:p>
          <w:p w14:paraId="06195C75">
            <w:pPr>
              <w:widowControl/>
              <w:ind w:firstLine="210" w:firstLineChars="10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（3）测量精度：1°；</w:t>
            </w:r>
          </w:p>
          <w:p w14:paraId="329E267B">
            <w:pPr>
              <w:widowControl/>
              <w:ind w:firstLine="210" w:firstLineChars="10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（4）分辨率：1°；</w:t>
            </w:r>
          </w:p>
          <w:p w14:paraId="51C7059A">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5.方位角</w:t>
            </w:r>
          </w:p>
          <w:p w14:paraId="6B93F2F0">
            <w:pPr>
              <w:widowControl/>
              <w:ind w:firstLine="210" w:firstLineChars="10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（1）调整速度≥5°/s；</w:t>
            </w:r>
          </w:p>
          <w:p w14:paraId="247EAAD5">
            <w:pPr>
              <w:widowControl/>
              <w:ind w:firstLine="210" w:firstLineChars="10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（2）准确度：</w:t>
            </w:r>
            <w:r>
              <w:rPr>
                <w:rFonts w:ascii="宋体" w:hAnsi="宋体" w:eastAsia="宋体" w:cs="宋体"/>
                <w:color w:val="auto"/>
                <w:szCs w:val="21"/>
                <w:highlight w:val="none"/>
              </w:rPr>
              <w:t>±</w:t>
            </w:r>
            <w:r>
              <w:rPr>
                <w:rFonts w:hint="eastAsia" w:ascii="宋体" w:hAnsi="宋体" w:eastAsia="宋体" w:cs="宋体"/>
                <w:color w:val="auto"/>
                <w:szCs w:val="21"/>
                <w:highlight w:val="none"/>
              </w:rPr>
              <w:t>0.5°；</w:t>
            </w:r>
          </w:p>
          <w:p w14:paraId="384A9974">
            <w:pPr>
              <w:widowControl/>
              <w:ind w:firstLine="210" w:firstLineChars="10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（3）转动回差：≤1°；</w:t>
            </w:r>
          </w:p>
          <w:p w14:paraId="0650EAE0">
            <w:pPr>
              <w:widowControl/>
              <w:ind w:firstLine="210" w:firstLineChars="10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（4）测量精度：≤1°；</w:t>
            </w:r>
          </w:p>
          <w:p w14:paraId="563337A0">
            <w:pPr>
              <w:widowControl/>
              <w:ind w:firstLine="210" w:firstLineChars="10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（5）分辨率：1°；</w:t>
            </w:r>
          </w:p>
          <w:p w14:paraId="7BB777E3">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6.坐标定位精度：≤10m；</w:t>
            </w:r>
          </w:p>
          <w:p w14:paraId="4B028602">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7.坐标定位时间：≤60s；</w:t>
            </w:r>
          </w:p>
          <w:p w14:paraId="6FA44C95">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8.供电电源：DC 36V/20Ah 或 24V/30Ah；</w:t>
            </w:r>
          </w:p>
          <w:p w14:paraId="59B1D8F4">
            <w:pPr>
              <w:widowControl/>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szCs w:val="21"/>
                <w:highlight w:val="none"/>
              </w:rPr>
              <w:t>9.使用寿命：不低于8年。</w:t>
            </w:r>
          </w:p>
        </w:tc>
        <w:tc>
          <w:tcPr>
            <w:tcW w:w="68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CC4B3B2">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w:t>
            </w:r>
          </w:p>
        </w:tc>
        <w:tc>
          <w:tcPr>
            <w:tcW w:w="6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3FAF4B1">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套</w:t>
            </w:r>
          </w:p>
        </w:tc>
      </w:tr>
      <w:tr w14:paraId="1B2C7FF3">
        <w:tblPrEx>
          <w:tblCellMar>
            <w:top w:w="0" w:type="dxa"/>
            <w:left w:w="108" w:type="dxa"/>
            <w:bottom w:w="0" w:type="dxa"/>
            <w:right w:w="108" w:type="dxa"/>
          </w:tblCellMar>
        </w:tblPrEx>
        <w:trPr>
          <w:jc w:val="center"/>
        </w:trPr>
        <w:tc>
          <w:tcPr>
            <w:tcW w:w="67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A66B659">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2.2</w:t>
            </w:r>
          </w:p>
        </w:tc>
        <w:tc>
          <w:tcPr>
            <w:tcW w:w="916" w:type="dxa"/>
            <w:tcBorders>
              <w:top w:val="single" w:color="000000" w:sz="4" w:space="0"/>
              <w:left w:val="single" w:color="000000" w:sz="4" w:space="0"/>
              <w:bottom w:val="single" w:color="auto" w:sz="4" w:space="0"/>
              <w:right w:val="single" w:color="000000" w:sz="4" w:space="0"/>
            </w:tcBorders>
            <w:shd w:val="clear" w:color="auto" w:fill="auto"/>
            <w:vAlign w:val="center"/>
          </w:tcPr>
          <w:p w14:paraId="5D42067F">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无线安全锁定发控器</w:t>
            </w:r>
          </w:p>
        </w:tc>
        <w:tc>
          <w:tcPr>
            <w:tcW w:w="536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5418BEF">
            <w:pPr>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功能要求</w:t>
            </w:r>
          </w:p>
          <w:p w14:paraId="493F69F1">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（1）具备北斗三号区域短报文通信，最大支持通信等级5级（1000汉字）；</w:t>
            </w:r>
          </w:p>
          <w:p w14:paraId="6887BC59">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（2）具备北斗定位功能；</w:t>
            </w:r>
          </w:p>
          <w:p w14:paraId="3BDCC11E">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（3）具备安全射界验证、作业状态监控，以及身份码（UID）壳体码、发射码“三码”合一验证功能；</w:t>
            </w:r>
          </w:p>
          <w:p w14:paraId="0C16C871">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（4）.支持与“天工”平台对接，具备作业状态上报、作业指令接收、作业信息自动采集等功能；</w:t>
            </w:r>
          </w:p>
          <w:p w14:paraId="0772F817">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rPr>
              <w:t>）具备指纹识别或数字密码识别功能</w:t>
            </w:r>
          </w:p>
          <w:p w14:paraId="05DCA4EA">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2.技术参数</w:t>
            </w:r>
          </w:p>
          <w:p w14:paraId="3B39DD02">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（1）通讯距离：≥50 m</w:t>
            </w:r>
          </w:p>
          <w:p w14:paraId="27FE09DC">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（2）内部电源：3.7V，≥5200mAh锂电池</w:t>
            </w:r>
          </w:p>
          <w:p w14:paraId="3F51C62D">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（3）环境要求</w:t>
            </w:r>
          </w:p>
          <w:p w14:paraId="540F79CD">
            <w:pPr>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①防水等级≥ </w:t>
            </w:r>
            <w:r>
              <w:rPr>
                <w:rFonts w:ascii="宋体" w:hAnsi="宋体" w:eastAsia="宋体" w:cs="Times New Roman"/>
                <w:color w:val="auto"/>
                <w:szCs w:val="21"/>
                <w:highlight w:val="none"/>
              </w:rPr>
              <w:t xml:space="preserve">5级 </w:t>
            </w:r>
          </w:p>
          <w:p w14:paraId="42BCE098">
            <w:pPr>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②防尘等级</w:t>
            </w:r>
            <w:r>
              <w:rPr>
                <w:rFonts w:hint="eastAsia" w:ascii="宋体" w:hAnsi="宋体" w:eastAsia="宋体" w:cs="Times New Roman"/>
                <w:color w:val="auto"/>
                <w:szCs w:val="21"/>
                <w:highlight w:val="none"/>
              </w:rPr>
              <w:t xml:space="preserve">≥ </w:t>
            </w:r>
            <w:r>
              <w:rPr>
                <w:rFonts w:ascii="宋体" w:hAnsi="宋体" w:eastAsia="宋体" w:cs="Times New Roman"/>
                <w:color w:val="auto"/>
                <w:szCs w:val="21"/>
                <w:highlight w:val="none"/>
              </w:rPr>
              <w:t xml:space="preserve">6级 </w:t>
            </w:r>
          </w:p>
          <w:p w14:paraId="041B2135">
            <w:pPr>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③工作环境温度</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 xml:space="preserve">-20℃～50℃ </w:t>
            </w:r>
          </w:p>
          <w:p w14:paraId="3B5FB51B">
            <w:pPr>
              <w:ind w:firstLine="420" w:firstLineChars="200"/>
              <w:rPr>
                <w:rFonts w:ascii="宋体" w:hAnsi="宋体" w:eastAsia="宋体" w:cs="宋体"/>
                <w:color w:val="auto"/>
                <w:kern w:val="0"/>
                <w:szCs w:val="21"/>
                <w:highlight w:val="none"/>
                <w:lang w:bidi="ar"/>
              </w:rPr>
            </w:pPr>
            <w:r>
              <w:rPr>
                <w:rFonts w:ascii="宋体" w:hAnsi="宋体" w:eastAsia="宋体" w:cs="Times New Roman"/>
                <w:color w:val="auto"/>
                <w:szCs w:val="21"/>
                <w:highlight w:val="none"/>
              </w:rPr>
              <w:t>④工作环境湿度RH</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10</w:t>
            </w:r>
            <w:r>
              <w:rPr>
                <w:rFonts w:hint="eastAsia" w:ascii="宋体" w:hAnsi="宋体" w:eastAsia="宋体" w:cs="Times New Roman"/>
                <w:color w:val="auto"/>
                <w:szCs w:val="21"/>
                <w:highlight w:val="none"/>
                <w:lang w:val="en-US" w:eastAsia="zh-CN"/>
              </w:rPr>
              <w:t>%</w:t>
            </w:r>
            <w:r>
              <w:rPr>
                <w:rFonts w:ascii="宋体" w:hAnsi="宋体" w:eastAsia="宋体" w:cs="Times New Roman"/>
                <w:color w:val="auto"/>
                <w:szCs w:val="21"/>
                <w:highlight w:val="none"/>
              </w:rPr>
              <w:t>～100%</w:t>
            </w:r>
          </w:p>
        </w:tc>
        <w:tc>
          <w:tcPr>
            <w:tcW w:w="68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534AC96">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w:t>
            </w:r>
          </w:p>
        </w:tc>
        <w:tc>
          <w:tcPr>
            <w:tcW w:w="6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4DBAE22">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个</w:t>
            </w:r>
          </w:p>
        </w:tc>
      </w:tr>
      <w:tr w14:paraId="4B8A2308">
        <w:tblPrEx>
          <w:tblCellMar>
            <w:top w:w="0" w:type="dxa"/>
            <w:left w:w="108" w:type="dxa"/>
            <w:bottom w:w="0" w:type="dxa"/>
            <w:right w:w="108" w:type="dxa"/>
          </w:tblCellMar>
        </w:tblPrEx>
        <w:trPr>
          <w:jc w:val="center"/>
        </w:trPr>
        <w:tc>
          <w:tcPr>
            <w:tcW w:w="67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C629958">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2.3</w:t>
            </w:r>
          </w:p>
        </w:tc>
        <w:tc>
          <w:tcPr>
            <w:tcW w:w="916" w:type="dxa"/>
            <w:tcBorders>
              <w:top w:val="single" w:color="000000" w:sz="4" w:space="0"/>
              <w:left w:val="single" w:color="000000" w:sz="4" w:space="0"/>
              <w:bottom w:val="single" w:color="auto" w:sz="4" w:space="0"/>
              <w:right w:val="single" w:color="000000" w:sz="4" w:space="0"/>
            </w:tcBorders>
            <w:shd w:val="clear" w:color="auto" w:fill="auto"/>
            <w:vAlign w:val="center"/>
          </w:tcPr>
          <w:p w14:paraId="449E783B">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火箭作业安全监控</w:t>
            </w:r>
          </w:p>
        </w:tc>
        <w:tc>
          <w:tcPr>
            <w:tcW w:w="536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423EDDA">
            <w:pPr>
              <w:rPr>
                <w:rFonts w:ascii="宋体" w:hAnsi="宋体" w:eastAsia="宋体" w:cs="宋体"/>
                <w:color w:val="auto"/>
                <w:szCs w:val="21"/>
                <w:highlight w:val="none"/>
              </w:rPr>
            </w:pPr>
            <w:r>
              <w:rPr>
                <w:rFonts w:hint="eastAsia" w:ascii="宋体" w:hAnsi="宋体" w:eastAsia="宋体" w:cs="宋体"/>
                <w:color w:val="auto"/>
                <w:szCs w:val="21"/>
                <w:highlight w:val="none"/>
              </w:rPr>
              <w:t>1功能要求</w:t>
            </w:r>
          </w:p>
          <w:p w14:paraId="18B84E79">
            <w:pPr>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采用天线主机一体化设计，集成北斗、</w:t>
            </w:r>
            <w:r>
              <w:rPr>
                <w:rFonts w:ascii="宋体" w:hAnsi="宋体" w:eastAsia="宋体" w:cs="Times New Roman"/>
                <w:color w:val="auto"/>
                <w:szCs w:val="21"/>
                <w:highlight w:val="none"/>
              </w:rPr>
              <w:t>RDSS、RNSS、4G 多种通讯和定位模式，集成度高、功耗低，支持北斗三号短报文通信，</w:t>
            </w:r>
            <w:r>
              <w:rPr>
                <w:rFonts w:hint="eastAsia" w:ascii="宋体" w:hAnsi="宋体" w:eastAsia="宋体" w:cs="Times New Roman"/>
                <w:color w:val="auto"/>
                <w:szCs w:val="21"/>
                <w:highlight w:val="none"/>
              </w:rPr>
              <w:t>能够</w:t>
            </w:r>
            <w:r>
              <w:rPr>
                <w:rFonts w:ascii="宋体" w:hAnsi="宋体" w:eastAsia="宋体" w:cs="Times New Roman"/>
                <w:color w:val="auto"/>
                <w:szCs w:val="21"/>
                <w:highlight w:val="none"/>
              </w:rPr>
              <w:t xml:space="preserve">自动采集、记录、存储、作业状态、接收作业指令、上报作业信息及补传作业信息以加密的方式通过网络实时与“天工”平台通讯及三码合一验证等功能。 </w:t>
            </w:r>
          </w:p>
          <w:p w14:paraId="29FCFDC9">
            <w:pPr>
              <w:rPr>
                <w:rFonts w:ascii="宋体" w:hAnsi="宋体" w:eastAsia="宋体" w:cs="Times New Roman"/>
                <w:color w:val="auto"/>
                <w:szCs w:val="21"/>
                <w:highlight w:val="none"/>
              </w:rPr>
            </w:pPr>
            <w:r>
              <w:rPr>
                <w:rFonts w:ascii="宋体" w:hAnsi="宋体" w:eastAsia="宋体" w:cs="Times New Roman"/>
                <w:color w:val="auto"/>
                <w:szCs w:val="21"/>
                <w:highlight w:val="none"/>
              </w:rPr>
              <w:t xml:space="preserve">（1）作业信息申报：通过识别装置获取火箭弹壳体码并向天工平台进行火箭弹三码信息的作业申报操作。 </w:t>
            </w:r>
          </w:p>
          <w:p w14:paraId="3BA9AB0D">
            <w:pPr>
              <w:rPr>
                <w:rFonts w:ascii="宋体" w:hAnsi="宋体" w:eastAsia="宋体" w:cs="Times New Roman"/>
                <w:color w:val="auto"/>
                <w:szCs w:val="21"/>
                <w:highlight w:val="none"/>
              </w:rPr>
            </w:pPr>
            <w:r>
              <w:rPr>
                <w:rFonts w:ascii="宋体" w:hAnsi="宋体" w:eastAsia="宋体" w:cs="Times New Roman"/>
                <w:color w:val="auto"/>
                <w:szCs w:val="21"/>
                <w:highlight w:val="none"/>
              </w:rPr>
              <w:t xml:space="preserve">（2）数据安全加密：终端内部集成安全加密芯片，具备用户数据保护，可存储关键信息参数在加密芯片内。 </w:t>
            </w:r>
          </w:p>
          <w:p w14:paraId="71C9CF18">
            <w:pPr>
              <w:rPr>
                <w:rFonts w:ascii="宋体" w:hAnsi="宋体" w:eastAsia="宋体" w:cs="Times New Roman"/>
                <w:color w:val="auto"/>
                <w:szCs w:val="21"/>
                <w:highlight w:val="none"/>
              </w:rPr>
            </w:pPr>
            <w:r>
              <w:rPr>
                <w:rFonts w:ascii="宋体" w:hAnsi="宋体" w:eastAsia="宋体" w:cs="Times New Roman"/>
                <w:color w:val="auto"/>
                <w:szCs w:val="21"/>
                <w:highlight w:val="none"/>
              </w:rPr>
              <w:t>（3）数据算法移植：把部分 MCU 程序移植到加密芯片中，终端可实现算法下载更新。支持北斗三号短报文通信，集成 RDSS、RNSS、4G、收发天线于一体，配备硬件级加密芯片，支持与“天工”平台进行安全加密对接，具备作业指令接收、作业状态上报、安全射界验证、作业信息采集及三码合一验证等功能。</w:t>
            </w:r>
          </w:p>
          <w:p w14:paraId="148A670A">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2.技术参数</w:t>
            </w:r>
          </w:p>
          <w:p w14:paraId="47C67F5A">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（1）卫星通信</w:t>
            </w:r>
          </w:p>
          <w:p w14:paraId="39BEED55">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①</w:t>
            </w:r>
            <w:r>
              <w:rPr>
                <w:rFonts w:ascii="宋体" w:hAnsi="宋体" w:eastAsia="宋体" w:cs="Times New Roman"/>
                <w:color w:val="auto"/>
                <w:szCs w:val="21"/>
                <w:highlight w:val="none"/>
              </w:rPr>
              <w:t>接收灵敏度</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-130dBm（8Kbps）</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-127.5dBm（16Kbps）</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-123.8dBm（24Kbps）</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 xml:space="preserve"> </w:t>
            </w:r>
          </w:p>
          <w:p w14:paraId="32B00407">
            <w:pPr>
              <w:rPr>
                <w:rFonts w:ascii="宋体" w:hAnsi="宋体" w:eastAsia="宋体" w:cs="Times New Roman"/>
                <w:color w:val="auto"/>
                <w:szCs w:val="21"/>
                <w:highlight w:val="none"/>
              </w:rPr>
            </w:pPr>
            <w:r>
              <w:rPr>
                <w:rFonts w:ascii="宋体" w:hAnsi="宋体" w:eastAsia="宋体" w:cs="Times New Roman"/>
                <w:color w:val="auto"/>
                <w:szCs w:val="21"/>
                <w:highlight w:val="none"/>
              </w:rPr>
              <w:t>②发射功率</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37.0dBm±0.5dB</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 xml:space="preserve"> </w:t>
            </w:r>
          </w:p>
          <w:p w14:paraId="3A33F780">
            <w:pPr>
              <w:rPr>
                <w:rFonts w:ascii="宋体" w:hAnsi="宋体" w:eastAsia="宋体" w:cs="Times New Roman"/>
                <w:color w:val="auto"/>
                <w:szCs w:val="21"/>
                <w:highlight w:val="none"/>
              </w:rPr>
            </w:pPr>
            <w:r>
              <w:rPr>
                <w:rFonts w:ascii="宋体" w:hAnsi="宋体" w:eastAsia="宋体" w:cs="Times New Roman"/>
                <w:color w:val="auto"/>
                <w:szCs w:val="21"/>
                <w:highlight w:val="none"/>
              </w:rPr>
              <w:t>③双向零值</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均值 1ms±10ns</w:t>
            </w:r>
            <w:r>
              <w:rPr>
                <w:rFonts w:hint="eastAsia" w:ascii="宋体" w:hAnsi="宋体" w:eastAsia="宋体" w:cs="Times New Roman"/>
                <w:color w:val="auto"/>
                <w:szCs w:val="21"/>
                <w:highlight w:val="none"/>
              </w:rPr>
              <w:t>；</w:t>
            </w:r>
          </w:p>
          <w:p w14:paraId="0EEFFA0D">
            <w:pPr>
              <w:rPr>
                <w:rFonts w:ascii="宋体" w:hAnsi="宋体" w:eastAsia="宋体" w:cs="Times New Roman"/>
                <w:color w:val="auto"/>
                <w:szCs w:val="21"/>
                <w:highlight w:val="none"/>
              </w:rPr>
            </w:pPr>
            <w:r>
              <w:rPr>
                <w:rFonts w:ascii="宋体" w:hAnsi="宋体" w:eastAsia="宋体" w:cs="Times New Roman"/>
                <w:color w:val="auto"/>
                <w:szCs w:val="21"/>
                <w:highlight w:val="none"/>
              </w:rPr>
              <w:t>④双通道时差测量误差</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方差＜5ns</w:t>
            </w:r>
            <w:r>
              <w:rPr>
                <w:rFonts w:hint="eastAsia" w:ascii="宋体" w:hAnsi="宋体" w:eastAsia="宋体" w:cs="Times New Roman"/>
                <w:color w:val="auto"/>
                <w:szCs w:val="21"/>
                <w:highlight w:val="none"/>
              </w:rPr>
              <w:t>；</w:t>
            </w:r>
          </w:p>
          <w:p w14:paraId="409453FB">
            <w:pPr>
              <w:rPr>
                <w:rFonts w:ascii="宋体" w:hAnsi="宋体" w:eastAsia="宋体" w:cs="Times New Roman"/>
                <w:color w:val="auto"/>
                <w:szCs w:val="21"/>
                <w:highlight w:val="none"/>
              </w:rPr>
            </w:pPr>
            <w:r>
              <w:rPr>
                <w:rFonts w:ascii="宋体" w:hAnsi="宋体" w:eastAsia="宋体" w:cs="Times New Roman"/>
                <w:color w:val="auto"/>
                <w:szCs w:val="21"/>
                <w:highlight w:val="none"/>
              </w:rPr>
              <w:t>⑤发射频率准确度</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优于5×10</w:t>
            </w:r>
            <w:r>
              <w:rPr>
                <w:rFonts w:ascii="宋体" w:hAnsi="宋体" w:eastAsia="宋体" w:cs="Times New Roman"/>
                <w:color w:val="auto"/>
                <w:szCs w:val="21"/>
                <w:highlight w:val="none"/>
                <w:vertAlign w:val="superscript"/>
              </w:rPr>
              <w:t>-7</w:t>
            </w:r>
          </w:p>
          <w:p w14:paraId="4AC35B51">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ascii="宋体" w:hAnsi="宋体" w:eastAsia="宋体" w:cs="Times New Roman"/>
                <w:color w:val="auto"/>
                <w:szCs w:val="21"/>
                <w:highlight w:val="none"/>
              </w:rPr>
              <w:t>定位</w:t>
            </w:r>
          </w:p>
          <w:p w14:paraId="30C298C1">
            <w:pPr>
              <w:rPr>
                <w:rFonts w:ascii="宋体" w:hAnsi="宋体" w:eastAsia="宋体" w:cs="Times New Roman"/>
                <w:color w:val="auto"/>
                <w:kern w:val="0"/>
                <w:szCs w:val="21"/>
                <w:highlight w:val="none"/>
                <w:lang w:bidi="ar"/>
              </w:rPr>
            </w:pPr>
            <w:r>
              <w:rPr>
                <w:rFonts w:hint="eastAsia" w:ascii="宋体" w:hAnsi="宋体" w:eastAsia="宋体" w:cs="Times New Roman"/>
                <w:color w:val="auto"/>
                <w:szCs w:val="21"/>
                <w:highlight w:val="none"/>
              </w:rPr>
              <w:t>①</w:t>
            </w:r>
            <w:r>
              <w:rPr>
                <w:rFonts w:hint="eastAsia" w:ascii="宋体" w:hAnsi="宋体" w:eastAsia="宋体" w:cs="Times New Roman"/>
                <w:color w:val="auto"/>
                <w:kern w:val="0"/>
                <w:szCs w:val="21"/>
                <w:highlight w:val="none"/>
                <w:lang w:bidi="ar"/>
              </w:rPr>
              <w:t>接收频率：</w:t>
            </w:r>
            <w:r>
              <w:rPr>
                <w:rFonts w:ascii="宋体" w:hAnsi="宋体" w:eastAsia="宋体" w:cs="Times New Roman"/>
                <w:color w:val="auto"/>
                <w:kern w:val="0"/>
                <w:szCs w:val="21"/>
                <w:highlight w:val="none"/>
                <w:lang w:bidi="ar"/>
              </w:rPr>
              <w:t>BDS B1I</w:t>
            </w:r>
            <w:r>
              <w:rPr>
                <w:rFonts w:hint="eastAsia" w:ascii="宋体" w:hAnsi="宋体" w:eastAsia="宋体" w:cs="Times New Roman"/>
                <w:color w:val="auto"/>
                <w:kern w:val="0"/>
                <w:szCs w:val="21"/>
                <w:highlight w:val="none"/>
                <w:lang w:bidi="ar"/>
              </w:rPr>
              <w:t>，</w:t>
            </w:r>
            <w:r>
              <w:rPr>
                <w:rFonts w:ascii="宋体" w:hAnsi="宋体" w:eastAsia="宋体" w:cs="Times New Roman"/>
                <w:color w:val="auto"/>
                <w:kern w:val="0"/>
                <w:szCs w:val="21"/>
                <w:highlight w:val="none"/>
                <w:lang w:bidi="ar"/>
              </w:rPr>
              <w:t>B1C</w:t>
            </w:r>
            <w:r>
              <w:rPr>
                <w:rFonts w:hint="eastAsia" w:ascii="宋体" w:hAnsi="宋体" w:eastAsia="宋体" w:cs="Times New Roman"/>
                <w:color w:val="auto"/>
                <w:kern w:val="0"/>
                <w:szCs w:val="21"/>
                <w:highlight w:val="none"/>
                <w:lang w:bidi="ar"/>
              </w:rPr>
              <w:t>；</w:t>
            </w:r>
          </w:p>
          <w:p w14:paraId="4B598680">
            <w:pPr>
              <w:rPr>
                <w:rFonts w:ascii="宋体" w:hAnsi="宋体" w:eastAsia="宋体" w:cs="Times New Roman"/>
                <w:color w:val="auto"/>
                <w:kern w:val="0"/>
                <w:szCs w:val="21"/>
                <w:highlight w:val="none"/>
                <w:lang w:bidi="ar"/>
              </w:rPr>
            </w:pPr>
            <w:r>
              <w:rPr>
                <w:rFonts w:ascii="宋体" w:hAnsi="宋体" w:eastAsia="宋体" w:cs="Times New Roman"/>
                <w:color w:val="auto"/>
                <w:szCs w:val="21"/>
                <w:highlight w:val="none"/>
              </w:rPr>
              <w:t>②</w:t>
            </w:r>
            <w:r>
              <w:rPr>
                <w:rFonts w:hint="eastAsia" w:ascii="宋体" w:hAnsi="宋体" w:eastAsia="宋体" w:cs="Times New Roman"/>
                <w:color w:val="auto"/>
                <w:kern w:val="0"/>
                <w:szCs w:val="21"/>
                <w:highlight w:val="none"/>
                <w:lang w:bidi="ar"/>
              </w:rPr>
              <w:t>协议版本：</w:t>
            </w:r>
            <w:r>
              <w:rPr>
                <w:rFonts w:ascii="宋体" w:hAnsi="宋体" w:eastAsia="宋体" w:cs="Times New Roman"/>
                <w:color w:val="auto"/>
                <w:kern w:val="0"/>
                <w:szCs w:val="21"/>
                <w:highlight w:val="none"/>
                <w:lang w:bidi="ar"/>
              </w:rPr>
              <w:t>NMEA0183</w:t>
            </w:r>
            <w:r>
              <w:rPr>
                <w:rFonts w:hint="eastAsia" w:ascii="宋体" w:hAnsi="宋体" w:eastAsia="宋体" w:cs="Times New Roman"/>
                <w:color w:val="auto"/>
                <w:kern w:val="0"/>
                <w:szCs w:val="21"/>
                <w:highlight w:val="none"/>
                <w:lang w:bidi="ar"/>
              </w:rPr>
              <w:t>，兼容北斗；</w:t>
            </w:r>
          </w:p>
          <w:p w14:paraId="24D2F57C">
            <w:pPr>
              <w:rPr>
                <w:rFonts w:ascii="宋体" w:hAnsi="宋体" w:eastAsia="宋体" w:cs="Times New Roman"/>
                <w:color w:val="auto"/>
                <w:kern w:val="0"/>
                <w:szCs w:val="21"/>
                <w:highlight w:val="none"/>
                <w:lang w:bidi="ar"/>
              </w:rPr>
            </w:pPr>
            <w:r>
              <w:rPr>
                <w:rFonts w:ascii="宋体" w:hAnsi="宋体" w:eastAsia="宋体" w:cs="Times New Roman"/>
                <w:color w:val="auto"/>
                <w:szCs w:val="21"/>
                <w:highlight w:val="none"/>
              </w:rPr>
              <w:t>③</w:t>
            </w:r>
            <w:r>
              <w:rPr>
                <w:rFonts w:hint="eastAsia" w:ascii="宋体" w:hAnsi="宋体" w:eastAsia="宋体" w:cs="Times New Roman"/>
                <w:color w:val="auto"/>
                <w:kern w:val="0"/>
                <w:szCs w:val="21"/>
                <w:highlight w:val="none"/>
                <w:lang w:bidi="ar"/>
              </w:rPr>
              <w:t>捕获灵敏度：</w:t>
            </w:r>
            <w:r>
              <w:rPr>
                <w:rFonts w:ascii="宋体" w:hAnsi="宋体" w:eastAsia="宋体" w:cs="Times New Roman"/>
                <w:color w:val="auto"/>
                <w:kern w:val="0"/>
                <w:szCs w:val="21"/>
                <w:highlight w:val="none"/>
                <w:lang w:bidi="ar"/>
              </w:rPr>
              <w:t>-148dBm</w:t>
            </w:r>
            <w:r>
              <w:rPr>
                <w:rFonts w:hint="eastAsia" w:ascii="宋体" w:hAnsi="宋体" w:eastAsia="宋体" w:cs="Times New Roman"/>
                <w:color w:val="auto"/>
                <w:kern w:val="0"/>
                <w:szCs w:val="21"/>
                <w:highlight w:val="none"/>
                <w:lang w:bidi="ar"/>
              </w:rPr>
              <w:t>；</w:t>
            </w:r>
          </w:p>
          <w:p w14:paraId="06151558">
            <w:pPr>
              <w:rPr>
                <w:rFonts w:ascii="宋体" w:hAnsi="宋体" w:eastAsia="宋体" w:cs="Times New Roman"/>
                <w:color w:val="auto"/>
                <w:kern w:val="0"/>
                <w:szCs w:val="21"/>
                <w:highlight w:val="none"/>
                <w:lang w:bidi="ar"/>
              </w:rPr>
            </w:pPr>
            <w:r>
              <w:rPr>
                <w:rFonts w:ascii="宋体" w:hAnsi="宋体" w:eastAsia="宋体" w:cs="Times New Roman"/>
                <w:color w:val="auto"/>
                <w:szCs w:val="21"/>
                <w:highlight w:val="none"/>
              </w:rPr>
              <w:t>④</w:t>
            </w:r>
            <w:r>
              <w:rPr>
                <w:rFonts w:hint="eastAsia" w:ascii="宋体" w:hAnsi="宋体" w:eastAsia="宋体" w:cs="Times New Roman"/>
                <w:color w:val="auto"/>
                <w:kern w:val="0"/>
                <w:szCs w:val="21"/>
                <w:highlight w:val="none"/>
                <w:lang w:bidi="ar"/>
              </w:rPr>
              <w:t>定位精度：</w:t>
            </w:r>
            <w:r>
              <w:rPr>
                <w:rFonts w:ascii="宋体" w:hAnsi="宋体" w:eastAsia="宋体" w:cs="Times New Roman"/>
                <w:color w:val="auto"/>
                <w:kern w:val="0"/>
                <w:szCs w:val="21"/>
                <w:highlight w:val="none"/>
                <w:lang w:bidi="ar"/>
              </w:rPr>
              <w:t>&lt;10m</w:t>
            </w:r>
            <w:r>
              <w:rPr>
                <w:rFonts w:hint="eastAsia" w:ascii="宋体" w:hAnsi="宋体" w:eastAsia="宋体" w:cs="Times New Roman"/>
                <w:color w:val="auto"/>
                <w:kern w:val="0"/>
                <w:szCs w:val="21"/>
                <w:highlight w:val="none"/>
                <w:lang w:bidi="ar"/>
              </w:rPr>
              <w:t>。</w:t>
            </w:r>
          </w:p>
          <w:p w14:paraId="44789420">
            <w:pPr>
              <w:jc w:val="left"/>
              <w:rPr>
                <w:rFonts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bidi="ar"/>
              </w:rPr>
              <w:t>（3）加密：支持加密方式：</w:t>
            </w:r>
            <w:r>
              <w:rPr>
                <w:rFonts w:ascii="宋体" w:hAnsi="宋体" w:eastAsia="宋体" w:cs="Times New Roman"/>
                <w:color w:val="auto"/>
                <w:kern w:val="0"/>
                <w:szCs w:val="21"/>
                <w:highlight w:val="none"/>
                <w:lang w:bidi="ar"/>
              </w:rPr>
              <w:t>DES/TDES/AES/SHA1/SHA256/RSA/</w:t>
            </w:r>
            <w:r>
              <w:rPr>
                <w:rFonts w:hint="eastAsia" w:ascii="宋体" w:hAnsi="宋体" w:eastAsia="宋体" w:cs="Times New Roman"/>
                <w:color w:val="auto"/>
                <w:kern w:val="0"/>
                <w:szCs w:val="21"/>
                <w:highlight w:val="none"/>
                <w:lang w:bidi="ar"/>
              </w:rPr>
              <w:t>，国密</w:t>
            </w:r>
            <w:r>
              <w:rPr>
                <w:rFonts w:ascii="宋体" w:hAnsi="宋体" w:eastAsia="宋体" w:cs="Times New Roman"/>
                <w:color w:val="auto"/>
                <w:kern w:val="0"/>
                <w:szCs w:val="21"/>
                <w:highlight w:val="none"/>
                <w:lang w:bidi="ar"/>
              </w:rPr>
              <w:t>SM1/2/3/4/7</w:t>
            </w:r>
            <w:r>
              <w:rPr>
                <w:rFonts w:hint="eastAsia" w:ascii="宋体" w:hAnsi="宋体" w:eastAsia="宋体" w:cs="Times New Roman"/>
                <w:color w:val="auto"/>
                <w:kern w:val="0"/>
                <w:szCs w:val="21"/>
                <w:highlight w:val="none"/>
                <w:lang w:bidi="ar"/>
              </w:rPr>
              <w:t>。</w:t>
            </w:r>
          </w:p>
          <w:p w14:paraId="1BBF8D15">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（4）环境适应性指标</w:t>
            </w:r>
          </w:p>
          <w:p w14:paraId="4199BCA5">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①温度：-30℃～70℃ ；</w:t>
            </w:r>
          </w:p>
          <w:p w14:paraId="3A5BD64F">
            <w:pPr>
              <w:rPr>
                <w:rFonts w:ascii="宋体" w:hAnsi="宋体" w:eastAsia="宋体" w:cs="宋体"/>
                <w:color w:val="auto"/>
                <w:kern w:val="0"/>
                <w:szCs w:val="21"/>
                <w:highlight w:val="none"/>
                <w:lang w:bidi="ar"/>
              </w:rPr>
            </w:pPr>
            <w:r>
              <w:rPr>
                <w:rFonts w:ascii="宋体" w:hAnsi="宋体" w:eastAsia="宋体" w:cs="Times New Roman"/>
                <w:color w:val="auto"/>
                <w:szCs w:val="21"/>
                <w:highlight w:val="none"/>
              </w:rPr>
              <w:t>②</w:t>
            </w:r>
            <w:r>
              <w:rPr>
                <w:rFonts w:hint="eastAsia" w:ascii="宋体" w:hAnsi="宋体" w:eastAsia="宋体" w:cs="Times New Roman"/>
                <w:color w:val="auto"/>
                <w:szCs w:val="21"/>
                <w:highlight w:val="none"/>
              </w:rPr>
              <w:t>防水等级：</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 xml:space="preserve"> IP65。</w:t>
            </w:r>
          </w:p>
        </w:tc>
        <w:tc>
          <w:tcPr>
            <w:tcW w:w="68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1D309D8">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w:t>
            </w:r>
          </w:p>
        </w:tc>
        <w:tc>
          <w:tcPr>
            <w:tcW w:w="6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6C99129">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套</w:t>
            </w:r>
          </w:p>
        </w:tc>
      </w:tr>
      <w:tr w14:paraId="76C01CEF">
        <w:tblPrEx>
          <w:tblCellMar>
            <w:top w:w="0" w:type="dxa"/>
            <w:left w:w="108" w:type="dxa"/>
            <w:bottom w:w="0" w:type="dxa"/>
            <w:right w:w="108" w:type="dxa"/>
          </w:tblCellMar>
        </w:tblPrEx>
        <w:trPr>
          <w:jc w:val="center"/>
        </w:trPr>
        <w:tc>
          <w:tcPr>
            <w:tcW w:w="67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96C6F90">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2.4</w:t>
            </w:r>
          </w:p>
        </w:tc>
        <w:tc>
          <w:tcPr>
            <w:tcW w:w="916" w:type="dxa"/>
            <w:tcBorders>
              <w:top w:val="single" w:color="000000" w:sz="4" w:space="0"/>
              <w:left w:val="single" w:color="000000" w:sz="4" w:space="0"/>
              <w:bottom w:val="single" w:color="auto" w:sz="4" w:space="0"/>
              <w:right w:val="single" w:color="000000" w:sz="4" w:space="0"/>
            </w:tcBorders>
            <w:shd w:val="clear" w:color="auto" w:fill="auto"/>
            <w:vAlign w:val="center"/>
          </w:tcPr>
          <w:p w14:paraId="53AE6E44">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液压转运平台</w:t>
            </w:r>
          </w:p>
        </w:tc>
        <w:tc>
          <w:tcPr>
            <w:tcW w:w="536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7220751">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用于火箭发射装置的日常转运和装卸，</w:t>
            </w:r>
          </w:p>
          <w:p w14:paraId="4E98F70B">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技术指标：</w:t>
            </w:r>
          </w:p>
          <w:p w14:paraId="45009A65">
            <w:pPr>
              <w:numPr>
                <w:ilvl w:val="0"/>
                <w:numId w:val="1"/>
              </w:numPr>
              <w:rPr>
                <w:rFonts w:ascii="宋体" w:hAnsi="宋体" w:eastAsia="宋体" w:cs="Times New Roman"/>
                <w:color w:val="auto"/>
                <w:szCs w:val="21"/>
                <w:highlight w:val="none"/>
              </w:rPr>
            </w:pPr>
            <w:r>
              <w:rPr>
                <w:rFonts w:ascii="宋体" w:hAnsi="宋体" w:eastAsia="宋体" w:cs="Times New Roman"/>
                <w:color w:val="auto"/>
                <w:szCs w:val="21"/>
                <w:highlight w:val="none"/>
              </w:rPr>
              <w:t>平台尺寸(L×A1×B)：</w:t>
            </w:r>
          </w:p>
          <w:p w14:paraId="4B58FC6D">
            <w:pPr>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不小于1200mm×610mm×80mm；</w:t>
            </w:r>
          </w:p>
          <w:p w14:paraId="5ACC2073">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ascii="宋体" w:hAnsi="宋体" w:eastAsia="宋体" w:cs="Times New Roman"/>
                <w:color w:val="auto"/>
                <w:szCs w:val="21"/>
                <w:highlight w:val="none"/>
              </w:rPr>
              <w:t>承载</w:t>
            </w:r>
            <w:r>
              <w:rPr>
                <w:rFonts w:hint="eastAsia" w:ascii="宋体" w:hAnsi="宋体" w:eastAsia="宋体" w:cs="Times New Roman"/>
                <w:color w:val="auto"/>
                <w:szCs w:val="21"/>
                <w:highlight w:val="none"/>
              </w:rPr>
              <w:t>重量：</w:t>
            </w:r>
            <w:r>
              <w:rPr>
                <w:rFonts w:ascii="宋体" w:hAnsi="宋体" w:eastAsia="宋体" w:cs="Times New Roman"/>
                <w:color w:val="auto"/>
                <w:szCs w:val="21"/>
                <w:highlight w:val="none"/>
              </w:rPr>
              <w:t>≥1000(Kg)</w:t>
            </w:r>
            <w:r>
              <w:rPr>
                <w:rFonts w:hint="eastAsia" w:ascii="宋体" w:hAnsi="宋体" w:eastAsia="宋体" w:cs="Times New Roman"/>
                <w:color w:val="auto"/>
                <w:szCs w:val="21"/>
                <w:highlight w:val="none"/>
              </w:rPr>
              <w:t>；</w:t>
            </w:r>
          </w:p>
          <w:p w14:paraId="4834CC25">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（3）升降方式：电动和手动；</w:t>
            </w:r>
          </w:p>
          <w:p w14:paraId="7C507B4E">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（4）升降高度</w:t>
            </w:r>
          </w:p>
          <w:p w14:paraId="31692938">
            <w:pPr>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最高高度</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≥1000(mm)</w:t>
            </w:r>
            <w:r>
              <w:rPr>
                <w:rFonts w:hint="eastAsia" w:ascii="宋体" w:hAnsi="宋体" w:eastAsia="宋体" w:cs="Times New Roman"/>
                <w:color w:val="auto"/>
                <w:szCs w:val="21"/>
                <w:highlight w:val="none"/>
              </w:rPr>
              <w:t>；</w:t>
            </w:r>
          </w:p>
          <w:p w14:paraId="6971FACD">
            <w:pPr>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最低高度</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≤380(mm)</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 xml:space="preserve"> </w:t>
            </w:r>
          </w:p>
          <w:p w14:paraId="55964D59">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w:t>
            </w:r>
            <w:r>
              <w:rPr>
                <w:rFonts w:hint="eastAsia" w:ascii="宋体" w:hAnsi="宋体" w:eastAsia="宋体" w:cs="宋体"/>
                <w:color w:val="auto"/>
                <w:szCs w:val="21"/>
                <w:highlight w:val="none"/>
              </w:rPr>
              <w:t>高承载PU脚轮，2个万向型脚轮，</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个固定型脚轮，万向脚轮带刹</w:t>
            </w:r>
            <w:r>
              <w:rPr>
                <w:rFonts w:hint="eastAsia" w:ascii="宋体" w:hAnsi="宋体" w:eastAsia="宋体" w:cs="Times New Roman"/>
                <w:color w:val="auto"/>
                <w:szCs w:val="21"/>
                <w:highlight w:val="none"/>
              </w:rPr>
              <w:t>，轮</w:t>
            </w:r>
            <w:r>
              <w:rPr>
                <w:rFonts w:ascii="宋体" w:hAnsi="宋体" w:eastAsia="宋体" w:cs="Times New Roman"/>
                <w:color w:val="auto"/>
                <w:szCs w:val="21"/>
                <w:highlight w:val="none"/>
              </w:rPr>
              <w:t>直径</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≥150(mm)</w:t>
            </w:r>
            <w:r>
              <w:rPr>
                <w:rFonts w:hint="eastAsia" w:ascii="宋体" w:hAnsi="宋体" w:eastAsia="宋体" w:cs="Times New Roman"/>
                <w:color w:val="auto"/>
                <w:szCs w:val="21"/>
                <w:highlight w:val="none"/>
              </w:rPr>
              <w:t>；</w:t>
            </w:r>
          </w:p>
          <w:p w14:paraId="2524D7AE">
            <w:pPr>
              <w:keepNext/>
              <w:spacing w:line="288"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（6）满足不同场景下的火箭发射装置和弹药临时储运箱的转运与装卸要求：</w:t>
            </w:r>
          </w:p>
          <w:p w14:paraId="24C53663">
            <w:pPr>
              <w:keepNext/>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color w:val="auto"/>
                <w:szCs w:val="21"/>
                <w:highlight w:val="none"/>
              </w:rPr>
            </w:pPr>
            <w:r>
              <w:rPr>
                <w:rFonts w:hint="eastAsia" w:ascii="宋体" w:hAnsi="宋体" w:eastAsia="宋体" w:cs="Times New Roman"/>
                <w:color w:val="auto"/>
                <w:szCs w:val="21"/>
                <w:highlight w:val="none"/>
              </w:rPr>
              <w:t>①</w:t>
            </w:r>
            <w:r>
              <w:rPr>
                <w:rFonts w:hint="eastAsia" w:ascii="宋体" w:hAnsi="宋体" w:eastAsia="宋体" w:cs="宋体"/>
                <w:color w:val="auto"/>
                <w:szCs w:val="21"/>
                <w:highlight w:val="none"/>
              </w:rPr>
              <w:t>火箭发射架：火箭架质心到火箭架定向器尾外沿垂线距离不小于1000mm，火箭架质心高度距离底面大于600mm。</w:t>
            </w:r>
          </w:p>
          <w:p w14:paraId="4998B4DB">
            <w:pPr>
              <w:keepNext/>
              <w:spacing w:line="288" w:lineRule="auto"/>
              <w:jc w:val="left"/>
              <w:rPr>
                <w:rFonts w:ascii="宋体" w:hAnsi="宋体" w:eastAsia="宋体" w:cs="宋体"/>
                <w:color w:val="auto"/>
                <w:szCs w:val="21"/>
                <w:highlight w:val="none"/>
              </w:rPr>
            </w:pPr>
            <w:r>
              <w:rPr>
                <w:rFonts w:ascii="宋体" w:hAnsi="宋体" w:eastAsia="宋体" w:cs="Times New Roman"/>
                <w:color w:val="auto"/>
                <w:szCs w:val="21"/>
                <w:highlight w:val="none"/>
              </w:rPr>
              <w:t>②</w:t>
            </w:r>
            <w:r>
              <w:rPr>
                <w:rFonts w:hint="eastAsia" w:ascii="宋体" w:hAnsi="宋体" w:eastAsia="宋体" w:cs="宋体"/>
                <w:color w:val="auto"/>
                <w:szCs w:val="21"/>
                <w:highlight w:val="none"/>
              </w:rPr>
              <w:t>采用叉取方式：正常使用时，两叉最小外径距离不大于210mm，两叉最大内径距离大于530mm，叉舌厚度不大于50mm。</w:t>
            </w:r>
          </w:p>
          <w:p w14:paraId="566CFCAE">
            <w:pPr>
              <w:rPr>
                <w:rFonts w:ascii="宋体" w:hAnsi="宋体" w:eastAsia="宋体" w:cs="宋体"/>
                <w:color w:val="auto"/>
                <w:kern w:val="0"/>
                <w:szCs w:val="21"/>
                <w:highlight w:val="none"/>
                <w:lang w:bidi="ar"/>
              </w:rPr>
            </w:pPr>
            <w:r>
              <w:rPr>
                <w:rFonts w:ascii="宋体" w:hAnsi="宋体" w:eastAsia="宋体" w:cs="Times New Roman"/>
                <w:color w:val="auto"/>
                <w:szCs w:val="21"/>
                <w:highlight w:val="none"/>
              </w:rPr>
              <w:t>③</w:t>
            </w:r>
            <w:r>
              <w:rPr>
                <w:rFonts w:hint="eastAsia" w:ascii="宋体" w:hAnsi="宋体" w:eastAsia="宋体" w:cs="宋体"/>
                <w:color w:val="auto"/>
                <w:szCs w:val="21"/>
                <w:highlight w:val="none"/>
              </w:rPr>
              <w:t>采用滑动方式：支撑平台宽度不小于500mm，长度不小于800mm。</w:t>
            </w:r>
          </w:p>
        </w:tc>
        <w:tc>
          <w:tcPr>
            <w:tcW w:w="68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AB8074C">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w:t>
            </w:r>
          </w:p>
        </w:tc>
        <w:tc>
          <w:tcPr>
            <w:tcW w:w="6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2C8D80A">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台</w:t>
            </w:r>
          </w:p>
        </w:tc>
      </w:tr>
      <w:tr w14:paraId="64C96B19">
        <w:tblPrEx>
          <w:tblCellMar>
            <w:top w:w="0" w:type="dxa"/>
            <w:left w:w="108" w:type="dxa"/>
            <w:bottom w:w="0" w:type="dxa"/>
            <w:right w:w="108" w:type="dxa"/>
          </w:tblCellMar>
        </w:tblPrEx>
        <w:trPr>
          <w:jc w:val="center"/>
        </w:trPr>
        <w:tc>
          <w:tcPr>
            <w:tcW w:w="67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514970C">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2.5</w:t>
            </w:r>
          </w:p>
        </w:tc>
        <w:tc>
          <w:tcPr>
            <w:tcW w:w="916" w:type="dxa"/>
            <w:tcBorders>
              <w:top w:val="single" w:color="000000" w:sz="4" w:space="0"/>
              <w:left w:val="single" w:color="000000" w:sz="4" w:space="0"/>
              <w:bottom w:val="single" w:color="auto" w:sz="4" w:space="0"/>
              <w:right w:val="single" w:color="000000" w:sz="4" w:space="0"/>
            </w:tcBorders>
            <w:shd w:val="clear" w:color="auto" w:fill="auto"/>
            <w:vAlign w:val="center"/>
          </w:tcPr>
          <w:p w14:paraId="6576C338">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弹药临时储运箱</w:t>
            </w:r>
          </w:p>
        </w:tc>
        <w:tc>
          <w:tcPr>
            <w:tcW w:w="536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3617DB4">
            <w:pPr>
              <w:widowControl/>
              <w:snapToGrid w:val="0"/>
              <w:ind w:firstLine="420" w:firstLineChars="20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可拆卸，</w:t>
            </w:r>
            <w:r>
              <w:rPr>
                <w:rFonts w:ascii="宋体" w:hAnsi="宋体" w:eastAsia="宋体" w:cs="宋体"/>
                <w:color w:val="auto"/>
                <w:kern w:val="0"/>
                <w:szCs w:val="21"/>
                <w:highlight w:val="none"/>
                <w:lang w:bidi="ar"/>
              </w:rPr>
              <w:t>内置导轨、方便弹药</w:t>
            </w:r>
            <w:r>
              <w:rPr>
                <w:rFonts w:hint="eastAsia" w:ascii="宋体" w:hAnsi="宋体" w:eastAsia="宋体" w:cs="宋体"/>
                <w:color w:val="auto"/>
                <w:kern w:val="0"/>
                <w:szCs w:val="21"/>
                <w:highlight w:val="none"/>
                <w:lang w:bidi="ar"/>
              </w:rPr>
              <w:t>放置</w:t>
            </w:r>
            <w:r>
              <w:rPr>
                <w:rFonts w:ascii="宋体" w:hAnsi="宋体" w:eastAsia="宋体" w:cs="宋体"/>
                <w:color w:val="auto"/>
                <w:kern w:val="0"/>
                <w:szCs w:val="21"/>
                <w:highlight w:val="none"/>
                <w:lang w:bidi="ar"/>
              </w:rPr>
              <w:t>，操作简单可靠，能够满足44mm、56mm、66mm、82mm等口径火箭弹的安全储运要求</w:t>
            </w: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携弹量</w:t>
            </w:r>
            <w:r>
              <w:rPr>
                <w:rFonts w:hint="eastAsia" w:ascii="宋体" w:hAnsi="宋体" w:eastAsia="宋体" w:cs="宋体"/>
                <w:color w:val="auto"/>
                <w:kern w:val="0"/>
                <w:szCs w:val="21"/>
                <w:highlight w:val="none"/>
                <w:lang w:bidi="ar"/>
              </w:rPr>
              <w:t>≥12枚</w:t>
            </w:r>
            <w:r>
              <w:rPr>
                <w:rFonts w:ascii="宋体" w:hAnsi="宋体" w:eastAsia="宋体" w:cs="宋体"/>
                <w:color w:val="auto"/>
                <w:kern w:val="0"/>
                <w:szCs w:val="21"/>
                <w:highlight w:val="none"/>
                <w:lang w:bidi="ar"/>
              </w:rPr>
              <w:t>。</w:t>
            </w:r>
          </w:p>
        </w:tc>
        <w:tc>
          <w:tcPr>
            <w:tcW w:w="68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1D7783D">
            <w:pPr>
              <w:widowControl/>
              <w:snapToGrid w:val="0"/>
              <w:jc w:val="center"/>
              <w:textAlignment w:val="center"/>
              <w:rPr>
                <w:rFonts w:ascii="宋体" w:hAnsi="宋体" w:eastAsia="宋体" w:cs="宋体"/>
                <w:color w:val="auto"/>
                <w:kern w:val="0"/>
                <w:szCs w:val="21"/>
                <w:highlight w:val="none"/>
                <w:lang w:bidi="ar"/>
              </w:rPr>
            </w:pPr>
            <w:r>
              <w:rPr>
                <w:rFonts w:ascii="宋体" w:hAnsi="宋体" w:eastAsia="宋体" w:cs="宋体"/>
                <w:color w:val="auto"/>
                <w:kern w:val="0"/>
                <w:szCs w:val="21"/>
                <w:highlight w:val="none"/>
                <w:lang w:bidi="ar"/>
              </w:rPr>
              <w:t>3</w:t>
            </w:r>
          </w:p>
        </w:tc>
        <w:tc>
          <w:tcPr>
            <w:tcW w:w="6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37342F0">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个</w:t>
            </w:r>
          </w:p>
        </w:tc>
      </w:tr>
      <w:tr w14:paraId="33EFFCD8">
        <w:tblPrEx>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56AF59">
            <w:pPr>
              <w:widowControl/>
              <w:snapToGrid w:val="0"/>
              <w:jc w:val="center"/>
              <w:textAlignment w:val="center"/>
              <w:rPr>
                <w:rFonts w:ascii="宋体" w:hAnsi="宋体" w:eastAsia="宋体" w:cs="宋体"/>
                <w:b/>
                <w:bCs/>
                <w:color w:val="auto"/>
                <w:kern w:val="0"/>
                <w:szCs w:val="21"/>
                <w:highlight w:val="none"/>
                <w:lang w:bidi="ar"/>
              </w:rPr>
            </w:pPr>
            <w:bookmarkStart w:id="35" w:name="_Hlk230169474"/>
            <w:r>
              <w:rPr>
                <w:rFonts w:hint="eastAsia" w:ascii="宋体" w:hAnsi="宋体" w:eastAsia="宋体" w:cs="宋体"/>
                <w:b/>
                <w:bCs/>
                <w:color w:val="auto"/>
                <w:kern w:val="0"/>
                <w:szCs w:val="21"/>
                <w:highlight w:val="none"/>
                <w:lang w:bidi="ar"/>
              </w:rPr>
              <w:t>3</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14:paraId="10917879">
            <w:pPr>
              <w:widowControl/>
              <w:snapToGrid w:val="0"/>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szCs w:val="21"/>
                <w:highlight w:val="none"/>
              </w:rPr>
              <w:t>无人机作业单元</w:t>
            </w:r>
          </w:p>
        </w:tc>
        <w:tc>
          <w:tcPr>
            <w:tcW w:w="53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982375">
            <w:pPr>
              <w:widowControl/>
              <w:snapToGrid w:val="0"/>
              <w:spacing w:line="276" w:lineRule="auto"/>
              <w:jc w:val="left"/>
              <w:textAlignment w:val="center"/>
              <w:rPr>
                <w:rFonts w:ascii="宋体" w:hAnsi="宋体" w:eastAsia="宋体" w:cs="宋体"/>
                <w:b/>
                <w:color w:val="auto"/>
                <w:kern w:val="0"/>
                <w:szCs w:val="21"/>
                <w:highlight w:val="none"/>
                <w:lang w:bidi="ar"/>
              </w:rPr>
            </w:pPr>
            <w:r>
              <w:rPr>
                <w:rFonts w:hint="eastAsia" w:ascii="宋体" w:hAnsi="宋体" w:eastAsia="宋体" w:cs="宋体"/>
                <w:b/>
                <w:color w:val="auto"/>
                <w:kern w:val="0"/>
                <w:szCs w:val="21"/>
                <w:highlight w:val="none"/>
                <w:lang w:bidi="ar"/>
              </w:rPr>
              <w:t>总体功能要求</w:t>
            </w:r>
          </w:p>
          <w:p w14:paraId="346A41D3">
            <w:pPr>
              <w:widowControl/>
              <w:snapToGrid w:val="0"/>
              <w:spacing w:line="276" w:lineRule="auto"/>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bidi="ar"/>
              </w:rPr>
              <w:t>）具备挂载云粒子谱探测仪、机载云水含量探测器、焰条播撒器的能力。</w:t>
            </w:r>
          </w:p>
          <w:p w14:paraId="2FCD8803">
            <w:pPr>
              <w:widowControl/>
              <w:snapToGrid w:val="0"/>
              <w:spacing w:line="276" w:lineRule="auto"/>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）关键部位具备加热防除冰能力。</w:t>
            </w:r>
          </w:p>
          <w:p w14:paraId="468A310D">
            <w:pPr>
              <w:widowControl/>
              <w:snapToGrid w:val="0"/>
              <w:spacing w:line="276" w:lineRule="auto"/>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）具备任务载荷的实时数据传输和显控能力。</w:t>
            </w:r>
          </w:p>
          <w:p w14:paraId="41D0BCE9">
            <w:pPr>
              <w:widowControl/>
              <w:snapToGrid w:val="0"/>
              <w:spacing w:line="276" w:lineRule="auto"/>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）同时具备</w:t>
            </w:r>
            <w:r>
              <w:rPr>
                <w:rFonts w:ascii="宋体" w:hAnsi="宋体" w:eastAsia="宋体" w:cs="宋体"/>
                <w:color w:val="auto"/>
                <w:kern w:val="0"/>
                <w:szCs w:val="21"/>
                <w:highlight w:val="none"/>
                <w:lang w:bidi="ar"/>
              </w:rPr>
              <w:t>C</w:t>
            </w: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 xml:space="preserve">U </w:t>
            </w:r>
            <w:r>
              <w:rPr>
                <w:rFonts w:hint="eastAsia" w:ascii="宋体" w:hAnsi="宋体" w:eastAsia="宋体" w:cs="宋体"/>
                <w:color w:val="auto"/>
                <w:kern w:val="0"/>
                <w:szCs w:val="21"/>
                <w:highlight w:val="none"/>
                <w:lang w:bidi="ar"/>
              </w:rPr>
              <w:t>或</w:t>
            </w:r>
            <w:r>
              <w:rPr>
                <w:rFonts w:ascii="宋体" w:hAnsi="宋体" w:eastAsia="宋体" w:cs="宋体"/>
                <w:color w:val="auto"/>
                <w:kern w:val="0"/>
                <w:szCs w:val="21"/>
                <w:highlight w:val="none"/>
                <w:lang w:bidi="ar"/>
              </w:rPr>
              <w:t xml:space="preserve">L </w:t>
            </w:r>
            <w:r>
              <w:rPr>
                <w:rFonts w:hint="eastAsia" w:ascii="宋体" w:hAnsi="宋体" w:eastAsia="宋体" w:cs="宋体"/>
                <w:color w:val="auto"/>
                <w:kern w:val="0"/>
                <w:szCs w:val="21"/>
                <w:highlight w:val="none"/>
                <w:lang w:bidi="ar"/>
              </w:rPr>
              <w:t>波段的视距链路通讯能力，必要时根据需求增加高通量卫星链路，可向任务载荷提供不少于</w:t>
            </w:r>
            <w:r>
              <w:rPr>
                <w:rFonts w:ascii="宋体" w:hAnsi="宋体" w:eastAsia="宋体" w:cs="宋体"/>
                <w:color w:val="auto"/>
                <w:kern w:val="0"/>
                <w:szCs w:val="21"/>
                <w:highlight w:val="none"/>
                <w:lang w:bidi="ar"/>
              </w:rPr>
              <w:t xml:space="preserve">1Mpbs </w:t>
            </w:r>
            <w:r>
              <w:rPr>
                <w:rFonts w:hint="eastAsia" w:ascii="宋体" w:hAnsi="宋体" w:eastAsia="宋体" w:cs="宋体"/>
                <w:color w:val="auto"/>
                <w:kern w:val="0"/>
                <w:szCs w:val="21"/>
                <w:highlight w:val="none"/>
                <w:lang w:bidi="ar"/>
              </w:rPr>
              <w:t>数据传输带宽。</w:t>
            </w:r>
          </w:p>
          <w:p w14:paraId="133663E5">
            <w:pPr>
              <w:widowControl/>
              <w:snapToGrid w:val="0"/>
              <w:spacing w:line="276" w:lineRule="auto"/>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）具备</w:t>
            </w:r>
            <w:r>
              <w:rPr>
                <w:rFonts w:ascii="宋体" w:hAnsi="宋体" w:eastAsia="宋体" w:cs="宋体"/>
                <w:color w:val="auto"/>
                <w:kern w:val="0"/>
                <w:szCs w:val="21"/>
                <w:highlight w:val="none"/>
                <w:lang w:bidi="ar"/>
              </w:rPr>
              <w:t xml:space="preserve">GPS/BDS </w:t>
            </w:r>
            <w:r>
              <w:rPr>
                <w:rFonts w:hint="eastAsia" w:ascii="宋体" w:hAnsi="宋体" w:eastAsia="宋体" w:cs="宋体"/>
                <w:color w:val="auto"/>
                <w:kern w:val="0"/>
                <w:szCs w:val="21"/>
                <w:highlight w:val="none"/>
                <w:lang w:bidi="ar"/>
              </w:rPr>
              <w:t>卫星定位能力。</w:t>
            </w:r>
          </w:p>
          <w:p w14:paraId="55C33C32">
            <w:pPr>
              <w:widowControl/>
              <w:snapToGrid w:val="0"/>
              <w:spacing w:line="276" w:lineRule="auto"/>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）具备</w:t>
            </w:r>
            <w:r>
              <w:rPr>
                <w:rFonts w:ascii="宋体" w:hAnsi="宋体" w:eastAsia="宋体" w:cs="宋体"/>
                <w:color w:val="auto"/>
                <w:kern w:val="0"/>
                <w:szCs w:val="21"/>
                <w:highlight w:val="none"/>
                <w:lang w:bidi="ar"/>
              </w:rPr>
              <w:t xml:space="preserve">ADS-B </w:t>
            </w:r>
            <w:r>
              <w:rPr>
                <w:rFonts w:hint="eastAsia" w:ascii="宋体" w:hAnsi="宋体" w:eastAsia="宋体" w:cs="宋体"/>
                <w:color w:val="auto"/>
                <w:kern w:val="0"/>
                <w:szCs w:val="21"/>
                <w:highlight w:val="none"/>
                <w:lang w:bidi="ar"/>
              </w:rPr>
              <w:t>能力并加装符合民航要求的</w:t>
            </w:r>
            <w:r>
              <w:rPr>
                <w:rFonts w:ascii="宋体" w:hAnsi="宋体" w:eastAsia="宋体" w:cs="宋体"/>
                <w:color w:val="auto"/>
                <w:kern w:val="0"/>
                <w:szCs w:val="21"/>
                <w:highlight w:val="none"/>
                <w:lang w:bidi="ar"/>
              </w:rPr>
              <w:t>ADS-B</w:t>
            </w:r>
            <w:r>
              <w:rPr>
                <w:rFonts w:hint="eastAsia" w:ascii="宋体" w:hAnsi="宋体" w:eastAsia="宋体" w:cs="宋体"/>
                <w:color w:val="auto"/>
                <w:kern w:val="0"/>
                <w:szCs w:val="21"/>
                <w:highlight w:val="none"/>
                <w:lang w:bidi="ar"/>
              </w:rPr>
              <w:t>设备，实时发送无人机位置、高度、速度等信息。</w:t>
            </w:r>
          </w:p>
          <w:p w14:paraId="5EEB869D">
            <w:pPr>
              <w:widowControl/>
              <w:snapToGrid w:val="0"/>
              <w:spacing w:line="276" w:lineRule="auto"/>
              <w:jc w:val="left"/>
              <w:textAlignment w:val="center"/>
              <w:rPr>
                <w:color w:val="auto"/>
                <w:highlight w:val="none"/>
              </w:rPr>
            </w:pPr>
            <w:r>
              <w:rPr>
                <w:rFonts w:hint="eastAsia" w:ascii="宋体" w:hAnsi="宋体" w:eastAsia="宋体" w:cs="宋体"/>
                <w:color w:val="auto"/>
                <w:kern w:val="0"/>
                <w:szCs w:val="21"/>
                <w:highlight w:val="none"/>
                <w:lang w:bidi="ar"/>
              </w:rPr>
              <w:t>#（7）具备防雷能力</w:t>
            </w:r>
            <w:r>
              <w:rPr>
                <w:rFonts w:hint="eastAsia" w:eastAsia="宋体" w:cs="Times New Roman"/>
                <w:b/>
                <w:bCs/>
                <w:color w:val="auto"/>
                <w:kern w:val="0"/>
                <w:szCs w:val="21"/>
                <w:highlight w:val="none"/>
                <w:lang w:eastAsia="zh-CN" w:bidi="ar"/>
              </w:rPr>
              <w:t>【需提供国家认可的第三方认证（检测）机构出具认证证书（检测报告）】</w:t>
            </w:r>
          </w:p>
        </w:tc>
        <w:tc>
          <w:tcPr>
            <w:tcW w:w="6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0D796">
            <w:pPr>
              <w:widowControl/>
              <w:snapToGrid w:val="0"/>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1</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54DBF8">
            <w:pPr>
              <w:widowControl/>
              <w:snapToGrid w:val="0"/>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套</w:t>
            </w:r>
          </w:p>
        </w:tc>
      </w:tr>
      <w:tr w14:paraId="5BE58ACC">
        <w:tblPrEx>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14:paraId="495C34AE">
            <w:pPr>
              <w:widowControl/>
              <w:snapToGrid w:val="0"/>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3.1</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14:paraId="4C6659AE">
            <w:pPr>
              <w:widowControl/>
              <w:snapToGrid w:val="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无人机作业平台</w:t>
            </w:r>
          </w:p>
        </w:tc>
        <w:tc>
          <w:tcPr>
            <w:tcW w:w="5361" w:type="dxa"/>
            <w:tcBorders>
              <w:top w:val="single" w:color="auto" w:sz="4" w:space="0"/>
              <w:left w:val="single" w:color="auto" w:sz="4" w:space="0"/>
              <w:bottom w:val="single" w:color="auto" w:sz="4" w:space="0"/>
              <w:right w:val="single" w:color="auto" w:sz="4" w:space="0"/>
            </w:tcBorders>
            <w:shd w:val="clear" w:color="auto" w:fill="auto"/>
            <w:vAlign w:val="center"/>
          </w:tcPr>
          <w:p w14:paraId="289CE1F6">
            <w:pPr>
              <w:snapToGrid w:val="0"/>
              <w:spacing w:line="276" w:lineRule="auto"/>
              <w:jc w:val="left"/>
              <w:rPr>
                <w:rFonts w:ascii="宋体" w:hAnsi="宋体" w:eastAsia="宋体" w:cs="宋体"/>
                <w:b/>
                <w:color w:val="auto"/>
                <w:kern w:val="0"/>
                <w:szCs w:val="21"/>
                <w:highlight w:val="none"/>
                <w:lang w:bidi="ar"/>
              </w:rPr>
            </w:pPr>
            <w:r>
              <w:rPr>
                <w:rFonts w:hint="eastAsia" w:ascii="宋体" w:hAnsi="宋体" w:eastAsia="宋体" w:cs="宋体"/>
                <w:b/>
                <w:color w:val="auto"/>
                <w:kern w:val="0"/>
                <w:szCs w:val="21"/>
                <w:highlight w:val="none"/>
                <w:lang w:bidi="ar"/>
              </w:rPr>
              <w:t>1. 技术要求</w:t>
            </w:r>
          </w:p>
          <w:p w14:paraId="75FBA543">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bidi="ar"/>
              </w:rPr>
              <w:t>）适航：</w:t>
            </w:r>
          </w:p>
          <w:p w14:paraId="29ABA52F">
            <w:pPr>
              <w:rPr>
                <w:color w:val="auto"/>
                <w:highlight w:val="none"/>
              </w:rPr>
            </w:pPr>
            <w:r>
              <w:rPr>
                <w:rFonts w:hint="eastAsia" w:ascii="宋体" w:hAnsi="宋体" w:eastAsia="宋体" w:cs="宋体"/>
                <w:color w:val="auto"/>
                <w:kern w:val="0"/>
                <w:szCs w:val="21"/>
                <w:highlight w:val="none"/>
                <w:lang w:bidi="ar"/>
              </w:rPr>
              <w:t>应通过中国民用航空主管部门进行的适航性检查，处于适航状态。</w:t>
            </w:r>
          </w:p>
          <w:p w14:paraId="0716DF29">
            <w:pPr>
              <w:snapToGrid w:val="0"/>
              <w:spacing w:line="276" w:lineRule="auto"/>
              <w:ind w:firstLine="420" w:firstLineChars="200"/>
              <w:jc w:val="left"/>
              <w:rPr>
                <w:rFonts w:ascii="宋体" w:hAnsi="宋体" w:eastAsia="宋体" w:cs="宋体"/>
                <w:color w:val="auto"/>
                <w:kern w:val="0"/>
                <w:szCs w:val="21"/>
                <w:highlight w:val="none"/>
                <w:lang w:bidi="ar"/>
              </w:rPr>
            </w:pPr>
          </w:p>
          <w:p w14:paraId="2E4184BF">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b/>
                <w:color w:val="auto"/>
                <w:kern w:val="0"/>
                <w:szCs w:val="21"/>
                <w:highlight w:val="none"/>
                <w:lang w:bidi="ar"/>
              </w:rPr>
              <w:t>#</w:t>
            </w: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）最大载重能力：不小于6</w:t>
            </w:r>
            <w:r>
              <w:rPr>
                <w:rFonts w:ascii="宋体" w:hAnsi="宋体" w:eastAsia="宋体" w:cs="宋体"/>
                <w:color w:val="auto"/>
                <w:kern w:val="0"/>
                <w:szCs w:val="21"/>
                <w:highlight w:val="none"/>
                <w:lang w:bidi="ar"/>
              </w:rPr>
              <w:t>0kg</w:t>
            </w:r>
            <w:r>
              <w:rPr>
                <w:rFonts w:hint="eastAsia" w:ascii="宋体" w:hAnsi="宋体" w:eastAsia="宋体" w:cs="宋体"/>
                <w:color w:val="auto"/>
                <w:kern w:val="0"/>
                <w:szCs w:val="21"/>
                <w:highlight w:val="none"/>
                <w:lang w:bidi="ar"/>
              </w:rPr>
              <w:t>（满油（电））。</w:t>
            </w:r>
          </w:p>
          <w:p w14:paraId="201C4851">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）最大续航时间：不小于</w:t>
            </w:r>
            <w:r>
              <w:rPr>
                <w:rFonts w:ascii="宋体" w:hAnsi="宋体" w:eastAsia="宋体" w:cs="宋体"/>
                <w:color w:val="auto"/>
                <w:kern w:val="0"/>
                <w:szCs w:val="21"/>
                <w:highlight w:val="none"/>
                <w:lang w:bidi="ar"/>
              </w:rPr>
              <w:t>4h</w:t>
            </w:r>
            <w:r>
              <w:rPr>
                <w:rFonts w:hint="eastAsia" w:ascii="宋体" w:hAnsi="宋体" w:eastAsia="宋体" w:cs="宋体"/>
                <w:color w:val="auto"/>
                <w:kern w:val="0"/>
                <w:szCs w:val="21"/>
                <w:highlight w:val="none"/>
                <w:lang w:bidi="ar"/>
              </w:rPr>
              <w:t>（满油（电））。</w:t>
            </w:r>
          </w:p>
          <w:p w14:paraId="6A95DEF4">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）最大飞行速度：不小于</w:t>
            </w:r>
            <w:r>
              <w:rPr>
                <w:rFonts w:ascii="宋体" w:hAnsi="宋体" w:eastAsia="宋体" w:cs="宋体"/>
                <w:color w:val="auto"/>
                <w:kern w:val="0"/>
                <w:szCs w:val="21"/>
                <w:highlight w:val="none"/>
                <w:lang w:bidi="ar"/>
              </w:rPr>
              <w:t>150km/h</w:t>
            </w:r>
            <w:r>
              <w:rPr>
                <w:rFonts w:hint="eastAsia" w:ascii="宋体" w:hAnsi="宋体" w:eastAsia="宋体" w:cs="宋体"/>
                <w:color w:val="auto"/>
                <w:kern w:val="0"/>
                <w:szCs w:val="21"/>
                <w:highlight w:val="none"/>
                <w:lang w:bidi="ar"/>
              </w:rPr>
              <w:t>（满油（电））。</w:t>
            </w:r>
          </w:p>
          <w:p w14:paraId="78D45BB7">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）巡航速度：</w:t>
            </w:r>
            <w:r>
              <w:rPr>
                <w:rFonts w:ascii="宋体" w:hAnsi="宋体" w:eastAsia="宋体" w:cs="宋体"/>
                <w:color w:val="auto"/>
                <w:kern w:val="0"/>
                <w:szCs w:val="21"/>
                <w:highlight w:val="none"/>
                <w:lang w:bidi="ar"/>
              </w:rPr>
              <w:t>60km/h</w:t>
            </w: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180km/h</w:t>
            </w:r>
            <w:r>
              <w:rPr>
                <w:rFonts w:hint="eastAsia" w:ascii="宋体" w:hAnsi="宋体" w:eastAsia="宋体" w:cs="宋体"/>
                <w:color w:val="auto"/>
                <w:kern w:val="0"/>
                <w:szCs w:val="21"/>
                <w:highlight w:val="none"/>
                <w:lang w:bidi="ar"/>
              </w:rPr>
              <w:t>（满油（电））。</w:t>
            </w:r>
          </w:p>
          <w:p w14:paraId="1F5ECF35">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）最大爬升率：不小于</w:t>
            </w:r>
            <w:r>
              <w:rPr>
                <w:rFonts w:ascii="宋体" w:hAnsi="宋体" w:eastAsia="宋体" w:cs="宋体"/>
                <w:color w:val="auto"/>
                <w:kern w:val="0"/>
                <w:szCs w:val="21"/>
                <w:highlight w:val="none"/>
                <w:lang w:bidi="ar"/>
              </w:rPr>
              <w:t>1.5m/s</w:t>
            </w:r>
            <w:r>
              <w:rPr>
                <w:rFonts w:hint="eastAsia" w:ascii="宋体" w:hAnsi="宋体" w:eastAsia="宋体" w:cs="宋体"/>
                <w:color w:val="auto"/>
                <w:kern w:val="0"/>
                <w:szCs w:val="21"/>
                <w:highlight w:val="none"/>
                <w:lang w:bidi="ar"/>
              </w:rPr>
              <w:t>（满油（电））。</w:t>
            </w:r>
          </w:p>
          <w:p w14:paraId="39D3A605">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7</w:t>
            </w:r>
            <w:r>
              <w:rPr>
                <w:rFonts w:hint="eastAsia" w:ascii="宋体" w:hAnsi="宋体" w:eastAsia="宋体" w:cs="宋体"/>
                <w:color w:val="auto"/>
                <w:kern w:val="0"/>
                <w:szCs w:val="21"/>
                <w:highlight w:val="none"/>
                <w:lang w:bidi="ar"/>
              </w:rPr>
              <w:t>）最大升限：不小于</w:t>
            </w:r>
            <w:r>
              <w:rPr>
                <w:rFonts w:ascii="宋体" w:hAnsi="宋体" w:eastAsia="宋体" w:cs="宋体"/>
                <w:color w:val="auto"/>
                <w:kern w:val="0"/>
                <w:szCs w:val="21"/>
                <w:highlight w:val="none"/>
                <w:lang w:bidi="ar"/>
              </w:rPr>
              <w:t>5500m</w:t>
            </w:r>
            <w:r>
              <w:rPr>
                <w:rFonts w:hint="eastAsia" w:ascii="宋体" w:hAnsi="宋体" w:eastAsia="宋体" w:cs="宋体"/>
                <w:color w:val="auto"/>
                <w:kern w:val="0"/>
                <w:szCs w:val="21"/>
                <w:highlight w:val="none"/>
                <w:lang w:bidi="ar"/>
              </w:rPr>
              <w:t>（满油（电）满载）</w:t>
            </w:r>
          </w:p>
          <w:p w14:paraId="4A9D36CB">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8</w:t>
            </w:r>
            <w:r>
              <w:rPr>
                <w:rFonts w:hint="eastAsia" w:ascii="宋体" w:hAnsi="宋体" w:eastAsia="宋体" w:cs="宋体"/>
                <w:color w:val="auto"/>
                <w:kern w:val="0"/>
                <w:szCs w:val="21"/>
                <w:highlight w:val="none"/>
                <w:lang w:bidi="ar"/>
              </w:rPr>
              <w:t>）最大起飞海拔：不小于</w:t>
            </w:r>
            <w:r>
              <w:rPr>
                <w:rFonts w:ascii="宋体" w:hAnsi="宋体" w:eastAsia="宋体" w:cs="宋体"/>
                <w:color w:val="auto"/>
                <w:kern w:val="0"/>
                <w:szCs w:val="21"/>
                <w:highlight w:val="none"/>
                <w:lang w:bidi="ar"/>
              </w:rPr>
              <w:t>1500m</w:t>
            </w:r>
            <w:r>
              <w:rPr>
                <w:rFonts w:hint="eastAsia" w:ascii="宋体" w:hAnsi="宋体" w:eastAsia="宋体" w:cs="宋体"/>
                <w:color w:val="auto"/>
                <w:kern w:val="0"/>
                <w:szCs w:val="21"/>
                <w:highlight w:val="none"/>
                <w:lang w:bidi="ar"/>
              </w:rPr>
              <w:t>（满油（电）满载）</w:t>
            </w:r>
          </w:p>
          <w:p w14:paraId="46749178">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9</w:t>
            </w:r>
            <w:r>
              <w:rPr>
                <w:rFonts w:hint="eastAsia" w:ascii="宋体" w:hAnsi="宋体" w:eastAsia="宋体" w:cs="宋体"/>
                <w:color w:val="auto"/>
                <w:kern w:val="0"/>
                <w:szCs w:val="21"/>
                <w:highlight w:val="none"/>
                <w:lang w:bidi="ar"/>
              </w:rPr>
              <w:t>）可用挂点：不少于</w:t>
            </w:r>
            <w:r>
              <w:rPr>
                <w:rFonts w:ascii="宋体" w:hAnsi="宋体" w:eastAsia="宋体" w:cs="宋体"/>
                <w:color w:val="auto"/>
                <w:kern w:val="0"/>
                <w:szCs w:val="21"/>
                <w:highlight w:val="none"/>
                <w:lang w:bidi="ar"/>
              </w:rPr>
              <w:t xml:space="preserve">4 </w:t>
            </w:r>
            <w:r>
              <w:rPr>
                <w:rFonts w:hint="eastAsia" w:ascii="宋体" w:hAnsi="宋体" w:eastAsia="宋体" w:cs="宋体"/>
                <w:color w:val="auto"/>
                <w:kern w:val="0"/>
                <w:szCs w:val="21"/>
                <w:highlight w:val="none"/>
                <w:lang w:bidi="ar"/>
              </w:rPr>
              <w:t>个。</w:t>
            </w:r>
            <w:r>
              <w:rPr>
                <w:rFonts w:hint="eastAsia" w:eastAsia="宋体" w:cs="Times New Roman"/>
                <w:b/>
                <w:bCs/>
                <w:color w:val="auto"/>
                <w:kern w:val="0"/>
                <w:szCs w:val="21"/>
                <w:highlight w:val="none"/>
                <w:lang w:eastAsia="zh-CN" w:bidi="ar"/>
              </w:rPr>
              <w:t>【需提供国家认可的第三方认证（检测）机构出具认证证书（检测报告）】</w:t>
            </w:r>
          </w:p>
          <w:p w14:paraId="361DF640">
            <w:pPr>
              <w:rPr>
                <w:color w:val="auto"/>
                <w:highlight w:val="none"/>
              </w:rPr>
            </w:pPr>
          </w:p>
          <w:p w14:paraId="387EDECA">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10</w:t>
            </w:r>
            <w:r>
              <w:rPr>
                <w:rFonts w:hint="eastAsia" w:ascii="宋体" w:hAnsi="宋体" w:eastAsia="宋体" w:cs="宋体"/>
                <w:color w:val="auto"/>
                <w:kern w:val="0"/>
                <w:szCs w:val="21"/>
                <w:highlight w:val="none"/>
                <w:lang w:bidi="ar"/>
              </w:rPr>
              <w:t>）额外供电能力：不小于</w:t>
            </w:r>
            <w:r>
              <w:rPr>
                <w:rFonts w:ascii="宋体" w:hAnsi="宋体" w:eastAsia="宋体" w:cs="宋体"/>
                <w:color w:val="auto"/>
                <w:kern w:val="0"/>
                <w:szCs w:val="21"/>
                <w:highlight w:val="none"/>
                <w:lang w:bidi="ar"/>
              </w:rPr>
              <w:t>1kW</w:t>
            </w:r>
            <w:r>
              <w:rPr>
                <w:rFonts w:hint="eastAsia" w:ascii="宋体" w:hAnsi="宋体" w:eastAsia="宋体" w:cs="宋体"/>
                <w:color w:val="auto"/>
                <w:kern w:val="0"/>
                <w:szCs w:val="21"/>
                <w:highlight w:val="none"/>
                <w:lang w:bidi="ar"/>
              </w:rPr>
              <w:t>。</w:t>
            </w:r>
          </w:p>
          <w:p w14:paraId="14D92488">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11</w:t>
            </w:r>
            <w:r>
              <w:rPr>
                <w:rFonts w:hint="eastAsia" w:ascii="宋体" w:hAnsi="宋体" w:eastAsia="宋体" w:cs="宋体"/>
                <w:color w:val="auto"/>
                <w:kern w:val="0"/>
                <w:szCs w:val="21"/>
                <w:highlight w:val="none"/>
                <w:lang w:bidi="ar"/>
              </w:rPr>
              <w:t>）抗风等级：</w:t>
            </w:r>
          </w:p>
          <w:p w14:paraId="3A0FF4BE">
            <w:pPr>
              <w:snapToGrid w:val="0"/>
              <w:spacing w:line="276" w:lineRule="auto"/>
              <w:ind w:firstLine="420" w:firstLineChars="200"/>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满油（电）满载状态下，可抗空中大于</w:t>
            </w:r>
            <w:r>
              <w:rPr>
                <w:rFonts w:ascii="宋体" w:hAnsi="宋体" w:eastAsia="宋体" w:cs="宋体"/>
                <w:color w:val="auto"/>
                <w:kern w:val="0"/>
                <w:szCs w:val="21"/>
                <w:highlight w:val="none"/>
                <w:lang w:bidi="ar"/>
              </w:rPr>
              <w:t xml:space="preserve">15 m/s </w:t>
            </w:r>
            <w:r>
              <w:rPr>
                <w:rFonts w:hint="eastAsia" w:ascii="宋体" w:hAnsi="宋体" w:eastAsia="宋体" w:cs="宋体"/>
                <w:color w:val="auto"/>
                <w:kern w:val="0"/>
                <w:szCs w:val="21"/>
                <w:highlight w:val="none"/>
                <w:lang w:bidi="ar"/>
              </w:rPr>
              <w:t>连续风、可在阵风小于等于</w:t>
            </w:r>
            <w:r>
              <w:rPr>
                <w:rFonts w:ascii="宋体" w:hAnsi="宋体" w:eastAsia="宋体" w:cs="宋体"/>
                <w:color w:val="auto"/>
                <w:kern w:val="0"/>
                <w:szCs w:val="21"/>
                <w:highlight w:val="none"/>
                <w:lang w:bidi="ar"/>
              </w:rPr>
              <w:t xml:space="preserve">7 m/s </w:t>
            </w:r>
            <w:r>
              <w:rPr>
                <w:rFonts w:hint="eastAsia" w:ascii="宋体" w:hAnsi="宋体" w:eastAsia="宋体" w:cs="宋体"/>
                <w:color w:val="auto"/>
                <w:kern w:val="0"/>
                <w:szCs w:val="21"/>
                <w:highlight w:val="none"/>
                <w:lang w:bidi="ar"/>
              </w:rPr>
              <w:t>正侧风下起降。</w:t>
            </w:r>
          </w:p>
          <w:p w14:paraId="240C3503">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12</w:t>
            </w:r>
            <w:r>
              <w:rPr>
                <w:rFonts w:hint="eastAsia" w:ascii="宋体" w:hAnsi="宋体" w:eastAsia="宋体" w:cs="宋体"/>
                <w:color w:val="auto"/>
                <w:kern w:val="0"/>
                <w:szCs w:val="21"/>
                <w:highlight w:val="none"/>
                <w:lang w:bidi="ar"/>
              </w:rPr>
              <w:t>）飞机</w:t>
            </w:r>
            <w:r>
              <w:rPr>
                <w:rFonts w:ascii="宋体" w:hAnsi="宋体" w:eastAsia="宋体" w:cs="宋体"/>
                <w:color w:val="auto"/>
                <w:kern w:val="0"/>
                <w:szCs w:val="21"/>
                <w:highlight w:val="none"/>
                <w:lang w:bidi="ar"/>
              </w:rPr>
              <w:t>构型</w:t>
            </w:r>
            <w:r>
              <w:rPr>
                <w:rFonts w:hint="eastAsia" w:ascii="宋体" w:hAnsi="宋体" w:eastAsia="宋体" w:cs="宋体"/>
                <w:color w:val="auto"/>
                <w:kern w:val="0"/>
                <w:szCs w:val="21"/>
                <w:highlight w:val="none"/>
                <w:lang w:bidi="ar"/>
              </w:rPr>
              <w:t>：复合翼垂直起降。</w:t>
            </w:r>
          </w:p>
          <w:p w14:paraId="52612494">
            <w:pPr>
              <w:snapToGrid w:val="0"/>
              <w:spacing w:line="276" w:lineRule="auto"/>
              <w:jc w:val="left"/>
              <w:rPr>
                <w:rFonts w:ascii="宋体" w:hAnsi="宋体" w:eastAsia="宋体" w:cs="宋体"/>
                <w:b/>
                <w:color w:val="auto"/>
                <w:kern w:val="0"/>
                <w:szCs w:val="21"/>
                <w:highlight w:val="none"/>
                <w:lang w:bidi="ar"/>
              </w:rPr>
            </w:pPr>
            <w:r>
              <w:rPr>
                <w:rFonts w:ascii="宋体" w:hAnsi="宋体" w:eastAsia="宋体" w:cs="宋体"/>
                <w:b/>
                <w:color w:val="auto"/>
                <w:kern w:val="0"/>
                <w:szCs w:val="21"/>
                <w:highlight w:val="none"/>
                <w:lang w:bidi="ar"/>
              </w:rPr>
              <w:t>2</w:t>
            </w:r>
            <w:r>
              <w:rPr>
                <w:rFonts w:hint="eastAsia" w:ascii="宋体" w:hAnsi="宋体" w:eastAsia="宋体" w:cs="宋体"/>
                <w:b/>
                <w:color w:val="auto"/>
                <w:kern w:val="0"/>
                <w:szCs w:val="21"/>
                <w:highlight w:val="none"/>
                <w:lang w:bidi="ar"/>
              </w:rPr>
              <w:t>. 运行环境要求</w:t>
            </w:r>
          </w:p>
          <w:p w14:paraId="4C064061">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bidi="ar"/>
              </w:rPr>
              <w:t>）工作温度：</w:t>
            </w:r>
            <w:r>
              <w:rPr>
                <w:rFonts w:ascii="宋体" w:hAnsi="宋体" w:eastAsia="宋体" w:cs="宋体"/>
                <w:color w:val="auto"/>
                <w:kern w:val="0"/>
                <w:szCs w:val="21"/>
                <w:highlight w:val="none"/>
                <w:lang w:bidi="ar"/>
              </w:rPr>
              <w:t>-30</w:t>
            </w: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+45</w:t>
            </w:r>
            <w:r>
              <w:rPr>
                <w:rFonts w:hint="eastAsia" w:ascii="宋体" w:hAnsi="宋体" w:eastAsia="宋体" w:cs="宋体"/>
                <w:color w:val="auto"/>
                <w:kern w:val="0"/>
                <w:szCs w:val="21"/>
                <w:highlight w:val="none"/>
                <w:lang w:bidi="ar"/>
              </w:rPr>
              <w:t>℃；</w:t>
            </w:r>
          </w:p>
          <w:p w14:paraId="7024696D">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）贮存温度：</w:t>
            </w:r>
            <w:r>
              <w:rPr>
                <w:rFonts w:ascii="宋体" w:hAnsi="宋体" w:eastAsia="宋体" w:cs="宋体"/>
                <w:color w:val="auto"/>
                <w:kern w:val="0"/>
                <w:szCs w:val="21"/>
                <w:highlight w:val="none"/>
                <w:lang w:bidi="ar"/>
              </w:rPr>
              <w:t>-40</w:t>
            </w: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+55</w:t>
            </w:r>
            <w:r>
              <w:rPr>
                <w:rFonts w:hint="eastAsia" w:ascii="宋体" w:hAnsi="宋体" w:eastAsia="宋体" w:cs="宋体"/>
                <w:color w:val="auto"/>
                <w:kern w:val="0"/>
                <w:szCs w:val="21"/>
                <w:highlight w:val="none"/>
                <w:lang w:bidi="ar"/>
              </w:rPr>
              <w:t>℃；</w:t>
            </w:r>
          </w:p>
          <w:p w14:paraId="784B16CE">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）相对湿度：</w:t>
            </w:r>
            <w:r>
              <w:rPr>
                <w:rFonts w:ascii="宋体" w:hAnsi="宋体" w:eastAsia="宋体" w:cs="宋体"/>
                <w:color w:val="auto"/>
                <w:kern w:val="0"/>
                <w:szCs w:val="21"/>
                <w:highlight w:val="none"/>
                <w:lang w:bidi="ar"/>
              </w:rPr>
              <w:t>100%</w:t>
            </w:r>
            <w:r>
              <w:rPr>
                <w:rFonts w:hint="eastAsia" w:ascii="宋体" w:hAnsi="宋体" w:eastAsia="宋体" w:cs="宋体"/>
                <w:color w:val="auto"/>
                <w:kern w:val="0"/>
                <w:szCs w:val="21"/>
                <w:highlight w:val="none"/>
                <w:lang w:bidi="ar"/>
              </w:rPr>
              <w:t>条件下持续工作时间＞</w:t>
            </w:r>
            <w:r>
              <w:rPr>
                <w:rFonts w:ascii="宋体" w:hAnsi="宋体" w:eastAsia="宋体" w:cs="宋体"/>
                <w:color w:val="auto"/>
                <w:kern w:val="0"/>
                <w:szCs w:val="21"/>
                <w:highlight w:val="none"/>
                <w:lang w:bidi="ar"/>
              </w:rPr>
              <w:t>4h</w:t>
            </w:r>
            <w:r>
              <w:rPr>
                <w:rFonts w:hint="eastAsia" w:ascii="宋体" w:hAnsi="宋体" w:eastAsia="宋体" w:cs="宋体"/>
                <w:color w:val="auto"/>
                <w:kern w:val="0"/>
                <w:szCs w:val="21"/>
                <w:highlight w:val="none"/>
                <w:lang w:bidi="ar"/>
              </w:rPr>
              <w:t>；</w:t>
            </w:r>
          </w:p>
          <w:p w14:paraId="06D26783">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）可在小雨（＜</w:t>
            </w:r>
            <w:r>
              <w:rPr>
                <w:rFonts w:ascii="宋体" w:hAnsi="宋体" w:eastAsia="宋体" w:cs="宋体"/>
                <w:color w:val="auto"/>
                <w:kern w:val="0"/>
                <w:szCs w:val="21"/>
                <w:highlight w:val="none"/>
                <w:lang w:bidi="ar"/>
              </w:rPr>
              <w:t>2.0mm/h</w:t>
            </w:r>
            <w:r>
              <w:rPr>
                <w:rFonts w:hint="eastAsia" w:ascii="宋体" w:hAnsi="宋体" w:eastAsia="宋体" w:cs="宋体"/>
                <w:color w:val="auto"/>
                <w:kern w:val="0"/>
                <w:szCs w:val="21"/>
                <w:highlight w:val="none"/>
                <w:lang w:bidi="ar"/>
              </w:rPr>
              <w:t>）条件下工作；</w:t>
            </w:r>
          </w:p>
          <w:p w14:paraId="2A1E8F45">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）具备防腐蚀、霉菌、潮湿、沙尘等措施。</w:t>
            </w:r>
          </w:p>
          <w:p w14:paraId="446EA3C0">
            <w:pPr>
              <w:snapToGrid w:val="0"/>
              <w:spacing w:line="276" w:lineRule="auto"/>
              <w:jc w:val="left"/>
              <w:rPr>
                <w:rFonts w:ascii="宋体" w:hAnsi="宋体" w:eastAsia="宋体" w:cs="宋体"/>
                <w:b/>
                <w:color w:val="auto"/>
                <w:kern w:val="0"/>
                <w:szCs w:val="21"/>
                <w:highlight w:val="none"/>
                <w:lang w:bidi="ar"/>
              </w:rPr>
            </w:pPr>
            <w:r>
              <w:rPr>
                <w:rFonts w:ascii="宋体" w:hAnsi="宋体" w:eastAsia="宋体" w:cs="宋体"/>
                <w:b/>
                <w:color w:val="auto"/>
                <w:kern w:val="0"/>
                <w:szCs w:val="21"/>
                <w:highlight w:val="none"/>
                <w:lang w:bidi="ar"/>
              </w:rPr>
              <w:t>3</w:t>
            </w:r>
            <w:r>
              <w:rPr>
                <w:rFonts w:hint="eastAsia" w:ascii="宋体" w:hAnsi="宋体" w:eastAsia="宋体" w:cs="宋体"/>
                <w:b/>
                <w:color w:val="auto"/>
                <w:kern w:val="0"/>
                <w:szCs w:val="21"/>
                <w:highlight w:val="none"/>
                <w:lang w:bidi="ar"/>
              </w:rPr>
              <w:t>.其他要求：</w:t>
            </w:r>
          </w:p>
          <w:p w14:paraId="4850F2CE">
            <w:pPr>
              <w:rPr>
                <w:color w:val="auto"/>
                <w:highlight w:val="none"/>
              </w:rPr>
            </w:pPr>
          </w:p>
          <w:p w14:paraId="35A90B95">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催化播撒：具备冷暖云焰条作业方式，焰条播撒控制器接收上位机指令，对焰条点火，播撒催化剂，实时人工影响天气作业，能够检测焰条状态，包括有/无、正常/故障。作业设备一次装载量连续催化时间应不小于</w:t>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 xml:space="preserve"> h。</w:t>
            </w:r>
          </w:p>
          <w:p w14:paraId="7A8C9601">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空地通信：依托无人机平台的C、U或L波段的视距链路，实现各类任务载荷的实时数据传输和显控，空地通信、集成控制。具备飞行前离线任务规划和飞行中在线任务规划的能力。具备自主、指令等多种飞行控制能力。能够实时监控无人机各系统的工作状态。能够存储和管理无人机下传的遥测数据、视频和其他信息，并提供快速下载功能。集成视距数据链地面终端，可加密传输。具备数字地图显示功能，地图包含卫星地图、高程信息等。</w:t>
            </w:r>
          </w:p>
          <w:p w14:paraId="464F3C04">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val="en-US" w:eastAsia="zh-CN" w:bidi="ar"/>
              </w:rPr>
              <w:t>3</w:t>
            </w:r>
            <w:r>
              <w:rPr>
                <w:rFonts w:hint="eastAsia" w:ascii="宋体" w:hAnsi="宋体" w:eastAsia="宋体" w:cs="宋体"/>
                <w:color w:val="auto"/>
                <w:kern w:val="0"/>
                <w:szCs w:val="21"/>
                <w:highlight w:val="none"/>
                <w:lang w:bidi="ar"/>
              </w:rPr>
              <w:t>）任务集成：具备向机载云水含量探测仪和云粒子谱探测仪数据通讯、供电的能力。具备机载催化、作业和通讯的集成和显控，地面站应具备与指挥模组无缝对接，并与“天工”实时相互传输人影作业探测相关各类载荷信息数据的功能。</w:t>
            </w:r>
          </w:p>
          <w:p w14:paraId="2369B074">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val="en-US" w:eastAsia="zh-CN" w:bidi="ar"/>
              </w:rPr>
              <w:t>4</w:t>
            </w:r>
            <w:r>
              <w:rPr>
                <w:rFonts w:hint="eastAsia" w:ascii="宋体" w:hAnsi="宋体" w:eastAsia="宋体" w:cs="宋体"/>
                <w:color w:val="auto"/>
                <w:kern w:val="0"/>
                <w:szCs w:val="21"/>
                <w:highlight w:val="none"/>
                <w:lang w:bidi="ar"/>
              </w:rPr>
              <w:t>）其他</w:t>
            </w:r>
            <w:r>
              <w:rPr>
                <w:rFonts w:ascii="宋体" w:hAnsi="宋体" w:eastAsia="宋体" w:cs="宋体"/>
                <w:color w:val="auto"/>
                <w:kern w:val="0"/>
                <w:szCs w:val="21"/>
                <w:highlight w:val="none"/>
                <w:lang w:bidi="ar"/>
              </w:rPr>
              <w:t>功能要求、</w:t>
            </w:r>
            <w:r>
              <w:rPr>
                <w:rFonts w:hint="eastAsia" w:ascii="宋体" w:hAnsi="宋体" w:eastAsia="宋体" w:cs="宋体"/>
                <w:color w:val="auto"/>
                <w:kern w:val="0"/>
                <w:szCs w:val="21"/>
                <w:highlight w:val="none"/>
                <w:lang w:bidi="ar"/>
              </w:rPr>
              <w:t>机身结构</w:t>
            </w:r>
            <w:r>
              <w:rPr>
                <w:rFonts w:ascii="宋体" w:hAnsi="宋体" w:eastAsia="宋体" w:cs="宋体"/>
                <w:color w:val="auto"/>
                <w:kern w:val="0"/>
                <w:szCs w:val="21"/>
                <w:highlight w:val="none"/>
                <w:lang w:bidi="ar"/>
              </w:rPr>
              <w:t>、起落架系统、飞</w:t>
            </w:r>
            <w:r>
              <w:rPr>
                <w:rFonts w:hint="eastAsia" w:ascii="宋体" w:hAnsi="宋体" w:eastAsia="宋体" w:cs="宋体"/>
                <w:color w:val="auto"/>
                <w:kern w:val="0"/>
                <w:szCs w:val="21"/>
                <w:highlight w:val="none"/>
                <w:lang w:bidi="ar"/>
              </w:rPr>
              <w:t>管</w:t>
            </w:r>
            <w:r>
              <w:rPr>
                <w:rFonts w:ascii="宋体" w:hAnsi="宋体" w:eastAsia="宋体" w:cs="宋体"/>
                <w:color w:val="auto"/>
                <w:kern w:val="0"/>
                <w:szCs w:val="21"/>
                <w:highlight w:val="none"/>
                <w:lang w:bidi="ar"/>
              </w:rPr>
              <w:t>系统、巡航动力系统、垂起动力系统、电气系统、燃油系统、机载链路系统、防除冰系统均</w:t>
            </w:r>
            <w:r>
              <w:rPr>
                <w:rFonts w:hint="eastAsia" w:ascii="宋体" w:hAnsi="宋体" w:eastAsia="宋体" w:cs="宋体"/>
                <w:color w:val="auto"/>
                <w:kern w:val="0"/>
                <w:szCs w:val="21"/>
                <w:highlight w:val="none"/>
                <w:lang w:bidi="ar"/>
              </w:rPr>
              <w:t>应</w:t>
            </w:r>
            <w:r>
              <w:rPr>
                <w:rFonts w:ascii="宋体" w:hAnsi="宋体" w:eastAsia="宋体" w:cs="宋体"/>
                <w:color w:val="auto"/>
                <w:kern w:val="0"/>
                <w:szCs w:val="21"/>
                <w:highlight w:val="none"/>
                <w:lang w:bidi="ar"/>
              </w:rPr>
              <w:t>满足</w:t>
            </w:r>
            <w:r>
              <w:rPr>
                <w:rFonts w:hint="eastAsia" w:ascii="宋体" w:hAnsi="宋体" w:eastAsia="宋体" w:cs="宋体"/>
                <w:color w:val="auto"/>
                <w:kern w:val="0"/>
                <w:szCs w:val="21"/>
                <w:highlight w:val="none"/>
                <w:lang w:bidi="ar"/>
              </w:rPr>
              <w:t>《机动集成作业系统</w:t>
            </w:r>
            <w:r>
              <w:rPr>
                <w:rFonts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bidi="ar"/>
              </w:rPr>
              <w:t>无人机作业单元技术要求》中</w:t>
            </w:r>
            <w:r>
              <w:rPr>
                <w:rFonts w:ascii="宋体" w:hAnsi="宋体" w:eastAsia="宋体" w:cs="宋体"/>
                <w:color w:val="auto"/>
                <w:kern w:val="0"/>
                <w:szCs w:val="21"/>
                <w:highlight w:val="none"/>
                <w:lang w:bidi="ar"/>
              </w:rPr>
              <w:t>提及的</w:t>
            </w:r>
            <w:r>
              <w:rPr>
                <w:rFonts w:hint="eastAsia" w:ascii="宋体" w:hAnsi="宋体" w:eastAsia="宋体" w:cs="宋体"/>
                <w:color w:val="auto"/>
                <w:kern w:val="0"/>
                <w:szCs w:val="21"/>
                <w:highlight w:val="none"/>
                <w:lang w:bidi="ar"/>
              </w:rPr>
              <w:t>标准</w:t>
            </w:r>
            <w:r>
              <w:rPr>
                <w:rFonts w:ascii="宋体" w:hAnsi="宋体" w:eastAsia="宋体" w:cs="宋体"/>
                <w:color w:val="auto"/>
                <w:kern w:val="0"/>
                <w:szCs w:val="21"/>
                <w:highlight w:val="none"/>
                <w:lang w:bidi="ar"/>
              </w:rPr>
              <w:t>。</w:t>
            </w:r>
          </w:p>
          <w:p w14:paraId="0CFEFEC0">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cs="宋体"/>
                <w:color w:val="auto"/>
                <w:kern w:val="0"/>
                <w:szCs w:val="21"/>
                <w:highlight w:val="none"/>
                <w:lang w:val="en-US" w:eastAsia="zh-CN" w:bidi="ar"/>
              </w:rPr>
              <w:t>4</w:t>
            </w:r>
            <w:r>
              <w:rPr>
                <w:rFonts w:hint="eastAsia" w:ascii="宋体" w:hAnsi="宋体" w:eastAsia="宋体" w:cs="宋体"/>
                <w:color w:val="auto"/>
                <w:kern w:val="0"/>
                <w:szCs w:val="21"/>
                <w:highlight w:val="none"/>
                <w:lang w:bidi="ar"/>
              </w:rPr>
              <w:t>. 质保期≥</w:t>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lang w:val="en-US" w:eastAsia="zh-CN" w:bidi="ar"/>
              </w:rPr>
              <w:t>质保期结束后开始计算维保期，</w:t>
            </w:r>
            <w:r>
              <w:rPr>
                <w:rFonts w:hint="eastAsia" w:ascii="宋体" w:hAnsi="宋体" w:eastAsia="宋体" w:cs="宋体"/>
                <w:color w:val="auto"/>
                <w:kern w:val="0"/>
                <w:szCs w:val="21"/>
                <w:highlight w:val="none"/>
                <w:lang w:bidi="ar"/>
              </w:rPr>
              <w:t>维保期</w:t>
            </w:r>
            <w:r>
              <w:rPr>
                <w:rFonts w:hint="eastAsia" w:ascii="宋体" w:hAnsi="宋体" w:eastAsia="宋体" w:cs="宋体"/>
                <w:color w:val="auto"/>
                <w:kern w:val="0"/>
                <w:szCs w:val="21"/>
                <w:highlight w:val="none"/>
                <w:lang w:val="en-US" w:eastAsia="zh-CN" w:bidi="ar"/>
              </w:rPr>
              <w:t>不少于</w:t>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年；维保期内提供</w:t>
            </w:r>
            <w:r>
              <w:rPr>
                <w:rFonts w:ascii="宋体" w:hAnsi="宋体" w:eastAsia="宋体" w:cs="宋体"/>
                <w:color w:val="auto"/>
                <w:kern w:val="0"/>
                <w:szCs w:val="21"/>
                <w:highlight w:val="none"/>
                <w:lang w:bidi="ar"/>
              </w:rPr>
              <w:t>易损</w:t>
            </w:r>
            <w:r>
              <w:rPr>
                <w:rFonts w:hint="eastAsia" w:ascii="宋体" w:hAnsi="宋体" w:eastAsia="宋体" w:cs="宋体"/>
                <w:color w:val="auto"/>
                <w:kern w:val="0"/>
                <w:szCs w:val="21"/>
                <w:highlight w:val="none"/>
                <w:lang w:bidi="ar"/>
              </w:rPr>
              <w:t>件</w:t>
            </w:r>
            <w:r>
              <w:rPr>
                <w:rFonts w:ascii="宋体" w:hAnsi="宋体" w:eastAsia="宋体" w:cs="宋体"/>
                <w:color w:val="auto"/>
                <w:kern w:val="0"/>
                <w:szCs w:val="21"/>
                <w:highlight w:val="none"/>
                <w:lang w:bidi="ar"/>
              </w:rPr>
              <w:t>更换服务和运维耗材</w:t>
            </w:r>
            <w:r>
              <w:rPr>
                <w:rFonts w:hint="eastAsia" w:ascii="宋体" w:hAnsi="宋体" w:eastAsia="宋体" w:cs="宋体"/>
                <w:color w:val="auto"/>
                <w:kern w:val="0"/>
                <w:szCs w:val="21"/>
                <w:highlight w:val="none"/>
                <w:lang w:bidi="ar"/>
              </w:rPr>
              <w:t>；飞行运行服务期：≥</w:t>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年，提供每年不低于</w:t>
            </w:r>
            <w:r>
              <w:rPr>
                <w:rFonts w:ascii="宋体" w:hAnsi="宋体" w:eastAsia="宋体" w:cs="宋体"/>
                <w:color w:val="auto"/>
                <w:kern w:val="0"/>
                <w:szCs w:val="21"/>
                <w:highlight w:val="none"/>
                <w:lang w:bidi="ar"/>
              </w:rPr>
              <w:t>60</w:t>
            </w:r>
            <w:r>
              <w:rPr>
                <w:rFonts w:hint="eastAsia" w:ascii="宋体" w:hAnsi="宋体" w:eastAsia="宋体" w:cs="宋体"/>
                <w:color w:val="auto"/>
                <w:kern w:val="0"/>
                <w:szCs w:val="21"/>
                <w:highlight w:val="none"/>
                <w:lang w:bidi="ar"/>
              </w:rPr>
              <w:t>个飞行小时或运行人员常驻</w:t>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个月（以先到为准）飞行运行服务。</w:t>
            </w:r>
          </w:p>
        </w:tc>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14:paraId="084B0C8D">
            <w:pPr>
              <w:snapToGrid w:val="0"/>
              <w:jc w:val="center"/>
              <w:rPr>
                <w:rFonts w:ascii="宋体" w:hAnsi="宋体" w:eastAsia="宋体" w:cs="宋体"/>
                <w:b/>
                <w:bCs/>
                <w:color w:val="auto"/>
                <w:szCs w:val="21"/>
                <w:highlight w:val="none"/>
              </w:rPr>
            </w:pPr>
            <w:r>
              <w:rPr>
                <w:rFonts w:ascii="宋体" w:hAnsi="宋体" w:eastAsia="宋体" w:cs="宋体"/>
                <w:b/>
                <w:bCs/>
                <w:color w:val="auto"/>
                <w:szCs w:val="21"/>
                <w:highlight w:val="none"/>
              </w:rPr>
              <w:t>1</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14:paraId="6EA2AD11">
            <w:pPr>
              <w:snapToGrid w:val="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台</w:t>
            </w:r>
          </w:p>
        </w:tc>
      </w:tr>
      <w:tr w14:paraId="604AE3FD">
        <w:tblPrEx>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14:paraId="65471F61">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w:t>
            </w:r>
            <w:r>
              <w:rPr>
                <w:rFonts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bidi="ar"/>
              </w:rPr>
              <w:t>2</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14:paraId="4A5ECC5F">
            <w:pPr>
              <w:widowControl/>
              <w:snapToGrid w:val="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无人机</w:t>
            </w:r>
            <w:r>
              <w:rPr>
                <w:rFonts w:ascii="宋体" w:hAnsi="宋体" w:eastAsia="宋体" w:cs="宋体"/>
                <w:color w:val="auto"/>
                <w:kern w:val="0"/>
                <w:szCs w:val="21"/>
                <w:highlight w:val="none"/>
                <w:lang w:bidi="ar"/>
              </w:rPr>
              <w:t>探测设备</w:t>
            </w:r>
          </w:p>
        </w:tc>
        <w:tc>
          <w:tcPr>
            <w:tcW w:w="5361" w:type="dxa"/>
            <w:tcBorders>
              <w:top w:val="single" w:color="auto" w:sz="4" w:space="0"/>
              <w:left w:val="single" w:color="auto" w:sz="4" w:space="0"/>
              <w:bottom w:val="single" w:color="auto" w:sz="4" w:space="0"/>
              <w:right w:val="single" w:color="auto" w:sz="4" w:space="0"/>
            </w:tcBorders>
            <w:shd w:val="clear" w:color="auto" w:fill="auto"/>
            <w:vAlign w:val="center"/>
          </w:tcPr>
          <w:p w14:paraId="193F2797">
            <w:pPr>
              <w:autoSpaceDE w:val="0"/>
              <w:autoSpaceDN w:val="0"/>
              <w:adjustRightInd w:val="0"/>
              <w:jc w:val="left"/>
              <w:rPr>
                <w:rFonts w:ascii="宋体" w:hAnsi="宋体" w:eastAsia="宋体" w:cs="宋体"/>
                <w:b/>
                <w:color w:val="auto"/>
                <w:kern w:val="0"/>
                <w:szCs w:val="21"/>
                <w:highlight w:val="none"/>
                <w:lang w:bidi="ar"/>
              </w:rPr>
            </w:pPr>
            <w:r>
              <w:rPr>
                <w:rFonts w:hint="eastAsia" w:ascii="宋体" w:hAnsi="宋体" w:eastAsia="宋体" w:cs="宋体"/>
                <w:b/>
                <w:color w:val="auto"/>
                <w:kern w:val="0"/>
                <w:szCs w:val="21"/>
                <w:highlight w:val="none"/>
                <w:lang w:bidi="ar"/>
              </w:rPr>
              <w:t>设备性能</w:t>
            </w:r>
            <w:r>
              <w:rPr>
                <w:rFonts w:ascii="宋体" w:hAnsi="宋体" w:eastAsia="宋体" w:cs="宋体"/>
                <w:b/>
                <w:color w:val="auto"/>
                <w:kern w:val="0"/>
                <w:szCs w:val="21"/>
                <w:highlight w:val="none"/>
                <w:lang w:bidi="ar"/>
              </w:rPr>
              <w:t>要求</w:t>
            </w:r>
          </w:p>
          <w:p w14:paraId="16BFBADA">
            <w:pPr>
              <w:autoSpaceDE w:val="0"/>
              <w:autoSpaceDN w:val="0"/>
              <w:adjustRightInd w:val="0"/>
              <w:jc w:val="left"/>
              <w:rPr>
                <w:rFonts w:ascii="宋体" w:hAnsi="宋体" w:eastAsia="宋体" w:cs="宋体"/>
                <w:b/>
                <w:color w:val="auto"/>
                <w:kern w:val="0"/>
                <w:szCs w:val="21"/>
                <w:highlight w:val="none"/>
                <w:lang w:bidi="ar"/>
              </w:rPr>
            </w:pPr>
            <w:r>
              <w:rPr>
                <w:rFonts w:hint="eastAsia" w:ascii="宋体" w:hAnsi="宋体" w:eastAsia="宋体" w:cs="宋体"/>
                <w:b/>
                <w:color w:val="auto"/>
                <w:kern w:val="0"/>
                <w:szCs w:val="21"/>
                <w:highlight w:val="none"/>
                <w:lang w:bidi="ar"/>
              </w:rPr>
              <w:t>1.云粒子谱探测仪</w:t>
            </w:r>
          </w:p>
          <w:p w14:paraId="38263F31">
            <w:pPr>
              <w:autoSpaceDE w:val="0"/>
              <w:autoSpaceDN w:val="0"/>
              <w:adjustRightInd w:val="0"/>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bidi="ar"/>
              </w:rPr>
              <w:t>）测量粒子范围：</w:t>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μ</w:t>
            </w:r>
            <w:r>
              <w:rPr>
                <w:rFonts w:ascii="宋体" w:hAnsi="宋体" w:eastAsia="宋体" w:cs="宋体"/>
                <w:color w:val="auto"/>
                <w:kern w:val="0"/>
                <w:szCs w:val="21"/>
                <w:highlight w:val="none"/>
                <w:lang w:bidi="ar"/>
              </w:rPr>
              <w:t>m</w:t>
            </w: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50</w:t>
            </w:r>
            <w:r>
              <w:rPr>
                <w:rFonts w:hint="eastAsia" w:ascii="宋体" w:hAnsi="宋体" w:eastAsia="宋体" w:cs="宋体"/>
                <w:color w:val="auto"/>
                <w:kern w:val="0"/>
                <w:szCs w:val="21"/>
                <w:highlight w:val="none"/>
                <w:lang w:bidi="ar"/>
              </w:rPr>
              <w:t>μ</w:t>
            </w:r>
            <w:r>
              <w:rPr>
                <w:rFonts w:ascii="宋体" w:hAnsi="宋体" w:eastAsia="宋体" w:cs="宋体"/>
                <w:color w:val="auto"/>
                <w:kern w:val="0"/>
                <w:szCs w:val="21"/>
                <w:highlight w:val="none"/>
                <w:lang w:bidi="ar"/>
              </w:rPr>
              <w:t>m</w:t>
            </w:r>
            <w:r>
              <w:rPr>
                <w:rFonts w:hint="eastAsia" w:ascii="宋体" w:hAnsi="宋体" w:eastAsia="宋体" w:cs="宋体"/>
                <w:color w:val="auto"/>
                <w:kern w:val="0"/>
                <w:szCs w:val="21"/>
                <w:highlight w:val="none"/>
                <w:lang w:bidi="ar"/>
              </w:rPr>
              <w:t>；</w:t>
            </w:r>
          </w:p>
          <w:p w14:paraId="7167977B">
            <w:pPr>
              <w:autoSpaceDE w:val="0"/>
              <w:autoSpaceDN w:val="0"/>
              <w:adjustRightInd w:val="0"/>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）粒径分布：</w:t>
            </w:r>
            <w:r>
              <w:rPr>
                <w:rFonts w:ascii="宋体" w:hAnsi="宋体" w:eastAsia="宋体" w:cs="宋体"/>
                <w:color w:val="auto"/>
                <w:kern w:val="0"/>
                <w:szCs w:val="21"/>
                <w:highlight w:val="none"/>
                <w:lang w:bidi="ar"/>
              </w:rPr>
              <w:t>32</w:t>
            </w:r>
            <w:r>
              <w:rPr>
                <w:rFonts w:hint="eastAsia" w:ascii="宋体" w:hAnsi="宋体" w:eastAsia="宋体" w:cs="宋体"/>
                <w:color w:val="auto"/>
                <w:kern w:val="0"/>
                <w:szCs w:val="21"/>
                <w:highlight w:val="none"/>
                <w:lang w:bidi="ar"/>
              </w:rPr>
              <w:t>等级粒子直径大小和数量分布；</w:t>
            </w:r>
          </w:p>
          <w:p w14:paraId="4603FA2B">
            <w:pPr>
              <w:autoSpaceDE w:val="0"/>
              <w:autoSpaceDN w:val="0"/>
              <w:adjustRightInd w:val="0"/>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）采样速率：</w:t>
            </w:r>
            <w:r>
              <w:rPr>
                <w:rFonts w:ascii="宋体" w:hAnsi="宋体" w:eastAsia="宋体" w:cs="宋体"/>
                <w:color w:val="auto"/>
                <w:kern w:val="0"/>
                <w:szCs w:val="21"/>
                <w:highlight w:val="none"/>
                <w:lang w:bidi="ar"/>
              </w:rPr>
              <w:t>1Hz</w:t>
            </w: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10Hz</w:t>
            </w:r>
            <w:r>
              <w:rPr>
                <w:rFonts w:hint="eastAsia" w:ascii="宋体" w:hAnsi="宋体" w:eastAsia="宋体" w:cs="宋体"/>
                <w:color w:val="auto"/>
                <w:kern w:val="0"/>
                <w:szCs w:val="21"/>
                <w:highlight w:val="none"/>
                <w:lang w:bidi="ar"/>
              </w:rPr>
              <w:t>；</w:t>
            </w:r>
          </w:p>
          <w:p w14:paraId="70B58022">
            <w:pPr>
              <w:autoSpaceDE w:val="0"/>
              <w:autoSpaceDN w:val="0"/>
              <w:adjustRightInd w:val="0"/>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）工作环境温度：</w:t>
            </w:r>
            <w:r>
              <w:rPr>
                <w:rFonts w:ascii="宋体" w:hAnsi="宋体" w:eastAsia="宋体" w:cs="宋体"/>
                <w:color w:val="auto"/>
                <w:kern w:val="0"/>
                <w:szCs w:val="21"/>
                <w:highlight w:val="none"/>
                <w:lang w:bidi="ar"/>
              </w:rPr>
              <w:t>-30</w:t>
            </w: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+40</w:t>
            </w:r>
            <w:r>
              <w:rPr>
                <w:rFonts w:hint="eastAsia" w:ascii="宋体" w:hAnsi="宋体" w:eastAsia="宋体" w:cs="宋体"/>
                <w:color w:val="auto"/>
                <w:kern w:val="0"/>
                <w:szCs w:val="21"/>
                <w:highlight w:val="none"/>
                <w:lang w:bidi="ar"/>
              </w:rPr>
              <w:t>℃。</w:t>
            </w:r>
          </w:p>
          <w:p w14:paraId="6281B85A">
            <w:pPr>
              <w:autoSpaceDE w:val="0"/>
              <w:autoSpaceDN w:val="0"/>
              <w:adjustRightInd w:val="0"/>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）探</w:t>
            </w:r>
            <w:r>
              <w:rPr>
                <w:rFonts w:ascii="宋体" w:hAnsi="宋体" w:eastAsia="宋体" w:cs="宋体"/>
                <w:color w:val="auto"/>
                <w:kern w:val="0"/>
                <w:szCs w:val="21"/>
                <w:highlight w:val="none"/>
                <w:lang w:bidi="ar"/>
              </w:rPr>
              <w:t>测项目</w:t>
            </w:r>
            <w:r>
              <w:rPr>
                <w:rFonts w:hint="eastAsia" w:ascii="宋体" w:hAnsi="宋体" w:eastAsia="宋体" w:cs="宋体"/>
                <w:color w:val="auto"/>
                <w:kern w:val="0"/>
                <w:szCs w:val="21"/>
                <w:highlight w:val="none"/>
                <w:lang w:bidi="ar"/>
              </w:rPr>
              <w:t>包括云滴粒子的平均直径、平均体直径、数浓度、体浓度以及含水量等云滴</w:t>
            </w:r>
            <w:r>
              <w:rPr>
                <w:rFonts w:ascii="宋体" w:hAnsi="宋体" w:eastAsia="宋体" w:cs="宋体"/>
                <w:color w:val="auto"/>
                <w:kern w:val="0"/>
                <w:szCs w:val="21"/>
                <w:highlight w:val="none"/>
                <w:lang w:bidi="ar"/>
              </w:rPr>
              <w:t>大小和</w:t>
            </w:r>
            <w:r>
              <w:rPr>
                <w:rFonts w:hint="eastAsia" w:ascii="宋体" w:hAnsi="宋体" w:eastAsia="宋体" w:cs="宋体"/>
                <w:color w:val="auto"/>
                <w:kern w:val="0"/>
                <w:szCs w:val="21"/>
                <w:highlight w:val="none"/>
                <w:lang w:bidi="ar"/>
              </w:rPr>
              <w:t>滴谱分布数据；</w:t>
            </w:r>
          </w:p>
          <w:p w14:paraId="22AFBC89">
            <w:pPr>
              <w:autoSpaceDE w:val="0"/>
              <w:autoSpaceDN w:val="0"/>
              <w:adjustRightInd w:val="0"/>
              <w:jc w:val="left"/>
              <w:rPr>
                <w:rFonts w:ascii="宋体" w:hAnsi="宋体" w:eastAsia="宋体" w:cs="宋体"/>
                <w:b/>
                <w:color w:val="auto"/>
                <w:kern w:val="0"/>
                <w:szCs w:val="21"/>
                <w:highlight w:val="none"/>
                <w:lang w:bidi="ar"/>
              </w:rPr>
            </w:pPr>
            <w:r>
              <w:rPr>
                <w:rFonts w:ascii="宋体" w:hAnsi="宋体" w:eastAsia="宋体" w:cs="宋体"/>
                <w:b/>
                <w:color w:val="auto"/>
                <w:kern w:val="0"/>
                <w:szCs w:val="21"/>
                <w:highlight w:val="none"/>
                <w:lang w:bidi="ar"/>
              </w:rPr>
              <w:t>2.</w:t>
            </w:r>
            <w:r>
              <w:rPr>
                <w:rFonts w:hint="eastAsia" w:ascii="宋体" w:hAnsi="宋体" w:eastAsia="宋体" w:cs="宋体"/>
                <w:b/>
                <w:color w:val="auto"/>
                <w:kern w:val="0"/>
                <w:szCs w:val="21"/>
                <w:highlight w:val="none"/>
                <w:lang w:bidi="ar"/>
              </w:rPr>
              <w:t>云水含量探测仪</w:t>
            </w:r>
          </w:p>
          <w:p w14:paraId="5905DF78">
            <w:pPr>
              <w:autoSpaceDE w:val="0"/>
              <w:autoSpaceDN w:val="0"/>
              <w:adjustRightInd w:val="0"/>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bidi="ar"/>
              </w:rPr>
              <w:t>）空速范围：</w:t>
            </w:r>
            <w:r>
              <w:rPr>
                <w:rFonts w:ascii="宋体" w:hAnsi="宋体" w:eastAsia="宋体" w:cs="宋体"/>
                <w:color w:val="auto"/>
                <w:kern w:val="0"/>
                <w:szCs w:val="21"/>
                <w:highlight w:val="none"/>
                <w:lang w:bidi="ar"/>
              </w:rPr>
              <w:t>10 m/s</w:t>
            </w: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180 m/s</w:t>
            </w:r>
            <w:r>
              <w:rPr>
                <w:rFonts w:hint="eastAsia" w:ascii="宋体" w:hAnsi="宋体" w:eastAsia="宋体" w:cs="宋体"/>
                <w:color w:val="auto"/>
                <w:kern w:val="0"/>
                <w:szCs w:val="21"/>
                <w:highlight w:val="none"/>
                <w:lang w:bidi="ar"/>
              </w:rPr>
              <w:t>；</w:t>
            </w:r>
          </w:p>
          <w:p w14:paraId="56C25088">
            <w:pPr>
              <w:autoSpaceDE w:val="0"/>
              <w:autoSpaceDN w:val="0"/>
              <w:adjustRightInd w:val="0"/>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）静压分辨率：</w:t>
            </w:r>
            <w:r>
              <w:rPr>
                <w:rFonts w:hint="eastAsia" w:ascii="宋体" w:hAnsi="宋体" w:eastAsia="宋体" w:cs="宋体"/>
                <w:color w:val="auto"/>
                <w:kern w:val="0"/>
                <w:szCs w:val="21"/>
                <w:highlight w:val="none"/>
                <w:lang w:val="en-US" w:eastAsia="zh-CN" w:bidi="ar"/>
              </w:rPr>
              <w:t>≤</w:t>
            </w:r>
            <w:r>
              <w:rPr>
                <w:rFonts w:ascii="宋体" w:hAnsi="宋体" w:eastAsia="宋体" w:cs="宋体"/>
                <w:color w:val="auto"/>
                <w:kern w:val="0"/>
                <w:szCs w:val="21"/>
                <w:highlight w:val="none"/>
                <w:lang w:bidi="ar"/>
              </w:rPr>
              <w:t>0.01 Pa</w:t>
            </w:r>
            <w:r>
              <w:rPr>
                <w:rFonts w:hint="eastAsia" w:ascii="宋体" w:hAnsi="宋体" w:eastAsia="宋体" w:cs="宋体"/>
                <w:color w:val="auto"/>
                <w:kern w:val="0"/>
                <w:szCs w:val="21"/>
                <w:highlight w:val="none"/>
                <w:lang w:bidi="ar"/>
              </w:rPr>
              <w:t>；</w:t>
            </w:r>
          </w:p>
          <w:p w14:paraId="35E1094B">
            <w:pPr>
              <w:autoSpaceDE w:val="0"/>
              <w:autoSpaceDN w:val="0"/>
              <w:adjustRightInd w:val="0"/>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）温度精度：</w:t>
            </w:r>
            <w:r>
              <w:rPr>
                <w:rFonts w:hint="eastAsia" w:ascii="宋体" w:hAnsi="宋体" w:eastAsia="宋体" w:cs="宋体"/>
                <w:color w:val="auto"/>
                <w:kern w:val="0"/>
                <w:szCs w:val="21"/>
                <w:highlight w:val="none"/>
                <w:lang w:val="en-US" w:eastAsia="zh-CN" w:bidi="ar"/>
              </w:rPr>
              <w:t>≤</w:t>
            </w:r>
            <w:r>
              <w:rPr>
                <w:rFonts w:ascii="宋体" w:hAnsi="宋体" w:eastAsia="宋体" w:cs="宋体"/>
                <w:color w:val="auto"/>
                <w:kern w:val="0"/>
                <w:szCs w:val="21"/>
                <w:highlight w:val="none"/>
                <w:lang w:bidi="ar"/>
              </w:rPr>
              <w:t>0.1</w:t>
            </w:r>
            <w:r>
              <w:rPr>
                <w:rFonts w:hint="eastAsia" w:ascii="宋体" w:hAnsi="宋体" w:eastAsia="宋体" w:cs="宋体"/>
                <w:color w:val="auto"/>
                <w:kern w:val="0"/>
                <w:szCs w:val="21"/>
                <w:highlight w:val="none"/>
                <w:lang w:bidi="ar"/>
              </w:rPr>
              <w:t>℃；</w:t>
            </w:r>
          </w:p>
          <w:p w14:paraId="5D08FAAF">
            <w:pPr>
              <w:autoSpaceDE w:val="0"/>
              <w:autoSpaceDN w:val="0"/>
              <w:adjustRightInd w:val="0"/>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）温度范围：</w:t>
            </w:r>
            <w:r>
              <w:rPr>
                <w:rFonts w:ascii="宋体" w:hAnsi="宋体" w:eastAsia="宋体" w:cs="宋体"/>
                <w:color w:val="auto"/>
                <w:kern w:val="0"/>
                <w:szCs w:val="21"/>
                <w:highlight w:val="none"/>
                <w:lang w:bidi="ar"/>
              </w:rPr>
              <w:t>-50</w:t>
            </w: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+50</w:t>
            </w:r>
            <w:r>
              <w:rPr>
                <w:rFonts w:hint="eastAsia" w:ascii="宋体" w:hAnsi="宋体" w:eastAsia="宋体" w:cs="宋体"/>
                <w:color w:val="auto"/>
                <w:kern w:val="0"/>
                <w:szCs w:val="21"/>
                <w:highlight w:val="none"/>
                <w:lang w:bidi="ar"/>
              </w:rPr>
              <w:t>℃；</w:t>
            </w:r>
          </w:p>
          <w:p w14:paraId="18FB6996">
            <w:pPr>
              <w:autoSpaceDE w:val="0"/>
              <w:autoSpaceDN w:val="0"/>
              <w:adjustRightInd w:val="0"/>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）湿度范围：</w:t>
            </w:r>
            <w:r>
              <w:rPr>
                <w:rFonts w:ascii="宋体" w:hAnsi="宋体" w:eastAsia="宋体" w:cs="宋体"/>
                <w:color w:val="auto"/>
                <w:kern w:val="0"/>
                <w:szCs w:val="21"/>
                <w:highlight w:val="none"/>
                <w:lang w:bidi="ar"/>
              </w:rPr>
              <w:t>0%</w:t>
            </w: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100%</w:t>
            </w:r>
            <w:r>
              <w:rPr>
                <w:rFonts w:hint="eastAsia" w:ascii="宋体" w:hAnsi="宋体" w:eastAsia="宋体" w:cs="宋体"/>
                <w:color w:val="auto"/>
                <w:kern w:val="0"/>
                <w:szCs w:val="21"/>
                <w:highlight w:val="none"/>
                <w:lang w:bidi="ar"/>
              </w:rPr>
              <w:t>；</w:t>
            </w:r>
          </w:p>
          <w:p w14:paraId="487EA9D8">
            <w:pPr>
              <w:autoSpaceDE w:val="0"/>
              <w:autoSpaceDN w:val="0"/>
              <w:adjustRightInd w:val="0"/>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）湿度精度：</w:t>
            </w:r>
            <w:r>
              <w:rPr>
                <w:rFonts w:hint="eastAsia" w:ascii="宋体" w:hAnsi="宋体" w:eastAsia="宋体" w:cs="宋体"/>
                <w:color w:val="auto"/>
                <w:kern w:val="0"/>
                <w:szCs w:val="21"/>
                <w:highlight w:val="none"/>
                <w:lang w:val="en-US" w:eastAsia="zh-CN" w:bidi="ar"/>
              </w:rPr>
              <w:t>≤</w:t>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w:t>
            </w:r>
          </w:p>
          <w:p w14:paraId="3A08E952">
            <w:pPr>
              <w:autoSpaceDE w:val="0"/>
              <w:autoSpaceDN w:val="0"/>
              <w:adjustRightInd w:val="0"/>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7</w:t>
            </w:r>
            <w:r>
              <w:rPr>
                <w:rFonts w:hint="eastAsia" w:ascii="宋体" w:hAnsi="宋体" w:eastAsia="宋体" w:cs="宋体"/>
                <w:color w:val="auto"/>
                <w:kern w:val="0"/>
                <w:szCs w:val="21"/>
                <w:highlight w:val="none"/>
                <w:lang w:bidi="ar"/>
              </w:rPr>
              <w:t>）液水分辨率：</w:t>
            </w:r>
            <w:r>
              <w:rPr>
                <w:rFonts w:hint="eastAsia" w:ascii="宋体" w:hAnsi="宋体" w:eastAsia="宋体" w:cs="宋体"/>
                <w:color w:val="auto"/>
                <w:kern w:val="0"/>
                <w:szCs w:val="21"/>
                <w:highlight w:val="none"/>
                <w:lang w:val="en-US" w:eastAsia="zh-CN" w:bidi="ar"/>
              </w:rPr>
              <w:t>≤</w:t>
            </w:r>
            <w:r>
              <w:rPr>
                <w:rFonts w:ascii="宋体" w:hAnsi="宋体" w:eastAsia="宋体" w:cs="宋体"/>
                <w:color w:val="auto"/>
                <w:kern w:val="0"/>
                <w:szCs w:val="21"/>
                <w:highlight w:val="none"/>
                <w:lang w:bidi="ar"/>
              </w:rPr>
              <w:t>0.003 g/m³</w:t>
            </w:r>
            <w:r>
              <w:rPr>
                <w:rFonts w:hint="eastAsia" w:ascii="宋体" w:hAnsi="宋体" w:eastAsia="宋体" w:cs="宋体"/>
                <w:color w:val="auto"/>
                <w:kern w:val="0"/>
                <w:szCs w:val="21"/>
                <w:highlight w:val="none"/>
                <w:lang w:bidi="ar"/>
              </w:rPr>
              <w:t>；</w:t>
            </w:r>
          </w:p>
          <w:p w14:paraId="580B2486">
            <w:pPr>
              <w:autoSpaceDE w:val="0"/>
              <w:autoSpaceDN w:val="0"/>
              <w:adjustRightInd w:val="0"/>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8</w:t>
            </w:r>
            <w:r>
              <w:rPr>
                <w:rFonts w:hint="eastAsia" w:ascii="宋体" w:hAnsi="宋体" w:eastAsia="宋体" w:cs="宋体"/>
                <w:color w:val="auto"/>
                <w:kern w:val="0"/>
                <w:szCs w:val="21"/>
                <w:highlight w:val="none"/>
                <w:lang w:bidi="ar"/>
              </w:rPr>
              <w:t>）液水测量范围：</w:t>
            </w:r>
            <w:r>
              <w:rPr>
                <w:rFonts w:ascii="宋体" w:hAnsi="宋体" w:eastAsia="宋体" w:cs="宋体"/>
                <w:color w:val="auto"/>
                <w:kern w:val="0"/>
                <w:szCs w:val="21"/>
                <w:highlight w:val="none"/>
                <w:lang w:bidi="ar"/>
              </w:rPr>
              <w:t>0.003</w:t>
            </w: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3 g/m³</w:t>
            </w:r>
            <w:r>
              <w:rPr>
                <w:rFonts w:hint="eastAsia" w:ascii="宋体" w:hAnsi="宋体" w:eastAsia="宋体" w:cs="宋体"/>
                <w:color w:val="auto"/>
                <w:kern w:val="0"/>
                <w:szCs w:val="21"/>
                <w:highlight w:val="none"/>
                <w:lang w:bidi="ar"/>
              </w:rPr>
              <w:t>；</w:t>
            </w:r>
          </w:p>
          <w:p w14:paraId="162F3A0D">
            <w:pPr>
              <w:widowControl/>
              <w:snapToGrid w:val="0"/>
              <w:spacing w:line="276" w:lineRule="auto"/>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9</w:t>
            </w:r>
            <w:r>
              <w:rPr>
                <w:rFonts w:hint="eastAsia" w:ascii="宋体" w:hAnsi="宋体" w:eastAsia="宋体" w:cs="宋体"/>
                <w:color w:val="auto"/>
                <w:kern w:val="0"/>
                <w:szCs w:val="21"/>
                <w:highlight w:val="none"/>
                <w:lang w:bidi="ar"/>
              </w:rPr>
              <w:t>）液水测量精度：±</w:t>
            </w:r>
            <w:r>
              <w:rPr>
                <w:rFonts w:ascii="宋体" w:hAnsi="宋体" w:eastAsia="宋体" w:cs="宋体"/>
                <w:color w:val="auto"/>
                <w:kern w:val="0"/>
                <w:szCs w:val="21"/>
                <w:highlight w:val="none"/>
                <w:lang w:bidi="ar"/>
              </w:rPr>
              <w:t>10%</w:t>
            </w:r>
            <w:r>
              <w:rPr>
                <w:rFonts w:hint="eastAsia" w:ascii="宋体" w:hAnsi="宋体" w:eastAsia="宋体" w:cs="宋体"/>
                <w:color w:val="auto"/>
                <w:kern w:val="0"/>
                <w:szCs w:val="21"/>
                <w:highlight w:val="none"/>
                <w:lang w:bidi="ar"/>
              </w:rPr>
              <w:t>。</w:t>
            </w:r>
          </w:p>
          <w:p w14:paraId="28EDAA50">
            <w:pPr>
              <w:widowControl/>
              <w:snapToGrid w:val="0"/>
              <w:spacing w:line="276" w:lineRule="auto"/>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10</w:t>
            </w:r>
            <w:r>
              <w:rPr>
                <w:rFonts w:hint="eastAsia" w:ascii="宋体" w:hAnsi="宋体" w:eastAsia="宋体" w:cs="宋体"/>
                <w:color w:val="auto"/>
                <w:kern w:val="0"/>
                <w:szCs w:val="21"/>
                <w:highlight w:val="none"/>
                <w:lang w:bidi="ar"/>
              </w:rPr>
              <w:t>）探测</w:t>
            </w:r>
            <w:r>
              <w:rPr>
                <w:rFonts w:ascii="宋体" w:hAnsi="宋体" w:eastAsia="宋体" w:cs="宋体"/>
                <w:color w:val="auto"/>
                <w:kern w:val="0"/>
                <w:szCs w:val="21"/>
                <w:highlight w:val="none"/>
                <w:lang w:bidi="ar"/>
              </w:rPr>
              <w:t>项目包括</w:t>
            </w:r>
            <w:r>
              <w:rPr>
                <w:rFonts w:hint="eastAsia" w:ascii="宋体" w:hAnsi="宋体" w:eastAsia="宋体" w:cs="宋体"/>
                <w:color w:val="auto"/>
                <w:kern w:val="0"/>
                <w:szCs w:val="21"/>
                <w:highlight w:val="none"/>
                <w:lang w:bidi="ar"/>
              </w:rPr>
              <w:t>云和雾中液态水和总水以及温度、湿度、气压等要素。</w:t>
            </w:r>
          </w:p>
        </w:tc>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14:paraId="75E8BFC6">
            <w:pPr>
              <w:snapToGrid w:val="0"/>
              <w:jc w:val="center"/>
              <w:rPr>
                <w:rFonts w:ascii="宋体" w:hAnsi="宋体" w:eastAsia="宋体" w:cs="宋体"/>
                <w:color w:val="auto"/>
                <w:kern w:val="0"/>
                <w:szCs w:val="21"/>
                <w:highlight w:val="none"/>
                <w:lang w:bidi="ar"/>
              </w:rPr>
            </w:pPr>
            <w:r>
              <w:rPr>
                <w:rFonts w:ascii="宋体" w:hAnsi="宋体" w:eastAsia="宋体" w:cs="宋体"/>
                <w:color w:val="auto"/>
                <w:kern w:val="0"/>
                <w:szCs w:val="21"/>
                <w:highlight w:val="none"/>
                <w:lang w:bidi="ar"/>
              </w:rPr>
              <w:t>1</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14:paraId="3324C1DB">
            <w:pPr>
              <w:snapToGrid w:val="0"/>
              <w:jc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套</w:t>
            </w:r>
          </w:p>
        </w:tc>
      </w:tr>
      <w:bookmarkEnd w:id="35"/>
    </w:tbl>
    <w:p w14:paraId="54CEDCAE">
      <w:pPr>
        <w:spacing w:line="360" w:lineRule="auto"/>
        <w:outlineLvl w:val="4"/>
        <w:rPr>
          <w:rFonts w:hint="eastAsia" w:eastAsia="宋体"/>
          <w:b/>
          <w:bCs/>
          <w:color w:val="auto"/>
          <w:highlight w:val="none"/>
        </w:rPr>
      </w:pPr>
      <w:r>
        <w:rPr>
          <w:rFonts w:hint="eastAsia" w:eastAsia="宋体"/>
          <w:b/>
          <w:bCs/>
          <w:color w:val="auto"/>
          <w:highlight w:val="none"/>
        </w:rPr>
        <w:t>（4）保障模组</w:t>
      </w:r>
    </w:p>
    <w:p w14:paraId="170ABC1A">
      <w:pPr>
        <w:spacing w:line="360" w:lineRule="auto"/>
        <w:ind w:firstLine="420" w:firstLineChars="200"/>
        <w:rPr>
          <w:rFonts w:hint="eastAsia" w:eastAsia="宋体"/>
          <w:color w:val="auto"/>
          <w:highlight w:val="none"/>
        </w:rPr>
      </w:pPr>
      <w:r>
        <w:rPr>
          <w:rFonts w:hint="eastAsia" w:eastAsia="宋体"/>
          <w:color w:val="auto"/>
          <w:highlight w:val="none"/>
        </w:rPr>
        <w:t>主要由任务舱舱体、车载监控子系统和工作生活单元等组成，配备基本生活设施、设备存储工具箱和小型设备存放机柜、网络通讯设备、供配电单元、监控系统，满足野外作业所需生活保障、电气线缆接线、作业保障、急救、环境监控等基本需求，提供必要的后勤支持。技术性能指标具体见下表：</w:t>
      </w:r>
    </w:p>
    <w:tbl>
      <w:tblPr>
        <w:tblStyle w:val="52"/>
        <w:tblW w:w="8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720"/>
        <w:gridCol w:w="5614"/>
        <w:gridCol w:w="656"/>
        <w:gridCol w:w="620"/>
      </w:tblGrid>
      <w:tr w14:paraId="32B2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1" w:type="dxa"/>
            <w:vAlign w:val="center"/>
          </w:tcPr>
          <w:p w14:paraId="6CB21CEA">
            <w:pPr>
              <w:widowControl/>
              <w:snapToGrid w:val="0"/>
              <w:jc w:val="center"/>
              <w:textAlignment w:val="center"/>
              <w:rPr>
                <w:rFonts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序号</w:t>
            </w:r>
          </w:p>
        </w:tc>
        <w:tc>
          <w:tcPr>
            <w:tcW w:w="720" w:type="dxa"/>
            <w:vAlign w:val="center"/>
          </w:tcPr>
          <w:p w14:paraId="2FB5DD49">
            <w:pPr>
              <w:widowControl/>
              <w:snapToGrid w:val="0"/>
              <w:jc w:val="center"/>
              <w:textAlignment w:val="center"/>
              <w:rPr>
                <w:rFonts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设备内容</w:t>
            </w:r>
          </w:p>
        </w:tc>
        <w:tc>
          <w:tcPr>
            <w:tcW w:w="5614" w:type="dxa"/>
            <w:vAlign w:val="center"/>
          </w:tcPr>
          <w:p w14:paraId="5A5F64B7">
            <w:pPr>
              <w:widowControl/>
              <w:snapToGrid w:val="0"/>
              <w:jc w:val="center"/>
              <w:textAlignment w:val="center"/>
              <w:rPr>
                <w:rFonts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主要性能指标</w:t>
            </w:r>
          </w:p>
        </w:tc>
        <w:tc>
          <w:tcPr>
            <w:tcW w:w="656" w:type="dxa"/>
            <w:vAlign w:val="center"/>
          </w:tcPr>
          <w:p w14:paraId="0972A67A">
            <w:pPr>
              <w:widowControl/>
              <w:snapToGrid w:val="0"/>
              <w:jc w:val="center"/>
              <w:textAlignment w:val="center"/>
              <w:rPr>
                <w:rFonts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数量</w:t>
            </w:r>
          </w:p>
        </w:tc>
        <w:tc>
          <w:tcPr>
            <w:tcW w:w="620" w:type="dxa"/>
            <w:vAlign w:val="center"/>
          </w:tcPr>
          <w:p w14:paraId="4C96155F">
            <w:pPr>
              <w:widowControl/>
              <w:snapToGrid w:val="0"/>
              <w:jc w:val="center"/>
              <w:textAlignment w:val="center"/>
              <w:rPr>
                <w:rFonts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单位</w:t>
            </w:r>
          </w:p>
        </w:tc>
      </w:tr>
      <w:tr w14:paraId="3E85A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51" w:type="dxa"/>
            <w:vAlign w:val="center"/>
          </w:tcPr>
          <w:p w14:paraId="272456F5">
            <w:pPr>
              <w:spacing w:after="126" w:line="264"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w:t>
            </w:r>
          </w:p>
        </w:tc>
        <w:tc>
          <w:tcPr>
            <w:tcW w:w="720" w:type="dxa"/>
            <w:vAlign w:val="center"/>
          </w:tcPr>
          <w:p w14:paraId="365DBD3C">
            <w:pPr>
              <w:spacing w:after="126" w:line="264"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任务舱</w:t>
            </w:r>
          </w:p>
        </w:tc>
        <w:tc>
          <w:tcPr>
            <w:tcW w:w="5614" w:type="dxa"/>
          </w:tcPr>
          <w:p w14:paraId="77997A66">
            <w:pPr>
              <w:widowControl/>
              <w:spacing w:after="126" w:line="264"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由舱体结构、门、窗、</w:t>
            </w:r>
            <w:r>
              <w:rPr>
                <w:rFonts w:hint="eastAsia" w:ascii="宋体" w:hAnsi="宋体" w:eastAsia="宋体" w:cs="宋体"/>
                <w:color w:val="auto"/>
                <w:kern w:val="0"/>
                <w:szCs w:val="21"/>
                <w:highlight w:val="none"/>
                <w:lang w:bidi="ar"/>
              </w:rPr>
              <w:t>温湿调控系统</w:t>
            </w:r>
            <w:r>
              <w:rPr>
                <w:rFonts w:hint="eastAsia" w:ascii="宋体" w:hAnsi="宋体" w:eastAsia="宋体" w:cs="宋体"/>
                <w:color w:val="auto"/>
                <w:szCs w:val="21"/>
                <w:highlight w:val="none"/>
              </w:rPr>
              <w:t>、加热器、换气扇、机柜、机柜减震及固定机构、供电电缆、光缆、电源及信号孔门</w:t>
            </w:r>
            <w:r>
              <w:rPr>
                <w:rFonts w:ascii="宋体" w:hAnsi="宋体" w:eastAsia="宋体" w:cs="宋体"/>
                <w:color w:val="auto"/>
                <w:szCs w:val="21"/>
                <w:highlight w:val="none"/>
              </w:rPr>
              <w:t>(含接插件)、照明系统、随舱工具等组成。</w:t>
            </w:r>
          </w:p>
        </w:tc>
        <w:tc>
          <w:tcPr>
            <w:tcW w:w="656" w:type="dxa"/>
            <w:vAlign w:val="center"/>
          </w:tcPr>
          <w:p w14:paraId="3B1E6A5B">
            <w:pPr>
              <w:widowControl/>
              <w:spacing w:after="126" w:line="264"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20" w:type="dxa"/>
            <w:vAlign w:val="center"/>
          </w:tcPr>
          <w:p w14:paraId="744AB943">
            <w:pPr>
              <w:widowControl/>
              <w:spacing w:after="126" w:line="264"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套</w:t>
            </w:r>
          </w:p>
        </w:tc>
      </w:tr>
      <w:tr w14:paraId="573B7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51" w:type="dxa"/>
            <w:vAlign w:val="center"/>
          </w:tcPr>
          <w:p w14:paraId="3A5E117C">
            <w:pPr>
              <w:spacing w:after="126" w:line="264"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720" w:type="dxa"/>
            <w:vAlign w:val="center"/>
          </w:tcPr>
          <w:p w14:paraId="03E9D85A">
            <w:pPr>
              <w:spacing w:after="126" w:line="264"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任务舱舱体</w:t>
            </w:r>
          </w:p>
        </w:tc>
        <w:tc>
          <w:tcPr>
            <w:tcW w:w="5614" w:type="dxa"/>
          </w:tcPr>
          <w:p w14:paraId="4721A1A9">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方舱箱体：</w:t>
            </w:r>
          </w:p>
          <w:p w14:paraId="008C0B38">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ascii="宋体" w:hAnsi="宋体" w:eastAsia="宋体" w:cs="Times New Roman"/>
                <w:color w:val="auto"/>
                <w:szCs w:val="21"/>
                <w:highlight w:val="none"/>
              </w:rPr>
              <w:t>钢骨架大板方舱；</w:t>
            </w:r>
          </w:p>
          <w:p w14:paraId="6AEDD7F4">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ascii="宋体" w:hAnsi="宋体" w:eastAsia="宋体" w:cs="Times New Roman"/>
                <w:color w:val="auto"/>
                <w:szCs w:val="21"/>
                <w:highlight w:val="none"/>
              </w:rPr>
              <w:t>配备方舱角件；</w:t>
            </w:r>
          </w:p>
          <w:p w14:paraId="20545E1C">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rPr>
              <w:t>喷涂重金属海洋防腐漆；</w:t>
            </w:r>
          </w:p>
          <w:p w14:paraId="79503FF2">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w:t>
            </w:r>
            <w:r>
              <w:rPr>
                <w:rFonts w:ascii="宋体" w:hAnsi="宋体" w:eastAsia="宋体" w:cs="Times New Roman"/>
                <w:color w:val="auto"/>
                <w:szCs w:val="21"/>
                <w:highlight w:val="none"/>
              </w:rPr>
              <w:t>舱顶不锈钢护栏</w:t>
            </w:r>
            <w:r>
              <w:rPr>
                <w:rFonts w:hint="eastAsia" w:ascii="宋体" w:hAnsi="宋体" w:eastAsia="宋体" w:cs="Times New Roman"/>
                <w:color w:val="auto"/>
                <w:szCs w:val="21"/>
                <w:highlight w:val="none"/>
              </w:rPr>
              <w:t>；</w:t>
            </w:r>
          </w:p>
          <w:p w14:paraId="71A72FDB">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（5）舱体尺寸适配指挥模组载车底盘。</w:t>
            </w:r>
          </w:p>
          <w:p w14:paraId="406182A9">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2.舱体自卸举升机构（1套）</w:t>
            </w:r>
          </w:p>
          <w:p w14:paraId="616B3682">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（1）额定提升重量：舱体单腿承重≥3.5吨；</w:t>
            </w:r>
          </w:p>
          <w:p w14:paraId="4FA4AC1B">
            <w:pPr>
              <w:rPr>
                <w:rFonts w:ascii="宋体" w:hAnsi="宋体" w:eastAsia="宋体" w:cs="Times New Roman"/>
                <w:color w:val="auto"/>
                <w:szCs w:val="21"/>
                <w:highlight w:val="none"/>
              </w:rPr>
            </w:pPr>
            <w:r>
              <w:rPr>
                <w:rFonts w:hint="eastAsia" w:ascii="宋体" w:hAnsi="宋体" w:eastAsia="宋体" w:cs="宋体"/>
                <w:color w:val="auto"/>
                <w:kern w:val="0"/>
                <w:szCs w:val="21"/>
                <w:highlight w:val="none"/>
                <w:lang w:bidi="ar"/>
              </w:rPr>
              <w:t>（2）额定举升高度：≥1500 mm。</w:t>
            </w:r>
          </w:p>
          <w:p w14:paraId="3A254BE3">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方舱侧开门：</w:t>
            </w:r>
          </w:p>
          <w:p w14:paraId="1D5F822F">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ascii="宋体" w:hAnsi="宋体" w:eastAsia="宋体" w:cs="Times New Roman"/>
                <w:color w:val="auto"/>
                <w:szCs w:val="21"/>
                <w:highlight w:val="none"/>
              </w:rPr>
              <w:t>入户门</w:t>
            </w:r>
          </w:p>
          <w:p w14:paraId="1EA9F595">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（2）检修门</w:t>
            </w:r>
          </w:p>
          <w:p w14:paraId="7C0BFD39">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攀登梯：</w:t>
            </w:r>
            <w:r>
              <w:rPr>
                <w:rFonts w:ascii="宋体" w:hAnsi="宋体" w:eastAsia="宋体" w:cs="Times New Roman"/>
                <w:color w:val="auto"/>
                <w:szCs w:val="21"/>
                <w:highlight w:val="none"/>
              </w:rPr>
              <w:t>方舱固定式爬梯</w:t>
            </w:r>
          </w:p>
          <w:p w14:paraId="7A1FA70E">
            <w:pPr>
              <w:rPr>
                <w:rFonts w:ascii="宋体" w:hAnsi="宋体" w:eastAsia="宋体" w:cs="宋体"/>
                <w:color w:val="auto"/>
                <w:szCs w:val="21"/>
                <w:highlight w:val="none"/>
              </w:rPr>
            </w:pPr>
            <w:r>
              <w:rPr>
                <w:rFonts w:hint="eastAsia" w:ascii="宋体" w:hAnsi="宋体" w:eastAsia="宋体" w:cs="Times New Roman"/>
                <w:color w:val="auto"/>
                <w:szCs w:val="21"/>
                <w:highlight w:val="none"/>
              </w:rPr>
              <w:t>5</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外部电源接口面板：</w:t>
            </w:r>
            <w:r>
              <w:rPr>
                <w:rFonts w:ascii="宋体" w:hAnsi="宋体" w:eastAsia="宋体" w:cs="Times New Roman"/>
                <w:color w:val="auto"/>
                <w:szCs w:val="21"/>
                <w:highlight w:val="none"/>
              </w:rPr>
              <w:t>220V/50Hz 电源输入接口、网线接口、光纤接口</w:t>
            </w:r>
            <w:r>
              <w:rPr>
                <w:rFonts w:hint="eastAsia" w:ascii="宋体" w:hAnsi="宋体" w:eastAsia="宋体" w:cs="Times New Roman"/>
                <w:color w:val="auto"/>
                <w:szCs w:val="21"/>
                <w:highlight w:val="none"/>
              </w:rPr>
              <w:t>。</w:t>
            </w:r>
          </w:p>
        </w:tc>
        <w:tc>
          <w:tcPr>
            <w:tcW w:w="656" w:type="dxa"/>
            <w:vAlign w:val="center"/>
          </w:tcPr>
          <w:p w14:paraId="1D047D34">
            <w:pPr>
              <w:spacing w:after="126" w:line="264"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20" w:type="dxa"/>
            <w:vAlign w:val="center"/>
          </w:tcPr>
          <w:p w14:paraId="36E2DD8A">
            <w:pPr>
              <w:spacing w:after="126" w:line="264"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套</w:t>
            </w:r>
          </w:p>
        </w:tc>
      </w:tr>
      <w:tr w14:paraId="2930E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1" w:hRule="atLeast"/>
          <w:jc w:val="center"/>
        </w:trPr>
        <w:tc>
          <w:tcPr>
            <w:tcW w:w="651" w:type="dxa"/>
            <w:vAlign w:val="center"/>
          </w:tcPr>
          <w:p w14:paraId="393EC5AE">
            <w:pPr>
              <w:widowControl/>
              <w:spacing w:after="126" w:line="264" w:lineRule="auto"/>
              <w:jc w:val="center"/>
              <w:rPr>
                <w:rFonts w:ascii="宋体" w:hAnsi="宋体" w:eastAsia="宋体" w:cs="宋体"/>
                <w:color w:val="auto"/>
                <w:szCs w:val="21"/>
                <w:highlight w:val="none"/>
              </w:rPr>
            </w:pPr>
            <w:r>
              <w:rPr>
                <w:rFonts w:ascii="宋体" w:hAnsi="宋体" w:eastAsia="宋体" w:cs="Times New Roman"/>
                <w:color w:val="auto"/>
                <w:szCs w:val="21"/>
                <w:highlight w:val="none"/>
              </w:rPr>
              <w:t>1.2</w:t>
            </w:r>
          </w:p>
        </w:tc>
        <w:tc>
          <w:tcPr>
            <w:tcW w:w="720" w:type="dxa"/>
            <w:tcBorders>
              <w:top w:val="single" w:color="000000" w:sz="4" w:space="0"/>
              <w:left w:val="single" w:color="000000" w:sz="4" w:space="0"/>
              <w:right w:val="single" w:color="000000" w:sz="4" w:space="0"/>
            </w:tcBorders>
            <w:vAlign w:val="center"/>
          </w:tcPr>
          <w:p w14:paraId="28306F4F">
            <w:pPr>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供电系统</w:t>
            </w:r>
          </w:p>
        </w:tc>
        <w:tc>
          <w:tcPr>
            <w:tcW w:w="5614" w:type="dxa"/>
            <w:tcBorders>
              <w:top w:val="single" w:color="000000" w:sz="4" w:space="0"/>
              <w:left w:val="single" w:color="000000" w:sz="4" w:space="0"/>
              <w:right w:val="single" w:color="000000" w:sz="4" w:space="0"/>
            </w:tcBorders>
          </w:tcPr>
          <w:p w14:paraId="7C734FE9">
            <w:pPr>
              <w:rPr>
                <w:rFonts w:ascii="宋体" w:hAnsi="宋体" w:eastAsia="宋体" w:cs="Times New Roman"/>
                <w:color w:val="auto"/>
                <w:szCs w:val="21"/>
                <w:highlight w:val="none"/>
              </w:rPr>
            </w:pP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rPr>
              <w:t>市电接入：</w:t>
            </w:r>
            <w:r>
              <w:rPr>
                <w:rFonts w:ascii="宋体" w:hAnsi="宋体" w:eastAsia="宋体" w:cs="Times New Roman"/>
                <w:color w:val="auto"/>
                <w:szCs w:val="21"/>
                <w:highlight w:val="none"/>
              </w:rPr>
              <w:t>具备1路供电电压 380×（1±10%）V、频率 50×（1±5%）Hz 或 1路供电电压220×（1±10%）V、频率 50×（1±5%）Hz，供电总功率不低于 10kW，配备满足功率的手动或电动市电线缆轴长度≥45米；配备满足功率的市电对接插头。</w:t>
            </w:r>
          </w:p>
          <w:p w14:paraId="48302F3F">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静音发电机</w:t>
            </w:r>
          </w:p>
          <w:p w14:paraId="2B862E8C">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ascii="宋体" w:hAnsi="宋体" w:eastAsia="宋体" w:cs="Times New Roman"/>
                <w:color w:val="auto"/>
                <w:szCs w:val="21"/>
                <w:highlight w:val="none"/>
              </w:rPr>
              <w:t>额定频率：50 HZ</w:t>
            </w:r>
            <w:r>
              <w:rPr>
                <w:rFonts w:hint="eastAsia" w:ascii="宋体" w:hAnsi="宋体" w:eastAsia="宋体" w:cs="Times New Roman"/>
                <w:color w:val="auto"/>
                <w:szCs w:val="21"/>
                <w:highlight w:val="none"/>
              </w:rPr>
              <w:t>；</w:t>
            </w:r>
          </w:p>
          <w:p w14:paraId="16AC0F95">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ascii="宋体" w:hAnsi="宋体" w:eastAsia="宋体" w:cs="Times New Roman"/>
                <w:color w:val="auto"/>
                <w:szCs w:val="21"/>
                <w:highlight w:val="none"/>
              </w:rPr>
              <w:t xml:space="preserve">额定输出功率：≥10KW </w:t>
            </w:r>
          </w:p>
          <w:p w14:paraId="47C6953C">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rPr>
              <w:t xml:space="preserve">额定电压：230 V </w:t>
            </w:r>
            <w:r>
              <w:rPr>
                <w:rFonts w:hint="eastAsia" w:ascii="宋体" w:hAnsi="宋体" w:eastAsia="宋体" w:cs="Times New Roman"/>
                <w:color w:val="auto"/>
                <w:szCs w:val="21"/>
                <w:highlight w:val="none"/>
              </w:rPr>
              <w:t>或4</w:t>
            </w:r>
            <w:r>
              <w:rPr>
                <w:rFonts w:ascii="宋体" w:hAnsi="宋体" w:eastAsia="宋体" w:cs="Times New Roman"/>
                <w:color w:val="auto"/>
                <w:szCs w:val="21"/>
                <w:highlight w:val="none"/>
              </w:rPr>
              <w:t>00 V</w:t>
            </w:r>
          </w:p>
          <w:p w14:paraId="68681D39">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w:t>
            </w:r>
            <w:r>
              <w:rPr>
                <w:rFonts w:ascii="宋体" w:hAnsi="宋体" w:eastAsia="宋体" w:cs="Times New Roman"/>
                <w:color w:val="auto"/>
                <w:szCs w:val="21"/>
                <w:highlight w:val="none"/>
              </w:rPr>
              <w:t>机组连续运行时间：≥8h</w:t>
            </w:r>
          </w:p>
          <w:p w14:paraId="4CB7694A">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w:t>
            </w:r>
            <w:r>
              <w:rPr>
                <w:rFonts w:ascii="宋体" w:hAnsi="宋体" w:eastAsia="宋体" w:cs="Times New Roman"/>
                <w:color w:val="auto"/>
                <w:szCs w:val="21"/>
                <w:highlight w:val="none"/>
              </w:rPr>
              <w:t>噪音（1m 处）：</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7</w:t>
            </w:r>
            <w:r>
              <w:rPr>
                <w:rFonts w:hint="eastAsia" w:ascii="宋体" w:hAnsi="宋体" w:eastAsia="宋体" w:cs="Times New Roman"/>
                <w:color w:val="auto"/>
                <w:szCs w:val="21"/>
                <w:highlight w:val="none"/>
              </w:rPr>
              <w:t>5</w:t>
            </w:r>
            <w:r>
              <w:rPr>
                <w:rFonts w:ascii="宋体" w:hAnsi="宋体" w:eastAsia="宋体" w:cs="Times New Roman"/>
                <w:color w:val="auto"/>
                <w:szCs w:val="21"/>
                <w:highlight w:val="none"/>
              </w:rPr>
              <w:t xml:space="preserve"> dB(A)</w:t>
            </w:r>
          </w:p>
          <w:p w14:paraId="6963B3C8">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3．配电箱：</w:t>
            </w:r>
            <w:r>
              <w:rPr>
                <w:rFonts w:ascii="宋体" w:hAnsi="宋体" w:eastAsia="宋体" w:cs="Times New Roman"/>
                <w:color w:val="auto"/>
                <w:szCs w:val="21"/>
                <w:highlight w:val="none"/>
              </w:rPr>
              <w:t>集中式电源管理系统，含电源漏电保护、开关、电源电压电流显示等，开关分别控制空调、设备用电等；配电盘面板为数控机床加工，表面喷塑处理。</w:t>
            </w:r>
          </w:p>
          <w:p w14:paraId="1EFE2AEA">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4．全车接地：</w:t>
            </w:r>
            <w:r>
              <w:rPr>
                <w:rFonts w:ascii="宋体" w:hAnsi="宋体" w:eastAsia="宋体" w:cs="Times New Roman"/>
                <w:color w:val="auto"/>
                <w:szCs w:val="21"/>
                <w:highlight w:val="none"/>
              </w:rPr>
              <w:t>含接地桩、接地线，电源防浪涌装置。</w:t>
            </w:r>
          </w:p>
          <w:p w14:paraId="3BF62E33">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5．对外接口板：</w:t>
            </w:r>
            <w:r>
              <w:rPr>
                <w:rFonts w:ascii="宋体" w:hAnsi="宋体" w:eastAsia="宋体" w:cs="Times New Roman"/>
                <w:color w:val="auto"/>
                <w:szCs w:val="21"/>
                <w:highlight w:val="none"/>
              </w:rPr>
              <w:t>含电源、数据传输接口。</w:t>
            </w:r>
          </w:p>
        </w:tc>
        <w:tc>
          <w:tcPr>
            <w:tcW w:w="656" w:type="dxa"/>
            <w:tcBorders>
              <w:top w:val="single" w:color="000000" w:sz="4" w:space="0"/>
              <w:left w:val="single" w:color="000000" w:sz="4" w:space="0"/>
              <w:right w:val="single" w:color="000000" w:sz="4" w:space="0"/>
            </w:tcBorders>
            <w:vAlign w:val="center"/>
          </w:tcPr>
          <w:p w14:paraId="42463883">
            <w:pPr>
              <w:widowControl/>
              <w:spacing w:after="126" w:line="264"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620" w:type="dxa"/>
            <w:tcBorders>
              <w:top w:val="single" w:color="000000" w:sz="4" w:space="0"/>
              <w:left w:val="single" w:color="000000" w:sz="4" w:space="0"/>
              <w:right w:val="single" w:color="000000" w:sz="4" w:space="0"/>
            </w:tcBorders>
            <w:vAlign w:val="center"/>
          </w:tcPr>
          <w:p w14:paraId="6B3CABAF">
            <w:pPr>
              <w:widowControl/>
              <w:spacing w:after="126" w:line="264"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套</w:t>
            </w:r>
          </w:p>
        </w:tc>
      </w:tr>
      <w:tr w14:paraId="63CA6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1" w:type="dxa"/>
            <w:vAlign w:val="center"/>
          </w:tcPr>
          <w:p w14:paraId="150E3BFA">
            <w:pPr>
              <w:spacing w:after="126" w:line="264"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720" w:type="dxa"/>
            <w:tcBorders>
              <w:left w:val="single" w:color="000000" w:sz="4" w:space="0"/>
              <w:right w:val="single" w:color="000000" w:sz="4" w:space="0"/>
            </w:tcBorders>
            <w:vAlign w:val="center"/>
          </w:tcPr>
          <w:p w14:paraId="1A8EE919">
            <w:pPr>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通信传输系统</w:t>
            </w:r>
          </w:p>
        </w:tc>
        <w:tc>
          <w:tcPr>
            <w:tcW w:w="5614" w:type="dxa"/>
            <w:tcBorders>
              <w:top w:val="single" w:color="000000" w:sz="4" w:space="0"/>
              <w:left w:val="single" w:color="000000" w:sz="4" w:space="0"/>
              <w:bottom w:val="single" w:color="000000" w:sz="4" w:space="0"/>
              <w:right w:val="single" w:color="000000" w:sz="4" w:space="0"/>
            </w:tcBorders>
          </w:tcPr>
          <w:p w14:paraId="1A3664F4">
            <w:pPr>
              <w:rPr>
                <w:rFonts w:ascii="宋体" w:hAnsi="宋体" w:eastAsia="宋体" w:cs="Times New Roman"/>
                <w:color w:val="auto"/>
                <w:szCs w:val="21"/>
                <w:highlight w:val="none"/>
              </w:rPr>
            </w:pPr>
            <w:r>
              <w:rPr>
                <w:rFonts w:ascii="宋体" w:hAnsi="宋体" w:eastAsia="宋体" w:cs="Times New Roman"/>
                <w:color w:val="auto"/>
                <w:szCs w:val="21"/>
                <w:highlight w:val="none"/>
              </w:rPr>
              <w:t>配备北斗全球导航定位系统、4G/5G 移动通信，用于提供方舱内部工作网络，联通探测、指挥和作业模组，以及方舱内部各类监控设备组网。</w:t>
            </w:r>
          </w:p>
        </w:tc>
        <w:tc>
          <w:tcPr>
            <w:tcW w:w="656" w:type="dxa"/>
            <w:tcBorders>
              <w:left w:val="single" w:color="000000" w:sz="4" w:space="0"/>
              <w:right w:val="single" w:color="000000" w:sz="4" w:space="0"/>
            </w:tcBorders>
            <w:vAlign w:val="center"/>
          </w:tcPr>
          <w:p w14:paraId="02A4C702">
            <w:pPr>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620" w:type="dxa"/>
            <w:tcBorders>
              <w:left w:val="single" w:color="000000" w:sz="4" w:space="0"/>
              <w:right w:val="single" w:color="000000" w:sz="4" w:space="0"/>
            </w:tcBorders>
            <w:vAlign w:val="center"/>
          </w:tcPr>
          <w:p w14:paraId="74083A19">
            <w:pPr>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套</w:t>
            </w:r>
          </w:p>
        </w:tc>
      </w:tr>
      <w:tr w14:paraId="2A76F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0" w:hRule="atLeast"/>
          <w:jc w:val="center"/>
        </w:trPr>
        <w:tc>
          <w:tcPr>
            <w:tcW w:w="651" w:type="dxa"/>
            <w:vAlign w:val="center"/>
          </w:tcPr>
          <w:p w14:paraId="3772BF3F">
            <w:pPr>
              <w:widowControl/>
              <w:spacing w:after="126" w:line="264"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w:t>
            </w:r>
          </w:p>
        </w:tc>
        <w:tc>
          <w:tcPr>
            <w:tcW w:w="720" w:type="dxa"/>
            <w:tcBorders>
              <w:left w:val="single" w:color="000000" w:sz="4" w:space="0"/>
              <w:right w:val="single" w:color="000000" w:sz="4" w:space="0"/>
            </w:tcBorders>
            <w:vAlign w:val="center"/>
          </w:tcPr>
          <w:p w14:paraId="08DA8315">
            <w:pPr>
              <w:jc w:val="center"/>
              <w:rPr>
                <w:rFonts w:ascii="宋体" w:hAnsi="宋体" w:eastAsia="宋体" w:cs="Times New Roman"/>
                <w:b/>
                <w:bCs/>
                <w:color w:val="auto"/>
                <w:szCs w:val="21"/>
                <w:highlight w:val="none"/>
              </w:rPr>
            </w:pPr>
            <w:r>
              <w:rPr>
                <w:rFonts w:hint="eastAsia" w:ascii="宋体" w:hAnsi="宋体" w:eastAsia="宋体" w:cs="宋体"/>
                <w:b/>
                <w:bCs/>
                <w:color w:val="auto"/>
                <w:szCs w:val="21"/>
                <w:highlight w:val="none"/>
              </w:rPr>
              <w:t>车载监控子系统</w:t>
            </w:r>
          </w:p>
        </w:tc>
        <w:tc>
          <w:tcPr>
            <w:tcW w:w="5614" w:type="dxa"/>
            <w:tcBorders>
              <w:top w:val="single" w:color="000000" w:sz="4" w:space="0"/>
              <w:left w:val="single" w:color="000000" w:sz="4" w:space="0"/>
              <w:right w:val="single" w:color="000000" w:sz="4" w:space="0"/>
            </w:tcBorders>
          </w:tcPr>
          <w:p w14:paraId="2EEBEEE0">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舱内摄像机：P</w:t>
            </w:r>
            <w:r>
              <w:rPr>
                <w:rFonts w:ascii="宋体" w:hAnsi="宋体" w:eastAsia="宋体" w:cs="Times New Roman"/>
                <w:color w:val="auto"/>
                <w:szCs w:val="21"/>
                <w:highlight w:val="none"/>
              </w:rPr>
              <w:t>OE</w:t>
            </w:r>
            <w:r>
              <w:rPr>
                <w:rFonts w:hint="eastAsia" w:ascii="宋体" w:hAnsi="宋体" w:eastAsia="宋体" w:cs="Times New Roman"/>
                <w:color w:val="auto"/>
                <w:szCs w:val="21"/>
                <w:highlight w:val="none"/>
              </w:rPr>
              <w:t>半球摄像机支持夜间补光，支持接入全车视频监控系统。</w:t>
            </w:r>
          </w:p>
          <w:p w14:paraId="525F1315">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舱外摄像机</w:t>
            </w:r>
          </w:p>
          <w:p w14:paraId="3384E583">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Times New Roman"/>
                <w:color w:val="auto"/>
                <w:szCs w:val="21"/>
                <w:highlight w:val="none"/>
              </w:rPr>
              <w:t>（1）</w:t>
            </w:r>
            <w:r>
              <w:rPr>
                <w:rFonts w:hint="eastAsia" w:ascii="宋体" w:hAnsi="宋体" w:eastAsia="宋体" w:cs="宋体"/>
                <w:color w:val="auto"/>
                <w:kern w:val="0"/>
                <w:szCs w:val="21"/>
                <w:highlight w:val="none"/>
                <w:lang w:bidi="ar"/>
              </w:rPr>
              <w:t>摄像机镜头技术参数：</w:t>
            </w:r>
          </w:p>
          <w:p w14:paraId="739A43E2">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①图像传感器：1/2.8″2.0MP逐行扫描CMOS；</w:t>
            </w:r>
          </w:p>
          <w:p w14:paraId="4840F4CE">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②镜头倍数：</w:t>
            </w:r>
            <w:r>
              <w:rPr>
                <w:rFonts w:hint="eastAsia" w:ascii="宋体" w:hAnsi="宋体" w:cs="宋体"/>
                <w:color w:val="auto"/>
                <w:kern w:val="0"/>
                <w:szCs w:val="21"/>
                <w:highlight w:val="none"/>
                <w:lang w:val="en-US" w:eastAsia="zh-CN" w:bidi="ar"/>
              </w:rPr>
              <w:t>不低于</w:t>
            </w:r>
            <w:r>
              <w:rPr>
                <w:rFonts w:hint="eastAsia" w:ascii="宋体" w:hAnsi="宋体" w:eastAsia="宋体" w:cs="宋体"/>
                <w:color w:val="auto"/>
                <w:kern w:val="0"/>
                <w:szCs w:val="21"/>
                <w:highlight w:val="none"/>
                <w:lang w:bidi="ar"/>
              </w:rPr>
              <w:t>20倍光学变焦；</w:t>
            </w:r>
            <w:r>
              <w:rPr>
                <w:rFonts w:ascii="宋体" w:hAnsi="宋体" w:eastAsia="宋体" w:cs="宋体"/>
                <w:color w:val="auto"/>
                <w:kern w:val="0"/>
                <w:szCs w:val="21"/>
                <w:highlight w:val="none"/>
                <w:lang w:bidi="ar"/>
              </w:rPr>
              <w:t xml:space="preserve"> </w:t>
            </w:r>
          </w:p>
          <w:p w14:paraId="30914570">
            <w:pPr>
              <w:widowControl/>
              <w:snapToGrid w:val="0"/>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bidi="ar"/>
              </w:rPr>
              <w:t>③焦距(mm)：f4.3～86 mm；</w:t>
            </w:r>
            <w:r>
              <w:rPr>
                <w:rFonts w:ascii="宋体" w:hAnsi="宋体" w:eastAsia="宋体" w:cs="宋体"/>
                <w:color w:val="auto"/>
                <w:kern w:val="0"/>
                <w:szCs w:val="21"/>
                <w:highlight w:val="none"/>
                <w:lang w:bidi="ar"/>
              </w:rPr>
              <w:t xml:space="preserve"> </w:t>
            </w:r>
          </w:p>
          <w:p w14:paraId="29E273A7">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④光圈：Fw1.6～Ft3.4；</w:t>
            </w:r>
          </w:p>
          <w:p w14:paraId="0753442B">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w:t>
            </w:r>
            <w:r>
              <w:rPr>
                <w:rFonts w:hint="eastAsia" w:ascii="宋体" w:hAnsi="宋体" w:eastAsia="宋体" w:cs="宋体"/>
                <w:color w:val="auto"/>
                <w:kern w:val="0"/>
                <w:szCs w:val="21"/>
                <w:highlight w:val="none"/>
                <w:lang w:bidi="ar"/>
              </w:rPr>
              <w:t>摄像机云台技术参数：</w:t>
            </w:r>
          </w:p>
          <w:p w14:paraId="20424056">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①水平角度：360°无限位旋转；</w:t>
            </w:r>
          </w:p>
          <w:p w14:paraId="5E21E631">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②垂直角度：+90°～-90°；</w:t>
            </w:r>
          </w:p>
          <w:p w14:paraId="381774E7">
            <w:pPr>
              <w:widowControl/>
              <w:snapToGrid w:val="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③防护等级：≥IP66；</w:t>
            </w:r>
          </w:p>
          <w:p w14:paraId="3140621C">
            <w:pPr>
              <w:widowControl/>
              <w:snapToGrid w:val="0"/>
              <w:jc w:val="left"/>
              <w:textAlignment w:val="center"/>
              <w:rPr>
                <w:rFonts w:ascii="宋体" w:hAnsi="宋体" w:eastAsia="宋体" w:cs="宋体"/>
                <w:color w:val="auto"/>
                <w:kern w:val="0"/>
                <w:szCs w:val="21"/>
                <w:highlight w:val="none"/>
                <w:lang w:bidi="ar"/>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rPr>
              <w:t>）</w:t>
            </w:r>
            <w:r>
              <w:rPr>
                <w:rFonts w:hint="eastAsia" w:ascii="宋体" w:hAnsi="宋体" w:eastAsia="宋体" w:cs="宋体"/>
                <w:color w:val="auto"/>
                <w:kern w:val="0"/>
                <w:szCs w:val="21"/>
                <w:highlight w:val="none"/>
                <w:lang w:bidi="ar"/>
              </w:rPr>
              <w:t>摄像机重要功能：</w:t>
            </w:r>
          </w:p>
          <w:p w14:paraId="6779DEAA">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①电机带断电自锁功能；</w:t>
            </w:r>
          </w:p>
          <w:p w14:paraId="3BB756D1">
            <w:pPr>
              <w:widowControl/>
              <w:snapToGrid w:val="0"/>
              <w:textAlignment w:val="center"/>
              <w:rPr>
                <w:color w:val="auto"/>
                <w:highlight w:val="none"/>
              </w:rPr>
            </w:pPr>
            <w:r>
              <w:rPr>
                <w:rFonts w:hint="eastAsia" w:ascii="宋体" w:hAnsi="宋体" w:eastAsia="宋体" w:cs="宋体"/>
                <w:color w:val="auto"/>
                <w:kern w:val="0"/>
                <w:szCs w:val="21"/>
                <w:highlight w:val="none"/>
                <w:lang w:bidi="ar"/>
              </w:rPr>
              <w:t>②支持接入全车视频监控系统；</w:t>
            </w:r>
          </w:p>
          <w:p w14:paraId="01878884">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硬盘录像机：</w:t>
            </w:r>
          </w:p>
          <w:p w14:paraId="60597322">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（1）支持</w:t>
            </w:r>
            <w:r>
              <w:rPr>
                <w:rFonts w:hint="eastAsia" w:ascii="宋体" w:hAnsi="宋体" w:eastAsia="宋体" w:cs="Times New Roman"/>
                <w:color w:val="auto"/>
                <w:szCs w:val="21"/>
                <w:highlight w:val="none"/>
                <w:lang w:val="en-US" w:eastAsia="zh-CN"/>
              </w:rPr>
              <w:t>不低于</w:t>
            </w:r>
            <w:r>
              <w:rPr>
                <w:rFonts w:hint="eastAsia" w:ascii="宋体" w:hAnsi="宋体" w:eastAsia="宋体" w:cs="Times New Roman"/>
                <w:color w:val="auto"/>
                <w:szCs w:val="21"/>
                <w:highlight w:val="none"/>
              </w:rPr>
              <w:t>4路1</w:t>
            </w:r>
            <w:r>
              <w:rPr>
                <w:rFonts w:ascii="宋体" w:hAnsi="宋体" w:eastAsia="宋体" w:cs="Times New Roman"/>
                <w:color w:val="auto"/>
                <w:szCs w:val="21"/>
                <w:highlight w:val="none"/>
              </w:rPr>
              <w:t>080P</w:t>
            </w:r>
            <w:r>
              <w:rPr>
                <w:rFonts w:hint="eastAsia" w:ascii="宋体" w:hAnsi="宋体" w:eastAsia="宋体" w:cs="Times New Roman"/>
                <w:color w:val="auto"/>
                <w:szCs w:val="21"/>
                <w:highlight w:val="none"/>
              </w:rPr>
              <w:t>视频输入</w:t>
            </w:r>
          </w:p>
          <w:p w14:paraId="12926DA6">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）存储容量≥1</w:t>
            </w:r>
            <w:r>
              <w:rPr>
                <w:rFonts w:ascii="宋体" w:hAnsi="宋体" w:eastAsia="宋体" w:cs="Times New Roman"/>
                <w:color w:val="auto"/>
                <w:szCs w:val="21"/>
                <w:highlight w:val="none"/>
              </w:rPr>
              <w:t>T</w:t>
            </w:r>
          </w:p>
          <w:p w14:paraId="756C1BC3">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rPr>
              <w:t>）支持H</w:t>
            </w:r>
            <w:r>
              <w:rPr>
                <w:rFonts w:ascii="宋体" w:hAnsi="宋体" w:eastAsia="宋体" w:cs="Times New Roman"/>
                <w:color w:val="auto"/>
                <w:szCs w:val="21"/>
                <w:highlight w:val="none"/>
              </w:rPr>
              <w:t>.265/H.264</w:t>
            </w:r>
            <w:r>
              <w:rPr>
                <w:rFonts w:hint="eastAsia" w:ascii="宋体" w:hAnsi="宋体" w:eastAsia="宋体" w:cs="Times New Roman"/>
                <w:color w:val="auto"/>
                <w:szCs w:val="21"/>
                <w:highlight w:val="none"/>
              </w:rPr>
              <w:t>压缩模式</w:t>
            </w:r>
          </w:p>
          <w:p w14:paraId="0B90B0E1">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环境监控系统：包括温湿度传感器、烟雾传感器，及监控主机，带声光报警功能。具备监控及报警信息本地显示，监控及报警信息上传功能。</w:t>
            </w:r>
          </w:p>
        </w:tc>
        <w:tc>
          <w:tcPr>
            <w:tcW w:w="656" w:type="dxa"/>
            <w:tcBorders>
              <w:left w:val="single" w:color="000000" w:sz="4" w:space="0"/>
              <w:right w:val="single" w:color="000000" w:sz="4" w:space="0"/>
            </w:tcBorders>
            <w:vAlign w:val="center"/>
          </w:tcPr>
          <w:p w14:paraId="3FCFE890">
            <w:pPr>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620" w:type="dxa"/>
            <w:tcBorders>
              <w:left w:val="single" w:color="000000" w:sz="4" w:space="0"/>
              <w:right w:val="single" w:color="000000" w:sz="4" w:space="0"/>
            </w:tcBorders>
            <w:vAlign w:val="center"/>
          </w:tcPr>
          <w:p w14:paraId="03CC1CE8">
            <w:pPr>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套</w:t>
            </w:r>
          </w:p>
        </w:tc>
      </w:tr>
      <w:tr w14:paraId="05CE8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1" w:type="dxa"/>
            <w:vAlign w:val="center"/>
          </w:tcPr>
          <w:p w14:paraId="14AF9871">
            <w:pPr>
              <w:widowControl/>
              <w:spacing w:after="126" w:line="264"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w:t>
            </w:r>
          </w:p>
        </w:tc>
        <w:tc>
          <w:tcPr>
            <w:tcW w:w="720" w:type="dxa"/>
            <w:tcBorders>
              <w:left w:val="single" w:color="000000" w:sz="4" w:space="0"/>
              <w:bottom w:val="single" w:color="000000" w:sz="4" w:space="0"/>
              <w:right w:val="single" w:color="000000" w:sz="4" w:space="0"/>
            </w:tcBorders>
            <w:vAlign w:val="center"/>
          </w:tcPr>
          <w:p w14:paraId="296A7B85">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工作生活单元</w:t>
            </w:r>
          </w:p>
        </w:tc>
        <w:tc>
          <w:tcPr>
            <w:tcW w:w="5614" w:type="dxa"/>
            <w:tcBorders>
              <w:top w:val="single" w:color="000000" w:sz="4" w:space="0"/>
              <w:left w:val="single" w:color="000000" w:sz="4" w:space="0"/>
              <w:bottom w:val="single" w:color="000000" w:sz="4" w:space="0"/>
              <w:right w:val="single" w:color="000000" w:sz="4" w:space="0"/>
            </w:tcBorders>
          </w:tcPr>
          <w:p w14:paraId="79A0AFF0">
            <w:pPr>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满足野外作业所需工作、生活、急救、安全、防火等基本需求。</w:t>
            </w:r>
          </w:p>
          <w:p w14:paraId="726C56E7">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（1）配备尺寸不小于1900*600mm的双层房车床：≥2套；</w:t>
            </w:r>
          </w:p>
          <w:p w14:paraId="0C8281BE">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（2）配套有洗手间兼淋浴间模块、热水器、洗手盆、储物柜和车载冰箱以及净水箱、灰水箱等设施。</w:t>
            </w:r>
          </w:p>
          <w:p w14:paraId="23AC4FCC">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（3）配备厨房。包括厨房工作台、电磁炉、微波炉和洗手池等。</w:t>
            </w:r>
          </w:p>
          <w:p w14:paraId="0EA27270">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（4）配备医疗急救箱、灭火器等应急设施。</w:t>
            </w:r>
          </w:p>
          <w:p w14:paraId="3852BEF6">
            <w:pPr>
              <w:rPr>
                <w:rFonts w:ascii="宋体" w:hAnsi="宋体" w:eastAsia="宋体" w:cs="Times New Roman"/>
                <w:color w:val="auto"/>
                <w:szCs w:val="21"/>
                <w:highlight w:val="none"/>
              </w:rPr>
            </w:pPr>
            <w:r>
              <w:rPr>
                <w:rFonts w:hint="eastAsia" w:ascii="宋体" w:hAnsi="宋体" w:eastAsia="宋体" w:cs="宋体"/>
                <w:color w:val="auto"/>
                <w:szCs w:val="21"/>
                <w:highlight w:val="none"/>
              </w:rPr>
              <w:t>（5）车内配备温湿调控系统:满足车内工作温度和湿度控制需求。</w:t>
            </w:r>
          </w:p>
        </w:tc>
        <w:tc>
          <w:tcPr>
            <w:tcW w:w="656" w:type="dxa"/>
            <w:tcBorders>
              <w:left w:val="single" w:color="000000" w:sz="4" w:space="0"/>
              <w:bottom w:val="single" w:color="000000" w:sz="4" w:space="0"/>
              <w:right w:val="single" w:color="000000" w:sz="4" w:space="0"/>
            </w:tcBorders>
            <w:vAlign w:val="center"/>
          </w:tcPr>
          <w:p w14:paraId="0305E6FB">
            <w:pPr>
              <w:jc w:val="center"/>
              <w:rPr>
                <w:rFonts w:ascii="宋体" w:hAnsi="宋体" w:eastAsia="宋体" w:cs="Times New Roman"/>
                <w:color w:val="auto"/>
                <w:szCs w:val="21"/>
                <w:highlight w:val="none"/>
              </w:rPr>
            </w:pPr>
            <w:r>
              <w:rPr>
                <w:rFonts w:ascii="宋体" w:hAnsi="宋体" w:eastAsia="宋体" w:cs="Times New Roman"/>
                <w:color w:val="auto"/>
                <w:szCs w:val="21"/>
                <w:highlight w:val="none"/>
              </w:rPr>
              <w:t>1</w:t>
            </w:r>
          </w:p>
        </w:tc>
        <w:tc>
          <w:tcPr>
            <w:tcW w:w="620" w:type="dxa"/>
            <w:tcBorders>
              <w:left w:val="single" w:color="000000" w:sz="4" w:space="0"/>
              <w:bottom w:val="single" w:color="000000" w:sz="4" w:space="0"/>
              <w:right w:val="single" w:color="000000" w:sz="4" w:space="0"/>
            </w:tcBorders>
            <w:vAlign w:val="center"/>
          </w:tcPr>
          <w:p w14:paraId="4DE8E72F">
            <w:pPr>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套</w:t>
            </w:r>
          </w:p>
        </w:tc>
      </w:tr>
    </w:tbl>
    <w:p w14:paraId="250CDFBF">
      <w:pPr>
        <w:outlineLvl w:val="2"/>
        <w:rPr>
          <w:rFonts w:hint="eastAsia" w:eastAsia="宋体"/>
          <w:b/>
          <w:bCs/>
          <w:color w:val="auto"/>
          <w:highlight w:val="none"/>
          <w:lang w:val="en-US" w:eastAsia="zh-CN"/>
        </w:rPr>
      </w:pPr>
      <w:r>
        <w:rPr>
          <w:rFonts w:hint="eastAsia" w:eastAsia="宋体"/>
          <w:b/>
          <w:bCs/>
          <w:color w:val="auto"/>
          <w:highlight w:val="none"/>
          <w:lang w:val="en-US" w:eastAsia="zh-CN"/>
        </w:rPr>
        <w:t>9.2.2方舱式机动集成作业系统</w:t>
      </w:r>
    </w:p>
    <w:p w14:paraId="4A499D62">
      <w:pPr>
        <w:spacing w:line="360" w:lineRule="auto"/>
        <w:outlineLvl w:val="4"/>
        <w:rPr>
          <w:rFonts w:hint="eastAsia" w:eastAsia="宋体"/>
          <w:b/>
          <w:bCs/>
          <w:color w:val="auto"/>
          <w:highlight w:val="none"/>
        </w:rPr>
      </w:pPr>
      <w:r>
        <w:rPr>
          <w:rFonts w:hint="eastAsia" w:eastAsia="宋体"/>
          <w:b/>
          <w:bCs/>
          <w:color w:val="auto"/>
          <w:highlight w:val="none"/>
        </w:rPr>
        <w:t>（1）探测模组</w:t>
      </w:r>
    </w:p>
    <w:p w14:paraId="584DDB9B">
      <w:pPr>
        <w:spacing w:line="360" w:lineRule="auto"/>
        <w:ind w:firstLine="420" w:firstLineChars="200"/>
        <w:rPr>
          <w:rFonts w:ascii="宋体" w:hAnsi="宋体" w:eastAsia="宋体" w:cs="宋体"/>
          <w:color w:val="auto"/>
          <w:kern w:val="0"/>
          <w:sz w:val="24"/>
          <w:szCs w:val="24"/>
          <w:highlight w:val="none"/>
          <w:lang w:bidi="ar"/>
        </w:rPr>
      </w:pPr>
      <w:r>
        <w:rPr>
          <w:rFonts w:hint="eastAsia" w:eastAsia="宋体"/>
          <w:color w:val="auto"/>
          <w:highlight w:val="none"/>
        </w:rPr>
        <w:t>主要由任务方舱、X 波段相控阵雷达、六要素气象站、激光云高仪、毫米波测云雷达以及小型旋翼无人机组成，可进行多要素气象探测和云层精准探测与实时分析，并实现气象数据实时传输与处理，与“天工”平台对接，技术性能指标具体见下表：</w:t>
      </w:r>
    </w:p>
    <w:tbl>
      <w:tblPr>
        <w:tblStyle w:val="51"/>
        <w:tblW w:w="8276" w:type="dxa"/>
        <w:jc w:val="center"/>
        <w:tblLayout w:type="fixed"/>
        <w:tblCellMar>
          <w:top w:w="0" w:type="dxa"/>
          <w:left w:w="108" w:type="dxa"/>
          <w:bottom w:w="0" w:type="dxa"/>
          <w:right w:w="108" w:type="dxa"/>
        </w:tblCellMar>
      </w:tblPr>
      <w:tblGrid>
        <w:gridCol w:w="673"/>
        <w:gridCol w:w="1333"/>
        <w:gridCol w:w="4944"/>
        <w:gridCol w:w="681"/>
        <w:gridCol w:w="645"/>
      </w:tblGrid>
      <w:tr w14:paraId="11886BAB">
        <w:tblPrEx>
          <w:tblCellMar>
            <w:top w:w="0" w:type="dxa"/>
            <w:left w:w="108" w:type="dxa"/>
            <w:bottom w:w="0" w:type="dxa"/>
            <w:right w:w="108" w:type="dxa"/>
          </w:tblCellMar>
        </w:tblPrEx>
        <w:trPr>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7AF5">
            <w:pPr>
              <w:widowControl/>
              <w:snapToGrid w:val="0"/>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序号</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3CC3">
            <w:pPr>
              <w:widowControl/>
              <w:snapToGrid w:val="0"/>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设备内容</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99A4D">
            <w:pPr>
              <w:widowControl/>
              <w:snapToGrid w:val="0"/>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主要性能指标</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0B06C">
            <w:pPr>
              <w:widowControl/>
              <w:snapToGrid w:val="0"/>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数量</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3FC3E">
            <w:pPr>
              <w:widowControl/>
              <w:snapToGrid w:val="0"/>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单位</w:t>
            </w:r>
          </w:p>
        </w:tc>
      </w:tr>
      <w:tr w14:paraId="3C0D8902">
        <w:tblPrEx>
          <w:tblCellMar>
            <w:top w:w="0" w:type="dxa"/>
            <w:left w:w="108" w:type="dxa"/>
            <w:bottom w:w="0" w:type="dxa"/>
            <w:right w:w="108" w:type="dxa"/>
          </w:tblCellMar>
        </w:tblPrEx>
        <w:trPr>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C2613">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b/>
                <w:bCs/>
                <w:color w:val="auto"/>
                <w:kern w:val="0"/>
                <w:szCs w:val="21"/>
                <w:highlight w:val="none"/>
                <w:lang w:bidi="ar"/>
              </w:rPr>
              <w:t>1</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B4A8E">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b/>
                <w:bCs/>
                <w:color w:val="auto"/>
                <w:kern w:val="0"/>
                <w:szCs w:val="21"/>
                <w:highlight w:val="none"/>
                <w:lang w:bidi="ar"/>
              </w:rPr>
              <w:t>移动式方舱</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41B0E">
            <w:pPr>
              <w:snapToGrid w:val="0"/>
              <w:ind w:firstLine="422" w:firstLineChars="200"/>
              <w:rPr>
                <w:rFonts w:ascii="宋体" w:hAnsi="宋体" w:eastAsia="宋体" w:cs="宋体"/>
                <w:color w:val="auto"/>
                <w:kern w:val="0"/>
                <w:szCs w:val="21"/>
                <w:highlight w:val="none"/>
                <w:lang w:bidi="ar"/>
              </w:rPr>
            </w:pPr>
            <w:r>
              <w:rPr>
                <w:rFonts w:hint="eastAsia" w:ascii="宋体" w:hAnsi="宋体" w:eastAsia="宋体" w:cs="宋体"/>
                <w:b/>
                <w:bCs/>
                <w:color w:val="auto"/>
                <w:kern w:val="0"/>
                <w:szCs w:val="21"/>
                <w:highlight w:val="none"/>
                <w:lang w:bidi="ar"/>
              </w:rPr>
              <w:t>由设备舱、工作舱、温湿调控系统、供电系统、录像设备、电动天窗、方舱调平仪和便携式大气参数探测设备存储舱等组成。</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382F7">
            <w:pPr>
              <w:snapToGrid w:val="0"/>
              <w:jc w:val="center"/>
              <w:rPr>
                <w:rFonts w:ascii="宋体" w:hAnsi="宋体" w:eastAsia="宋体" w:cs="宋体"/>
                <w:color w:val="auto"/>
                <w:kern w:val="0"/>
                <w:szCs w:val="21"/>
                <w:highlight w:val="none"/>
                <w:lang w:bidi="ar"/>
              </w:rPr>
            </w:pPr>
            <w:r>
              <w:rPr>
                <w:rFonts w:hint="eastAsia" w:ascii="宋体" w:hAnsi="宋体" w:eastAsia="宋体" w:cs="宋体"/>
                <w:b/>
                <w:bCs/>
                <w:color w:val="auto"/>
                <w:szCs w:val="21"/>
                <w:highlight w:val="none"/>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6ED7">
            <w:pPr>
              <w:snapToGrid w:val="0"/>
              <w:jc w:val="center"/>
              <w:rPr>
                <w:rFonts w:ascii="宋体" w:hAnsi="宋体" w:eastAsia="宋体" w:cs="宋体"/>
                <w:color w:val="auto"/>
                <w:kern w:val="0"/>
                <w:szCs w:val="21"/>
                <w:highlight w:val="none"/>
                <w:lang w:bidi="ar"/>
              </w:rPr>
            </w:pPr>
            <w:r>
              <w:rPr>
                <w:rFonts w:hint="eastAsia" w:ascii="宋体" w:hAnsi="宋体" w:eastAsia="宋体" w:cs="宋体"/>
                <w:b/>
                <w:bCs/>
                <w:color w:val="auto"/>
                <w:szCs w:val="21"/>
                <w:highlight w:val="none"/>
              </w:rPr>
              <w:t>套</w:t>
            </w:r>
          </w:p>
        </w:tc>
      </w:tr>
      <w:tr w14:paraId="0AE6CBFA">
        <w:tblPrEx>
          <w:tblCellMar>
            <w:top w:w="0" w:type="dxa"/>
            <w:left w:w="108" w:type="dxa"/>
            <w:bottom w:w="0" w:type="dxa"/>
            <w:right w:w="108" w:type="dxa"/>
          </w:tblCellMar>
        </w:tblPrEx>
        <w:trPr>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99EE6">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1.1</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CD5D">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szCs w:val="21"/>
                <w:highlight w:val="none"/>
              </w:rPr>
              <w:t>方舱舱体</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EF89A">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1.方舱主箱体</w:t>
            </w:r>
          </w:p>
          <w:p w14:paraId="0C58DE5F">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（1）方舱外形尺寸需满足设备探测要求，保证探测设备工作时不会相互影响，采用直角方舱，宽度≤2438 mm，配备8个角安装方舱角件，厢体按钢骨架铝合金蒙皮进行制作，外蒙皮选用厚度≥2 mm铝板，选用高密度的阻燃聚氨酯泡沫作为夹芯层（隔热芯材），大板中所用的骨架为钢骨架焊接而成，内外蒙皮与骨架粘接固定,厢体骨架整体防腐处理。</w:t>
            </w:r>
          </w:p>
          <w:p w14:paraId="560F07BE">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（2）内饰型材及外包型材、门结构采用铝型材。</w:t>
            </w:r>
          </w:p>
          <w:p w14:paraId="5FF66D1A">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（3）各开孔和承重处均设置骨架的预埋件，满足车厢的承重要求和安装要求。</w:t>
            </w:r>
          </w:p>
          <w:p w14:paraId="49FA2669">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2.舱体自卸举升机构（1套）</w:t>
            </w:r>
          </w:p>
          <w:p w14:paraId="566335C1">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（1）额定提升重量：满足舱体设计使用重量要求，并具备30%以上冗余能力；</w:t>
            </w:r>
          </w:p>
          <w:p w14:paraId="19E3286F">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（2）额定举升高度：≥1500 mm；</w:t>
            </w:r>
          </w:p>
          <w:p w14:paraId="56AAB67C">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（3）升降时间(单程)：≤15 min；</w:t>
            </w:r>
          </w:p>
          <w:p w14:paraId="3EADC8B0">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（4）调平时间：＜3 min（6 m长方舱所需时间）；</w:t>
            </w:r>
          </w:p>
          <w:p w14:paraId="2E200959">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（5）调平精度：≤0.1度；</w:t>
            </w:r>
          </w:p>
          <w:p w14:paraId="5ED9E728">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（6）工作方式：支持电动、手动。</w:t>
            </w:r>
          </w:p>
          <w:p w14:paraId="3FB62EA0">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w:t>
            </w:r>
            <w:r>
              <w:rPr>
                <w:rFonts w:hint="eastAsia" w:ascii="宋体" w:hAnsi="宋体" w:eastAsia="宋体" w:cs="宋体"/>
                <w:color w:val="auto"/>
                <w:szCs w:val="21"/>
                <w:highlight w:val="none"/>
              </w:rPr>
              <w:t>电动滑盖</w:t>
            </w:r>
            <w:r>
              <w:rPr>
                <w:rFonts w:hint="eastAsia" w:ascii="宋体" w:hAnsi="宋体" w:eastAsia="宋体" w:cs="宋体"/>
                <w:color w:val="auto"/>
                <w:kern w:val="0"/>
                <w:szCs w:val="21"/>
                <w:highlight w:val="none"/>
                <w:lang w:bidi="ar"/>
              </w:rPr>
              <w:t>：在毫米波云雷达舱顶设置电动滑盖，设备存放时密封存储，使用时电动滑移打开。</w:t>
            </w:r>
          </w:p>
          <w:p w14:paraId="0D83BBC2">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（1）滑盖可电动操作，同时具有手动功能；</w:t>
            </w:r>
          </w:p>
          <w:p w14:paraId="7007CC7C">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（2）滑盖移动速度：≥6 mm/s；</w:t>
            </w:r>
          </w:p>
          <w:p w14:paraId="0F13DDDD">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（3）滑盖开关时间：≤7 min；</w:t>
            </w:r>
          </w:p>
          <w:p w14:paraId="10522EDD">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（4）雷达升降过程和升顶到位期间舱顶滑盖电机具有防雨功能；</w:t>
            </w:r>
          </w:p>
          <w:p w14:paraId="254181DB">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（5）滑盖保护，设置机械限位保护及系统软件保护，软件保护的到位传感器采用双冗余设计；</w:t>
            </w:r>
          </w:p>
          <w:p w14:paraId="0E6E499B">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（6）滑盖机构要求操作简单、方便，维修方便；</w:t>
            </w:r>
          </w:p>
          <w:p w14:paraId="3761DA00">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（7）滑盖打开、关闭到位时设置机械限位，防止滑盖脱轨；</w:t>
            </w:r>
          </w:p>
          <w:p w14:paraId="00024263">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（8）滑盖关闭后具有防雨功能。</w:t>
            </w:r>
          </w:p>
          <w:p w14:paraId="7FF47195">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w:t>
            </w:r>
            <w:r>
              <w:rPr>
                <w:rFonts w:hint="eastAsia" w:ascii="宋体" w:hAnsi="宋体" w:eastAsia="宋体" w:cs="宋体"/>
                <w:color w:val="auto"/>
                <w:szCs w:val="21"/>
                <w:highlight w:val="none"/>
              </w:rPr>
              <w:t>举升平台</w:t>
            </w:r>
          </w:p>
          <w:p w14:paraId="5A7DC109">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（1）升降平台行程：≥1900 mm；</w:t>
            </w:r>
          </w:p>
          <w:p w14:paraId="08E90E54">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（2）升降平台移动速度：≥4 mm/s；</w:t>
            </w:r>
          </w:p>
          <w:p w14:paraId="408728E3">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（3）升降平台-承载能力：≥1.5吨；</w:t>
            </w:r>
          </w:p>
          <w:p w14:paraId="178540E1">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（4）平台升降时间≤8 min；</w:t>
            </w:r>
          </w:p>
          <w:p w14:paraId="4648E204">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（5）升降平台接水盒接水量：≥6 mm/s；</w:t>
            </w:r>
          </w:p>
          <w:p w14:paraId="3D13CDFB">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（6）电机防护等级≥IP67；</w:t>
            </w:r>
          </w:p>
          <w:p w14:paraId="16E3DFD0">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7）安全操作保护：雷达未回正时或天线未顶置时不能下降，举升机构操作将被车载主控服务器禁用，雷达未升顶时不能进行伺服动作，雷达伺服动作功能将被车载主控服务器禁用，举升机构舱顶滑盖、举升平台等设备到位、禁用/解禁、诊断、运行状态应通过通讯接口实时上传给车载主控软件，</w:t>
            </w:r>
            <w:r>
              <w:rPr>
                <w:rFonts w:hint="eastAsia" w:ascii="宋体" w:hAnsi="宋体" w:eastAsia="宋体" w:cs="宋体"/>
                <w:color w:val="auto"/>
                <w:kern w:val="0"/>
                <w:szCs w:val="21"/>
                <w:highlight w:val="none"/>
                <w:lang w:val="en-US" w:eastAsia="zh-CN" w:bidi="ar"/>
              </w:rPr>
              <w:t>采购人</w:t>
            </w:r>
            <w:r>
              <w:rPr>
                <w:rFonts w:hint="eastAsia" w:ascii="宋体" w:hAnsi="宋体" w:eastAsia="宋体" w:cs="宋体"/>
                <w:color w:val="auto"/>
                <w:kern w:val="0"/>
                <w:szCs w:val="21"/>
                <w:highlight w:val="none"/>
                <w:lang w:bidi="ar"/>
              </w:rPr>
              <w:t>可实时监控模组架设状态；</w:t>
            </w:r>
          </w:p>
          <w:p w14:paraId="0C841D5E">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（8）升降保护：设置机械限位保护及系统软件保护,软件保护的到位传感器采用双冗余设计；</w:t>
            </w:r>
          </w:p>
          <w:p w14:paraId="4CA95323">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（9）操作方式：电动/手动；</w:t>
            </w:r>
          </w:p>
          <w:p w14:paraId="3BEF9966">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具备限位功能和限位提示。</w:t>
            </w:r>
          </w:p>
          <w:p w14:paraId="7C137DCF">
            <w:pPr>
              <w:widowControl/>
              <w:snapToGrid w:val="0"/>
              <w:textAlignment w:val="center"/>
              <w:rPr>
                <w:rFonts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bidi="ar"/>
              </w:rPr>
              <w:t>5</w:t>
            </w:r>
            <w:r>
              <w:rPr>
                <w:rFonts w:hint="eastAsia" w:ascii="宋体" w:hAnsi="宋体" w:eastAsia="宋体" w:cs="宋体"/>
                <w:color w:val="auto"/>
                <w:kern w:val="0"/>
                <w:szCs w:val="21"/>
                <w:highlight w:val="none"/>
                <w:lang w:bidi="ar"/>
              </w:rPr>
              <w:t>.</w:t>
            </w:r>
            <w:r>
              <w:rPr>
                <w:rFonts w:hint="eastAsia" w:ascii="宋体" w:hAnsi="宋体" w:eastAsia="宋体" w:cs="宋体"/>
                <w:color w:val="auto"/>
                <w:szCs w:val="21"/>
                <w:highlight w:val="none"/>
              </w:rPr>
              <w:t>登舱门：</w:t>
            </w:r>
            <w:r>
              <w:rPr>
                <w:rFonts w:hint="eastAsia" w:ascii="宋体" w:hAnsi="宋体" w:eastAsia="宋体" w:cs="宋体"/>
                <w:color w:val="auto"/>
                <w:kern w:val="0"/>
                <w:szCs w:val="21"/>
                <w:highlight w:val="none"/>
                <w:lang w:bidi="ar"/>
              </w:rPr>
              <w:t>侧开门开启角度≥90°，采用三点锁紧机构，入户门配备机械锁，在舱内能够将门打开。</w:t>
            </w:r>
          </w:p>
          <w:p w14:paraId="698BA27A">
            <w:pPr>
              <w:widowControl/>
              <w:snapToGrid w:val="0"/>
              <w:textAlignment w:val="center"/>
              <w:rPr>
                <w:rFonts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bidi="ar"/>
              </w:rPr>
              <w:t>6</w:t>
            </w:r>
            <w:r>
              <w:rPr>
                <w:rFonts w:hint="eastAsia" w:ascii="宋体" w:hAnsi="宋体" w:eastAsia="宋体" w:cs="宋体"/>
                <w:color w:val="auto"/>
                <w:kern w:val="0"/>
                <w:szCs w:val="21"/>
                <w:highlight w:val="none"/>
                <w:lang w:bidi="ar"/>
              </w:rPr>
              <w:t>.</w:t>
            </w:r>
            <w:r>
              <w:rPr>
                <w:rFonts w:hint="eastAsia" w:ascii="宋体" w:hAnsi="宋体" w:eastAsia="宋体" w:cs="宋体"/>
                <w:color w:val="auto"/>
                <w:szCs w:val="21"/>
                <w:highlight w:val="none"/>
              </w:rPr>
              <w:t>采光窗（1套）：</w:t>
            </w:r>
            <w:r>
              <w:rPr>
                <w:rFonts w:hint="eastAsia" w:ascii="宋体" w:hAnsi="宋体" w:eastAsia="宋体" w:cs="宋体"/>
                <w:color w:val="auto"/>
                <w:kern w:val="0"/>
                <w:szCs w:val="21"/>
                <w:highlight w:val="none"/>
                <w:lang w:bidi="ar"/>
              </w:rPr>
              <w:t>外推窗，采用双层钢化玻璃，推拉灵活，无卡滞现象。</w:t>
            </w:r>
          </w:p>
          <w:p w14:paraId="3FE1C9A2">
            <w:pPr>
              <w:widowControl/>
              <w:snapToGrid w:val="0"/>
              <w:textAlignment w:val="center"/>
              <w:rPr>
                <w:rFonts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bidi="ar"/>
              </w:rPr>
              <w:t>7</w:t>
            </w:r>
            <w:r>
              <w:rPr>
                <w:rFonts w:hint="eastAsia" w:ascii="宋体" w:hAnsi="宋体" w:eastAsia="宋体" w:cs="宋体"/>
                <w:color w:val="auto"/>
                <w:kern w:val="0"/>
                <w:szCs w:val="21"/>
                <w:highlight w:val="none"/>
                <w:lang w:bidi="ar"/>
              </w:rPr>
              <w:t>.</w:t>
            </w:r>
            <w:r>
              <w:rPr>
                <w:rFonts w:hint="eastAsia" w:ascii="宋体" w:hAnsi="宋体" w:eastAsia="宋体" w:cs="宋体"/>
                <w:color w:val="auto"/>
                <w:szCs w:val="21"/>
                <w:highlight w:val="none"/>
              </w:rPr>
              <w:t>发电机检修门：</w:t>
            </w:r>
            <w:r>
              <w:rPr>
                <w:rFonts w:hint="eastAsia" w:ascii="宋体" w:hAnsi="宋体" w:eastAsia="宋体" w:cs="宋体"/>
                <w:color w:val="auto"/>
                <w:kern w:val="0"/>
                <w:szCs w:val="21"/>
                <w:highlight w:val="none"/>
                <w:lang w:bidi="ar"/>
              </w:rPr>
              <w:t>采用高强度铝合金结构，门板上配备百叶窗式格栅，用于设备通风散热。</w:t>
            </w:r>
          </w:p>
          <w:p w14:paraId="7340EECC">
            <w:pPr>
              <w:widowControl/>
              <w:snapToGrid w:val="0"/>
              <w:textAlignment w:val="center"/>
              <w:rPr>
                <w:rFonts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bidi="ar"/>
              </w:rPr>
              <w:t>8</w:t>
            </w:r>
            <w:r>
              <w:rPr>
                <w:rFonts w:hint="eastAsia" w:ascii="宋体" w:hAnsi="宋体" w:eastAsia="宋体" w:cs="宋体"/>
                <w:color w:val="auto"/>
                <w:kern w:val="0"/>
                <w:szCs w:val="21"/>
                <w:highlight w:val="none"/>
                <w:lang w:bidi="ar"/>
              </w:rPr>
              <w:t>.</w:t>
            </w:r>
            <w:r>
              <w:rPr>
                <w:rFonts w:hint="eastAsia" w:ascii="宋体" w:hAnsi="宋体" w:eastAsia="宋体" w:cs="宋体"/>
                <w:color w:val="auto"/>
                <w:szCs w:val="21"/>
                <w:highlight w:val="none"/>
              </w:rPr>
              <w:t>采光窗帘：</w:t>
            </w:r>
            <w:r>
              <w:rPr>
                <w:rFonts w:hint="eastAsia" w:ascii="宋体" w:hAnsi="宋体" w:eastAsia="宋体" w:cs="宋体"/>
                <w:color w:val="auto"/>
                <w:kern w:val="0"/>
                <w:szCs w:val="21"/>
                <w:highlight w:val="none"/>
                <w:lang w:bidi="ar"/>
              </w:rPr>
              <w:t>采用避光防蚊一体式窗帘。</w:t>
            </w:r>
          </w:p>
          <w:p w14:paraId="51E8BD1F">
            <w:pPr>
              <w:widowControl/>
              <w:snapToGrid w:val="0"/>
              <w:textAlignment w:val="center"/>
              <w:rPr>
                <w:rFonts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bidi="ar"/>
              </w:rPr>
              <w:t>9</w:t>
            </w:r>
            <w:r>
              <w:rPr>
                <w:rFonts w:hint="eastAsia" w:ascii="宋体" w:hAnsi="宋体" w:eastAsia="宋体" w:cs="宋体"/>
                <w:color w:val="auto"/>
                <w:kern w:val="0"/>
                <w:szCs w:val="21"/>
                <w:highlight w:val="none"/>
                <w:lang w:bidi="ar"/>
              </w:rPr>
              <w:t>.</w:t>
            </w:r>
            <w:r>
              <w:rPr>
                <w:rFonts w:hint="eastAsia" w:ascii="宋体" w:hAnsi="宋体" w:eastAsia="宋体" w:cs="宋体"/>
                <w:color w:val="auto"/>
                <w:szCs w:val="21"/>
                <w:highlight w:val="none"/>
              </w:rPr>
              <w:t>设备机柜：</w:t>
            </w:r>
            <w:r>
              <w:rPr>
                <w:rFonts w:hint="eastAsia" w:ascii="宋体" w:hAnsi="宋体" w:eastAsia="宋体" w:cs="宋体"/>
                <w:color w:val="auto"/>
                <w:kern w:val="0"/>
                <w:szCs w:val="21"/>
                <w:highlight w:val="none"/>
                <w:lang w:bidi="ar"/>
              </w:rPr>
              <w:t>标准19英寸机架，表面喷塑，包含安装件、减震等，尺寸符合设备上装要求。</w:t>
            </w:r>
          </w:p>
          <w:p w14:paraId="4A9B6464">
            <w:pPr>
              <w:widowControl/>
              <w:snapToGrid w:val="0"/>
              <w:textAlignment w:val="center"/>
              <w:rPr>
                <w:rFonts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bidi="ar"/>
              </w:rPr>
              <w:t>10</w:t>
            </w:r>
            <w:r>
              <w:rPr>
                <w:rFonts w:hint="eastAsia" w:ascii="宋体" w:hAnsi="宋体" w:eastAsia="宋体" w:cs="宋体"/>
                <w:color w:val="auto"/>
                <w:kern w:val="0"/>
                <w:szCs w:val="21"/>
                <w:highlight w:val="none"/>
                <w:lang w:bidi="ar"/>
              </w:rPr>
              <w:t>.</w:t>
            </w:r>
            <w:r>
              <w:rPr>
                <w:rFonts w:hint="eastAsia" w:ascii="宋体" w:hAnsi="宋体" w:eastAsia="宋体" w:cs="宋体"/>
                <w:color w:val="auto"/>
                <w:szCs w:val="21"/>
                <w:highlight w:val="none"/>
              </w:rPr>
              <w:t>舱体地板：</w:t>
            </w:r>
            <w:r>
              <w:rPr>
                <w:rFonts w:hint="eastAsia" w:ascii="宋体" w:hAnsi="宋体" w:eastAsia="宋体" w:cs="宋体"/>
                <w:color w:val="auto"/>
                <w:kern w:val="0"/>
                <w:szCs w:val="21"/>
                <w:highlight w:val="none"/>
                <w:lang w:bidi="ar"/>
              </w:rPr>
              <w:t>操作区表面铺地板革，发电机区、毫米波云雷达安装区域铺设花纹铝板，毫米波云雷达安装区域设计排水功能，避免积水流向舱室隔断墙。</w:t>
            </w:r>
          </w:p>
          <w:p w14:paraId="757B81C6">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r>
              <w:rPr>
                <w:rFonts w:hint="eastAsia" w:ascii="宋体" w:hAnsi="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w:t>
            </w:r>
            <w:r>
              <w:rPr>
                <w:rFonts w:hint="eastAsia" w:ascii="宋体" w:hAnsi="宋体" w:eastAsia="宋体" w:cs="宋体"/>
                <w:color w:val="auto"/>
                <w:szCs w:val="21"/>
                <w:highlight w:val="none"/>
              </w:rPr>
              <w:t>舱内基础内饰（1套）：</w:t>
            </w:r>
            <w:r>
              <w:rPr>
                <w:rFonts w:hint="eastAsia" w:ascii="宋体" w:hAnsi="宋体" w:eastAsia="宋体" w:cs="宋体"/>
                <w:color w:val="auto"/>
                <w:kern w:val="0"/>
                <w:szCs w:val="21"/>
                <w:highlight w:val="none"/>
                <w:lang w:bidi="ar"/>
              </w:rPr>
              <w:t>对厢体内部进行平整处理，操作区表面喷漆或软包装饰，发电区、毫米波云雷达安装区域墙面喷漆处理。</w:t>
            </w:r>
          </w:p>
          <w:p w14:paraId="5B572326">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r>
              <w:rPr>
                <w:rFonts w:hint="eastAsia" w:ascii="宋体" w:hAnsi="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w:t>
            </w:r>
            <w:r>
              <w:rPr>
                <w:rFonts w:hint="eastAsia" w:ascii="宋体" w:hAnsi="宋体" w:eastAsia="宋体" w:cs="宋体"/>
                <w:color w:val="auto"/>
                <w:szCs w:val="21"/>
                <w:highlight w:val="none"/>
              </w:rPr>
              <w:t>机柜台面：</w:t>
            </w:r>
            <w:r>
              <w:rPr>
                <w:rFonts w:hint="eastAsia" w:ascii="宋体" w:hAnsi="宋体" w:eastAsia="宋体" w:cs="宋体"/>
                <w:color w:val="auto"/>
                <w:kern w:val="0"/>
                <w:szCs w:val="21"/>
                <w:highlight w:val="none"/>
                <w:lang w:bidi="ar"/>
              </w:rPr>
              <w:t>采用环保免漆板制作。</w:t>
            </w:r>
          </w:p>
          <w:p w14:paraId="6ADB5D3D">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r>
              <w:rPr>
                <w:rFonts w:hint="eastAsia" w:ascii="宋体" w:hAnsi="宋体" w:cs="宋体"/>
                <w:color w:val="auto"/>
                <w:kern w:val="0"/>
                <w:szCs w:val="21"/>
                <w:highlight w:val="none"/>
                <w:lang w:val="en-US" w:eastAsia="zh-CN" w:bidi="ar"/>
              </w:rPr>
              <w:t>3</w:t>
            </w:r>
            <w:r>
              <w:rPr>
                <w:rFonts w:hint="eastAsia" w:ascii="宋体" w:hAnsi="宋体" w:eastAsia="宋体" w:cs="宋体"/>
                <w:color w:val="auto"/>
                <w:kern w:val="0"/>
                <w:szCs w:val="21"/>
                <w:highlight w:val="none"/>
                <w:lang w:bidi="ar"/>
              </w:rPr>
              <w:t>.</w:t>
            </w:r>
            <w:r>
              <w:rPr>
                <w:rFonts w:hint="eastAsia" w:ascii="宋体" w:hAnsi="宋体" w:eastAsia="宋体" w:cs="宋体"/>
                <w:color w:val="auto"/>
                <w:szCs w:val="21"/>
                <w:highlight w:val="none"/>
              </w:rPr>
              <w:t>操作员座椅：</w:t>
            </w:r>
            <w:r>
              <w:rPr>
                <w:rFonts w:hint="eastAsia" w:ascii="宋体" w:hAnsi="宋体" w:eastAsia="宋体" w:cs="宋体"/>
                <w:color w:val="auto"/>
                <w:kern w:val="0"/>
                <w:szCs w:val="21"/>
                <w:highlight w:val="none"/>
                <w:lang w:bidi="ar"/>
              </w:rPr>
              <w:t>可旋转、前后滑移。</w:t>
            </w:r>
          </w:p>
          <w:p w14:paraId="4CF49EFE">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r>
              <w:rPr>
                <w:rFonts w:hint="eastAsia" w:ascii="宋体" w:hAnsi="宋体" w:cs="宋体"/>
                <w:color w:val="auto"/>
                <w:kern w:val="0"/>
                <w:szCs w:val="21"/>
                <w:highlight w:val="none"/>
                <w:lang w:val="en-US" w:eastAsia="zh-CN" w:bidi="ar"/>
              </w:rPr>
              <w:t>4</w:t>
            </w:r>
            <w:r>
              <w:rPr>
                <w:rFonts w:hint="eastAsia" w:ascii="宋体" w:hAnsi="宋体" w:eastAsia="宋体" w:cs="宋体"/>
                <w:color w:val="auto"/>
                <w:kern w:val="0"/>
                <w:szCs w:val="21"/>
                <w:highlight w:val="none"/>
                <w:lang w:bidi="ar"/>
              </w:rPr>
              <w:t>.</w:t>
            </w:r>
            <w:r>
              <w:rPr>
                <w:rFonts w:hint="eastAsia" w:ascii="宋体" w:hAnsi="宋体" w:eastAsia="宋体" w:cs="宋体"/>
                <w:color w:val="auto"/>
                <w:szCs w:val="21"/>
                <w:highlight w:val="none"/>
              </w:rPr>
              <w:t>油漆及外饰：</w:t>
            </w:r>
            <w:r>
              <w:rPr>
                <w:rFonts w:hint="eastAsia" w:ascii="宋体" w:hAnsi="宋体" w:eastAsia="宋体" w:cs="宋体"/>
                <w:color w:val="auto"/>
                <w:kern w:val="0"/>
                <w:szCs w:val="21"/>
                <w:highlight w:val="none"/>
                <w:lang w:bidi="ar"/>
              </w:rPr>
              <w:t>专业烤漆房烤漆，外观贴字根据</w:t>
            </w:r>
            <w:r>
              <w:rPr>
                <w:rFonts w:hint="eastAsia" w:ascii="宋体" w:hAnsi="宋体" w:eastAsia="宋体" w:cs="宋体"/>
                <w:color w:val="auto"/>
                <w:kern w:val="0"/>
                <w:szCs w:val="21"/>
                <w:highlight w:val="none"/>
                <w:lang w:val="en-US" w:eastAsia="zh-CN" w:bidi="ar"/>
              </w:rPr>
              <w:t>采购人</w:t>
            </w:r>
            <w:r>
              <w:rPr>
                <w:rFonts w:hint="eastAsia" w:ascii="宋体" w:hAnsi="宋体" w:eastAsia="宋体" w:cs="宋体"/>
                <w:color w:val="auto"/>
                <w:kern w:val="0"/>
                <w:szCs w:val="21"/>
                <w:highlight w:val="none"/>
                <w:lang w:bidi="ar"/>
              </w:rPr>
              <w:t>需求定制。</w:t>
            </w:r>
          </w:p>
          <w:p w14:paraId="5C365BC6">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r>
              <w:rPr>
                <w:rFonts w:hint="eastAsia" w:ascii="宋体" w:hAnsi="宋体" w:cs="宋体"/>
                <w:color w:val="auto"/>
                <w:kern w:val="0"/>
                <w:szCs w:val="21"/>
                <w:highlight w:val="none"/>
                <w:lang w:val="en-US" w:eastAsia="zh-CN" w:bidi="ar"/>
              </w:rPr>
              <w:t>5</w:t>
            </w:r>
            <w:r>
              <w:rPr>
                <w:rFonts w:hint="eastAsia" w:ascii="宋体" w:hAnsi="宋体" w:eastAsia="宋体" w:cs="宋体"/>
                <w:color w:val="auto"/>
                <w:kern w:val="0"/>
                <w:szCs w:val="21"/>
                <w:highlight w:val="none"/>
                <w:lang w:bidi="ar"/>
              </w:rPr>
              <w:t>.</w:t>
            </w:r>
            <w:r>
              <w:rPr>
                <w:rFonts w:hint="eastAsia" w:ascii="宋体" w:hAnsi="宋体" w:eastAsia="宋体" w:cs="宋体"/>
                <w:color w:val="auto"/>
                <w:szCs w:val="21"/>
                <w:highlight w:val="none"/>
              </w:rPr>
              <w:t>车内外照明系统：</w:t>
            </w:r>
            <w:r>
              <w:rPr>
                <w:rFonts w:hint="eastAsia" w:ascii="宋体" w:hAnsi="宋体" w:eastAsia="宋体" w:cs="宋体"/>
                <w:color w:val="auto"/>
                <w:kern w:val="0"/>
                <w:szCs w:val="21"/>
                <w:highlight w:val="none"/>
                <w:lang w:bidi="ar"/>
              </w:rPr>
              <w:t>车内外LED照明灯满足工作及车外场地照明需求。</w:t>
            </w:r>
          </w:p>
          <w:p w14:paraId="245F7150">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r>
              <w:rPr>
                <w:rFonts w:hint="eastAsia" w:ascii="宋体" w:hAnsi="宋体" w:cs="宋体"/>
                <w:color w:val="auto"/>
                <w:kern w:val="0"/>
                <w:szCs w:val="21"/>
                <w:highlight w:val="none"/>
                <w:lang w:val="en-US" w:eastAsia="zh-CN" w:bidi="ar"/>
              </w:rPr>
              <w:t>6</w:t>
            </w:r>
            <w:r>
              <w:rPr>
                <w:rFonts w:hint="eastAsia" w:ascii="宋体" w:hAnsi="宋体" w:eastAsia="宋体" w:cs="宋体"/>
                <w:color w:val="auto"/>
                <w:kern w:val="0"/>
                <w:szCs w:val="21"/>
                <w:highlight w:val="none"/>
                <w:lang w:bidi="ar"/>
              </w:rPr>
              <w:t>.</w:t>
            </w:r>
            <w:r>
              <w:rPr>
                <w:rFonts w:hint="eastAsia" w:ascii="宋体" w:hAnsi="宋体" w:eastAsia="宋体" w:cs="宋体"/>
                <w:color w:val="auto"/>
                <w:szCs w:val="21"/>
                <w:highlight w:val="none"/>
              </w:rPr>
              <w:t>车内配备温湿调控系统:满足车内工作温度和湿度控制需求。</w:t>
            </w:r>
          </w:p>
          <w:p w14:paraId="0D8121B6">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r>
              <w:rPr>
                <w:rFonts w:hint="eastAsia" w:ascii="宋体" w:hAnsi="宋体" w:cs="宋体"/>
                <w:color w:val="auto"/>
                <w:kern w:val="0"/>
                <w:szCs w:val="21"/>
                <w:highlight w:val="none"/>
                <w:lang w:val="en-US" w:eastAsia="zh-CN" w:bidi="ar"/>
              </w:rPr>
              <w:t>7</w:t>
            </w:r>
            <w:r>
              <w:rPr>
                <w:rFonts w:hint="eastAsia" w:ascii="宋体" w:hAnsi="宋体" w:eastAsia="宋体" w:cs="宋体"/>
                <w:color w:val="auto"/>
                <w:kern w:val="0"/>
                <w:szCs w:val="21"/>
                <w:highlight w:val="none"/>
                <w:lang w:bidi="ar"/>
              </w:rPr>
              <w:t>.</w:t>
            </w:r>
            <w:r>
              <w:rPr>
                <w:rFonts w:hint="eastAsia" w:ascii="宋体" w:hAnsi="宋体" w:eastAsia="宋体" w:cs="宋体"/>
                <w:color w:val="auto"/>
                <w:szCs w:val="21"/>
                <w:highlight w:val="none"/>
              </w:rPr>
              <w:t>其他辅助设施：</w:t>
            </w:r>
            <w:r>
              <w:rPr>
                <w:rFonts w:hint="eastAsia" w:ascii="宋体" w:hAnsi="宋体" w:eastAsia="宋体" w:cs="宋体"/>
                <w:color w:val="auto"/>
                <w:kern w:val="0"/>
                <w:szCs w:val="21"/>
                <w:highlight w:val="none"/>
                <w:lang w:bidi="ar"/>
              </w:rPr>
              <w:t>配备灭火器、综合布线、集成制作等附件耗材，包含波纹管、胶带、扎带、接插件等。</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3D912">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szCs w:val="21"/>
                <w:highlight w:val="none"/>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6166D">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szCs w:val="21"/>
                <w:highlight w:val="none"/>
              </w:rPr>
              <w:t>套</w:t>
            </w:r>
          </w:p>
        </w:tc>
      </w:tr>
      <w:tr w14:paraId="32C1FB70">
        <w:tblPrEx>
          <w:tblCellMar>
            <w:top w:w="0" w:type="dxa"/>
            <w:left w:w="108" w:type="dxa"/>
            <w:bottom w:w="0" w:type="dxa"/>
            <w:right w:w="108" w:type="dxa"/>
          </w:tblCellMar>
        </w:tblPrEx>
        <w:trPr>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24884">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1.2</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B88EA">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供电系统</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68CB">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1.市电接入：</w:t>
            </w:r>
            <w:r>
              <w:rPr>
                <w:rFonts w:hint="eastAsia" w:ascii="宋体" w:hAnsi="宋体" w:eastAsia="宋体" w:cs="宋体"/>
                <w:color w:val="auto"/>
                <w:szCs w:val="21"/>
                <w:highlight w:val="none"/>
              </w:rPr>
              <w:t>具备1路供电电压380×（1±10%）V、频率50×（1±5%）Hz或1路供电电压220×（1±10%）V、频率50×（1±5%）Hz，总功率可满足方舱内所有用电设备正常运行，并预留不低于30%功率冗余，配备满足功率的手动或电动市电线缆轴长度≥45米；配备满足功率的市电对接插头。</w:t>
            </w:r>
          </w:p>
          <w:p w14:paraId="50167BCB">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2.静音发电机</w:t>
            </w:r>
          </w:p>
          <w:p w14:paraId="46C133B7">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（1）额定频率：50 HZ；</w:t>
            </w:r>
          </w:p>
          <w:p w14:paraId="162D09F5">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（2）额定输出功率：可满足方舱内所有用电设备正常运行，并预留不低于30%功率冗余；</w:t>
            </w:r>
            <w:r>
              <w:rPr>
                <w:rFonts w:ascii="宋体" w:hAnsi="宋体" w:eastAsia="宋体" w:cs="宋体"/>
                <w:color w:val="auto"/>
                <w:kern w:val="0"/>
                <w:szCs w:val="21"/>
                <w:highlight w:val="none"/>
                <w:lang w:bidi="ar"/>
              </w:rPr>
              <w:t xml:space="preserve"> </w:t>
            </w:r>
          </w:p>
          <w:p w14:paraId="76ABD6EC">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（3）额定电压：230 V或400 V；</w:t>
            </w:r>
          </w:p>
          <w:p w14:paraId="57D9B231">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（4）机组连续运行时间：≥8 h；</w:t>
            </w:r>
            <w:r>
              <w:rPr>
                <w:rFonts w:ascii="宋体" w:hAnsi="宋体" w:eastAsia="宋体" w:cs="宋体"/>
                <w:color w:val="auto"/>
                <w:kern w:val="0"/>
                <w:szCs w:val="21"/>
                <w:highlight w:val="none"/>
                <w:lang w:bidi="ar"/>
              </w:rPr>
              <w:t xml:space="preserve"> </w:t>
            </w:r>
          </w:p>
          <w:p w14:paraId="34116B3C">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（5）噪音（1m处）：≤75 dB(A)；</w:t>
            </w:r>
            <w:r>
              <w:rPr>
                <w:rFonts w:ascii="宋体" w:hAnsi="宋体" w:eastAsia="宋体" w:cs="宋体"/>
                <w:color w:val="auto"/>
                <w:kern w:val="0"/>
                <w:szCs w:val="21"/>
                <w:highlight w:val="none"/>
                <w:lang w:bidi="ar"/>
              </w:rPr>
              <w:t xml:space="preserve"> </w:t>
            </w:r>
          </w:p>
          <w:p w14:paraId="3D5C014F">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额定电压支持车内用电设备运行。</w:t>
            </w:r>
          </w:p>
          <w:p w14:paraId="2ECBC050">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w:t>
            </w:r>
            <w:r>
              <w:rPr>
                <w:rFonts w:hint="eastAsia" w:ascii="宋体" w:hAnsi="宋体" w:eastAsia="宋体" w:cs="宋体"/>
                <w:color w:val="auto"/>
                <w:szCs w:val="21"/>
                <w:highlight w:val="none"/>
              </w:rPr>
              <w:t>UPS不间断电源：</w:t>
            </w:r>
            <w:r>
              <w:rPr>
                <w:rFonts w:hint="eastAsia" w:ascii="宋体" w:hAnsi="宋体" w:eastAsia="宋体" w:cs="宋体"/>
                <w:color w:val="auto"/>
                <w:kern w:val="0"/>
                <w:szCs w:val="21"/>
                <w:highlight w:val="none"/>
                <w:lang w:bidi="ar"/>
              </w:rPr>
              <w:t>在线式UPS,额定容量可满足方舱内所有用电设备正常运行及不低于30%冗余储备，额定电压支持车内用电设备运行,电池容量满足UPS主机正常运行。</w:t>
            </w:r>
          </w:p>
          <w:p w14:paraId="54F969A6">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4.配电箱：</w:t>
            </w:r>
            <w:r>
              <w:rPr>
                <w:rFonts w:hint="eastAsia" w:ascii="宋体" w:hAnsi="宋体" w:eastAsia="宋体" w:cs="Times New Roman"/>
                <w:color w:val="auto"/>
                <w:szCs w:val="21"/>
                <w:highlight w:val="none"/>
              </w:rPr>
              <w:t>集中式电源管理系统，含支路开关、指示灯、电源电压电流显示等，开关分别控制空调、设备用电等；配电盘面板为数控机床加工，表面喷塑处理。</w:t>
            </w:r>
          </w:p>
          <w:p w14:paraId="4710E66E">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5.全车接地：</w:t>
            </w:r>
            <w:r>
              <w:rPr>
                <w:rFonts w:hint="eastAsia" w:ascii="宋体" w:hAnsi="宋体" w:eastAsia="宋体" w:cs="Times New Roman"/>
                <w:color w:val="auto"/>
                <w:szCs w:val="21"/>
                <w:highlight w:val="none"/>
              </w:rPr>
              <w:t>含接地桩、接地线，电源防浪涌装置。</w:t>
            </w:r>
          </w:p>
          <w:p w14:paraId="1C3627A9">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6.对外接口板：</w:t>
            </w:r>
            <w:r>
              <w:rPr>
                <w:rFonts w:hint="eastAsia" w:ascii="Times New Roman" w:hAnsi="Times New Roman" w:eastAsia="宋体" w:cs="Times New Roman"/>
                <w:color w:val="auto"/>
                <w:kern w:val="0"/>
                <w:szCs w:val="21"/>
                <w:highlight w:val="none"/>
                <w:lang w:bidi="ar"/>
              </w:rPr>
              <w:t>含电源、数据传输接口。</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45F00">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6CD27">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套</w:t>
            </w:r>
          </w:p>
        </w:tc>
      </w:tr>
      <w:tr w14:paraId="19653CEC">
        <w:tblPrEx>
          <w:tblCellMar>
            <w:top w:w="0" w:type="dxa"/>
            <w:left w:w="108" w:type="dxa"/>
            <w:bottom w:w="0" w:type="dxa"/>
            <w:right w:w="108" w:type="dxa"/>
          </w:tblCellMar>
        </w:tblPrEx>
        <w:trPr>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CA6F">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D20B2">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视频采集及显示系统</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8F52">
            <w:pPr>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1.</w:t>
            </w:r>
            <w:r>
              <w:rPr>
                <w:rFonts w:hint="eastAsia" w:ascii="Times New Roman" w:hAnsi="Times New Roman" w:eastAsia="宋体" w:cs="Times New Roman"/>
                <w:color w:val="auto"/>
                <w:kern w:val="0"/>
                <w:szCs w:val="21"/>
                <w:highlight w:val="none"/>
                <w:lang w:bidi="ar"/>
              </w:rPr>
              <w:t>功能要求：配备舱顶云台摄像机、舱内摄像机、硬盘录像机、</w:t>
            </w:r>
            <w:r>
              <w:rPr>
                <w:rFonts w:hint="eastAsia" w:ascii="宋体" w:hAnsi="宋体" w:eastAsia="宋体" w:cs="宋体"/>
                <w:color w:val="auto"/>
                <w:kern w:val="0"/>
                <w:szCs w:val="21"/>
                <w:highlight w:val="none"/>
                <w:lang w:bidi="ar"/>
              </w:rPr>
              <w:t>配套显示终端</w:t>
            </w:r>
            <w:r>
              <w:rPr>
                <w:rFonts w:hint="eastAsia" w:ascii="Times New Roman" w:hAnsi="Times New Roman" w:eastAsia="宋体" w:cs="Times New Roman"/>
                <w:color w:val="auto"/>
                <w:kern w:val="0"/>
                <w:szCs w:val="21"/>
                <w:highlight w:val="none"/>
                <w:lang w:bidi="ar"/>
              </w:rPr>
              <w:t>、混切矩阵。</w:t>
            </w:r>
          </w:p>
          <w:p w14:paraId="65E05A91">
            <w:pP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2.技术指标：</w:t>
            </w:r>
          </w:p>
          <w:p w14:paraId="5791FF7D">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（1）舱顶云台摄像机（1台）</w:t>
            </w:r>
          </w:p>
          <w:p w14:paraId="11FF444A">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摄像机镜头技术参数：</w:t>
            </w:r>
          </w:p>
          <w:p w14:paraId="696B54BC">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①图像传感器：1/2.8″2.0MP逐行扫描CMOS；</w:t>
            </w:r>
          </w:p>
          <w:p w14:paraId="666046A2">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②镜头倍数：</w:t>
            </w:r>
            <w:r>
              <w:rPr>
                <w:rFonts w:hint="eastAsia" w:ascii="宋体" w:hAnsi="宋体" w:eastAsia="宋体" w:cs="宋体"/>
                <w:color w:val="auto"/>
                <w:kern w:val="0"/>
                <w:szCs w:val="21"/>
                <w:highlight w:val="none"/>
                <w:lang w:val="en-US" w:eastAsia="zh-CN" w:bidi="ar"/>
              </w:rPr>
              <w:t>不低于</w:t>
            </w:r>
            <w:r>
              <w:rPr>
                <w:rFonts w:hint="eastAsia" w:ascii="宋体" w:hAnsi="宋体" w:eastAsia="宋体" w:cs="宋体"/>
                <w:color w:val="auto"/>
                <w:kern w:val="0"/>
                <w:szCs w:val="21"/>
                <w:highlight w:val="none"/>
                <w:lang w:bidi="ar"/>
              </w:rPr>
              <w:t>20倍光学变焦；</w:t>
            </w:r>
            <w:r>
              <w:rPr>
                <w:rFonts w:ascii="宋体" w:hAnsi="宋体" w:eastAsia="宋体" w:cs="宋体"/>
                <w:color w:val="auto"/>
                <w:kern w:val="0"/>
                <w:szCs w:val="21"/>
                <w:highlight w:val="none"/>
                <w:lang w:bidi="ar"/>
              </w:rPr>
              <w:t xml:space="preserve"> </w:t>
            </w:r>
          </w:p>
          <w:p w14:paraId="3C8DA9A0">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③焦距(mm)：f4.3～86 mm；</w:t>
            </w:r>
            <w:r>
              <w:rPr>
                <w:rFonts w:ascii="宋体" w:hAnsi="宋体" w:eastAsia="宋体" w:cs="宋体"/>
                <w:color w:val="auto"/>
                <w:kern w:val="0"/>
                <w:szCs w:val="21"/>
                <w:highlight w:val="none"/>
                <w:lang w:bidi="ar"/>
              </w:rPr>
              <w:t xml:space="preserve"> </w:t>
            </w:r>
          </w:p>
          <w:p w14:paraId="0A579990">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④光圈：Fw1.6～Ft3.4；</w:t>
            </w:r>
          </w:p>
          <w:p w14:paraId="5886A2E5">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摄像机云台技术参数：</w:t>
            </w:r>
          </w:p>
          <w:p w14:paraId="1F952C90">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①水平角度：360°无限位旋转；</w:t>
            </w:r>
          </w:p>
          <w:p w14:paraId="4DA5C7AD">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②垂直角度：+90°～-90°；</w:t>
            </w:r>
          </w:p>
          <w:p w14:paraId="3C7764DF">
            <w:pPr>
              <w:widowControl/>
              <w:snapToGrid w:val="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③防护等级：≥IP66；</w:t>
            </w:r>
          </w:p>
          <w:p w14:paraId="31205C11">
            <w:pPr>
              <w:widowControl/>
              <w:snapToGrid w:val="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摄像机重要功能：</w:t>
            </w:r>
          </w:p>
          <w:p w14:paraId="10130F44">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①电机带断电自锁功能；</w:t>
            </w:r>
          </w:p>
          <w:p w14:paraId="6259E2AC">
            <w:pPr>
              <w:widowControl/>
              <w:snapToGrid w:val="0"/>
              <w:textAlignment w:val="center"/>
              <w:rPr>
                <w:color w:val="auto"/>
                <w:highlight w:val="none"/>
              </w:rPr>
            </w:pPr>
            <w:r>
              <w:rPr>
                <w:rFonts w:hint="eastAsia" w:ascii="宋体" w:hAnsi="宋体" w:eastAsia="宋体" w:cs="宋体"/>
                <w:color w:val="auto"/>
                <w:kern w:val="0"/>
                <w:szCs w:val="21"/>
                <w:highlight w:val="none"/>
                <w:lang w:bidi="ar"/>
              </w:rPr>
              <w:t>②支持接入全车视频监控系统；</w:t>
            </w:r>
          </w:p>
          <w:p w14:paraId="762653D7">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（2）舱内摄像机（1套）</w:t>
            </w:r>
          </w:p>
          <w:p w14:paraId="7F591814">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①POE半球摄像机；</w:t>
            </w:r>
          </w:p>
          <w:p w14:paraId="3896A90F">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②支持夜间补光；</w:t>
            </w:r>
          </w:p>
          <w:p w14:paraId="106FF113">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③支持接入全车视频监控系统。</w:t>
            </w:r>
          </w:p>
          <w:p w14:paraId="762AAD1C">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（3）硬盘录像机（1套）</w:t>
            </w:r>
          </w:p>
          <w:p w14:paraId="3F681201">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①支持</w:t>
            </w:r>
            <w:r>
              <w:rPr>
                <w:rFonts w:hint="eastAsia" w:ascii="宋体" w:hAnsi="宋体" w:eastAsia="宋体" w:cs="宋体"/>
                <w:color w:val="auto"/>
                <w:kern w:val="0"/>
                <w:szCs w:val="21"/>
                <w:highlight w:val="none"/>
                <w:lang w:val="en-US" w:eastAsia="zh-CN" w:bidi="ar"/>
              </w:rPr>
              <w:t>不低于</w:t>
            </w:r>
            <w:r>
              <w:rPr>
                <w:rFonts w:hint="eastAsia" w:ascii="宋体" w:hAnsi="宋体" w:eastAsia="宋体" w:cs="宋体"/>
                <w:color w:val="auto"/>
                <w:kern w:val="0"/>
                <w:szCs w:val="21"/>
                <w:highlight w:val="none"/>
                <w:lang w:bidi="ar"/>
              </w:rPr>
              <w:t>4路1080P视频输入；</w:t>
            </w:r>
          </w:p>
          <w:p w14:paraId="2AD384C6">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②存储容量≥1 T；</w:t>
            </w:r>
          </w:p>
          <w:p w14:paraId="3D0E17E9">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③支持H.265/H.264压缩模式。</w:t>
            </w:r>
          </w:p>
          <w:p w14:paraId="32F47748">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（4）配套显示终端（1套）</w:t>
            </w:r>
          </w:p>
          <w:p w14:paraId="4CF6A887">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分辨率:不低于1080P；数量≥2台。</w:t>
            </w:r>
          </w:p>
          <w:p w14:paraId="6811A370">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（5）混切矩阵（1套）</w:t>
            </w:r>
          </w:p>
          <w:p w14:paraId="570D112C">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①全数字化切换；</w:t>
            </w:r>
          </w:p>
          <w:p w14:paraId="1974790C">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②输入不少于8路信号，输出不少于8路信号；</w:t>
            </w:r>
          </w:p>
          <w:p w14:paraId="69F61DEE">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③任意信号输入输出；</w:t>
            </w:r>
          </w:p>
          <w:p w14:paraId="3A4EA8CD">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④实时无缝切换；</w:t>
            </w:r>
          </w:p>
          <w:p w14:paraId="414DBEBB">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⑤输入信号分辨率自适应，输出分辨率可调；</w:t>
            </w:r>
          </w:p>
          <w:p w14:paraId="38885D6C">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⑥支持模拟音频输入和输出；</w:t>
            </w:r>
          </w:p>
          <w:p w14:paraId="7BAB7ED0">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⑦支持对外接口控制，开放控制协议，方便第三方串口控制；</w:t>
            </w:r>
          </w:p>
          <w:p w14:paraId="4478B316">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⑧支持断电现场保护；</w:t>
            </w:r>
          </w:p>
          <w:p w14:paraId="51C7003E">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⑨标准插卡式工业机箱。</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87C42">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59F3C">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套</w:t>
            </w:r>
          </w:p>
        </w:tc>
      </w:tr>
      <w:tr w14:paraId="1737DC63">
        <w:tblPrEx>
          <w:tblCellMar>
            <w:top w:w="0" w:type="dxa"/>
            <w:left w:w="108" w:type="dxa"/>
            <w:bottom w:w="0" w:type="dxa"/>
            <w:right w:w="108" w:type="dxa"/>
          </w:tblCellMar>
        </w:tblPrEx>
        <w:trPr>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C5D9">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1.4</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6FA25">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通信传输系统</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87C22">
            <w:pPr>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1.</w:t>
            </w:r>
            <w:r>
              <w:rPr>
                <w:rFonts w:hint="eastAsia" w:ascii="Times New Roman" w:hAnsi="Times New Roman" w:eastAsia="宋体" w:cs="Times New Roman"/>
                <w:color w:val="auto"/>
                <w:kern w:val="0"/>
                <w:szCs w:val="21"/>
                <w:highlight w:val="none"/>
                <w:lang w:bidi="ar"/>
              </w:rPr>
              <w:t>功能要求：配备北斗全球导航定位系统、4G/5G移动通信、卫星通信等功能，具备与指挥模组近距离有线数据传输的能力。</w:t>
            </w:r>
          </w:p>
          <w:p w14:paraId="2ACE8AA1">
            <w:pP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2.技术指标：</w:t>
            </w:r>
          </w:p>
          <w:p w14:paraId="20569626">
            <w:pPr>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（1）</w:t>
            </w:r>
            <w:r>
              <w:rPr>
                <w:rFonts w:hint="eastAsia" w:ascii="Times New Roman" w:hAnsi="Times New Roman" w:eastAsia="宋体" w:cs="Times New Roman"/>
                <w:color w:val="auto"/>
                <w:kern w:val="0"/>
                <w:szCs w:val="21"/>
                <w:highlight w:val="none"/>
                <w:lang w:bidi="ar"/>
              </w:rPr>
              <w:t>北斗传输设备</w:t>
            </w:r>
          </w:p>
          <w:p w14:paraId="4B3E4D06">
            <w:pPr>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①</w:t>
            </w:r>
            <w:r>
              <w:rPr>
                <w:rFonts w:hint="eastAsia" w:ascii="Times New Roman" w:hAnsi="Times New Roman" w:eastAsia="宋体" w:cs="Times New Roman"/>
                <w:color w:val="auto"/>
                <w:kern w:val="0"/>
                <w:szCs w:val="21"/>
                <w:highlight w:val="none"/>
                <w:lang w:bidi="ar"/>
              </w:rPr>
              <w:t>定位功能：具备支持单独使用北斗定位功能；</w:t>
            </w:r>
          </w:p>
          <w:p w14:paraId="4A90D543">
            <w:pPr>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②</w:t>
            </w:r>
            <w:r>
              <w:rPr>
                <w:rFonts w:hint="eastAsia" w:ascii="Times New Roman" w:hAnsi="Times New Roman" w:eastAsia="宋体" w:cs="Times New Roman"/>
                <w:color w:val="auto"/>
                <w:kern w:val="0"/>
                <w:szCs w:val="21"/>
                <w:highlight w:val="none"/>
                <w:lang w:bidi="ar"/>
              </w:rPr>
              <w:t>定位精度：≤5 m；测速精度：≤0.2 m/s；</w:t>
            </w:r>
          </w:p>
          <w:p w14:paraId="522ABF6D">
            <w:pPr>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③</w:t>
            </w:r>
            <w:r>
              <w:rPr>
                <w:rFonts w:hint="eastAsia" w:ascii="Times New Roman" w:hAnsi="Times New Roman" w:eastAsia="宋体" w:cs="Times New Roman"/>
                <w:color w:val="auto"/>
                <w:kern w:val="0"/>
                <w:szCs w:val="21"/>
                <w:highlight w:val="none"/>
                <w:lang w:bidi="ar"/>
              </w:rPr>
              <w:t>首次定位时间：冷启动≤120秒，热启动≤10秒；</w:t>
            </w:r>
          </w:p>
          <w:p w14:paraId="7CD0480F">
            <w:pPr>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④</w:t>
            </w:r>
            <w:r>
              <w:rPr>
                <w:rFonts w:hint="eastAsia" w:ascii="Times New Roman" w:hAnsi="Times New Roman" w:eastAsia="宋体" w:cs="Times New Roman"/>
                <w:color w:val="auto"/>
                <w:kern w:val="0"/>
                <w:szCs w:val="21"/>
                <w:highlight w:val="none"/>
                <w:lang w:bidi="ar"/>
              </w:rPr>
              <w:t>接收频率：支持北斗B1频段；</w:t>
            </w:r>
          </w:p>
          <w:p w14:paraId="08D68BEC">
            <w:pPr>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⑤</w:t>
            </w:r>
            <w:r>
              <w:rPr>
                <w:rFonts w:hint="eastAsia" w:ascii="Times New Roman" w:hAnsi="Times New Roman" w:eastAsia="宋体" w:cs="Times New Roman"/>
                <w:color w:val="auto"/>
                <w:kern w:val="0"/>
                <w:szCs w:val="21"/>
                <w:highlight w:val="none"/>
                <w:lang w:bidi="ar"/>
              </w:rPr>
              <w:t>捕获灵敏度：≤-133 dBm；跟踪灵敏度：≤-147 dBm；</w:t>
            </w:r>
          </w:p>
          <w:p w14:paraId="396A9C6C">
            <w:pPr>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⑥</w:t>
            </w:r>
            <w:r>
              <w:rPr>
                <w:rFonts w:hint="eastAsia" w:ascii="Times New Roman" w:hAnsi="Times New Roman" w:eastAsia="宋体" w:cs="Times New Roman"/>
                <w:color w:val="auto"/>
                <w:kern w:val="0"/>
                <w:szCs w:val="21"/>
                <w:highlight w:val="none"/>
                <w:lang w:bidi="ar"/>
              </w:rPr>
              <w:t>接收波束个数：北斗二号≥10个，北斗三号≥14个；</w:t>
            </w:r>
          </w:p>
          <w:p w14:paraId="66B1C68D">
            <w:pPr>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⑦</w:t>
            </w:r>
            <w:r>
              <w:rPr>
                <w:rFonts w:hint="eastAsia" w:ascii="Times New Roman" w:hAnsi="Times New Roman" w:eastAsia="宋体" w:cs="Times New Roman"/>
                <w:color w:val="auto"/>
                <w:kern w:val="0"/>
                <w:szCs w:val="21"/>
                <w:highlight w:val="none"/>
                <w:lang w:bidi="ar"/>
              </w:rPr>
              <w:t>发射频点：Lf1、Lf2；</w:t>
            </w:r>
          </w:p>
          <w:p w14:paraId="2E113ABB">
            <w:pPr>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⑧</w:t>
            </w:r>
            <w:r>
              <w:rPr>
                <w:rFonts w:hint="eastAsia" w:ascii="Times New Roman" w:hAnsi="Times New Roman" w:eastAsia="宋体" w:cs="Times New Roman"/>
                <w:color w:val="auto"/>
                <w:kern w:val="0"/>
                <w:szCs w:val="21"/>
                <w:highlight w:val="none"/>
                <w:lang w:bidi="ar"/>
              </w:rPr>
              <w:t>支持北斗三号系统，支持北斗三号区域短报文通信服务；</w:t>
            </w:r>
          </w:p>
          <w:p w14:paraId="21707881">
            <w:pPr>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⑨</w:t>
            </w:r>
            <w:r>
              <w:rPr>
                <w:rFonts w:hint="eastAsia" w:ascii="Times New Roman" w:hAnsi="Times New Roman" w:eastAsia="宋体" w:cs="Times New Roman"/>
                <w:color w:val="auto"/>
                <w:kern w:val="0"/>
                <w:szCs w:val="21"/>
                <w:highlight w:val="none"/>
                <w:lang w:bidi="ar"/>
              </w:rPr>
              <w:t>防护等级：≥IP67。</w:t>
            </w:r>
          </w:p>
          <w:p w14:paraId="4BF44F83">
            <w:pP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（2）4G/5G传输设备</w:t>
            </w:r>
          </w:p>
          <w:p w14:paraId="425B8FFA">
            <w:pPr>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①</w:t>
            </w:r>
            <w:r>
              <w:rPr>
                <w:rFonts w:hint="eastAsia" w:ascii="Times New Roman" w:hAnsi="Times New Roman" w:eastAsia="宋体" w:cs="Times New Roman"/>
                <w:color w:val="auto"/>
                <w:kern w:val="0"/>
                <w:szCs w:val="21"/>
                <w:highlight w:val="none"/>
                <w:lang w:bidi="ar"/>
              </w:rPr>
              <w:t>理论带宽（上行）：</w:t>
            </w:r>
          </w:p>
          <w:p w14:paraId="11AA633D">
            <w:pP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NRSA独立组网：≥Max.1 Gbps；</w:t>
            </w:r>
          </w:p>
          <w:p w14:paraId="0819A6FA">
            <w:pP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NRNSA非独立组网：≥Max.575 Mbps；</w:t>
            </w:r>
          </w:p>
          <w:p w14:paraId="7343A7F0">
            <w:pP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LTE：≥150 Mbps。</w:t>
            </w:r>
          </w:p>
          <w:p w14:paraId="2125522F">
            <w:pPr>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②</w:t>
            </w:r>
            <w:r>
              <w:rPr>
                <w:rFonts w:hint="eastAsia" w:ascii="Times New Roman" w:hAnsi="Times New Roman" w:eastAsia="宋体" w:cs="Times New Roman"/>
                <w:color w:val="auto"/>
                <w:kern w:val="0"/>
                <w:szCs w:val="21"/>
                <w:highlight w:val="none"/>
                <w:lang w:bidi="ar"/>
              </w:rPr>
              <w:t>WiFi：2×2 MIMO，双频(2.4 GHz+5 GHz)，外置可拆卸天线；5G：4×4 MIMO(Sub-6GHz)，外置可拆卸天线。</w:t>
            </w:r>
          </w:p>
          <w:p w14:paraId="58FA5782">
            <w:pP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（3）千兆交换机（含光模块）</w:t>
            </w:r>
          </w:p>
          <w:p w14:paraId="30654CA1">
            <w:pP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支持不少于24个10/100/1000 Base-TX以太网端口，4个千兆SFP；IP路由：支持IPv4和IPv6的三层路由功能。</w:t>
            </w:r>
          </w:p>
          <w:p w14:paraId="64B4AA21">
            <w:pP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（4）卫星通信系统</w:t>
            </w:r>
          </w:p>
          <w:p w14:paraId="2CE5AF2B">
            <w:pPr>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①</w:t>
            </w:r>
            <w:r>
              <w:rPr>
                <w:rFonts w:hint="eastAsia" w:ascii="Times New Roman" w:hAnsi="Times New Roman" w:eastAsia="宋体" w:cs="Times New Roman"/>
                <w:color w:val="auto"/>
                <w:kern w:val="0"/>
                <w:szCs w:val="21"/>
                <w:highlight w:val="none"/>
                <w:lang w:bidi="ar"/>
              </w:rPr>
              <w:t>具备气象“专网”和“高通量互联网”双网模式；</w:t>
            </w:r>
          </w:p>
          <w:p w14:paraId="755EA2CD">
            <w:pPr>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②</w:t>
            </w:r>
            <w:r>
              <w:rPr>
                <w:rFonts w:hint="eastAsia" w:ascii="Times New Roman" w:hAnsi="Times New Roman" w:eastAsia="宋体" w:cs="Times New Roman"/>
                <w:color w:val="auto"/>
                <w:kern w:val="0"/>
                <w:szCs w:val="21"/>
                <w:highlight w:val="none"/>
                <w:lang w:bidi="ar"/>
              </w:rPr>
              <w:t>卫星在“高通量互联网”模式下实现上行速率≥4 Mbps，下行速率≥9 Mbps；</w:t>
            </w:r>
          </w:p>
          <w:p w14:paraId="7FD7AE89">
            <w:pPr>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③</w:t>
            </w:r>
            <w:r>
              <w:rPr>
                <w:rFonts w:hint="eastAsia" w:ascii="Times New Roman" w:hAnsi="Times New Roman" w:eastAsia="宋体" w:cs="Times New Roman"/>
                <w:color w:val="auto"/>
                <w:kern w:val="0"/>
                <w:szCs w:val="21"/>
                <w:highlight w:val="none"/>
                <w:lang w:bidi="ar"/>
              </w:rPr>
              <w:t>采用Ku波段卫星天线（避开毫米波测云雷达频段）；</w:t>
            </w:r>
          </w:p>
          <w:p w14:paraId="1D18623B">
            <w:pP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④配备</w:t>
            </w:r>
            <w:r>
              <w:rPr>
                <w:rFonts w:hint="eastAsia" w:ascii="宋体" w:hAnsi="宋体" w:eastAsia="宋体" w:cs="宋体"/>
                <w:color w:val="auto"/>
                <w:kern w:val="0"/>
                <w:szCs w:val="21"/>
                <w:highlight w:val="none"/>
                <w:lang w:val="en-US" w:eastAsia="zh-CN" w:bidi="ar"/>
              </w:rPr>
              <w:t>不低于1套</w:t>
            </w:r>
            <w:r>
              <w:rPr>
                <w:rFonts w:hint="eastAsia" w:ascii="Times New Roman" w:hAnsi="Times New Roman" w:eastAsia="宋体" w:cs="Times New Roman"/>
                <w:color w:val="auto"/>
                <w:kern w:val="0"/>
                <w:szCs w:val="21"/>
                <w:highlight w:val="none"/>
                <w:lang w:bidi="ar"/>
              </w:rPr>
              <w:t>会议终端、会议摄像机、拾音系统和扬声器，用于卫星条件下现场音视频会商。</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FCB9">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E09C7">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套</w:t>
            </w:r>
          </w:p>
        </w:tc>
      </w:tr>
      <w:tr w14:paraId="4CBB8736">
        <w:tblPrEx>
          <w:tblCellMar>
            <w:top w:w="0" w:type="dxa"/>
            <w:left w:w="108" w:type="dxa"/>
            <w:bottom w:w="0" w:type="dxa"/>
            <w:right w:w="108" w:type="dxa"/>
          </w:tblCellMar>
        </w:tblPrEx>
        <w:trPr>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E80BD">
            <w:pPr>
              <w:widowControl/>
              <w:snapToGrid w:val="0"/>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2</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03E44">
            <w:pPr>
              <w:widowControl/>
              <w:snapToGrid w:val="0"/>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X波段</w:t>
            </w:r>
          </w:p>
          <w:p w14:paraId="6D51E6B0">
            <w:pPr>
              <w:widowControl/>
              <w:snapToGrid w:val="0"/>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szCs w:val="21"/>
                <w:highlight w:val="none"/>
              </w:rPr>
              <w:t>相控阵雷达</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2CC08">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bidi="ar"/>
              </w:rPr>
              <w:t>1.</w:t>
            </w:r>
            <w:r>
              <w:rPr>
                <w:rFonts w:hint="eastAsia" w:ascii="Times New Roman" w:hAnsi="Times New Roman" w:eastAsia="宋体" w:cs="Times New Roman"/>
                <w:color w:val="auto"/>
                <w:kern w:val="0"/>
                <w:szCs w:val="21"/>
                <w:highlight w:val="none"/>
                <w:lang w:bidi="ar"/>
              </w:rPr>
              <w:t>雷达体制：双线偏振一维全固态数字平面相控阵体制。</w:t>
            </w:r>
          </w:p>
          <w:p w14:paraId="507C6E2A">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2.收发模式：双发双收、单发双收、宽发窄收、窄发窄收。</w:t>
            </w:r>
          </w:p>
          <w:p w14:paraId="3DC466B4">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3.工作频率：9.3GHz～9.5 GHz，点频工作。</w:t>
            </w:r>
          </w:p>
          <w:p w14:paraId="50D74C4B">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4.整机寿命≥15年</w:t>
            </w:r>
          </w:p>
          <w:p w14:paraId="702F8DBF">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5.探测距离范围</w:t>
            </w:r>
          </w:p>
          <w:p w14:paraId="71AEC4DE">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（1）强度：警戒≥120 km；</w:t>
            </w:r>
          </w:p>
          <w:p w14:paraId="3284682C">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（2）定量：≥60 km；</w:t>
            </w:r>
          </w:p>
          <w:p w14:paraId="7024CE14">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（3）速度：≥60 km；</w:t>
            </w:r>
          </w:p>
          <w:p w14:paraId="1D6C5331">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（4）谱宽：≥60 km；</w:t>
            </w:r>
          </w:p>
          <w:p w14:paraId="4472B657">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（5）极化参数：≥60 km。</w:t>
            </w:r>
          </w:p>
          <w:p w14:paraId="448BD963">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6.近距离盲区范围≤300 m</w:t>
            </w:r>
          </w:p>
          <w:p w14:paraId="0597504F">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7.可探测的最小反射率因子</w:t>
            </w:r>
          </w:p>
          <w:p w14:paraId="615420BA">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（1）≤8 dBZ（3千米处、脉宽0.5</w:t>
            </w:r>
            <w:r>
              <w:rPr>
                <w:rFonts w:ascii="Times New Roman" w:hAnsi="Times New Roman" w:eastAsia="宋体" w:cs="Times New Roman"/>
                <w:color w:val="auto"/>
                <w:kern w:val="0"/>
                <w:szCs w:val="21"/>
                <w:highlight w:val="none"/>
                <w:lang w:bidi="ar"/>
              </w:rPr>
              <w:t xml:space="preserve"> μs</w:t>
            </w:r>
            <w:r>
              <w:rPr>
                <w:rFonts w:hint="eastAsia" w:ascii="Times New Roman" w:hAnsi="Times New Roman" w:eastAsia="宋体" w:cs="Times New Roman"/>
                <w:color w:val="auto"/>
                <w:kern w:val="0"/>
                <w:szCs w:val="21"/>
                <w:highlight w:val="none"/>
                <w:lang w:bidi="ar"/>
              </w:rPr>
              <w:t>、分辨率75 m、法向、单极化）；</w:t>
            </w:r>
          </w:p>
          <w:p w14:paraId="648BB7E1">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（2）≤5 dBZ（12千米处、脉宽20</w:t>
            </w:r>
            <w:r>
              <w:rPr>
                <w:rFonts w:ascii="Times New Roman" w:hAnsi="Times New Roman" w:eastAsia="宋体" w:cs="Times New Roman"/>
                <w:color w:val="auto"/>
                <w:kern w:val="0"/>
                <w:szCs w:val="21"/>
                <w:highlight w:val="none"/>
                <w:lang w:bidi="ar"/>
              </w:rPr>
              <w:t xml:space="preserve"> μs</w:t>
            </w:r>
            <w:r>
              <w:rPr>
                <w:rFonts w:hint="eastAsia" w:ascii="Times New Roman" w:hAnsi="Times New Roman" w:eastAsia="宋体" w:cs="Times New Roman"/>
                <w:color w:val="auto"/>
                <w:kern w:val="0"/>
                <w:szCs w:val="21"/>
                <w:highlight w:val="none"/>
                <w:lang w:bidi="ar"/>
              </w:rPr>
              <w:t>、分辨率75 m、法向、单极化）；</w:t>
            </w:r>
          </w:p>
          <w:p w14:paraId="254B9C6D">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（3）≤11 dBZ（50千米处、脉宽</w:t>
            </w:r>
            <w:r>
              <w:rPr>
                <w:rFonts w:ascii="Times New Roman" w:hAnsi="Times New Roman" w:eastAsia="宋体" w:cs="Times New Roman"/>
                <w:color w:val="auto"/>
                <w:kern w:val="0"/>
                <w:szCs w:val="21"/>
                <w:highlight w:val="none"/>
                <w:lang w:bidi="ar"/>
              </w:rPr>
              <w:t>100 μs</w:t>
            </w:r>
            <w:r>
              <w:rPr>
                <w:rFonts w:hint="eastAsia" w:ascii="Times New Roman" w:hAnsi="Times New Roman" w:eastAsia="宋体" w:cs="Times New Roman"/>
                <w:color w:val="auto"/>
                <w:kern w:val="0"/>
                <w:szCs w:val="21"/>
                <w:highlight w:val="none"/>
                <w:lang w:bidi="ar"/>
              </w:rPr>
              <w:t>、分辨率75 m、法向、单极化）；</w:t>
            </w:r>
          </w:p>
          <w:p w14:paraId="6451809A">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（4）≤16 dBZ（3千米处、脉宽0.5</w:t>
            </w:r>
            <w:r>
              <w:rPr>
                <w:rFonts w:ascii="Times New Roman" w:hAnsi="Times New Roman" w:eastAsia="宋体" w:cs="Times New Roman"/>
                <w:color w:val="auto"/>
                <w:kern w:val="0"/>
                <w:szCs w:val="21"/>
                <w:highlight w:val="none"/>
                <w:lang w:bidi="ar"/>
              </w:rPr>
              <w:t xml:space="preserve"> μs</w:t>
            </w:r>
            <w:r>
              <w:rPr>
                <w:rFonts w:hint="eastAsia" w:ascii="Times New Roman" w:hAnsi="Times New Roman" w:eastAsia="宋体" w:cs="Times New Roman"/>
                <w:color w:val="auto"/>
                <w:kern w:val="0"/>
                <w:szCs w:val="21"/>
                <w:highlight w:val="none"/>
                <w:lang w:bidi="ar"/>
              </w:rPr>
              <w:t>、分辨率75 m、发射4倍波束展宽、单极化）；</w:t>
            </w:r>
          </w:p>
          <w:p w14:paraId="707CE3E3">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（5）≤13 dBZ（12千米处、脉宽20</w:t>
            </w:r>
            <w:r>
              <w:rPr>
                <w:rFonts w:ascii="Times New Roman" w:hAnsi="Times New Roman" w:eastAsia="宋体" w:cs="Times New Roman"/>
                <w:color w:val="auto"/>
                <w:kern w:val="0"/>
                <w:szCs w:val="21"/>
                <w:highlight w:val="none"/>
                <w:lang w:bidi="ar"/>
              </w:rPr>
              <w:t xml:space="preserve"> μs</w:t>
            </w:r>
            <w:r>
              <w:rPr>
                <w:rFonts w:hint="eastAsia" w:ascii="Times New Roman" w:hAnsi="Times New Roman" w:eastAsia="宋体" w:cs="Times New Roman"/>
                <w:color w:val="auto"/>
                <w:kern w:val="0"/>
                <w:szCs w:val="21"/>
                <w:highlight w:val="none"/>
                <w:lang w:bidi="ar"/>
              </w:rPr>
              <w:t>、分辨率75 m、发射4倍波束展宽、单极化）；</w:t>
            </w:r>
          </w:p>
          <w:p w14:paraId="3C54916C">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（6）≤19 dBZ（50千米处、脉宽100</w:t>
            </w:r>
            <w:r>
              <w:rPr>
                <w:rFonts w:ascii="Times New Roman" w:hAnsi="Times New Roman" w:eastAsia="宋体" w:cs="Times New Roman"/>
                <w:color w:val="auto"/>
                <w:kern w:val="0"/>
                <w:szCs w:val="21"/>
                <w:highlight w:val="none"/>
                <w:lang w:bidi="ar"/>
              </w:rPr>
              <w:t xml:space="preserve"> μs</w:t>
            </w:r>
            <w:r>
              <w:rPr>
                <w:rFonts w:hint="eastAsia" w:ascii="Times New Roman" w:hAnsi="Times New Roman" w:eastAsia="宋体" w:cs="Times New Roman"/>
                <w:color w:val="auto"/>
                <w:kern w:val="0"/>
                <w:szCs w:val="21"/>
                <w:highlight w:val="none"/>
                <w:lang w:bidi="ar"/>
              </w:rPr>
              <w:t>、分辨率75 m、发射4倍波束展宽、单极化）；</w:t>
            </w:r>
          </w:p>
          <w:p w14:paraId="3298BACD">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（7）≤19 dBZ（3千米处、脉宽0.5</w:t>
            </w:r>
            <w:r>
              <w:rPr>
                <w:rFonts w:ascii="Times New Roman" w:hAnsi="Times New Roman" w:eastAsia="宋体" w:cs="Times New Roman"/>
                <w:color w:val="auto"/>
                <w:kern w:val="0"/>
                <w:szCs w:val="21"/>
                <w:highlight w:val="none"/>
                <w:lang w:bidi="ar"/>
              </w:rPr>
              <w:t xml:space="preserve"> μs</w:t>
            </w:r>
            <w:r>
              <w:rPr>
                <w:rFonts w:hint="eastAsia" w:ascii="Times New Roman" w:hAnsi="Times New Roman" w:eastAsia="宋体" w:cs="Times New Roman"/>
                <w:color w:val="auto"/>
                <w:kern w:val="0"/>
                <w:szCs w:val="21"/>
                <w:highlight w:val="none"/>
                <w:lang w:bidi="ar"/>
              </w:rPr>
              <w:t>、分辨率75 m、发射8倍波束展宽、单极化）；</w:t>
            </w:r>
          </w:p>
          <w:p w14:paraId="00340F70">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（8）≤16 dBZ（12千米处、脉宽20</w:t>
            </w:r>
            <w:r>
              <w:rPr>
                <w:rFonts w:ascii="Times New Roman" w:hAnsi="Times New Roman" w:eastAsia="宋体" w:cs="Times New Roman"/>
                <w:color w:val="auto"/>
                <w:kern w:val="0"/>
                <w:szCs w:val="21"/>
                <w:highlight w:val="none"/>
                <w:lang w:bidi="ar"/>
              </w:rPr>
              <w:t xml:space="preserve"> μs</w:t>
            </w:r>
            <w:r>
              <w:rPr>
                <w:rFonts w:hint="eastAsia" w:ascii="Times New Roman" w:hAnsi="Times New Roman" w:eastAsia="宋体" w:cs="Times New Roman"/>
                <w:color w:val="auto"/>
                <w:kern w:val="0"/>
                <w:szCs w:val="21"/>
                <w:highlight w:val="none"/>
                <w:lang w:bidi="ar"/>
              </w:rPr>
              <w:t>、分辨率75 m、发射8倍波束展宽、单极化）；</w:t>
            </w:r>
          </w:p>
          <w:p w14:paraId="3F596CCE">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（9）≤22 dBZ（50千米处、脉宽100</w:t>
            </w:r>
            <w:r>
              <w:rPr>
                <w:rFonts w:ascii="Times New Roman" w:hAnsi="Times New Roman" w:eastAsia="宋体" w:cs="Times New Roman"/>
                <w:color w:val="auto"/>
                <w:kern w:val="0"/>
                <w:szCs w:val="21"/>
                <w:highlight w:val="none"/>
                <w:lang w:bidi="ar"/>
              </w:rPr>
              <w:t xml:space="preserve"> μs</w:t>
            </w:r>
            <w:r>
              <w:rPr>
                <w:rFonts w:hint="eastAsia" w:ascii="Times New Roman" w:hAnsi="Times New Roman" w:eastAsia="宋体" w:cs="Times New Roman"/>
                <w:color w:val="auto"/>
                <w:kern w:val="0"/>
                <w:szCs w:val="21"/>
                <w:highlight w:val="none"/>
                <w:lang w:bidi="ar"/>
              </w:rPr>
              <w:t>、分辨率75 m、发射8倍波束展宽、单极化）。</w:t>
            </w:r>
          </w:p>
          <w:p w14:paraId="5D6775C2">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8.测量范围</w:t>
            </w:r>
          </w:p>
          <w:p w14:paraId="15941221">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（1）</w:t>
            </w:r>
            <w:r>
              <w:rPr>
                <w:rFonts w:ascii="Times New Roman" w:hAnsi="Times New Roman" w:eastAsia="宋体" w:cs="Times New Roman"/>
                <w:color w:val="auto"/>
                <w:kern w:val="0"/>
                <w:szCs w:val="21"/>
                <w:highlight w:val="none"/>
                <w:lang w:bidi="ar"/>
              </w:rPr>
              <w:t>强度：-15 dBZ～+80 dBZ；</w:t>
            </w:r>
          </w:p>
          <w:p w14:paraId="3828379A">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w:t>
            </w:r>
            <w:r>
              <w:rPr>
                <w:rFonts w:ascii="Times New Roman" w:hAnsi="Times New Roman" w:eastAsia="宋体" w:cs="Times New Roman"/>
                <w:color w:val="auto"/>
                <w:kern w:val="0"/>
                <w:szCs w:val="21"/>
                <w:highlight w:val="none"/>
                <w:lang w:bidi="ar"/>
              </w:rPr>
              <w:t>速度：±48 m/s；</w:t>
            </w:r>
          </w:p>
          <w:p w14:paraId="46CEE33B">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（3）</w:t>
            </w:r>
            <w:r>
              <w:rPr>
                <w:rFonts w:ascii="Times New Roman" w:hAnsi="Times New Roman" w:eastAsia="宋体" w:cs="Times New Roman"/>
                <w:color w:val="auto"/>
                <w:kern w:val="0"/>
                <w:szCs w:val="21"/>
                <w:highlight w:val="none"/>
                <w:lang w:bidi="ar"/>
              </w:rPr>
              <w:t>谱宽：0 m/s～16 m/s；</w:t>
            </w:r>
          </w:p>
          <w:p w14:paraId="2FA582EA">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（4）</w:t>
            </w:r>
            <w:r>
              <w:rPr>
                <w:rFonts w:ascii="Times New Roman" w:hAnsi="Times New Roman" w:eastAsia="宋体" w:cs="Times New Roman"/>
                <w:color w:val="auto"/>
                <w:kern w:val="0"/>
                <w:szCs w:val="21"/>
                <w:highlight w:val="none"/>
                <w:lang w:bidi="ar"/>
              </w:rPr>
              <w:t>差分反射率因子：-</w:t>
            </w:r>
            <w:r>
              <w:rPr>
                <w:rFonts w:hint="eastAsia" w:ascii="Times New Roman" w:hAnsi="Times New Roman" w:eastAsia="宋体" w:cs="Times New Roman"/>
                <w:color w:val="auto"/>
                <w:kern w:val="0"/>
                <w:szCs w:val="21"/>
                <w:highlight w:val="none"/>
                <w:lang w:bidi="ar"/>
              </w:rPr>
              <w:t>7.</w:t>
            </w:r>
            <w:r>
              <w:rPr>
                <w:rFonts w:ascii="Times New Roman" w:hAnsi="Times New Roman" w:eastAsia="宋体" w:cs="Times New Roman"/>
                <w:color w:val="auto"/>
                <w:kern w:val="0"/>
                <w:szCs w:val="21"/>
                <w:highlight w:val="none"/>
                <w:lang w:bidi="ar"/>
              </w:rPr>
              <w:t>9 dB～+</w:t>
            </w:r>
            <w:r>
              <w:rPr>
                <w:rFonts w:hint="eastAsia" w:ascii="Times New Roman" w:hAnsi="Times New Roman" w:eastAsia="宋体" w:cs="Times New Roman"/>
                <w:color w:val="auto"/>
                <w:kern w:val="0"/>
                <w:szCs w:val="21"/>
                <w:highlight w:val="none"/>
                <w:lang w:bidi="ar"/>
              </w:rPr>
              <w:t>7.</w:t>
            </w:r>
            <w:r>
              <w:rPr>
                <w:rFonts w:ascii="Times New Roman" w:hAnsi="Times New Roman" w:eastAsia="宋体" w:cs="Times New Roman"/>
                <w:color w:val="auto"/>
                <w:kern w:val="0"/>
                <w:szCs w:val="21"/>
                <w:highlight w:val="none"/>
                <w:lang w:bidi="ar"/>
              </w:rPr>
              <w:t>9 dB；</w:t>
            </w:r>
          </w:p>
          <w:p w14:paraId="4A3C47C0">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（5）</w:t>
            </w:r>
            <w:r>
              <w:rPr>
                <w:rFonts w:ascii="Times New Roman" w:hAnsi="Times New Roman" w:eastAsia="宋体" w:cs="Times New Roman"/>
                <w:color w:val="auto"/>
                <w:kern w:val="0"/>
                <w:szCs w:val="21"/>
                <w:highlight w:val="none"/>
                <w:lang w:bidi="ar"/>
              </w:rPr>
              <w:t>差分传播相移：-180°～+180°；</w:t>
            </w:r>
          </w:p>
          <w:p w14:paraId="00E9DC73">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（6）</w:t>
            </w:r>
            <w:r>
              <w:rPr>
                <w:rFonts w:ascii="Times New Roman" w:hAnsi="Times New Roman" w:eastAsia="宋体" w:cs="Times New Roman"/>
                <w:color w:val="auto"/>
                <w:kern w:val="0"/>
                <w:szCs w:val="21"/>
                <w:highlight w:val="none"/>
                <w:lang w:bidi="ar"/>
              </w:rPr>
              <w:t>差分传播相移率：-2°/km～+20°/km；</w:t>
            </w:r>
          </w:p>
          <w:p w14:paraId="76218A89">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（7）</w:t>
            </w:r>
            <w:r>
              <w:rPr>
                <w:rFonts w:ascii="Times New Roman" w:hAnsi="Times New Roman" w:eastAsia="宋体" w:cs="Times New Roman"/>
                <w:color w:val="auto"/>
                <w:kern w:val="0"/>
                <w:szCs w:val="21"/>
                <w:highlight w:val="none"/>
                <w:lang w:bidi="ar"/>
              </w:rPr>
              <w:t>相关系数：0～1。</w:t>
            </w:r>
          </w:p>
          <w:p w14:paraId="455EABD0">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9.参数测量精度（标准差）</w:t>
            </w:r>
          </w:p>
          <w:p w14:paraId="6D29EA01">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（1）强度：≤1 dB；</w:t>
            </w:r>
          </w:p>
          <w:p w14:paraId="2AE64F22">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（2）速度：≤1 m/s；</w:t>
            </w:r>
          </w:p>
          <w:p w14:paraId="0DDE077A">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（3）谱宽：≤1 m/s；</w:t>
            </w:r>
          </w:p>
          <w:p w14:paraId="739EA31B">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（4）差分反射率因子：≤0.2 dB；</w:t>
            </w:r>
          </w:p>
          <w:p w14:paraId="0B572F7C">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（5）差分传播相移：≤3°；</w:t>
            </w:r>
          </w:p>
          <w:p w14:paraId="6324B9CE">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（6）差分传播相移率：0.2</w:t>
            </w:r>
            <w:r>
              <w:rPr>
                <w:rFonts w:ascii="Times New Roman" w:hAnsi="Times New Roman" w:eastAsia="宋体" w:cs="Times New Roman"/>
                <w:color w:val="auto"/>
                <w:kern w:val="0"/>
                <w:szCs w:val="21"/>
                <w:highlight w:val="none"/>
                <w:lang w:bidi="ar"/>
              </w:rPr>
              <w:t>°/</w:t>
            </w:r>
            <w:r>
              <w:rPr>
                <w:rFonts w:hint="eastAsia" w:ascii="Times New Roman" w:hAnsi="Times New Roman" w:eastAsia="宋体" w:cs="Times New Roman"/>
                <w:color w:val="auto"/>
                <w:kern w:val="0"/>
                <w:szCs w:val="21"/>
                <w:highlight w:val="none"/>
                <w:lang w:bidi="ar"/>
              </w:rPr>
              <w:t>km；</w:t>
            </w:r>
          </w:p>
          <w:p w14:paraId="4D87B578">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（7）相关系数：≤0.01。</w:t>
            </w:r>
          </w:p>
          <w:p w14:paraId="27EE8DFD">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10.距离分辨率≤75 m</w:t>
            </w:r>
          </w:p>
          <w:p w14:paraId="15829B90">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11.数据分辨力</w:t>
            </w:r>
          </w:p>
          <w:p w14:paraId="512760C3">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（1）方位角和俯仰角：≤0.01°；</w:t>
            </w:r>
          </w:p>
          <w:p w14:paraId="075EC222">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（2）强度：≤0.1 dB；</w:t>
            </w:r>
          </w:p>
          <w:p w14:paraId="5FF2AF6C">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（3）速度：≤0.1 m/s；</w:t>
            </w:r>
          </w:p>
          <w:p w14:paraId="44FD08FC">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（4）谱宽：≤0.1 m/s；</w:t>
            </w:r>
          </w:p>
          <w:p w14:paraId="6171D17A">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（5）差分反射率因子：≤0.01 dB；</w:t>
            </w:r>
          </w:p>
          <w:p w14:paraId="5DCC06C4">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（6）差分传播相移：≤0.1°；</w:t>
            </w:r>
          </w:p>
          <w:p w14:paraId="4DE5DD0A">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（7）差分传播相移率：0.01°/km；</w:t>
            </w:r>
          </w:p>
          <w:p w14:paraId="21B42E88">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（8）相关系数：≤0.001。</w:t>
            </w:r>
          </w:p>
          <w:p w14:paraId="04A06ADD">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12.系统噪声系数≤3.5 dB（脉宽1 μs，带宽1 MHz）</w:t>
            </w:r>
          </w:p>
          <w:p w14:paraId="11D02FCB">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13.系统线性动态范围≥95 dB（脉宽1 μs，带宽1 MHz）</w:t>
            </w:r>
          </w:p>
          <w:p w14:paraId="12E6CEF4">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14.系统相位噪声≤0.1°（脉宽1 μs，带宽1 MHz）</w:t>
            </w:r>
          </w:p>
          <w:p w14:paraId="17E4D7EF">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15.实际地物对消能力≥50 dB</w:t>
            </w:r>
          </w:p>
          <w:p w14:paraId="5AE60228">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16.输出参数：强度、速度、谱宽、差分反射率因子、差分传播相移、差分传播相移率、相关系数、信噪比。</w:t>
            </w:r>
          </w:p>
          <w:p w14:paraId="4CD72512">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17.数据产品</w:t>
            </w:r>
          </w:p>
          <w:p w14:paraId="497AA6C5">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（1）基本产品</w:t>
            </w:r>
          </w:p>
          <w:p w14:paraId="2085C2A2">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①滤波前回波强度（TR）</w:t>
            </w:r>
          </w:p>
          <w:p w14:paraId="148FD9F8">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②滤波后回波强度（R）</w:t>
            </w:r>
          </w:p>
          <w:p w14:paraId="1DDEF631">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③径向速度（V）</w:t>
            </w:r>
          </w:p>
          <w:p w14:paraId="39ACC54A">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④速度谱宽（SW）</w:t>
            </w:r>
          </w:p>
          <w:p w14:paraId="2AEB7581">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⑤差分反射率因子（ZDR）</w:t>
            </w:r>
          </w:p>
          <w:p w14:paraId="3D8ABBD5">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⑥差分传播相移（PDP）</w:t>
            </w:r>
          </w:p>
          <w:p w14:paraId="0B8AE3AA">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⑦差分传播相移率（KDP）</w:t>
            </w:r>
          </w:p>
          <w:p w14:paraId="7662564D">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⑧相关系数</w:t>
            </w:r>
            <w:r>
              <w:rPr>
                <w:rFonts w:hint="eastAsia" w:ascii="Times New Roman" w:hAnsi="Times New Roman" w:eastAsia="宋体" w:cs="Times New Roman"/>
                <w:color w:val="auto"/>
                <w:kern w:val="0"/>
                <w:szCs w:val="21"/>
                <w:highlight w:val="none"/>
                <w:lang w:bidi="ar"/>
              </w:rPr>
              <w:t>（CC）</w:t>
            </w:r>
          </w:p>
          <w:p w14:paraId="19DBDCCD">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⑨水平通道信噪比（SNRH）</w:t>
            </w:r>
          </w:p>
          <w:p w14:paraId="0DB7B609">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⑩垂直通道信噪比（</w:t>
            </w:r>
            <w:r>
              <w:rPr>
                <w:rFonts w:hint="eastAsia" w:ascii="Times New Roman" w:hAnsi="Times New Roman" w:eastAsia="宋体" w:cs="Times New Roman"/>
                <w:color w:val="auto"/>
                <w:kern w:val="0"/>
                <w:szCs w:val="21"/>
                <w:highlight w:val="none"/>
                <w:lang w:bidi="ar"/>
              </w:rPr>
              <w:t>SNRV）</w:t>
            </w:r>
          </w:p>
          <w:p w14:paraId="5A285EF4">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（2）二次产品</w:t>
            </w:r>
          </w:p>
          <w:p w14:paraId="589F44BF">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①回波顶高（ET）</w:t>
            </w:r>
          </w:p>
          <w:p w14:paraId="45AD951A">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②回波底高（EB）</w:t>
            </w:r>
          </w:p>
          <w:p w14:paraId="265910FC">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③垂直积分液态水（VIL）</w:t>
            </w:r>
          </w:p>
          <w:p w14:paraId="6CB24AB0">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④最强回波高度（HMAX）</w:t>
            </w:r>
          </w:p>
          <w:p w14:paraId="2869E9FF">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⑤组合反射率（CR）</w:t>
            </w:r>
          </w:p>
          <w:p w14:paraId="7E8927A2">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⑥反射率等高平面位置显示（CAP）</w:t>
            </w:r>
          </w:p>
          <w:p w14:paraId="5CFFFF54">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⑦速度方位显示（VAD）</w:t>
            </w:r>
          </w:p>
          <w:p w14:paraId="552491E2">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⑧</w:t>
            </w:r>
            <w:r>
              <w:rPr>
                <w:rFonts w:hint="eastAsia" w:ascii="Times New Roman" w:hAnsi="Times New Roman" w:eastAsia="宋体" w:cs="Times New Roman"/>
                <w:color w:val="auto"/>
                <w:kern w:val="0"/>
                <w:szCs w:val="21"/>
                <w:highlight w:val="none"/>
                <w:lang w:bidi="ar"/>
              </w:rPr>
              <w:t>速度方位显示风廓线（VWP）</w:t>
            </w:r>
          </w:p>
          <w:p w14:paraId="6C4A7E1E">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⑨1小时累积降水量（OHP）</w:t>
            </w:r>
          </w:p>
          <w:p w14:paraId="0764484E">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⑩</w:t>
            </w:r>
            <w:r>
              <w:rPr>
                <w:rFonts w:hint="eastAsia" w:ascii="Times New Roman" w:hAnsi="Times New Roman" w:eastAsia="宋体" w:cs="Times New Roman"/>
                <w:color w:val="auto"/>
                <w:kern w:val="0"/>
                <w:szCs w:val="21"/>
                <w:highlight w:val="none"/>
                <w:lang w:bidi="ar"/>
              </w:rPr>
              <w:t>3小时累积降水量（THP）</w:t>
            </w:r>
          </w:p>
          <w:p w14:paraId="731377B5">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⑪</w:t>
            </w:r>
            <w:r>
              <w:rPr>
                <w:rFonts w:hint="eastAsia" w:ascii="Times New Roman" w:hAnsi="Times New Roman" w:eastAsia="宋体" w:cs="Times New Roman"/>
                <w:color w:val="auto"/>
                <w:kern w:val="0"/>
                <w:szCs w:val="21"/>
                <w:highlight w:val="none"/>
                <w:lang w:bidi="ar"/>
              </w:rPr>
              <w:t>N小时累积降水量（NHP）</w:t>
            </w:r>
          </w:p>
          <w:p w14:paraId="06F734AD">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⑫</w:t>
            </w:r>
            <w:r>
              <w:rPr>
                <w:rFonts w:hint="eastAsia" w:ascii="Times New Roman" w:hAnsi="Times New Roman" w:eastAsia="宋体" w:cs="Times New Roman"/>
                <w:color w:val="auto"/>
                <w:kern w:val="0"/>
                <w:szCs w:val="21"/>
                <w:highlight w:val="none"/>
                <w:lang w:bidi="ar"/>
              </w:rPr>
              <w:t>质心高度（RCH）</w:t>
            </w:r>
          </w:p>
          <w:p w14:paraId="10F63B3E">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⑬</w:t>
            </w:r>
            <w:r>
              <w:rPr>
                <w:rFonts w:hint="eastAsia" w:ascii="Times New Roman" w:hAnsi="Times New Roman" w:eastAsia="宋体" w:cs="Times New Roman"/>
                <w:color w:val="auto"/>
                <w:kern w:val="0"/>
                <w:szCs w:val="21"/>
                <w:highlight w:val="none"/>
                <w:lang w:bidi="ar"/>
              </w:rPr>
              <w:t>风场反演（WIND）</w:t>
            </w:r>
          </w:p>
          <w:p w14:paraId="35BD84C2">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⑭</w:t>
            </w:r>
            <w:r>
              <w:rPr>
                <w:rFonts w:hint="eastAsia" w:ascii="Times New Roman" w:hAnsi="Times New Roman" w:eastAsia="宋体" w:cs="Times New Roman"/>
                <w:color w:val="auto"/>
                <w:kern w:val="0"/>
                <w:szCs w:val="21"/>
                <w:highlight w:val="none"/>
                <w:lang w:bidi="ar"/>
              </w:rPr>
              <w:t>风暴相对径向速度（SRM）</w:t>
            </w:r>
          </w:p>
          <w:p w14:paraId="6542F728">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18.天线</w:t>
            </w:r>
          </w:p>
          <w:p w14:paraId="196A7580">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（1）</w:t>
            </w:r>
            <w:r>
              <w:rPr>
                <w:rFonts w:ascii="Times New Roman" w:hAnsi="Times New Roman" w:eastAsia="宋体" w:cs="Times New Roman"/>
                <w:color w:val="auto"/>
                <w:kern w:val="0"/>
                <w:szCs w:val="21"/>
                <w:highlight w:val="none"/>
                <w:lang w:bidi="ar"/>
              </w:rPr>
              <w:t>方位波束宽度（水平极化和垂直极化）</w:t>
            </w:r>
            <w:r>
              <w:rPr>
                <w:rFonts w:hint="eastAsia" w:ascii="Times New Roman" w:hAnsi="Times New Roman" w:eastAsia="宋体" w:cs="Times New Roman"/>
                <w:color w:val="auto"/>
                <w:kern w:val="0"/>
                <w:szCs w:val="21"/>
                <w:highlight w:val="none"/>
                <w:lang w:bidi="ar"/>
              </w:rPr>
              <w:t>：发射、接收均≤1.8</w:t>
            </w:r>
            <w:r>
              <w:rPr>
                <w:rFonts w:ascii="Times New Roman" w:hAnsi="Times New Roman" w:eastAsia="宋体" w:cs="Times New Roman"/>
                <w:color w:val="auto"/>
                <w:kern w:val="0"/>
                <w:szCs w:val="21"/>
                <w:highlight w:val="none"/>
                <w:lang w:bidi="ar"/>
              </w:rPr>
              <w:t>°</w:t>
            </w:r>
            <w:r>
              <w:rPr>
                <w:rFonts w:hint="eastAsia" w:ascii="Times New Roman" w:hAnsi="Times New Roman" w:eastAsia="宋体" w:cs="Times New Roman"/>
                <w:color w:val="auto"/>
                <w:kern w:val="0"/>
                <w:szCs w:val="21"/>
                <w:highlight w:val="none"/>
                <w:lang w:bidi="ar"/>
              </w:rPr>
              <w:t>。</w:t>
            </w:r>
            <w:r>
              <w:rPr>
                <w:rFonts w:hint="eastAsia" w:eastAsia="宋体" w:cs="Times New Roman"/>
                <w:color w:val="auto"/>
                <w:kern w:val="0"/>
                <w:szCs w:val="21"/>
                <w:highlight w:val="none"/>
                <w:lang w:eastAsia="zh-CN" w:bidi="ar"/>
              </w:rPr>
              <w:t>【需提供国家认可的第三方认证（检测）机构出具认证证书（检测报告）】</w:t>
            </w:r>
          </w:p>
          <w:p w14:paraId="163A1E78">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w:t>
            </w:r>
            <w:r>
              <w:rPr>
                <w:rFonts w:ascii="Times New Roman" w:hAnsi="Times New Roman" w:eastAsia="宋体" w:cs="Times New Roman"/>
                <w:color w:val="auto"/>
                <w:kern w:val="0"/>
                <w:szCs w:val="21"/>
                <w:highlight w:val="none"/>
                <w:lang w:bidi="ar"/>
              </w:rPr>
              <w:t>电扫波束宽度（水平极化和垂直极化）</w:t>
            </w:r>
          </w:p>
          <w:p w14:paraId="20B1821F">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①</w:t>
            </w:r>
            <w:r>
              <w:rPr>
                <w:rFonts w:ascii="Times New Roman" w:hAnsi="Times New Roman" w:eastAsia="宋体" w:cs="Times New Roman"/>
                <w:color w:val="auto"/>
                <w:kern w:val="0"/>
                <w:szCs w:val="21"/>
                <w:highlight w:val="none"/>
                <w:lang w:bidi="ar"/>
              </w:rPr>
              <w:t>发射、接收均法向</w:t>
            </w:r>
            <w:r>
              <w:rPr>
                <w:rFonts w:hint="eastAsia" w:ascii="宋体" w:hAnsi="宋体" w:eastAsia="宋体" w:cs="宋体"/>
                <w:color w:val="auto"/>
                <w:kern w:val="0"/>
                <w:szCs w:val="21"/>
                <w:highlight w:val="none"/>
                <w:lang w:bidi="ar"/>
              </w:rPr>
              <w:t>≤</w:t>
            </w:r>
            <w:r>
              <w:rPr>
                <w:rFonts w:ascii="Times New Roman" w:hAnsi="Times New Roman" w:eastAsia="宋体" w:cs="Times New Roman"/>
                <w:color w:val="auto"/>
                <w:kern w:val="0"/>
                <w:szCs w:val="21"/>
                <w:highlight w:val="none"/>
                <w:lang w:bidi="ar"/>
              </w:rPr>
              <w:t>1.8°</w:t>
            </w:r>
            <w:r>
              <w:rPr>
                <w:rFonts w:hint="eastAsia" w:ascii="Times New Roman" w:hAnsi="Times New Roman" w:eastAsia="宋体" w:cs="Times New Roman"/>
                <w:color w:val="auto"/>
                <w:kern w:val="0"/>
                <w:szCs w:val="21"/>
                <w:highlight w:val="none"/>
                <w:lang w:bidi="ar"/>
              </w:rPr>
              <w:t>；</w:t>
            </w:r>
          </w:p>
          <w:p w14:paraId="3D30BE83">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②</w:t>
            </w:r>
            <w:r>
              <w:rPr>
                <w:rFonts w:ascii="Times New Roman" w:hAnsi="Times New Roman" w:eastAsia="宋体" w:cs="Times New Roman"/>
                <w:color w:val="auto"/>
                <w:kern w:val="0"/>
                <w:szCs w:val="21"/>
                <w:highlight w:val="none"/>
                <w:lang w:bidi="ar"/>
              </w:rPr>
              <w:t>偏离法向±20°H面和E面发射、接收均</w:t>
            </w:r>
            <w:r>
              <w:rPr>
                <w:rFonts w:hint="eastAsia" w:ascii="宋体" w:hAnsi="宋体" w:eastAsia="宋体" w:cs="宋体"/>
                <w:color w:val="auto"/>
                <w:kern w:val="0"/>
                <w:szCs w:val="21"/>
                <w:highlight w:val="none"/>
                <w:lang w:bidi="ar"/>
              </w:rPr>
              <w:t>≤</w:t>
            </w:r>
            <w:r>
              <w:rPr>
                <w:rFonts w:ascii="Times New Roman" w:hAnsi="Times New Roman" w:eastAsia="宋体" w:cs="Times New Roman"/>
                <w:color w:val="auto"/>
                <w:kern w:val="0"/>
                <w:szCs w:val="21"/>
                <w:highlight w:val="none"/>
                <w:lang w:bidi="ar"/>
              </w:rPr>
              <w:t>1.91°</w:t>
            </w:r>
            <w:r>
              <w:rPr>
                <w:rFonts w:hint="eastAsia" w:ascii="Times New Roman" w:hAnsi="Times New Roman" w:eastAsia="宋体" w:cs="Times New Roman"/>
                <w:color w:val="auto"/>
                <w:kern w:val="0"/>
                <w:szCs w:val="21"/>
                <w:highlight w:val="none"/>
                <w:lang w:bidi="ar"/>
              </w:rPr>
              <w:t>。</w:t>
            </w:r>
          </w:p>
          <w:p w14:paraId="37E3044B">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（3）发射增益（法向、不含馈线）≥38.5 dB</w:t>
            </w:r>
          </w:p>
          <w:p w14:paraId="4B2DB20F">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（4）发射增益（偏离法向±20</w:t>
            </w:r>
            <w:r>
              <w:rPr>
                <w:rFonts w:ascii="Times New Roman" w:hAnsi="Times New Roman" w:eastAsia="宋体" w:cs="Times New Roman"/>
                <w:color w:val="auto"/>
                <w:kern w:val="0"/>
                <w:szCs w:val="21"/>
                <w:highlight w:val="none"/>
                <w:lang w:bidi="ar"/>
              </w:rPr>
              <w:t>°</w:t>
            </w:r>
            <w:r>
              <w:rPr>
                <w:rFonts w:hint="eastAsia" w:ascii="Times New Roman" w:hAnsi="Times New Roman" w:eastAsia="宋体" w:cs="Times New Roman"/>
                <w:color w:val="auto"/>
                <w:kern w:val="0"/>
                <w:szCs w:val="21"/>
                <w:highlight w:val="none"/>
                <w:lang w:bidi="ar"/>
              </w:rPr>
              <w:t>、不含馈线）≥37.5 dB</w:t>
            </w:r>
          </w:p>
          <w:p w14:paraId="6E7CBB84">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（5）发射增益（发射4倍波束展宽、不含馈线）≥30.5 dB</w:t>
            </w:r>
          </w:p>
          <w:p w14:paraId="59710173">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（6）发射增益（发射8倍波束展宽、不含馈线）≥27.5 dB</w:t>
            </w:r>
          </w:p>
          <w:p w14:paraId="5A0ED5C0">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（7）发射增益（</w:t>
            </w:r>
            <w:r>
              <w:rPr>
                <w:color w:val="auto"/>
                <w:highlight w:val="none"/>
              </w:rPr>
              <w:t>4倍波束展宽增益波动</w:t>
            </w:r>
            <w:r>
              <w:rPr>
                <w:rFonts w:hint="eastAsia"/>
                <w:color w:val="auto"/>
                <w:highlight w:val="none"/>
              </w:rPr>
              <w:t>、</w:t>
            </w:r>
            <w:r>
              <w:rPr>
                <w:color w:val="auto"/>
                <w:highlight w:val="none"/>
              </w:rPr>
              <w:t>不含馈线</w:t>
            </w:r>
            <w:r>
              <w:rPr>
                <w:rFonts w:hint="eastAsia" w:ascii="Times New Roman" w:hAnsi="Times New Roman" w:eastAsia="宋体" w:cs="Times New Roman"/>
                <w:color w:val="auto"/>
                <w:kern w:val="0"/>
                <w:szCs w:val="21"/>
                <w:highlight w:val="none"/>
                <w:lang w:bidi="ar"/>
              </w:rPr>
              <w:t>）</w:t>
            </w:r>
            <w:r>
              <w:rPr>
                <w:color w:val="auto"/>
                <w:highlight w:val="none"/>
              </w:rPr>
              <w:t>≤1dB</w:t>
            </w:r>
          </w:p>
          <w:p w14:paraId="5663195D">
            <w:pPr>
              <w:widowControl/>
              <w:jc w:val="left"/>
              <w:rPr>
                <w:rFonts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bidi="ar"/>
              </w:rPr>
              <w:t>（8）发射增益（</w:t>
            </w:r>
            <w:r>
              <w:rPr>
                <w:rFonts w:ascii="宋体" w:hAnsi="宋体" w:eastAsia="宋体"/>
                <w:color w:val="auto"/>
                <w:szCs w:val="21"/>
                <w:highlight w:val="none"/>
              </w:rPr>
              <w:t>8倍波束展宽增益波动</w:t>
            </w:r>
            <w:r>
              <w:rPr>
                <w:rFonts w:hint="eastAsia" w:ascii="宋体" w:hAnsi="宋体" w:eastAsia="宋体"/>
                <w:color w:val="auto"/>
                <w:szCs w:val="21"/>
                <w:highlight w:val="none"/>
              </w:rPr>
              <w:t>、</w:t>
            </w:r>
            <w:r>
              <w:rPr>
                <w:rFonts w:ascii="宋体" w:hAnsi="宋体" w:eastAsia="宋体"/>
                <w:color w:val="auto"/>
                <w:szCs w:val="21"/>
                <w:highlight w:val="none"/>
              </w:rPr>
              <w:t>不含馈线</w:t>
            </w:r>
            <w:r>
              <w:rPr>
                <w:rFonts w:hint="eastAsia" w:ascii="宋体" w:hAnsi="宋体" w:eastAsia="宋体" w:cs="Times New Roman"/>
                <w:color w:val="auto"/>
                <w:kern w:val="0"/>
                <w:szCs w:val="21"/>
                <w:highlight w:val="none"/>
                <w:lang w:bidi="ar"/>
              </w:rPr>
              <w:t>）</w:t>
            </w:r>
            <w:r>
              <w:rPr>
                <w:rFonts w:ascii="宋体" w:hAnsi="宋体" w:eastAsia="宋体"/>
                <w:color w:val="auto"/>
                <w:szCs w:val="21"/>
                <w:highlight w:val="none"/>
              </w:rPr>
              <w:t>≤2dB</w:t>
            </w:r>
          </w:p>
          <w:p w14:paraId="4AB5B638">
            <w:pPr>
              <w:widowControl/>
              <w:jc w:val="left"/>
              <w:rPr>
                <w:rFonts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bidi="ar"/>
              </w:rPr>
              <w:t>（9）接收增益（法向、不含馈线）≥37.5 dB</w:t>
            </w:r>
          </w:p>
          <w:p w14:paraId="76974208">
            <w:pPr>
              <w:widowControl/>
              <w:jc w:val="left"/>
              <w:rPr>
                <w:rFonts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bidi="ar"/>
              </w:rPr>
              <w:t>（10）接收增益（偏离法向±20</w:t>
            </w:r>
            <w:r>
              <w:rPr>
                <w:rFonts w:ascii="宋体" w:hAnsi="宋体" w:eastAsia="宋体" w:cs="Times New Roman"/>
                <w:color w:val="auto"/>
                <w:kern w:val="0"/>
                <w:szCs w:val="21"/>
                <w:highlight w:val="none"/>
                <w:lang w:bidi="ar"/>
              </w:rPr>
              <w:t>°</w:t>
            </w:r>
            <w:r>
              <w:rPr>
                <w:rFonts w:hint="eastAsia" w:ascii="宋体" w:hAnsi="宋体" w:eastAsia="宋体" w:cs="Times New Roman"/>
                <w:color w:val="auto"/>
                <w:kern w:val="0"/>
                <w:szCs w:val="21"/>
                <w:highlight w:val="none"/>
                <w:lang w:bidi="ar"/>
              </w:rPr>
              <w:t>、不含馈线）≥36.5 dB</w:t>
            </w:r>
          </w:p>
          <w:p w14:paraId="38AD5CC5">
            <w:pPr>
              <w:widowControl/>
              <w:jc w:val="left"/>
              <w:rPr>
                <w:rFonts w:ascii="宋体" w:hAnsi="宋体" w:eastAsia="宋体" w:cs="宋体"/>
                <w:color w:val="auto"/>
                <w:szCs w:val="21"/>
                <w:highlight w:val="none"/>
              </w:rPr>
            </w:pPr>
            <w:r>
              <w:rPr>
                <w:rFonts w:hint="eastAsia" w:ascii="宋体" w:hAnsi="宋体" w:eastAsia="宋体" w:cs="Times New Roman"/>
                <w:color w:val="auto"/>
                <w:kern w:val="0"/>
                <w:szCs w:val="21"/>
                <w:highlight w:val="none"/>
                <w:lang w:bidi="ar"/>
              </w:rPr>
              <w:t>（11）</w:t>
            </w:r>
            <w:r>
              <w:rPr>
                <w:rFonts w:hint="eastAsia" w:ascii="宋体" w:hAnsi="宋体" w:eastAsia="宋体" w:cs="宋体"/>
                <w:color w:val="auto"/>
                <w:szCs w:val="21"/>
                <w:highlight w:val="none"/>
              </w:rPr>
              <w:t>交叉极化隔离度：</w:t>
            </w:r>
          </w:p>
          <w:p w14:paraId="0A5C57C4">
            <w:pPr>
              <w:widowControl/>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①</w:t>
            </w:r>
            <w:r>
              <w:rPr>
                <w:rFonts w:hint="eastAsia" w:ascii="宋体" w:hAnsi="宋体" w:eastAsia="宋体" w:cs="宋体"/>
                <w:color w:val="auto"/>
                <w:szCs w:val="21"/>
                <w:highlight w:val="none"/>
              </w:rPr>
              <w:t>收发均满足且偏离法向±10°≥35dB</w:t>
            </w:r>
          </w:p>
          <w:p w14:paraId="2B42A00C">
            <w:pPr>
              <w:widowControl/>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②</w:t>
            </w:r>
            <w:r>
              <w:rPr>
                <w:rFonts w:hint="eastAsia" w:ascii="宋体" w:hAnsi="宋体" w:eastAsia="宋体" w:cs="宋体"/>
                <w:color w:val="auto"/>
                <w:szCs w:val="21"/>
                <w:highlight w:val="none"/>
              </w:rPr>
              <w:t>发射、接收均满足且偏离法向±10°～±20°≥33dB</w:t>
            </w:r>
          </w:p>
          <w:p w14:paraId="1098BA8E">
            <w:pPr>
              <w:widowControl/>
              <w:jc w:val="left"/>
              <w:rPr>
                <w:rFonts w:ascii="宋体" w:hAnsi="宋体" w:eastAsia="宋体" w:cs="宋体"/>
                <w:color w:val="auto"/>
                <w:szCs w:val="21"/>
                <w:highlight w:val="none"/>
              </w:rPr>
            </w:pPr>
            <w:r>
              <w:rPr>
                <w:rFonts w:hint="eastAsia" w:ascii="宋体" w:hAnsi="宋体" w:eastAsia="宋体" w:cs="宋体"/>
                <w:b/>
                <w:color w:val="auto"/>
                <w:szCs w:val="21"/>
                <w:highlight w:val="none"/>
                <w:lang w:val="en-US" w:eastAsia="zh-CN"/>
              </w:rPr>
              <w:t>19.</w:t>
            </w:r>
            <w:r>
              <w:rPr>
                <w:rFonts w:hint="eastAsia" w:ascii="宋体" w:hAnsi="宋体" w:eastAsia="宋体" w:cs="宋体"/>
                <w:color w:val="auto"/>
                <w:szCs w:val="21"/>
                <w:highlight w:val="none"/>
              </w:rPr>
              <w:t>方位方向最大副瓣电平：发射、接收均≤-30dB。</w:t>
            </w:r>
          </w:p>
          <w:p w14:paraId="524B76B6">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20</w:t>
            </w:r>
            <w:r>
              <w:rPr>
                <w:rFonts w:hint="eastAsia" w:ascii="Times New Roman" w:hAnsi="Times New Roman" w:eastAsia="宋体" w:cs="Times New Roman"/>
                <w:color w:val="auto"/>
                <w:kern w:val="0"/>
                <w:szCs w:val="21"/>
                <w:highlight w:val="none"/>
                <w:lang w:bidi="ar"/>
              </w:rPr>
              <w:t>.伺服：波束扫描方式，平面位置扫描、体积扫描、扇形扫描、定点扫描、用户自定义</w:t>
            </w:r>
          </w:p>
          <w:p w14:paraId="3630E5BF">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w:t>
            </w:r>
            <w:r>
              <w:rPr>
                <w:rFonts w:hint="eastAsia" w:ascii="Times New Roman" w:hAnsi="Times New Roman" w:eastAsia="宋体" w:cs="Times New Roman"/>
                <w:color w:val="auto"/>
                <w:kern w:val="0"/>
                <w:szCs w:val="21"/>
                <w:highlight w:val="none"/>
                <w:lang w:val="en-US" w:eastAsia="zh-CN" w:bidi="ar"/>
              </w:rPr>
              <w:t>1</w:t>
            </w:r>
            <w:r>
              <w:rPr>
                <w:rFonts w:hint="eastAsia" w:ascii="Times New Roman" w:hAnsi="Times New Roman" w:eastAsia="宋体" w:cs="Times New Roman"/>
                <w:color w:val="auto"/>
                <w:kern w:val="0"/>
                <w:szCs w:val="21"/>
                <w:highlight w:val="none"/>
                <w:lang w:bidi="ar"/>
              </w:rPr>
              <w:t>.数字收发单元</w:t>
            </w:r>
          </w:p>
          <w:p w14:paraId="088E7400">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（1）发射单元</w:t>
            </w:r>
          </w:p>
          <w:p w14:paraId="3DAE2597">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①EIRP（法向、单极化）≥96.5 dBm</w:t>
            </w:r>
          </w:p>
          <w:p w14:paraId="2E22D4CB">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②EIRP（±20°、单极化）≥95.5 dBm</w:t>
            </w:r>
          </w:p>
          <w:p w14:paraId="74D8CDB8">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③EIRP（4倍波束展宽、单极化）≥88.5 dBm</w:t>
            </w:r>
          </w:p>
          <w:p w14:paraId="263D8796">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④EIRP（8倍波束展宽、单极化）≥85.5 dBm</w:t>
            </w:r>
          </w:p>
          <w:p w14:paraId="3D1219E9">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（2）接收单元</w:t>
            </w:r>
          </w:p>
          <w:p w14:paraId="5B77C8F4">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①</w:t>
            </w:r>
            <w:r>
              <w:rPr>
                <w:rFonts w:ascii="Times New Roman" w:hAnsi="Times New Roman" w:eastAsia="宋体" w:cs="Times New Roman"/>
                <w:color w:val="auto"/>
                <w:kern w:val="0"/>
                <w:szCs w:val="21"/>
                <w:highlight w:val="none"/>
                <w:lang w:bidi="ar"/>
              </w:rPr>
              <w:t>G/T（法向、带宽1MHz）</w:t>
            </w:r>
            <w:r>
              <w:rPr>
                <w:rFonts w:hint="eastAsia" w:ascii="宋体" w:hAnsi="宋体" w:eastAsia="宋体" w:cs="宋体"/>
                <w:color w:val="auto"/>
                <w:kern w:val="0"/>
                <w:szCs w:val="21"/>
                <w:highlight w:val="none"/>
                <w:lang w:bidi="ar"/>
              </w:rPr>
              <w:t>≥</w:t>
            </w:r>
            <w:r>
              <w:rPr>
                <w:rFonts w:hint="eastAsia" w:ascii="Times New Roman" w:hAnsi="Times New Roman" w:eastAsia="宋体" w:cs="Times New Roman"/>
                <w:color w:val="auto"/>
                <w:kern w:val="0"/>
                <w:szCs w:val="21"/>
                <w:highlight w:val="none"/>
                <w:lang w:bidi="ar"/>
              </w:rPr>
              <w:t>6.</w:t>
            </w:r>
            <w:r>
              <w:rPr>
                <w:rFonts w:ascii="Times New Roman" w:hAnsi="Times New Roman" w:eastAsia="宋体" w:cs="Times New Roman"/>
                <w:color w:val="auto"/>
                <w:kern w:val="0"/>
                <w:szCs w:val="21"/>
                <w:highlight w:val="none"/>
                <w:lang w:bidi="ar"/>
              </w:rPr>
              <w:t>5</w:t>
            </w:r>
            <w:r>
              <w:rPr>
                <w:rFonts w:hint="eastAsia" w:ascii="Times New Roman" w:hAnsi="Times New Roman" w:eastAsia="宋体" w:cs="Times New Roman"/>
                <w:color w:val="auto"/>
                <w:kern w:val="0"/>
                <w:szCs w:val="21"/>
                <w:highlight w:val="none"/>
                <w:lang w:bidi="ar"/>
              </w:rPr>
              <w:t xml:space="preserve"> </w:t>
            </w:r>
            <w:r>
              <w:rPr>
                <w:rFonts w:ascii="Times New Roman" w:hAnsi="Times New Roman" w:eastAsia="宋体" w:cs="Times New Roman"/>
                <w:color w:val="auto"/>
                <w:kern w:val="0"/>
                <w:szCs w:val="21"/>
                <w:highlight w:val="none"/>
                <w:lang w:bidi="ar"/>
              </w:rPr>
              <w:t>dB/K</w:t>
            </w:r>
          </w:p>
          <w:p w14:paraId="70C248EE">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②</w:t>
            </w:r>
            <w:r>
              <w:rPr>
                <w:rFonts w:ascii="Times New Roman" w:hAnsi="Times New Roman" w:eastAsia="宋体" w:cs="Times New Roman"/>
                <w:color w:val="auto"/>
                <w:kern w:val="0"/>
                <w:szCs w:val="21"/>
                <w:highlight w:val="none"/>
                <w:lang w:bidi="ar"/>
              </w:rPr>
              <w:t>G/T（±20°、带宽1MHz）</w:t>
            </w:r>
            <w:r>
              <w:rPr>
                <w:rFonts w:hint="eastAsia" w:ascii="宋体" w:hAnsi="宋体" w:eastAsia="宋体" w:cs="宋体"/>
                <w:color w:val="auto"/>
                <w:kern w:val="0"/>
                <w:szCs w:val="21"/>
                <w:highlight w:val="none"/>
                <w:lang w:bidi="ar"/>
              </w:rPr>
              <w:t>≥</w:t>
            </w:r>
            <w:r>
              <w:rPr>
                <w:rFonts w:hint="eastAsia" w:ascii="Times New Roman" w:hAnsi="Times New Roman" w:eastAsia="宋体" w:cs="Times New Roman"/>
                <w:color w:val="auto"/>
                <w:kern w:val="0"/>
                <w:szCs w:val="21"/>
                <w:highlight w:val="none"/>
                <w:lang w:bidi="ar"/>
              </w:rPr>
              <w:t>5.</w:t>
            </w:r>
            <w:r>
              <w:rPr>
                <w:rFonts w:ascii="Times New Roman" w:hAnsi="Times New Roman" w:eastAsia="宋体" w:cs="Times New Roman"/>
                <w:color w:val="auto"/>
                <w:kern w:val="0"/>
                <w:szCs w:val="21"/>
                <w:highlight w:val="none"/>
                <w:lang w:bidi="ar"/>
              </w:rPr>
              <w:t>5</w:t>
            </w:r>
            <w:r>
              <w:rPr>
                <w:rFonts w:hint="eastAsia" w:ascii="Times New Roman" w:hAnsi="Times New Roman" w:eastAsia="宋体" w:cs="Times New Roman"/>
                <w:color w:val="auto"/>
                <w:kern w:val="0"/>
                <w:szCs w:val="21"/>
                <w:highlight w:val="none"/>
                <w:lang w:bidi="ar"/>
              </w:rPr>
              <w:t xml:space="preserve"> </w:t>
            </w:r>
            <w:r>
              <w:rPr>
                <w:rFonts w:ascii="Times New Roman" w:hAnsi="Times New Roman" w:eastAsia="宋体" w:cs="Times New Roman"/>
                <w:color w:val="auto"/>
                <w:kern w:val="0"/>
                <w:szCs w:val="21"/>
                <w:highlight w:val="none"/>
                <w:lang w:bidi="ar"/>
              </w:rPr>
              <w:t>dB/K</w:t>
            </w:r>
          </w:p>
          <w:p w14:paraId="1B09F14A">
            <w:pPr>
              <w:widowControl/>
              <w:numPr>
                <w:ilvl w:val="0"/>
                <w:numId w:val="2"/>
              </w:numPr>
              <w:jc w:val="left"/>
              <w:rPr>
                <w:rFonts w:hint="eastAsia"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数字波束控制与合成：</w:t>
            </w:r>
          </w:p>
          <w:p w14:paraId="4533582C">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①电扫方向发射最大副瓣电平≤-23 dB</w:t>
            </w:r>
            <w:r>
              <w:rPr>
                <w:rFonts w:ascii="宋体" w:hAnsi="宋体" w:eastAsia="宋体"/>
                <w:color w:val="auto"/>
                <w:highlight w:val="none"/>
              </w:rPr>
              <w:t>（法向波束宽度≤1.8°，偏离法向±20°波束宽度≤1.91°）</w:t>
            </w:r>
            <w:r>
              <w:rPr>
                <w:rFonts w:hint="eastAsia" w:ascii="Times New Roman" w:hAnsi="Times New Roman" w:eastAsia="宋体" w:cs="Times New Roman"/>
                <w:color w:val="auto"/>
                <w:kern w:val="0"/>
                <w:szCs w:val="21"/>
                <w:highlight w:val="none"/>
                <w:lang w:bidi="ar"/>
              </w:rPr>
              <w:t>。</w:t>
            </w:r>
          </w:p>
          <w:p w14:paraId="00AEC4E1">
            <w:pPr>
              <w:widowControl/>
              <w:jc w:val="left"/>
              <w:rPr>
                <w:color w:val="auto"/>
                <w:highlight w:val="none"/>
              </w:rPr>
            </w:pPr>
            <w:r>
              <w:rPr>
                <w:rFonts w:hint="eastAsia" w:ascii="Times New Roman" w:hAnsi="Times New Roman" w:eastAsia="宋体" w:cs="Times New Roman"/>
                <w:color w:val="auto"/>
                <w:kern w:val="0"/>
                <w:szCs w:val="21"/>
                <w:highlight w:val="none"/>
                <w:lang w:bidi="ar"/>
              </w:rPr>
              <w:t>②电扫方向接收最大副瓣电平≤-35 dB</w:t>
            </w:r>
            <w:r>
              <w:rPr>
                <w:rFonts w:ascii="宋体" w:hAnsi="宋体" w:eastAsia="宋体"/>
                <w:color w:val="auto"/>
                <w:highlight w:val="none"/>
              </w:rPr>
              <w:t>（</w:t>
            </w:r>
            <w:r>
              <w:rPr>
                <w:rFonts w:hint="eastAsia" w:ascii="宋体" w:hAnsi="宋体" w:eastAsia="宋体" w:cs="Times New Roman"/>
                <w:bCs/>
                <w:color w:val="auto"/>
                <w:szCs w:val="20"/>
                <w:highlight w:val="none"/>
              </w:rPr>
              <w:t>法向波束宽度≤1.8°，偏离法向±20°波束宽度≤1.91°</w:t>
            </w:r>
            <w:r>
              <w:rPr>
                <w:rFonts w:ascii="宋体" w:hAnsi="宋体" w:eastAsia="宋体"/>
                <w:color w:val="auto"/>
                <w:highlight w:val="none"/>
              </w:rPr>
              <w:t>）</w:t>
            </w:r>
            <w:r>
              <w:rPr>
                <w:rFonts w:hint="eastAsia" w:ascii="Times New Roman" w:hAnsi="Times New Roman" w:eastAsia="宋体" w:cs="Times New Roman"/>
                <w:color w:val="auto"/>
                <w:kern w:val="0"/>
                <w:szCs w:val="21"/>
                <w:highlight w:val="none"/>
                <w:lang w:bidi="ar"/>
              </w:rPr>
              <w:t>。</w:t>
            </w:r>
          </w:p>
          <w:p w14:paraId="0D00CA2D">
            <w:pPr>
              <w:widowControl/>
              <w:jc w:val="left"/>
              <w:rPr>
                <w:rFonts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bidi="ar"/>
              </w:rPr>
              <w:t>2</w:t>
            </w:r>
            <w:r>
              <w:rPr>
                <w:rFonts w:hint="eastAsia" w:ascii="宋体" w:hAnsi="宋体" w:eastAsia="宋体" w:cs="Times New Roman"/>
                <w:color w:val="auto"/>
                <w:kern w:val="0"/>
                <w:szCs w:val="21"/>
                <w:highlight w:val="none"/>
                <w:lang w:val="en-US" w:eastAsia="zh-CN" w:bidi="ar"/>
              </w:rPr>
              <w:t>3</w:t>
            </w:r>
            <w:r>
              <w:rPr>
                <w:rFonts w:hint="eastAsia" w:ascii="宋体" w:hAnsi="宋体" w:eastAsia="宋体" w:cs="Times New Roman"/>
                <w:color w:val="auto"/>
                <w:kern w:val="0"/>
                <w:szCs w:val="21"/>
                <w:highlight w:val="none"/>
                <w:lang w:bidi="ar"/>
              </w:rPr>
              <w:t>.信号处理单元：</w:t>
            </w:r>
          </w:p>
          <w:p w14:paraId="07710B59">
            <w:pPr>
              <w:widowControl/>
              <w:ind w:firstLine="0" w:firstLineChars="0"/>
              <w:jc w:val="left"/>
              <w:rPr>
                <w:rFonts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bidi="ar"/>
              </w:rPr>
              <w:t>（1）最大脉冲压缩比≥100。</w:t>
            </w:r>
          </w:p>
          <w:p w14:paraId="486BF112">
            <w:pPr>
              <w:widowControl/>
              <w:jc w:val="left"/>
              <w:rPr>
                <w:rFonts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bidi="ar"/>
              </w:rPr>
              <w:t>（2）</w:t>
            </w:r>
            <w:r>
              <w:rPr>
                <w:rFonts w:ascii="宋体" w:hAnsi="宋体" w:eastAsia="宋体"/>
                <w:color w:val="auto"/>
                <w:highlight w:val="none"/>
              </w:rPr>
              <w:t>脉冲压缩主副瓣比</w:t>
            </w:r>
            <w:r>
              <w:rPr>
                <w:rFonts w:hint="eastAsia" w:ascii="宋体" w:hAnsi="宋体" w:eastAsia="宋体" w:cs="Times New Roman"/>
                <w:color w:val="auto"/>
                <w:kern w:val="0"/>
                <w:szCs w:val="21"/>
                <w:highlight w:val="none"/>
                <w:lang w:bidi="ar"/>
              </w:rPr>
              <w:t>≥</w:t>
            </w:r>
            <w:r>
              <w:rPr>
                <w:rFonts w:ascii="宋体" w:hAnsi="宋体" w:eastAsia="宋体"/>
                <w:color w:val="auto"/>
                <w:highlight w:val="none"/>
              </w:rPr>
              <w:t>50dB（脉压比≥100）</w:t>
            </w:r>
          </w:p>
          <w:p w14:paraId="37479419">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w:t>
            </w:r>
            <w:r>
              <w:rPr>
                <w:rFonts w:hint="eastAsia" w:ascii="Times New Roman" w:hAnsi="Times New Roman" w:eastAsia="宋体" w:cs="Times New Roman"/>
                <w:color w:val="auto"/>
                <w:kern w:val="0"/>
                <w:szCs w:val="21"/>
                <w:highlight w:val="none"/>
                <w:lang w:val="en-US" w:eastAsia="zh-CN" w:bidi="ar"/>
              </w:rPr>
              <w:t>4</w:t>
            </w:r>
            <w:r>
              <w:rPr>
                <w:rFonts w:hint="eastAsia" w:ascii="Times New Roman" w:hAnsi="Times New Roman" w:eastAsia="宋体" w:cs="Times New Roman"/>
                <w:color w:val="auto"/>
                <w:kern w:val="0"/>
                <w:szCs w:val="21"/>
                <w:highlight w:val="none"/>
                <w:lang w:bidi="ar"/>
              </w:rPr>
              <w:t>.电源要求：三相AC 380 V±10%，50 Hz±5%或单相AC 220 V±10%，50 Hz±5%。</w:t>
            </w:r>
          </w:p>
          <w:p w14:paraId="48189CB4">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w:t>
            </w:r>
            <w:r>
              <w:rPr>
                <w:rFonts w:hint="eastAsia" w:ascii="Times New Roman" w:hAnsi="Times New Roman" w:eastAsia="宋体" w:cs="Times New Roman"/>
                <w:color w:val="auto"/>
                <w:kern w:val="0"/>
                <w:szCs w:val="21"/>
                <w:highlight w:val="none"/>
                <w:lang w:val="en-US" w:eastAsia="zh-CN" w:bidi="ar"/>
              </w:rPr>
              <w:t>5</w:t>
            </w:r>
            <w:r>
              <w:rPr>
                <w:rFonts w:hint="eastAsia" w:ascii="Times New Roman" w:hAnsi="Times New Roman" w:eastAsia="宋体" w:cs="Times New Roman"/>
                <w:color w:val="auto"/>
                <w:kern w:val="0"/>
                <w:szCs w:val="21"/>
                <w:highlight w:val="none"/>
                <w:lang w:bidi="ar"/>
              </w:rPr>
              <w:t>.重量≤3吨</w:t>
            </w:r>
          </w:p>
          <w:p w14:paraId="11A7041E">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w:t>
            </w:r>
            <w:r>
              <w:rPr>
                <w:rFonts w:hint="eastAsia" w:ascii="Times New Roman" w:hAnsi="Times New Roman" w:eastAsia="宋体" w:cs="Times New Roman"/>
                <w:color w:val="auto"/>
                <w:kern w:val="0"/>
                <w:szCs w:val="21"/>
                <w:highlight w:val="none"/>
                <w:lang w:val="en-US" w:eastAsia="zh-CN" w:bidi="ar"/>
              </w:rPr>
              <w:t>6</w:t>
            </w:r>
            <w:r>
              <w:rPr>
                <w:rFonts w:hint="eastAsia" w:ascii="Times New Roman" w:hAnsi="Times New Roman" w:eastAsia="宋体" w:cs="Times New Roman"/>
                <w:color w:val="auto"/>
                <w:kern w:val="0"/>
                <w:szCs w:val="21"/>
                <w:highlight w:val="none"/>
                <w:lang w:bidi="ar"/>
              </w:rPr>
              <w:t>.环境要求</w:t>
            </w:r>
          </w:p>
          <w:p w14:paraId="27D417D1">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（1）环境温度：室内为0℃～+40℃；室外为-40℃～+50℃；</w:t>
            </w:r>
          </w:p>
          <w:p w14:paraId="54242556">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（2）贮存温度：-40℃～+60℃；</w:t>
            </w:r>
          </w:p>
          <w:p w14:paraId="6F077F72">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（3）环境最大湿度：室内为≤90%（+30℃）；室外为≤95%（+35℃）；</w:t>
            </w:r>
          </w:p>
          <w:p w14:paraId="66A5239B">
            <w:pPr>
              <w:widowControl/>
              <w:jc w:val="left"/>
              <w:rPr>
                <w:color w:val="auto"/>
                <w:highlight w:val="none"/>
              </w:rPr>
            </w:pPr>
            <w:r>
              <w:rPr>
                <w:rFonts w:hint="eastAsia" w:ascii="Times New Roman" w:hAnsi="Times New Roman" w:eastAsia="宋体" w:cs="Times New Roman"/>
                <w:color w:val="auto"/>
                <w:kern w:val="0"/>
                <w:szCs w:val="21"/>
                <w:highlight w:val="none"/>
                <w:lang w:bidi="ar"/>
              </w:rPr>
              <w:t>（4）工作高度：海拔高度≤5000 m；</w:t>
            </w:r>
          </w:p>
          <w:p w14:paraId="007EA5F1">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w:t>
            </w:r>
            <w:r>
              <w:rPr>
                <w:rFonts w:hint="eastAsia" w:ascii="Times New Roman" w:hAnsi="Times New Roman" w:eastAsia="宋体" w:cs="Times New Roman"/>
                <w:color w:val="auto"/>
                <w:kern w:val="0"/>
                <w:szCs w:val="21"/>
                <w:highlight w:val="none"/>
                <w:lang w:val="en-US" w:eastAsia="zh-CN" w:bidi="ar"/>
              </w:rPr>
              <w:t>5</w:t>
            </w:r>
            <w:r>
              <w:rPr>
                <w:rFonts w:hint="eastAsia" w:ascii="Times New Roman" w:hAnsi="Times New Roman" w:eastAsia="宋体" w:cs="Times New Roman"/>
                <w:color w:val="auto"/>
                <w:kern w:val="0"/>
                <w:szCs w:val="21"/>
                <w:highlight w:val="none"/>
                <w:lang w:bidi="ar"/>
              </w:rPr>
              <w:t>）抗干扰：电源干扰、电磁干扰、无线电频率干扰；</w:t>
            </w:r>
          </w:p>
          <w:p w14:paraId="5212A5ED">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w:t>
            </w:r>
            <w:r>
              <w:rPr>
                <w:rFonts w:hint="eastAsia" w:ascii="Times New Roman" w:hAnsi="Times New Roman" w:eastAsia="宋体" w:cs="Times New Roman"/>
                <w:color w:val="auto"/>
                <w:kern w:val="0"/>
                <w:szCs w:val="21"/>
                <w:highlight w:val="none"/>
                <w:lang w:val="en-US" w:eastAsia="zh-CN" w:bidi="ar"/>
              </w:rPr>
              <w:t>6</w:t>
            </w:r>
            <w:r>
              <w:rPr>
                <w:rFonts w:hint="eastAsia" w:ascii="Times New Roman" w:hAnsi="Times New Roman" w:eastAsia="宋体" w:cs="Times New Roman"/>
                <w:color w:val="auto"/>
                <w:kern w:val="0"/>
                <w:szCs w:val="21"/>
                <w:highlight w:val="none"/>
                <w:lang w:bidi="ar"/>
              </w:rPr>
              <w:t>）其他：防水、防霉、防盐雾。</w:t>
            </w:r>
          </w:p>
          <w:p w14:paraId="1F37DC2D">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w:t>
            </w:r>
            <w:r>
              <w:rPr>
                <w:rFonts w:hint="eastAsia" w:ascii="Times New Roman" w:hAnsi="Times New Roman" w:eastAsia="宋体" w:cs="Times New Roman"/>
                <w:color w:val="auto"/>
                <w:kern w:val="0"/>
                <w:szCs w:val="21"/>
                <w:highlight w:val="none"/>
                <w:lang w:val="en-US" w:eastAsia="zh-CN" w:bidi="ar"/>
              </w:rPr>
              <w:t>7</w:t>
            </w:r>
            <w:r>
              <w:rPr>
                <w:rFonts w:hint="eastAsia" w:ascii="Times New Roman" w:hAnsi="Times New Roman" w:eastAsia="宋体" w:cs="Times New Roman"/>
                <w:color w:val="auto"/>
                <w:kern w:val="0"/>
                <w:szCs w:val="21"/>
                <w:highlight w:val="none"/>
                <w:lang w:bidi="ar"/>
              </w:rPr>
              <w:t>.平均严重故障间隔时间（MTBCF）≥5000 h</w:t>
            </w:r>
          </w:p>
          <w:p w14:paraId="166660E8">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w:t>
            </w:r>
            <w:r>
              <w:rPr>
                <w:rFonts w:hint="eastAsia" w:ascii="Times New Roman" w:hAnsi="Times New Roman" w:eastAsia="宋体" w:cs="Times New Roman"/>
                <w:color w:val="auto"/>
                <w:kern w:val="0"/>
                <w:szCs w:val="21"/>
                <w:highlight w:val="none"/>
                <w:lang w:val="en-US" w:eastAsia="zh-CN" w:bidi="ar"/>
              </w:rPr>
              <w:t>8</w:t>
            </w:r>
            <w:r>
              <w:rPr>
                <w:rFonts w:hint="eastAsia" w:ascii="Times New Roman" w:hAnsi="Times New Roman" w:eastAsia="宋体" w:cs="Times New Roman"/>
                <w:color w:val="auto"/>
                <w:kern w:val="0"/>
                <w:szCs w:val="21"/>
                <w:highlight w:val="none"/>
                <w:lang w:bidi="ar"/>
              </w:rPr>
              <w:t>.平均故障修复时间≤0.5 h</w:t>
            </w:r>
          </w:p>
          <w:p w14:paraId="30080087">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w:t>
            </w:r>
            <w:r>
              <w:rPr>
                <w:rFonts w:hint="eastAsia" w:ascii="Times New Roman" w:hAnsi="Times New Roman" w:eastAsia="宋体" w:cs="Times New Roman"/>
                <w:color w:val="auto"/>
                <w:kern w:val="0"/>
                <w:szCs w:val="21"/>
                <w:highlight w:val="none"/>
                <w:lang w:val="en-US" w:eastAsia="zh-CN" w:bidi="ar"/>
              </w:rPr>
              <w:t>9</w:t>
            </w:r>
            <w:r>
              <w:rPr>
                <w:rFonts w:hint="eastAsia" w:ascii="Times New Roman" w:hAnsi="Times New Roman" w:eastAsia="宋体" w:cs="Times New Roman"/>
                <w:color w:val="auto"/>
                <w:kern w:val="0"/>
                <w:szCs w:val="21"/>
                <w:highlight w:val="none"/>
                <w:lang w:bidi="ar"/>
              </w:rPr>
              <w:t>.架设方式：固定架设</w:t>
            </w:r>
          </w:p>
          <w:p w14:paraId="01789A42">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val="en-US" w:eastAsia="zh-CN" w:bidi="ar"/>
              </w:rPr>
              <w:t>30</w:t>
            </w:r>
            <w:r>
              <w:rPr>
                <w:rFonts w:hint="eastAsia" w:ascii="Times New Roman" w:hAnsi="Times New Roman" w:eastAsia="宋体" w:cs="Times New Roman"/>
                <w:color w:val="auto"/>
                <w:kern w:val="0"/>
                <w:szCs w:val="21"/>
                <w:highlight w:val="none"/>
                <w:lang w:bidi="ar"/>
              </w:rPr>
              <w:t>.雷达整机功耗≤15 kW</w:t>
            </w:r>
          </w:p>
          <w:p w14:paraId="5C21AB35">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3</w:t>
            </w:r>
            <w:r>
              <w:rPr>
                <w:rFonts w:hint="eastAsia" w:ascii="Times New Roman" w:hAnsi="Times New Roman" w:eastAsia="宋体" w:cs="Times New Roman"/>
                <w:color w:val="auto"/>
                <w:kern w:val="0"/>
                <w:szCs w:val="21"/>
                <w:highlight w:val="none"/>
                <w:lang w:val="en-US" w:eastAsia="zh-CN" w:bidi="ar"/>
              </w:rPr>
              <w:t>1</w:t>
            </w:r>
            <w:r>
              <w:rPr>
                <w:rFonts w:hint="eastAsia" w:ascii="Times New Roman" w:hAnsi="Times New Roman" w:eastAsia="宋体" w:cs="Times New Roman"/>
                <w:color w:val="auto"/>
                <w:kern w:val="0"/>
                <w:szCs w:val="21"/>
                <w:highlight w:val="none"/>
                <w:lang w:bidi="ar"/>
              </w:rPr>
              <w:t>.连续工作时间：无人值守7×24 h工作。</w:t>
            </w:r>
          </w:p>
          <w:p w14:paraId="1867F984">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3</w:t>
            </w:r>
            <w:r>
              <w:rPr>
                <w:rFonts w:hint="eastAsia" w:ascii="Times New Roman" w:hAnsi="Times New Roman" w:eastAsia="宋体" w:cs="Times New Roman"/>
                <w:color w:val="auto"/>
                <w:kern w:val="0"/>
                <w:szCs w:val="21"/>
                <w:highlight w:val="none"/>
                <w:lang w:val="en-US" w:eastAsia="zh-CN" w:bidi="ar"/>
              </w:rPr>
              <w:t>2</w:t>
            </w:r>
            <w:r>
              <w:rPr>
                <w:rFonts w:hint="eastAsia" w:ascii="Times New Roman" w:hAnsi="Times New Roman" w:eastAsia="宋体" w:cs="Times New Roman"/>
                <w:color w:val="auto"/>
                <w:kern w:val="0"/>
                <w:szCs w:val="21"/>
                <w:highlight w:val="none"/>
                <w:lang w:bidi="ar"/>
              </w:rPr>
              <w:t>.微波辐射安全性：电磁辐射暴露限制应符合GJB 5313A-2017的要求。</w:t>
            </w:r>
          </w:p>
          <w:p w14:paraId="6D0C3DF4">
            <w:pPr>
              <w:widowControl/>
              <w:jc w:val="left"/>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3</w:t>
            </w:r>
            <w:r>
              <w:rPr>
                <w:rFonts w:hint="eastAsia" w:ascii="Times New Roman" w:hAnsi="Times New Roman" w:eastAsia="宋体" w:cs="Times New Roman"/>
                <w:color w:val="auto"/>
                <w:kern w:val="0"/>
                <w:szCs w:val="21"/>
                <w:highlight w:val="none"/>
                <w:lang w:val="en-US" w:eastAsia="zh-CN" w:bidi="ar"/>
              </w:rPr>
              <w:t>3</w:t>
            </w:r>
            <w:r>
              <w:rPr>
                <w:rFonts w:hint="eastAsia" w:ascii="Times New Roman" w:hAnsi="Times New Roman" w:eastAsia="宋体" w:cs="Times New Roman"/>
                <w:color w:val="auto"/>
                <w:kern w:val="0"/>
                <w:szCs w:val="21"/>
                <w:highlight w:val="none"/>
                <w:lang w:bidi="ar"/>
              </w:rPr>
              <w:t>.防雷要求：雷达电源线输入端应加装防雷滤波器，室外电缆</w:t>
            </w:r>
            <w:r>
              <w:rPr>
                <w:rFonts w:hint="eastAsia" w:ascii="Times New Roman" w:hAnsi="Times New Roman" w:eastAsia="宋体" w:cs="Times New Roman"/>
                <w:color w:val="auto"/>
                <w:kern w:val="0"/>
                <w:szCs w:val="21"/>
                <w:highlight w:val="none"/>
                <w:lang w:val="en-US" w:eastAsia="zh-CN" w:bidi="ar"/>
              </w:rPr>
              <w:t>均</w:t>
            </w:r>
            <w:r>
              <w:rPr>
                <w:rFonts w:hint="eastAsia" w:ascii="Times New Roman" w:hAnsi="Times New Roman" w:eastAsia="宋体" w:cs="Times New Roman"/>
                <w:color w:val="auto"/>
                <w:kern w:val="0"/>
                <w:szCs w:val="21"/>
                <w:highlight w:val="none"/>
                <w:lang w:bidi="ar"/>
              </w:rPr>
              <w:t>采用屏蔽电缆。</w:t>
            </w:r>
          </w:p>
          <w:p w14:paraId="30B0E4EA">
            <w:pPr>
              <w:rPr>
                <w:rFonts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Cs w:val="21"/>
                <w:highlight w:val="none"/>
                <w:lang w:bidi="ar"/>
              </w:rPr>
              <w:t>3</w:t>
            </w:r>
            <w:r>
              <w:rPr>
                <w:rFonts w:hint="eastAsia" w:ascii="Times New Roman" w:hAnsi="Times New Roman" w:eastAsia="宋体" w:cs="Times New Roman"/>
                <w:color w:val="auto"/>
                <w:kern w:val="0"/>
                <w:szCs w:val="21"/>
                <w:highlight w:val="none"/>
                <w:lang w:val="en-US" w:eastAsia="zh-CN" w:bidi="ar"/>
              </w:rPr>
              <w:t>4</w:t>
            </w:r>
            <w:r>
              <w:rPr>
                <w:rFonts w:hint="eastAsia" w:ascii="Times New Roman" w:hAnsi="Times New Roman" w:eastAsia="宋体" w:cs="Times New Roman"/>
                <w:color w:val="auto"/>
                <w:kern w:val="0"/>
                <w:szCs w:val="21"/>
                <w:highlight w:val="none"/>
                <w:lang w:bidi="ar"/>
              </w:rPr>
              <w:t>.环境噪声要求：终端操作室噪声不大于65 dB。</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7A75C">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1908C">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套</w:t>
            </w:r>
          </w:p>
        </w:tc>
      </w:tr>
      <w:tr w14:paraId="3485C478">
        <w:tblPrEx>
          <w:tblCellMar>
            <w:top w:w="0" w:type="dxa"/>
            <w:left w:w="108" w:type="dxa"/>
            <w:bottom w:w="0" w:type="dxa"/>
            <w:right w:w="108" w:type="dxa"/>
          </w:tblCellMar>
        </w:tblPrEx>
        <w:trPr>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AE08">
            <w:pPr>
              <w:widowControl/>
              <w:snapToGrid w:val="0"/>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3</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981C">
            <w:pPr>
              <w:widowControl/>
              <w:snapToGrid w:val="0"/>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六要素</w:t>
            </w:r>
          </w:p>
          <w:p w14:paraId="70596DBF">
            <w:pPr>
              <w:widowControl/>
              <w:snapToGrid w:val="0"/>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szCs w:val="21"/>
                <w:highlight w:val="none"/>
              </w:rPr>
              <w:t>气象站</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9917">
            <w:pPr>
              <w:widowControl/>
              <w:ind w:firstLine="0" w:firstLineChars="0"/>
              <w:rPr>
                <w:rFonts w:ascii="宋体" w:hAnsi="宋体" w:eastAsia="宋体" w:cs="宋体"/>
                <w:color w:val="auto"/>
                <w:kern w:val="0"/>
                <w:szCs w:val="21"/>
                <w:highlight w:val="none"/>
                <w:lang w:bidi="ar"/>
              </w:rPr>
            </w:pPr>
            <w:r>
              <w:rPr>
                <w:rFonts w:hint="eastAsia" w:ascii="宋体" w:hAnsi="宋体" w:eastAsia="宋体" w:cs="宋体"/>
                <w:b/>
                <w:bCs/>
                <w:color w:val="auto"/>
                <w:kern w:val="0"/>
                <w:szCs w:val="21"/>
                <w:highlight w:val="none"/>
                <w:lang w:bidi="ar"/>
              </w:rPr>
              <w:t>包含温湿度传感器、超声风传感器、气压传感器、雨感器、数据采集模块等，监测要素包括温度、相对湿度、气压、风速、风向、降水量</w:t>
            </w:r>
            <w:r>
              <w:rPr>
                <w:rFonts w:hint="eastAsia" w:ascii="宋体" w:hAnsi="宋体" w:eastAsia="宋体" w:cs="宋体"/>
                <w:color w:val="auto"/>
                <w:kern w:val="0"/>
                <w:szCs w:val="21"/>
                <w:highlight w:val="none"/>
                <w:lang w:bidi="ar"/>
              </w:rPr>
              <w:t>。</w:t>
            </w:r>
          </w:p>
          <w:p w14:paraId="18AAE2FB">
            <w:pP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1.温度</w:t>
            </w:r>
          </w:p>
          <w:p w14:paraId="4444652B">
            <w:pPr>
              <w:rPr>
                <w:rFonts w:ascii="Times New Roman" w:hAnsi="Times New Roman" w:eastAsia="宋体" w:cs="Times New Roman"/>
                <w:b/>
                <w:bCs/>
                <w:color w:val="auto"/>
                <w:kern w:val="0"/>
                <w:szCs w:val="21"/>
                <w:highlight w:val="none"/>
                <w:lang w:bidi="ar"/>
              </w:rPr>
            </w:pPr>
            <w:r>
              <w:rPr>
                <w:rFonts w:hint="eastAsia" w:ascii="Times New Roman" w:hAnsi="Times New Roman" w:eastAsia="宋体" w:cs="Times New Roman"/>
                <w:color w:val="auto"/>
                <w:kern w:val="0"/>
                <w:szCs w:val="21"/>
                <w:highlight w:val="none"/>
                <w:lang w:bidi="ar"/>
              </w:rPr>
              <w:t>（1）测量范围：-50℃～+60℃</w:t>
            </w:r>
            <w:r>
              <w:rPr>
                <w:rFonts w:hint="eastAsia" w:eastAsia="宋体" w:cs="Times New Roman"/>
                <w:b/>
                <w:bCs/>
                <w:color w:val="auto"/>
                <w:kern w:val="0"/>
                <w:szCs w:val="21"/>
                <w:highlight w:val="none"/>
                <w:lang w:eastAsia="zh-CN" w:bidi="ar"/>
              </w:rPr>
              <w:t>【需提供国家认可的第三方认证（检测）机构出具认证证书（检测报告）】</w:t>
            </w:r>
          </w:p>
          <w:p w14:paraId="1675AD6D">
            <w:pP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（2）分辨率：0.1℃</w:t>
            </w:r>
          </w:p>
          <w:p w14:paraId="6FBB14E8">
            <w:pPr>
              <w:rPr>
                <w:rFonts w:ascii="宋体" w:hAnsi="宋体" w:eastAsia="宋体" w:cs="宋体"/>
                <w:color w:val="auto"/>
                <w:kern w:val="0"/>
                <w:szCs w:val="21"/>
                <w:highlight w:val="none"/>
                <w:lang w:bidi="ar"/>
              </w:rPr>
            </w:pPr>
            <w:r>
              <w:rPr>
                <w:rFonts w:hint="eastAsia" w:ascii="Times New Roman" w:hAnsi="Times New Roman" w:eastAsia="宋体" w:cs="Times New Roman"/>
                <w:color w:val="auto"/>
                <w:kern w:val="0"/>
                <w:szCs w:val="21"/>
                <w:highlight w:val="none"/>
                <w:lang w:bidi="ar"/>
              </w:rPr>
              <w:t>（3）准确度：≤±0.5℃</w:t>
            </w:r>
          </w:p>
          <w:p w14:paraId="470BC973">
            <w:pP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2.湿度</w:t>
            </w:r>
          </w:p>
          <w:p w14:paraId="051AF608">
            <w:pPr>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（1）</w:t>
            </w:r>
            <w:r>
              <w:rPr>
                <w:rFonts w:hint="eastAsia" w:ascii="Times New Roman" w:hAnsi="Times New Roman" w:eastAsia="宋体" w:cs="Times New Roman"/>
                <w:color w:val="auto"/>
                <w:kern w:val="0"/>
                <w:szCs w:val="21"/>
                <w:highlight w:val="none"/>
                <w:lang w:bidi="ar"/>
              </w:rPr>
              <w:t>测量范围：0％RH～100％RH</w:t>
            </w:r>
          </w:p>
          <w:p w14:paraId="6406B582">
            <w:pP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（2）分辨率：1％RH</w:t>
            </w:r>
          </w:p>
          <w:p w14:paraId="49A546E4">
            <w:pPr>
              <w:rPr>
                <w:rFonts w:ascii="宋体" w:hAnsi="宋体" w:eastAsia="宋体" w:cs="宋体"/>
                <w:color w:val="auto"/>
                <w:kern w:val="0"/>
                <w:szCs w:val="21"/>
                <w:highlight w:val="none"/>
                <w:lang w:bidi="ar"/>
              </w:rPr>
            </w:pPr>
            <w:r>
              <w:rPr>
                <w:rFonts w:hint="eastAsia" w:ascii="Times New Roman" w:hAnsi="Times New Roman" w:eastAsia="宋体" w:cs="Times New Roman"/>
                <w:color w:val="auto"/>
                <w:kern w:val="0"/>
                <w:szCs w:val="21"/>
                <w:highlight w:val="none"/>
                <w:lang w:bidi="ar"/>
              </w:rPr>
              <w:t>（3）准确度≤±5％RH</w:t>
            </w:r>
          </w:p>
          <w:p w14:paraId="435EC709">
            <w:pP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3.风向</w:t>
            </w:r>
          </w:p>
          <w:p w14:paraId="5641FA03">
            <w:pPr>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（1）</w:t>
            </w:r>
            <w:r>
              <w:rPr>
                <w:rFonts w:hint="eastAsia" w:ascii="Times New Roman" w:hAnsi="Times New Roman" w:eastAsia="宋体" w:cs="Times New Roman"/>
                <w:color w:val="auto"/>
                <w:kern w:val="0"/>
                <w:szCs w:val="21"/>
                <w:highlight w:val="none"/>
                <w:lang w:bidi="ar"/>
              </w:rPr>
              <w:t>测量范围：0</w:t>
            </w:r>
            <w:r>
              <w:rPr>
                <w:rFonts w:ascii="Times New Roman" w:hAnsi="Times New Roman" w:eastAsia="宋体" w:cs="Times New Roman"/>
                <w:color w:val="auto"/>
                <w:kern w:val="0"/>
                <w:szCs w:val="21"/>
                <w:highlight w:val="none"/>
                <w:lang w:bidi="ar"/>
              </w:rPr>
              <w:t>°</w:t>
            </w:r>
            <w:r>
              <w:rPr>
                <w:rFonts w:hint="eastAsia" w:ascii="Times New Roman" w:hAnsi="Times New Roman" w:eastAsia="宋体" w:cs="Times New Roman"/>
                <w:color w:val="auto"/>
                <w:kern w:val="0"/>
                <w:szCs w:val="21"/>
                <w:highlight w:val="none"/>
                <w:lang w:bidi="ar"/>
              </w:rPr>
              <w:t>～360</w:t>
            </w:r>
            <w:r>
              <w:rPr>
                <w:rFonts w:ascii="Times New Roman" w:hAnsi="Times New Roman" w:eastAsia="宋体" w:cs="Times New Roman"/>
                <w:color w:val="auto"/>
                <w:kern w:val="0"/>
                <w:szCs w:val="21"/>
                <w:highlight w:val="none"/>
                <w:lang w:bidi="ar"/>
              </w:rPr>
              <w:t>°</w:t>
            </w:r>
          </w:p>
          <w:p w14:paraId="0DCFE09B">
            <w:pP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（2）分辨率：1</w:t>
            </w:r>
            <w:r>
              <w:rPr>
                <w:rFonts w:ascii="Times New Roman" w:hAnsi="Times New Roman" w:eastAsia="宋体" w:cs="Times New Roman"/>
                <w:color w:val="auto"/>
                <w:kern w:val="0"/>
                <w:szCs w:val="21"/>
                <w:highlight w:val="none"/>
                <w:lang w:bidi="ar"/>
              </w:rPr>
              <w:t>°</w:t>
            </w:r>
          </w:p>
          <w:p w14:paraId="69225F3B">
            <w:pPr>
              <w:rPr>
                <w:rFonts w:ascii="宋体" w:hAnsi="宋体" w:eastAsia="宋体" w:cs="宋体"/>
                <w:color w:val="auto"/>
                <w:kern w:val="0"/>
                <w:szCs w:val="21"/>
                <w:highlight w:val="none"/>
                <w:lang w:bidi="ar"/>
              </w:rPr>
            </w:pPr>
            <w:r>
              <w:rPr>
                <w:rFonts w:hint="eastAsia" w:ascii="Times New Roman" w:hAnsi="Times New Roman" w:eastAsia="宋体" w:cs="Times New Roman"/>
                <w:color w:val="auto"/>
                <w:kern w:val="0"/>
                <w:szCs w:val="21"/>
                <w:highlight w:val="none"/>
                <w:lang w:bidi="ar"/>
              </w:rPr>
              <w:t>（3）准确度≤±5</w:t>
            </w:r>
            <w:r>
              <w:rPr>
                <w:rFonts w:ascii="Times New Roman" w:hAnsi="Times New Roman" w:eastAsia="宋体" w:cs="Times New Roman"/>
                <w:color w:val="auto"/>
                <w:kern w:val="0"/>
                <w:szCs w:val="21"/>
                <w:highlight w:val="none"/>
                <w:lang w:bidi="ar"/>
              </w:rPr>
              <w:t>°</w:t>
            </w:r>
          </w:p>
          <w:p w14:paraId="7A4EC49A">
            <w:pP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4.风速</w:t>
            </w:r>
          </w:p>
          <w:p w14:paraId="3FE7991B">
            <w:pP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（1）测量范围：0 m/s～60 m/s</w:t>
            </w:r>
          </w:p>
          <w:p w14:paraId="315BA82D">
            <w:pP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（2）分辨率：0.1 m/s</w:t>
            </w:r>
          </w:p>
          <w:p w14:paraId="66E204DE">
            <w:pPr>
              <w:rPr>
                <w:rFonts w:ascii="宋体" w:hAnsi="宋体" w:eastAsia="宋体" w:cs="宋体"/>
                <w:color w:val="auto"/>
                <w:kern w:val="0"/>
                <w:szCs w:val="21"/>
                <w:highlight w:val="none"/>
                <w:lang w:bidi="ar"/>
              </w:rPr>
            </w:pPr>
            <w:r>
              <w:rPr>
                <w:rFonts w:hint="eastAsia" w:ascii="Times New Roman" w:hAnsi="Times New Roman" w:eastAsia="宋体" w:cs="Times New Roman"/>
                <w:color w:val="auto"/>
                <w:kern w:val="0"/>
                <w:szCs w:val="21"/>
                <w:highlight w:val="none"/>
                <w:lang w:bidi="ar"/>
              </w:rPr>
              <w:t>（3）准确度：±1 m/s(≤10 m/s)，±10%（＞10 m/s）</w:t>
            </w:r>
          </w:p>
          <w:p w14:paraId="5397D03E">
            <w:pP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5.气压</w:t>
            </w:r>
          </w:p>
          <w:p w14:paraId="7DD0B8B6">
            <w:pP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（1）测量范围：</w:t>
            </w:r>
            <w:r>
              <w:rPr>
                <w:rFonts w:hint="eastAsia" w:ascii="Times New Roman" w:hAnsi="Times New Roman" w:eastAsia="宋体" w:cs="Times New Roman"/>
                <w:color w:val="auto"/>
                <w:kern w:val="0"/>
                <w:szCs w:val="21"/>
                <w:highlight w:val="none"/>
                <w:lang w:val="en-US" w:eastAsia="zh-CN" w:bidi="ar"/>
              </w:rPr>
              <w:t>300</w:t>
            </w:r>
            <w:r>
              <w:rPr>
                <w:rFonts w:hint="eastAsia" w:ascii="Times New Roman" w:hAnsi="Times New Roman" w:eastAsia="宋体" w:cs="Times New Roman"/>
                <w:color w:val="auto"/>
                <w:kern w:val="0"/>
                <w:szCs w:val="21"/>
                <w:highlight w:val="none"/>
                <w:lang w:bidi="ar"/>
              </w:rPr>
              <w:t xml:space="preserve"> hPa～1100 hPa</w:t>
            </w:r>
          </w:p>
          <w:p w14:paraId="36A9A94C">
            <w:pP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（2）分辨率：0.1 hPa</w:t>
            </w:r>
          </w:p>
          <w:p w14:paraId="0CB67F6E">
            <w:pP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（3）准确度≤±0.5 hPa</w:t>
            </w:r>
          </w:p>
          <w:p w14:paraId="2B0EC349">
            <w:pPr>
              <w:rPr>
                <w:rFonts w:ascii="宋体" w:hAnsi="宋体" w:eastAsia="宋体" w:cs="宋体"/>
                <w:color w:val="auto"/>
                <w:kern w:val="0"/>
                <w:szCs w:val="21"/>
                <w:highlight w:val="none"/>
                <w:lang w:bidi="ar"/>
              </w:rPr>
            </w:pPr>
            <w:r>
              <w:rPr>
                <w:rFonts w:hint="eastAsia" w:ascii="Times New Roman" w:hAnsi="Times New Roman" w:eastAsia="宋体" w:cs="Times New Roman"/>
                <w:color w:val="auto"/>
                <w:kern w:val="0"/>
                <w:szCs w:val="21"/>
                <w:highlight w:val="none"/>
                <w:lang w:bidi="ar"/>
              </w:rPr>
              <w:t>6.</w:t>
            </w:r>
            <w:r>
              <w:rPr>
                <w:rFonts w:hint="eastAsia" w:ascii="宋体" w:hAnsi="宋体" w:eastAsia="宋体" w:cs="宋体"/>
                <w:color w:val="auto"/>
                <w:kern w:val="0"/>
                <w:szCs w:val="21"/>
                <w:highlight w:val="none"/>
                <w:lang w:bidi="ar"/>
              </w:rPr>
              <w:t>雨量</w:t>
            </w:r>
          </w:p>
          <w:p w14:paraId="06A12B3E">
            <w:pP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（1）测量范围：雨强0 mm/min～4 mm/min</w:t>
            </w:r>
          </w:p>
          <w:p w14:paraId="79468F3A">
            <w:pP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（2）分辨率：0.1 mm</w:t>
            </w:r>
          </w:p>
          <w:p w14:paraId="7A93A559">
            <w:pPr>
              <w:rPr>
                <w:rFonts w:hint="eastAsia"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（3）准确度≤2 mm(小时雨量)：±1 mm(绝对误差)；＞2 mm(小时雨量)：±20%。</w:t>
            </w:r>
          </w:p>
          <w:p w14:paraId="5DB01261">
            <w:pPr>
              <w:rPr>
                <w:rFonts w:hint="eastAsia" w:ascii="宋体" w:hAnsi="宋体" w:eastAsia="宋体" w:cs="宋体"/>
                <w:color w:val="auto"/>
                <w:kern w:val="0"/>
                <w:szCs w:val="21"/>
                <w:highlight w:val="none"/>
                <w:lang w:bidi="ar"/>
              </w:rPr>
            </w:pPr>
            <w:r>
              <w:rPr>
                <w:rFonts w:hint="eastAsia" w:ascii="Times New Roman" w:hAnsi="Times New Roman" w:eastAsia="宋体" w:cs="Times New Roman"/>
                <w:b/>
                <w:bCs/>
                <w:color w:val="auto"/>
                <w:kern w:val="0"/>
                <w:szCs w:val="21"/>
                <w:highlight w:val="none"/>
                <w:lang w:bidi="ar"/>
              </w:rPr>
              <w:t>▲</w:t>
            </w:r>
            <w:r>
              <w:rPr>
                <w:rFonts w:hint="eastAsia" w:ascii="Times New Roman" w:hAnsi="Times New Roman" w:eastAsia="宋体" w:cs="Times New Roman"/>
                <w:b/>
                <w:bCs/>
                <w:color w:val="auto"/>
                <w:kern w:val="0"/>
                <w:szCs w:val="21"/>
                <w:highlight w:val="none"/>
                <w:lang w:val="en-US" w:eastAsia="zh-CN" w:bidi="ar"/>
              </w:rPr>
              <w:t>7</w:t>
            </w:r>
            <w:r>
              <w:rPr>
                <w:rFonts w:hint="eastAsia" w:ascii="Times New Roman" w:hAnsi="Times New Roman" w:eastAsia="宋体" w:cs="Times New Roman"/>
                <w:b/>
                <w:bCs/>
                <w:color w:val="auto"/>
                <w:kern w:val="0"/>
                <w:szCs w:val="21"/>
                <w:highlight w:val="none"/>
                <w:lang w:bidi="ar"/>
              </w:rPr>
              <w:t>.</w:t>
            </w:r>
            <w:r>
              <w:rPr>
                <w:rFonts w:hint="eastAsia" w:ascii="Times New Roman" w:hAnsi="Times New Roman" w:eastAsia="宋体" w:cs="Times New Roman"/>
                <w:b/>
                <w:bCs/>
                <w:color w:val="auto"/>
                <w:kern w:val="0"/>
                <w:sz w:val="21"/>
                <w:szCs w:val="21"/>
                <w:highlight w:val="none"/>
                <w:lang w:bidi="ar"/>
              </w:rPr>
              <w:t>便携式自动气象站</w:t>
            </w:r>
            <w:r>
              <w:rPr>
                <w:rFonts w:hint="eastAsia" w:ascii="Times New Roman" w:hAnsi="Times New Roman" w:eastAsia="宋体" w:cs="Times New Roman"/>
                <w:b/>
                <w:bCs/>
                <w:color w:val="auto"/>
                <w:kern w:val="0"/>
                <w:szCs w:val="21"/>
                <w:highlight w:val="none"/>
                <w:lang w:bidi="ar"/>
              </w:rPr>
              <w:t>具有中国气象局颁发的《气象专用技术装备使用许可证》。</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AD4C6">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1F4E9">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套</w:t>
            </w:r>
          </w:p>
        </w:tc>
      </w:tr>
      <w:tr w14:paraId="2CBA02CD">
        <w:tblPrEx>
          <w:tblCellMar>
            <w:top w:w="0" w:type="dxa"/>
            <w:left w:w="108" w:type="dxa"/>
            <w:bottom w:w="0" w:type="dxa"/>
            <w:right w:w="108" w:type="dxa"/>
          </w:tblCellMar>
        </w:tblPrEx>
        <w:trPr>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F4C75">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b/>
                <w:bCs/>
                <w:color w:val="auto"/>
                <w:szCs w:val="21"/>
                <w:highlight w:val="none"/>
              </w:rPr>
              <w:t>4</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154F3">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b/>
                <w:bCs/>
                <w:color w:val="auto"/>
                <w:szCs w:val="21"/>
                <w:highlight w:val="none"/>
              </w:rPr>
              <w:t>激光云高仪</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B3FFD">
            <w:pPr>
              <w:widowControl/>
              <w:ind w:firstLine="0" w:firstLineChars="0"/>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包括温控系统、光学系统、信号处理单元、激光发射单元、激光接收单元，能够测量云底高、云厚、云层数量、垂直能见度等参数。具有自动加热吹风控制系统、窗口自动监测系统，配有减震安装台，可有效避免载车平台运行振动对测量造成的影响。</w:t>
            </w:r>
          </w:p>
          <w:p w14:paraId="57832FAA">
            <w:pPr>
              <w:widowControl/>
              <w:jc w:val="left"/>
              <w:rPr>
                <w:color w:val="auto"/>
                <w:highlight w:val="none"/>
              </w:rPr>
            </w:pPr>
            <w:r>
              <w:rPr>
                <w:rFonts w:hint="eastAsia" w:ascii="宋体" w:hAnsi="宋体" w:eastAsia="宋体" w:cs="宋体"/>
                <w:b/>
                <w:color w:val="auto"/>
                <w:szCs w:val="21"/>
                <w:highlight w:val="none"/>
              </w:rPr>
              <w:t>#</w:t>
            </w:r>
            <w:r>
              <w:rPr>
                <w:rFonts w:hint="eastAsia" w:ascii="宋体" w:hAnsi="宋体" w:eastAsia="宋体" w:cs="宋体"/>
                <w:color w:val="auto"/>
                <w:kern w:val="0"/>
                <w:szCs w:val="21"/>
                <w:highlight w:val="none"/>
                <w:lang w:bidi="ar"/>
              </w:rPr>
              <w:t>1.测量范围：</w:t>
            </w:r>
            <w:r>
              <w:rPr>
                <w:rFonts w:hint="eastAsia" w:ascii="Times New Roman" w:hAnsi="Times New Roman" w:eastAsia="宋体" w:cs="Times New Roman"/>
                <w:color w:val="auto"/>
                <w:kern w:val="0"/>
                <w:szCs w:val="21"/>
                <w:highlight w:val="none"/>
                <w:lang w:bidi="ar"/>
              </w:rPr>
              <w:t>5 m～12 km</w:t>
            </w:r>
            <w:r>
              <w:rPr>
                <w:rFonts w:hint="eastAsia" w:eastAsia="宋体" w:cs="Times New Roman"/>
                <w:b/>
                <w:bCs/>
                <w:color w:val="auto"/>
                <w:kern w:val="0"/>
                <w:szCs w:val="21"/>
                <w:highlight w:val="none"/>
                <w:lang w:eastAsia="zh-CN" w:bidi="ar"/>
              </w:rPr>
              <w:t>【需提供国家认可的第三方认证（检测）机构出具认证证书（检测报告）】</w:t>
            </w:r>
          </w:p>
          <w:p w14:paraId="649AE454">
            <w:pPr>
              <w:widowControl/>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w:t>
            </w:r>
            <w:r>
              <w:rPr>
                <w:rFonts w:hint="eastAsia" w:ascii="宋体" w:hAnsi="宋体" w:eastAsia="宋体" w:cs="宋体"/>
                <w:color w:val="auto"/>
                <w:kern w:val="0"/>
                <w:szCs w:val="21"/>
                <w:highlight w:val="none"/>
                <w:lang w:bidi="ar"/>
              </w:rPr>
              <w:t>准确度</w:t>
            </w:r>
          </w:p>
          <w:p w14:paraId="12BEB185">
            <w:pPr>
              <w:widowControl/>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（1）测量精度＜150 m时，±15 m；150～300 m时，±10%；＞300 m时±20%。</w:t>
            </w:r>
          </w:p>
          <w:p w14:paraId="669BE26A">
            <w:pPr>
              <w:widowControl/>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（2）固体目标测量精度：15m</w:t>
            </w:r>
          </w:p>
          <w:p w14:paraId="0D8A0321">
            <w:pPr>
              <w:widowControl/>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3.</w:t>
            </w:r>
            <w:r>
              <w:rPr>
                <w:rFonts w:hint="eastAsia" w:ascii="宋体" w:hAnsi="宋体" w:eastAsia="宋体" w:cs="宋体"/>
                <w:color w:val="auto"/>
                <w:kern w:val="0"/>
                <w:szCs w:val="21"/>
                <w:highlight w:val="none"/>
                <w:lang w:bidi="ar"/>
              </w:rPr>
              <w:t>测量周期：</w:t>
            </w:r>
            <w:r>
              <w:rPr>
                <w:rFonts w:hint="eastAsia" w:ascii="Times New Roman" w:hAnsi="Times New Roman" w:eastAsia="宋体" w:cs="Times New Roman"/>
                <w:color w:val="auto"/>
                <w:kern w:val="0"/>
                <w:szCs w:val="21"/>
                <w:highlight w:val="none"/>
                <w:lang w:bidi="ar"/>
              </w:rPr>
              <w:t>30 s</w:t>
            </w:r>
          </w:p>
          <w:p w14:paraId="112926BA">
            <w:pPr>
              <w:widowControl/>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4.</w:t>
            </w:r>
            <w:r>
              <w:rPr>
                <w:rFonts w:hint="eastAsia" w:ascii="宋体" w:hAnsi="宋体" w:eastAsia="宋体" w:cs="宋体"/>
                <w:color w:val="auto"/>
                <w:kern w:val="0"/>
                <w:szCs w:val="21"/>
                <w:highlight w:val="none"/>
                <w:lang w:bidi="ar"/>
              </w:rPr>
              <w:t>测云层数</w:t>
            </w:r>
            <w:r>
              <w:rPr>
                <w:rFonts w:hint="eastAsia" w:ascii="Times New Roman" w:hAnsi="Times New Roman" w:eastAsia="宋体" w:cs="Times New Roman"/>
                <w:color w:val="auto"/>
                <w:kern w:val="0"/>
                <w:szCs w:val="21"/>
                <w:highlight w:val="none"/>
                <w:lang w:bidi="ar"/>
              </w:rPr>
              <w:t>≥3层</w:t>
            </w:r>
          </w:p>
          <w:p w14:paraId="2EC56D08">
            <w:pPr>
              <w:widowControl/>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5.</w:t>
            </w:r>
            <w:r>
              <w:rPr>
                <w:rFonts w:hint="eastAsia" w:ascii="宋体" w:hAnsi="宋体" w:eastAsia="宋体" w:cs="宋体"/>
                <w:color w:val="auto"/>
                <w:kern w:val="0"/>
                <w:szCs w:val="21"/>
                <w:highlight w:val="none"/>
                <w:lang w:bidi="ar"/>
              </w:rPr>
              <w:t>分辨力：</w:t>
            </w:r>
            <w:r>
              <w:rPr>
                <w:rFonts w:hint="eastAsia" w:ascii="Times New Roman" w:hAnsi="Times New Roman" w:eastAsia="宋体" w:cs="Times New Roman"/>
                <w:color w:val="auto"/>
                <w:kern w:val="0"/>
                <w:szCs w:val="21"/>
                <w:highlight w:val="none"/>
                <w:lang w:bidi="ar"/>
              </w:rPr>
              <w:t>5 m</w:t>
            </w:r>
          </w:p>
          <w:p w14:paraId="7B180868">
            <w:pPr>
              <w:widowControl/>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6.</w:t>
            </w:r>
            <w:r>
              <w:rPr>
                <w:rFonts w:hint="eastAsia" w:ascii="宋体" w:hAnsi="宋体" w:eastAsia="宋体" w:cs="宋体"/>
                <w:color w:val="auto"/>
                <w:kern w:val="0"/>
                <w:szCs w:val="21"/>
                <w:highlight w:val="none"/>
                <w:lang w:bidi="ar"/>
              </w:rPr>
              <w:t>功耗</w:t>
            </w:r>
            <w:r>
              <w:rPr>
                <w:rFonts w:hint="eastAsia" w:ascii="Times New Roman" w:hAnsi="Times New Roman" w:eastAsia="宋体" w:cs="Times New Roman"/>
                <w:color w:val="auto"/>
                <w:kern w:val="0"/>
                <w:szCs w:val="21"/>
                <w:highlight w:val="none"/>
                <w:lang w:bidi="ar"/>
              </w:rPr>
              <w:t>≤10 W（不加热时），≤100 W（加热时）</w:t>
            </w:r>
          </w:p>
          <w:p w14:paraId="071555E6">
            <w:pPr>
              <w:widowControl/>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7.</w:t>
            </w:r>
            <w:r>
              <w:rPr>
                <w:rFonts w:hint="eastAsia" w:ascii="宋体" w:hAnsi="宋体" w:eastAsia="宋体" w:cs="宋体"/>
                <w:color w:val="auto"/>
                <w:kern w:val="0"/>
                <w:szCs w:val="21"/>
                <w:highlight w:val="none"/>
                <w:lang w:bidi="ar"/>
              </w:rPr>
              <w:t>重量</w:t>
            </w:r>
            <w:r>
              <w:rPr>
                <w:rFonts w:hint="eastAsia" w:ascii="Times New Roman" w:hAnsi="Times New Roman" w:eastAsia="宋体" w:cs="Times New Roman"/>
                <w:color w:val="auto"/>
                <w:kern w:val="0"/>
                <w:szCs w:val="21"/>
                <w:highlight w:val="none"/>
                <w:lang w:bidi="ar"/>
              </w:rPr>
              <w:t>≤20 kg</w:t>
            </w:r>
          </w:p>
          <w:p w14:paraId="35E5E803">
            <w:pPr>
              <w:widowControl/>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8.</w:t>
            </w:r>
            <w:r>
              <w:rPr>
                <w:rFonts w:hint="eastAsia" w:ascii="宋体" w:hAnsi="宋体" w:eastAsia="宋体" w:cs="宋体"/>
                <w:color w:val="auto"/>
                <w:kern w:val="0"/>
                <w:szCs w:val="21"/>
                <w:highlight w:val="none"/>
                <w:lang w:bidi="ar"/>
              </w:rPr>
              <w:t>环境适应性</w:t>
            </w:r>
          </w:p>
          <w:p w14:paraId="16199AE4">
            <w:pPr>
              <w:widowControl/>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（1）防护等级：≥IP66</w:t>
            </w:r>
          </w:p>
          <w:p w14:paraId="49D02D85">
            <w:pPr>
              <w:widowControl/>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（2）工作温度：-45℃～55℃</w:t>
            </w:r>
          </w:p>
          <w:p w14:paraId="1C6D31C7">
            <w:pPr>
              <w:widowControl/>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（3）工作湿度：0% RH～100% RH</w:t>
            </w:r>
          </w:p>
          <w:p w14:paraId="58C27CDD">
            <w:pPr>
              <w:widowControl/>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（4）贮存温度：-50℃～60℃</w:t>
            </w:r>
          </w:p>
          <w:p w14:paraId="7C2C5C81">
            <w:pPr>
              <w:widowControl/>
              <w:rPr>
                <w:rFonts w:hint="eastAsia"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（5）贮存湿度：0% RH～100% RH</w:t>
            </w:r>
          </w:p>
          <w:p w14:paraId="5F2BE628">
            <w:pPr>
              <w:rPr>
                <w:rFonts w:hint="eastAsia" w:ascii="宋体" w:hAnsi="宋体" w:eastAsia="宋体" w:cs="宋体"/>
                <w:color w:val="auto"/>
                <w:kern w:val="0"/>
                <w:szCs w:val="21"/>
                <w:highlight w:val="none"/>
                <w:lang w:bidi="ar"/>
              </w:rPr>
            </w:pPr>
            <w:r>
              <w:rPr>
                <w:rFonts w:hint="eastAsia" w:ascii="Times New Roman" w:hAnsi="Times New Roman" w:eastAsia="宋体" w:cs="Times New Roman"/>
                <w:b/>
                <w:bCs/>
                <w:color w:val="auto"/>
                <w:kern w:val="0"/>
                <w:szCs w:val="21"/>
                <w:highlight w:val="none"/>
                <w:lang w:bidi="ar"/>
              </w:rPr>
              <w:t>▲</w:t>
            </w:r>
            <w:r>
              <w:rPr>
                <w:rFonts w:hint="eastAsia" w:ascii="Times New Roman" w:hAnsi="Times New Roman" w:eastAsia="宋体" w:cs="Times New Roman"/>
                <w:b/>
                <w:bCs/>
                <w:color w:val="auto"/>
                <w:kern w:val="0"/>
                <w:szCs w:val="21"/>
                <w:highlight w:val="none"/>
                <w:lang w:val="en-US" w:eastAsia="zh-CN" w:bidi="ar"/>
              </w:rPr>
              <w:t>9</w:t>
            </w:r>
            <w:r>
              <w:rPr>
                <w:rFonts w:hint="eastAsia" w:ascii="Times New Roman" w:hAnsi="Times New Roman" w:eastAsia="宋体" w:cs="Times New Roman"/>
                <w:b/>
                <w:bCs/>
                <w:color w:val="auto"/>
                <w:kern w:val="0"/>
                <w:szCs w:val="21"/>
                <w:highlight w:val="none"/>
                <w:lang w:bidi="ar"/>
              </w:rPr>
              <w:t>.激光云高仪具有中国气象局颁发的《气象专用技术装备使用许可证》。</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CFC53">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b/>
                <w:bCs/>
                <w:color w:val="auto"/>
                <w:kern w:val="0"/>
                <w:szCs w:val="21"/>
                <w:highlight w:val="none"/>
                <w:lang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9CD7">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b/>
                <w:bCs/>
                <w:color w:val="auto"/>
                <w:kern w:val="0"/>
                <w:szCs w:val="21"/>
                <w:highlight w:val="none"/>
                <w:lang w:bidi="ar"/>
              </w:rPr>
              <w:t>套</w:t>
            </w:r>
          </w:p>
        </w:tc>
      </w:tr>
      <w:tr w14:paraId="5A7EFA5C">
        <w:tblPrEx>
          <w:tblCellMar>
            <w:top w:w="0" w:type="dxa"/>
            <w:left w:w="108" w:type="dxa"/>
            <w:bottom w:w="0" w:type="dxa"/>
            <w:right w:w="108" w:type="dxa"/>
          </w:tblCellMar>
        </w:tblPrEx>
        <w:trPr>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1C354">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b/>
                <w:bCs/>
                <w:color w:val="auto"/>
                <w:szCs w:val="21"/>
                <w:highlight w:val="none"/>
              </w:rPr>
              <w:t>5</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55C92">
            <w:pPr>
              <w:widowControl/>
              <w:snapToGrid w:val="0"/>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毫米波</w:t>
            </w:r>
          </w:p>
          <w:p w14:paraId="020F0E6B">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b/>
                <w:bCs/>
                <w:color w:val="auto"/>
                <w:szCs w:val="21"/>
                <w:highlight w:val="none"/>
              </w:rPr>
              <w:t>测云雷达</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DCA7">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bidi="ar"/>
              </w:rPr>
              <w:t>1.偏振类型：双发双收线偏振（支持单发双收线偏振）</w:t>
            </w:r>
          </w:p>
          <w:p w14:paraId="1B5B28B2">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2.发射机形式：全固态</w:t>
            </w:r>
          </w:p>
          <w:p w14:paraId="44C5EA0E">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3.工作频率：34.5 GHz～35.5 GHz范围频点可选，带宽≤200 MHz。</w:t>
            </w:r>
          </w:p>
          <w:p w14:paraId="6607495D">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4.整机寿命≥8年</w:t>
            </w:r>
          </w:p>
          <w:p w14:paraId="574D56C9">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5.探测距离范围：警戒≥20 km，定量≥15 km。</w:t>
            </w:r>
          </w:p>
          <w:p w14:paraId="2B56A15C">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6.近距离盲区范围≤150 m</w:t>
            </w:r>
          </w:p>
          <w:p w14:paraId="0CF33425">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7.基数据产品测量范围</w:t>
            </w:r>
          </w:p>
          <w:p w14:paraId="2068E754">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（1）反射率因子</w:t>
            </w:r>
            <w:r>
              <w:rPr>
                <w:rFonts w:hint="eastAsia" w:ascii="Times New Roman" w:hAnsi="Times New Roman" w:eastAsia="宋体" w:cs="Times New Roman"/>
                <w:color w:val="auto"/>
                <w:kern w:val="0"/>
                <w:szCs w:val="21"/>
                <w:highlight w:val="none"/>
                <w:lang w:bidi="ar"/>
              </w:rPr>
              <w:t>：-45 dBZ～+35 dBZ</w:t>
            </w:r>
          </w:p>
          <w:p w14:paraId="3B40EDD2">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（2）径向速度</w:t>
            </w:r>
            <w:r>
              <w:rPr>
                <w:rFonts w:hint="eastAsia" w:ascii="Times New Roman" w:hAnsi="Times New Roman" w:eastAsia="宋体" w:cs="Times New Roman"/>
                <w:color w:val="auto"/>
                <w:kern w:val="0"/>
                <w:szCs w:val="21"/>
                <w:highlight w:val="none"/>
                <w:lang w:bidi="ar"/>
              </w:rPr>
              <w:t>：-17 m/s～+17 m/s</w:t>
            </w:r>
          </w:p>
          <w:p w14:paraId="10783623">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（3）速度谱宽</w:t>
            </w:r>
            <w:r>
              <w:rPr>
                <w:rFonts w:hint="eastAsia" w:ascii="Times New Roman" w:hAnsi="Times New Roman" w:eastAsia="宋体" w:cs="Times New Roman"/>
                <w:color w:val="auto"/>
                <w:kern w:val="0"/>
                <w:szCs w:val="21"/>
                <w:highlight w:val="none"/>
                <w:lang w:bidi="ar"/>
              </w:rPr>
              <w:t>：0 m/s～8 m/s</w:t>
            </w:r>
          </w:p>
          <w:p w14:paraId="255F7897">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（4）差分反射率因子</w:t>
            </w:r>
            <w:r>
              <w:rPr>
                <w:rFonts w:hint="eastAsia" w:ascii="Times New Roman" w:hAnsi="Times New Roman" w:eastAsia="宋体" w:cs="Times New Roman"/>
                <w:color w:val="auto"/>
                <w:kern w:val="0"/>
                <w:szCs w:val="21"/>
                <w:highlight w:val="none"/>
                <w:lang w:bidi="ar"/>
              </w:rPr>
              <w:t>：-8 dB～+8 dB</w:t>
            </w:r>
          </w:p>
          <w:p w14:paraId="1EA76C78">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（5）差分传播相移</w:t>
            </w:r>
            <w:r>
              <w:rPr>
                <w:rFonts w:hint="eastAsia" w:ascii="Times New Roman" w:hAnsi="Times New Roman" w:eastAsia="宋体" w:cs="Times New Roman"/>
                <w:color w:val="auto"/>
                <w:kern w:val="0"/>
                <w:szCs w:val="21"/>
                <w:highlight w:val="none"/>
                <w:lang w:bidi="ar"/>
              </w:rPr>
              <w:t>：-180</w:t>
            </w:r>
            <w:r>
              <w:rPr>
                <w:rFonts w:ascii="Times New Roman" w:hAnsi="Times New Roman" w:eastAsia="宋体" w:cs="Times New Roman"/>
                <w:color w:val="auto"/>
                <w:kern w:val="0"/>
                <w:szCs w:val="21"/>
                <w:highlight w:val="none"/>
                <w:lang w:bidi="ar"/>
              </w:rPr>
              <w:t>°</w:t>
            </w:r>
            <w:r>
              <w:rPr>
                <w:rFonts w:hint="eastAsia" w:ascii="Times New Roman" w:hAnsi="Times New Roman" w:eastAsia="宋体" w:cs="Times New Roman"/>
                <w:color w:val="auto"/>
                <w:kern w:val="0"/>
                <w:szCs w:val="21"/>
                <w:highlight w:val="none"/>
                <w:lang w:bidi="ar"/>
              </w:rPr>
              <w:t>～+180</w:t>
            </w:r>
            <w:r>
              <w:rPr>
                <w:rFonts w:ascii="Times New Roman" w:hAnsi="Times New Roman" w:eastAsia="宋体" w:cs="Times New Roman"/>
                <w:color w:val="auto"/>
                <w:kern w:val="0"/>
                <w:szCs w:val="21"/>
                <w:highlight w:val="none"/>
                <w:lang w:bidi="ar"/>
              </w:rPr>
              <w:t>°</w:t>
            </w:r>
          </w:p>
          <w:p w14:paraId="0E18231F">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（6）差分传播相移率</w:t>
            </w:r>
            <w:r>
              <w:rPr>
                <w:rFonts w:hint="eastAsia" w:ascii="Times New Roman" w:hAnsi="Times New Roman" w:eastAsia="宋体" w:cs="Times New Roman"/>
                <w:color w:val="auto"/>
                <w:kern w:val="0"/>
                <w:szCs w:val="21"/>
                <w:highlight w:val="none"/>
                <w:lang w:bidi="ar"/>
              </w:rPr>
              <w:t>：-10</w:t>
            </w:r>
            <w:r>
              <w:rPr>
                <w:rFonts w:ascii="Times New Roman" w:hAnsi="Times New Roman" w:eastAsia="宋体" w:cs="Times New Roman"/>
                <w:color w:val="auto"/>
                <w:kern w:val="0"/>
                <w:szCs w:val="21"/>
                <w:highlight w:val="none"/>
                <w:lang w:bidi="ar"/>
              </w:rPr>
              <w:t>°</w:t>
            </w:r>
            <w:r>
              <w:rPr>
                <w:rFonts w:hint="eastAsia" w:ascii="Times New Roman" w:hAnsi="Times New Roman" w:eastAsia="宋体" w:cs="Times New Roman"/>
                <w:color w:val="auto"/>
                <w:kern w:val="0"/>
                <w:szCs w:val="21"/>
                <w:highlight w:val="none"/>
                <w:lang w:bidi="ar"/>
              </w:rPr>
              <w:t>/km～+10</w:t>
            </w:r>
            <w:r>
              <w:rPr>
                <w:rFonts w:ascii="Times New Roman" w:hAnsi="Times New Roman" w:eastAsia="宋体" w:cs="Times New Roman"/>
                <w:color w:val="auto"/>
                <w:kern w:val="0"/>
                <w:szCs w:val="21"/>
                <w:highlight w:val="none"/>
                <w:lang w:bidi="ar"/>
              </w:rPr>
              <w:t>°</w:t>
            </w:r>
            <w:r>
              <w:rPr>
                <w:rFonts w:hint="eastAsia" w:ascii="Times New Roman" w:hAnsi="Times New Roman" w:eastAsia="宋体" w:cs="Times New Roman"/>
                <w:color w:val="auto"/>
                <w:kern w:val="0"/>
                <w:szCs w:val="21"/>
                <w:highlight w:val="none"/>
                <w:lang w:bidi="ar"/>
              </w:rPr>
              <w:t>/km；</w:t>
            </w:r>
          </w:p>
          <w:p w14:paraId="6C7B1EBB">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（7）退偏振比：</w:t>
            </w:r>
            <w:r>
              <w:rPr>
                <w:rFonts w:ascii="Times New Roman" w:hAnsi="Times New Roman" w:eastAsia="宋体" w:cs="Times New Roman"/>
                <w:color w:val="auto"/>
                <w:kern w:val="0"/>
                <w:szCs w:val="21"/>
                <w:highlight w:val="none"/>
                <w:lang w:bidi="ar"/>
              </w:rPr>
              <w:t>-30 dB～0 dB（单发双收工作模式）</w:t>
            </w:r>
          </w:p>
          <w:p w14:paraId="2B1C5769">
            <w:pPr>
              <w:widowControl/>
              <w:jc w:val="left"/>
              <w:rPr>
                <w:rFonts w:ascii="宋体" w:hAnsi="宋体" w:eastAsia="宋体" w:cs="宋体"/>
                <w:color w:val="auto"/>
                <w:kern w:val="0"/>
                <w:szCs w:val="21"/>
                <w:highlight w:val="none"/>
                <w:lang w:bidi="ar"/>
              </w:rPr>
            </w:pPr>
            <w:r>
              <w:rPr>
                <w:rFonts w:hint="eastAsia" w:ascii="Times New Roman" w:hAnsi="Times New Roman" w:eastAsia="宋体" w:cs="Times New Roman"/>
                <w:color w:val="auto"/>
                <w:kern w:val="0"/>
                <w:szCs w:val="21"/>
                <w:highlight w:val="none"/>
                <w:lang w:bidi="ar"/>
              </w:rPr>
              <w:t>（8）</w:t>
            </w:r>
            <w:r>
              <w:rPr>
                <w:rFonts w:ascii="Times New Roman" w:hAnsi="Times New Roman" w:eastAsia="宋体" w:cs="Times New Roman"/>
                <w:color w:val="auto"/>
                <w:kern w:val="0"/>
                <w:szCs w:val="21"/>
                <w:highlight w:val="none"/>
                <w:lang w:bidi="ar"/>
              </w:rPr>
              <w:t>相关系数：0～1</w:t>
            </w:r>
          </w:p>
          <w:p w14:paraId="5EBCAADC">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8.基数据产品分辨力</w:t>
            </w:r>
          </w:p>
          <w:p w14:paraId="669259E8">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（1）距离</w:t>
            </w:r>
            <w:r>
              <w:rPr>
                <w:rFonts w:hint="eastAsia" w:ascii="Times New Roman" w:hAnsi="Times New Roman" w:eastAsia="宋体" w:cs="Times New Roman"/>
                <w:color w:val="auto"/>
                <w:kern w:val="0"/>
                <w:szCs w:val="21"/>
                <w:highlight w:val="none"/>
                <w:lang w:bidi="ar"/>
              </w:rPr>
              <w:t>：30 m</w:t>
            </w:r>
          </w:p>
          <w:p w14:paraId="30F682D7">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（2）角度</w:t>
            </w:r>
            <w:r>
              <w:rPr>
                <w:rFonts w:hint="eastAsia" w:ascii="Times New Roman" w:hAnsi="Times New Roman" w:eastAsia="宋体" w:cs="Times New Roman"/>
                <w:color w:val="auto"/>
                <w:kern w:val="0"/>
                <w:szCs w:val="21"/>
                <w:highlight w:val="none"/>
                <w:lang w:bidi="ar"/>
              </w:rPr>
              <w:t>≤0.4</w:t>
            </w:r>
            <w:r>
              <w:rPr>
                <w:rFonts w:ascii="Times New Roman" w:hAnsi="Times New Roman" w:eastAsia="宋体" w:cs="Times New Roman"/>
                <w:color w:val="auto"/>
                <w:kern w:val="0"/>
                <w:szCs w:val="21"/>
                <w:highlight w:val="none"/>
                <w:lang w:bidi="ar"/>
              </w:rPr>
              <w:t>°</w:t>
            </w:r>
          </w:p>
          <w:p w14:paraId="7A2B81D2">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（3）反射率因子</w:t>
            </w:r>
            <w:r>
              <w:rPr>
                <w:rFonts w:hint="eastAsia" w:ascii="Times New Roman" w:hAnsi="Times New Roman" w:eastAsia="宋体" w:cs="Times New Roman"/>
                <w:color w:val="auto"/>
                <w:kern w:val="0"/>
                <w:szCs w:val="21"/>
                <w:highlight w:val="none"/>
                <w:lang w:bidi="ar"/>
              </w:rPr>
              <w:t>：0.1 dBZ</w:t>
            </w:r>
          </w:p>
          <w:p w14:paraId="2B4EF395">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（4）径向速度</w:t>
            </w:r>
            <w:r>
              <w:rPr>
                <w:rFonts w:hint="eastAsia" w:ascii="Times New Roman" w:hAnsi="Times New Roman" w:eastAsia="宋体" w:cs="Times New Roman"/>
                <w:color w:val="auto"/>
                <w:kern w:val="0"/>
                <w:szCs w:val="21"/>
                <w:highlight w:val="none"/>
                <w:lang w:bidi="ar"/>
              </w:rPr>
              <w:t>：0.1 m/s</w:t>
            </w:r>
          </w:p>
          <w:p w14:paraId="61BC0384">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（5）速度谱宽</w:t>
            </w:r>
            <w:r>
              <w:rPr>
                <w:rFonts w:hint="eastAsia" w:ascii="Times New Roman" w:hAnsi="Times New Roman" w:eastAsia="宋体" w:cs="Times New Roman"/>
                <w:color w:val="auto"/>
                <w:kern w:val="0"/>
                <w:szCs w:val="21"/>
                <w:highlight w:val="none"/>
                <w:lang w:bidi="ar"/>
              </w:rPr>
              <w:t>：0.1 m/s</w:t>
            </w:r>
          </w:p>
          <w:p w14:paraId="231567C2">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（6）差分反射率因子</w:t>
            </w:r>
            <w:r>
              <w:rPr>
                <w:rFonts w:hint="eastAsia" w:ascii="Times New Roman" w:hAnsi="Times New Roman" w:eastAsia="宋体" w:cs="Times New Roman"/>
                <w:color w:val="auto"/>
                <w:kern w:val="0"/>
                <w:szCs w:val="21"/>
                <w:highlight w:val="none"/>
                <w:lang w:bidi="ar"/>
              </w:rPr>
              <w:t>：0.1 dB</w:t>
            </w:r>
          </w:p>
          <w:p w14:paraId="22479998">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（7）差分传播相移</w:t>
            </w:r>
            <w:r>
              <w:rPr>
                <w:rFonts w:hint="eastAsia" w:ascii="Times New Roman" w:hAnsi="Times New Roman" w:eastAsia="宋体" w:cs="Times New Roman"/>
                <w:color w:val="auto"/>
                <w:kern w:val="0"/>
                <w:szCs w:val="21"/>
                <w:highlight w:val="none"/>
                <w:lang w:bidi="ar"/>
              </w:rPr>
              <w:t>：1°</w:t>
            </w:r>
          </w:p>
          <w:p w14:paraId="58A01E43">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（8）差分传播相移率：0.1</w:t>
            </w:r>
            <w:r>
              <w:rPr>
                <w:rFonts w:ascii="Times New Roman" w:hAnsi="Times New Roman" w:eastAsia="宋体" w:cs="Times New Roman"/>
                <w:color w:val="auto"/>
                <w:kern w:val="0"/>
                <w:szCs w:val="21"/>
                <w:highlight w:val="none"/>
                <w:lang w:bidi="ar"/>
              </w:rPr>
              <w:t>°</w:t>
            </w:r>
            <w:r>
              <w:rPr>
                <w:rFonts w:hint="eastAsia" w:ascii="宋体" w:hAnsi="宋体" w:eastAsia="宋体" w:cs="宋体"/>
                <w:color w:val="auto"/>
                <w:kern w:val="0"/>
                <w:szCs w:val="21"/>
                <w:highlight w:val="none"/>
                <w:lang w:bidi="ar"/>
              </w:rPr>
              <w:t>/km</w:t>
            </w:r>
          </w:p>
          <w:p w14:paraId="6AEC8790">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（9）退偏振比</w:t>
            </w:r>
            <w:r>
              <w:rPr>
                <w:rFonts w:hint="eastAsia" w:ascii="Times New Roman" w:hAnsi="Times New Roman" w:eastAsia="宋体" w:cs="Times New Roman"/>
                <w:color w:val="auto"/>
                <w:kern w:val="0"/>
                <w:szCs w:val="21"/>
                <w:highlight w:val="none"/>
                <w:lang w:bidi="ar"/>
              </w:rPr>
              <w:t>：0.1dB（单发双收工作模式）</w:t>
            </w:r>
          </w:p>
          <w:p w14:paraId="17A7FED0">
            <w:pPr>
              <w:widowControl/>
              <w:jc w:val="left"/>
              <w:rPr>
                <w:rFonts w:ascii="宋体" w:hAnsi="宋体" w:eastAsia="宋体" w:cs="宋体"/>
                <w:color w:val="auto"/>
                <w:kern w:val="0"/>
                <w:szCs w:val="21"/>
                <w:highlight w:val="none"/>
                <w:lang w:bidi="ar"/>
              </w:rPr>
            </w:pPr>
            <w:r>
              <w:rPr>
                <w:rFonts w:hint="eastAsia" w:ascii="Times New Roman" w:hAnsi="Times New Roman" w:eastAsia="宋体" w:cs="Times New Roman"/>
                <w:color w:val="auto"/>
                <w:kern w:val="0"/>
                <w:szCs w:val="21"/>
                <w:highlight w:val="none"/>
                <w:lang w:bidi="ar"/>
              </w:rPr>
              <w:t>（10）相关系数：0.01</w:t>
            </w:r>
          </w:p>
          <w:p w14:paraId="44A84082">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9.基数据产品测量精度</w:t>
            </w:r>
          </w:p>
          <w:p w14:paraId="4FAEB671">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（1）反射率因子</w:t>
            </w:r>
            <w:r>
              <w:rPr>
                <w:rFonts w:hint="eastAsia" w:ascii="Times New Roman" w:hAnsi="Times New Roman" w:eastAsia="宋体" w:cs="Times New Roman"/>
                <w:color w:val="auto"/>
                <w:kern w:val="0"/>
                <w:szCs w:val="21"/>
                <w:highlight w:val="none"/>
                <w:lang w:bidi="ar"/>
              </w:rPr>
              <w:t>：±1 dB</w:t>
            </w:r>
          </w:p>
          <w:p w14:paraId="3354D841">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（2）径向速度</w:t>
            </w:r>
            <w:r>
              <w:rPr>
                <w:rFonts w:hint="eastAsia" w:ascii="Times New Roman" w:hAnsi="Times New Roman" w:eastAsia="宋体" w:cs="Times New Roman"/>
                <w:color w:val="auto"/>
                <w:kern w:val="0"/>
                <w:szCs w:val="21"/>
                <w:highlight w:val="none"/>
                <w:lang w:bidi="ar"/>
              </w:rPr>
              <w:t>：±0.5 m/s</w:t>
            </w:r>
          </w:p>
          <w:p w14:paraId="117A48C5">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（3）速度谱宽</w:t>
            </w:r>
            <w:r>
              <w:rPr>
                <w:rFonts w:hint="eastAsia" w:ascii="Times New Roman" w:hAnsi="Times New Roman" w:eastAsia="宋体" w:cs="Times New Roman"/>
                <w:color w:val="auto"/>
                <w:kern w:val="0"/>
                <w:szCs w:val="21"/>
                <w:highlight w:val="none"/>
                <w:lang w:bidi="ar"/>
              </w:rPr>
              <w:t>：±0.5 m/s</w:t>
            </w:r>
          </w:p>
          <w:p w14:paraId="176640F4">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（4）差分反射率因子</w:t>
            </w:r>
            <w:r>
              <w:rPr>
                <w:rFonts w:hint="eastAsia" w:ascii="Times New Roman" w:hAnsi="Times New Roman" w:eastAsia="宋体" w:cs="Times New Roman"/>
                <w:color w:val="auto"/>
                <w:kern w:val="0"/>
                <w:szCs w:val="21"/>
                <w:highlight w:val="none"/>
                <w:lang w:bidi="ar"/>
              </w:rPr>
              <w:t>：±0.2 dB</w:t>
            </w:r>
          </w:p>
          <w:p w14:paraId="3EDB4934">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（5）差分传播相移</w:t>
            </w:r>
            <w:r>
              <w:rPr>
                <w:rFonts w:hint="eastAsia" w:ascii="Times New Roman" w:hAnsi="Times New Roman" w:eastAsia="宋体" w:cs="Times New Roman"/>
                <w:color w:val="auto"/>
                <w:kern w:val="0"/>
                <w:szCs w:val="21"/>
                <w:highlight w:val="none"/>
                <w:lang w:bidi="ar"/>
              </w:rPr>
              <w:t>：±5</w:t>
            </w:r>
            <w:r>
              <w:rPr>
                <w:rFonts w:ascii="Times New Roman" w:hAnsi="Times New Roman" w:eastAsia="宋体" w:cs="Times New Roman"/>
                <w:color w:val="auto"/>
                <w:kern w:val="0"/>
                <w:szCs w:val="21"/>
                <w:highlight w:val="none"/>
                <w:lang w:bidi="ar"/>
              </w:rPr>
              <w:t>°</w:t>
            </w:r>
          </w:p>
          <w:p w14:paraId="70B793F6">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（6）差分传播相移率</w:t>
            </w:r>
            <w:r>
              <w:rPr>
                <w:rFonts w:hint="eastAsia" w:ascii="Times New Roman" w:hAnsi="Times New Roman" w:eastAsia="宋体" w:cs="Times New Roman"/>
                <w:color w:val="auto"/>
                <w:kern w:val="0"/>
                <w:szCs w:val="21"/>
                <w:highlight w:val="none"/>
                <w:lang w:bidi="ar"/>
              </w:rPr>
              <w:t>：±0.2</w:t>
            </w:r>
            <w:r>
              <w:rPr>
                <w:rFonts w:ascii="Times New Roman" w:hAnsi="Times New Roman" w:eastAsia="宋体" w:cs="Times New Roman"/>
                <w:color w:val="auto"/>
                <w:kern w:val="0"/>
                <w:szCs w:val="21"/>
                <w:highlight w:val="none"/>
                <w:lang w:bidi="ar"/>
              </w:rPr>
              <w:t>°</w:t>
            </w:r>
            <w:r>
              <w:rPr>
                <w:rFonts w:hint="eastAsia" w:ascii="Times New Roman" w:hAnsi="Times New Roman" w:eastAsia="宋体" w:cs="Times New Roman"/>
                <w:color w:val="auto"/>
                <w:kern w:val="0"/>
                <w:szCs w:val="21"/>
                <w:highlight w:val="none"/>
                <w:lang w:bidi="ar"/>
              </w:rPr>
              <w:t>/km</w:t>
            </w:r>
          </w:p>
          <w:p w14:paraId="19C75E6E">
            <w:pPr>
              <w:widowControl/>
              <w:jc w:val="left"/>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（7）退偏振比</w:t>
            </w:r>
            <w:r>
              <w:rPr>
                <w:rFonts w:hint="eastAsia" w:ascii="Times New Roman" w:hAnsi="Times New Roman" w:eastAsia="宋体" w:cs="Times New Roman"/>
                <w:color w:val="auto"/>
                <w:kern w:val="0"/>
                <w:szCs w:val="21"/>
                <w:highlight w:val="none"/>
                <w:lang w:bidi="ar"/>
              </w:rPr>
              <w:t>：±0.2 dB（单发双收工作模式）</w:t>
            </w:r>
          </w:p>
          <w:p w14:paraId="59D5AA94">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（8）相关系数：±0.01</w:t>
            </w:r>
          </w:p>
          <w:p w14:paraId="17B59E90">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10.物理量产品测量精度：</w:t>
            </w:r>
          </w:p>
          <w:p w14:paraId="797AB094">
            <w:pPr>
              <w:widowControl/>
              <w:jc w:val="left"/>
              <w:rPr>
                <w:rFonts w:ascii="宋体" w:hAnsi="宋体" w:eastAsia="宋体" w:cs="宋体"/>
                <w:b/>
                <w:bCs/>
                <w:color w:val="auto"/>
                <w:kern w:val="0"/>
                <w:szCs w:val="21"/>
                <w:highlight w:val="none"/>
                <w:lang w:bidi="ar"/>
              </w:rPr>
            </w:pPr>
            <w:r>
              <w:rPr>
                <w:rFonts w:hint="eastAsia" w:ascii="宋体" w:hAnsi="宋体" w:eastAsia="宋体" w:cs="宋体"/>
                <w:color w:val="auto"/>
                <w:kern w:val="0"/>
                <w:szCs w:val="21"/>
                <w:highlight w:val="none"/>
                <w:lang w:bidi="ar"/>
              </w:rPr>
              <w:t>（1）云底高度：云高＜1000 m时，±100 m；云高≥1000 m时，±10%。</w:t>
            </w:r>
            <w:r>
              <w:rPr>
                <w:rFonts w:hint="eastAsia" w:eastAsia="宋体" w:cs="Times New Roman"/>
                <w:b/>
                <w:bCs/>
                <w:color w:val="auto"/>
                <w:kern w:val="0"/>
                <w:szCs w:val="21"/>
                <w:highlight w:val="none"/>
                <w:lang w:eastAsia="zh-CN" w:bidi="ar"/>
              </w:rPr>
              <w:t>【需提供国家认可的第三方认证（检测）机构出具认证证书（检测报告）】</w:t>
            </w:r>
          </w:p>
          <w:p w14:paraId="5FDD688B">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（2）云顶高度：云高＜1000 m时，±100m；云高≥1000 m时，±10%。</w:t>
            </w:r>
          </w:p>
          <w:p w14:paraId="7F96C64D">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（3）云量（扫描型）：±20%。</w:t>
            </w:r>
          </w:p>
          <w:p w14:paraId="7B66B55D">
            <w:pPr>
              <w:widowControl/>
              <w:snapToGrid/>
              <w:jc w:val="left"/>
              <w:textAlignment w:val="auto"/>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11.远距离可探测最小反射率因子（256点FFT处理情况下）（不计大气衰减）≤-30 dBZ@10km</w:t>
            </w:r>
          </w:p>
          <w:p w14:paraId="10936F84">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12.数据产品</w:t>
            </w:r>
          </w:p>
          <w:p w14:paraId="142D472B">
            <w:pPr>
              <w:widowControl/>
              <w:snapToGrid/>
              <w:jc w:val="left"/>
              <w:textAlignment w:val="auto"/>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（1）原始数据产品：功率谱（FFT）</w:t>
            </w:r>
          </w:p>
          <w:p w14:paraId="2BF35070">
            <w:pPr>
              <w:widowControl/>
              <w:snapToGrid/>
              <w:jc w:val="left"/>
              <w:textAlignment w:val="auto"/>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（2）基数据产品</w:t>
            </w:r>
          </w:p>
          <w:p w14:paraId="155131A6">
            <w:pPr>
              <w:widowControl/>
              <w:snapToGrid/>
              <w:jc w:val="left"/>
              <w:textAlignment w:val="auto"/>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①</w:t>
            </w:r>
            <w:r>
              <w:rPr>
                <w:rFonts w:ascii="宋体" w:hAnsi="宋体" w:eastAsia="宋体" w:cs="宋体"/>
                <w:color w:val="auto"/>
                <w:kern w:val="0"/>
                <w:szCs w:val="21"/>
                <w:highlight w:val="none"/>
                <w:lang w:bidi="ar"/>
              </w:rPr>
              <w:t>反射率因子（Z）</w:t>
            </w:r>
          </w:p>
          <w:p w14:paraId="7106F089">
            <w:pPr>
              <w:widowControl/>
              <w:snapToGrid/>
              <w:jc w:val="left"/>
              <w:textAlignment w:val="auto"/>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②</w:t>
            </w:r>
            <w:r>
              <w:rPr>
                <w:rFonts w:ascii="宋体" w:hAnsi="宋体" w:eastAsia="宋体" w:cs="宋体"/>
                <w:color w:val="auto"/>
                <w:kern w:val="0"/>
                <w:szCs w:val="21"/>
                <w:highlight w:val="none"/>
                <w:lang w:bidi="ar"/>
              </w:rPr>
              <w:t>径向速度（V）</w:t>
            </w:r>
          </w:p>
          <w:p w14:paraId="0695F4A8">
            <w:pPr>
              <w:widowControl/>
              <w:snapToGrid/>
              <w:jc w:val="left"/>
              <w:textAlignment w:val="auto"/>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③</w:t>
            </w:r>
            <w:r>
              <w:rPr>
                <w:rFonts w:ascii="宋体" w:hAnsi="宋体" w:eastAsia="宋体" w:cs="宋体"/>
                <w:color w:val="auto"/>
                <w:kern w:val="0"/>
                <w:szCs w:val="21"/>
                <w:highlight w:val="none"/>
                <w:lang w:bidi="ar"/>
              </w:rPr>
              <w:t>速度谱宽（W）</w:t>
            </w:r>
          </w:p>
          <w:p w14:paraId="50D60059">
            <w:pPr>
              <w:widowControl/>
              <w:snapToGrid/>
              <w:jc w:val="left"/>
              <w:textAlignment w:val="auto"/>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④</w:t>
            </w:r>
            <w:r>
              <w:rPr>
                <w:rFonts w:ascii="宋体" w:hAnsi="宋体" w:eastAsia="宋体" w:cs="宋体"/>
                <w:color w:val="auto"/>
                <w:kern w:val="0"/>
                <w:szCs w:val="21"/>
                <w:highlight w:val="none"/>
                <w:lang w:bidi="ar"/>
              </w:rPr>
              <w:t>信噪比（SNR）</w:t>
            </w:r>
          </w:p>
          <w:p w14:paraId="044694AE">
            <w:pPr>
              <w:widowControl/>
              <w:snapToGrid/>
              <w:jc w:val="left"/>
              <w:textAlignment w:val="auto"/>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⑤</w:t>
            </w:r>
            <w:r>
              <w:rPr>
                <w:rFonts w:ascii="宋体" w:hAnsi="宋体" w:eastAsia="宋体" w:cs="宋体"/>
                <w:color w:val="auto"/>
                <w:kern w:val="0"/>
                <w:szCs w:val="21"/>
                <w:highlight w:val="none"/>
                <w:lang w:bidi="ar"/>
              </w:rPr>
              <w:t>退偏振比（LDR）（单发双收偏振模式）</w:t>
            </w:r>
          </w:p>
          <w:p w14:paraId="411197BF">
            <w:pPr>
              <w:widowControl/>
              <w:snapToGrid/>
              <w:jc w:val="left"/>
              <w:textAlignment w:val="auto"/>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⑥</w:t>
            </w:r>
            <w:r>
              <w:rPr>
                <w:rFonts w:ascii="宋体" w:hAnsi="宋体" w:eastAsia="宋体" w:cs="宋体"/>
                <w:color w:val="auto"/>
                <w:kern w:val="0"/>
                <w:szCs w:val="21"/>
                <w:highlight w:val="none"/>
                <w:lang w:bidi="ar"/>
              </w:rPr>
              <w:t>差分反射率因子（ZDR）</w:t>
            </w:r>
          </w:p>
          <w:p w14:paraId="799B25D0">
            <w:pPr>
              <w:widowControl/>
              <w:snapToGrid/>
              <w:jc w:val="left"/>
              <w:textAlignment w:val="auto"/>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⑦</w:t>
            </w:r>
            <w:r>
              <w:rPr>
                <w:rFonts w:ascii="宋体" w:hAnsi="宋体" w:eastAsia="宋体" w:cs="宋体"/>
                <w:color w:val="auto"/>
                <w:kern w:val="0"/>
                <w:szCs w:val="21"/>
                <w:highlight w:val="none"/>
                <w:lang w:bidi="ar"/>
              </w:rPr>
              <w:t>差分传播相移(ΦDP）</w:t>
            </w:r>
          </w:p>
          <w:p w14:paraId="1074B62E">
            <w:pPr>
              <w:widowControl/>
              <w:snapToGrid/>
              <w:jc w:val="left"/>
              <w:textAlignment w:val="auto"/>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⑧</w:t>
            </w:r>
            <w:r>
              <w:rPr>
                <w:rFonts w:ascii="宋体" w:hAnsi="宋体" w:eastAsia="宋体" w:cs="宋体"/>
                <w:color w:val="auto"/>
                <w:kern w:val="0"/>
                <w:szCs w:val="21"/>
                <w:highlight w:val="none"/>
                <w:lang w:bidi="ar"/>
              </w:rPr>
              <w:t>差分传播相移率（KDP）</w:t>
            </w:r>
          </w:p>
          <w:p w14:paraId="2F6FC92E">
            <w:pPr>
              <w:widowControl/>
              <w:snapToGrid/>
              <w:jc w:val="left"/>
              <w:textAlignment w:val="auto"/>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⑨</w:t>
            </w:r>
            <w:r>
              <w:rPr>
                <w:rFonts w:ascii="宋体" w:hAnsi="宋体" w:eastAsia="宋体" w:cs="宋体"/>
                <w:color w:val="auto"/>
                <w:kern w:val="0"/>
                <w:szCs w:val="21"/>
                <w:highlight w:val="none"/>
                <w:lang w:bidi="ar"/>
              </w:rPr>
              <w:t>相关系数(ρHV）</w:t>
            </w:r>
          </w:p>
          <w:p w14:paraId="7DD08263">
            <w:pPr>
              <w:widowControl/>
              <w:snapToGrid/>
              <w:jc w:val="left"/>
              <w:textAlignment w:val="auto"/>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（2）物理量产品</w:t>
            </w:r>
          </w:p>
          <w:p w14:paraId="354BA0EE">
            <w:pPr>
              <w:widowControl/>
              <w:snapToGrid/>
              <w:jc w:val="left"/>
              <w:textAlignment w:val="auto"/>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①</w:t>
            </w:r>
            <w:r>
              <w:rPr>
                <w:rFonts w:ascii="宋体" w:hAnsi="宋体" w:eastAsia="宋体" w:cs="宋体"/>
                <w:color w:val="auto"/>
                <w:kern w:val="0"/>
                <w:szCs w:val="21"/>
                <w:highlight w:val="none"/>
                <w:lang w:bidi="ar"/>
              </w:rPr>
              <w:t>云顶高度（CT）</w:t>
            </w:r>
          </w:p>
          <w:p w14:paraId="4AB574C6">
            <w:pPr>
              <w:widowControl/>
              <w:snapToGrid/>
              <w:jc w:val="left"/>
              <w:textAlignment w:val="auto"/>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②</w:t>
            </w:r>
            <w:r>
              <w:rPr>
                <w:rFonts w:ascii="宋体" w:hAnsi="宋体" w:eastAsia="宋体" w:cs="宋体"/>
                <w:color w:val="auto"/>
                <w:kern w:val="0"/>
                <w:szCs w:val="21"/>
                <w:highlight w:val="none"/>
                <w:lang w:bidi="ar"/>
              </w:rPr>
              <w:t>云底高度（CB）</w:t>
            </w:r>
          </w:p>
          <w:p w14:paraId="78CA43C7">
            <w:pPr>
              <w:widowControl/>
              <w:snapToGrid/>
              <w:jc w:val="left"/>
              <w:textAlignment w:val="auto"/>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③</w:t>
            </w:r>
            <w:r>
              <w:rPr>
                <w:rFonts w:ascii="宋体" w:hAnsi="宋体" w:eastAsia="宋体" w:cs="宋体"/>
                <w:color w:val="auto"/>
                <w:kern w:val="0"/>
                <w:szCs w:val="21"/>
                <w:highlight w:val="none"/>
                <w:lang w:bidi="ar"/>
              </w:rPr>
              <w:t>云量（CC）</w:t>
            </w:r>
          </w:p>
          <w:p w14:paraId="276F4CAA">
            <w:pPr>
              <w:widowControl/>
              <w:snapToGrid/>
              <w:jc w:val="left"/>
              <w:textAlignment w:val="auto"/>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④</w:t>
            </w:r>
            <w:r>
              <w:rPr>
                <w:rFonts w:ascii="宋体" w:hAnsi="宋体" w:eastAsia="宋体" w:cs="宋体"/>
                <w:color w:val="auto"/>
                <w:kern w:val="0"/>
                <w:szCs w:val="21"/>
                <w:highlight w:val="none"/>
                <w:lang w:bidi="ar"/>
              </w:rPr>
              <w:t>云粒子相态（CHCL）</w:t>
            </w:r>
          </w:p>
          <w:p w14:paraId="4F187D5E">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⑤</w:t>
            </w:r>
            <w:r>
              <w:rPr>
                <w:rFonts w:ascii="宋体" w:hAnsi="宋体" w:eastAsia="宋体" w:cs="宋体"/>
                <w:color w:val="auto"/>
                <w:kern w:val="0"/>
                <w:szCs w:val="21"/>
                <w:highlight w:val="none"/>
                <w:lang w:bidi="ar"/>
              </w:rPr>
              <w:t>零度层高度（BB）</w:t>
            </w:r>
          </w:p>
          <w:p w14:paraId="06844E95">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13.天线分系统</w:t>
            </w:r>
          </w:p>
          <w:p w14:paraId="37462B2A">
            <w:pPr>
              <w:widowControl/>
              <w:snapToGrid/>
              <w:jc w:val="left"/>
              <w:textAlignment w:val="auto"/>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（1）天线有效口径：1.8 m</w:t>
            </w:r>
          </w:p>
          <w:p w14:paraId="070C161C">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（2）第一副瓣电平≤-23 dB</w:t>
            </w:r>
          </w:p>
          <w:p w14:paraId="1317FA5D">
            <w:pPr>
              <w:widowControl/>
              <w:jc w:val="left"/>
              <w:rPr>
                <w:color w:val="auto"/>
                <w:highlight w:val="none"/>
              </w:rPr>
            </w:pPr>
            <w:r>
              <w:rPr>
                <w:rFonts w:hint="eastAsia" w:ascii="宋体" w:hAnsi="宋体" w:eastAsia="宋体" w:cs="宋体"/>
                <w:color w:val="auto"/>
                <w:kern w:val="0"/>
                <w:szCs w:val="21"/>
                <w:highlight w:val="none"/>
                <w:lang w:bidi="ar"/>
              </w:rPr>
              <w:t>14.馈线分系统：驻波比≤1.5</w:t>
            </w:r>
            <w:r>
              <w:rPr>
                <w:rFonts w:hint="eastAsia" w:eastAsia="宋体" w:cs="Times New Roman"/>
                <w:b/>
                <w:bCs/>
                <w:color w:val="auto"/>
                <w:kern w:val="0"/>
                <w:szCs w:val="21"/>
                <w:highlight w:val="none"/>
                <w:lang w:eastAsia="zh-CN" w:bidi="ar"/>
              </w:rPr>
              <w:t>【需提供国家认可的第三方认证（检测）机构出具认证证书（检测报告）】</w:t>
            </w:r>
          </w:p>
          <w:p w14:paraId="3D72880C">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15.伺服转台分系统：天线控制方式：预置全自动、人工干预自动/手动控制。</w:t>
            </w:r>
          </w:p>
          <w:p w14:paraId="26359166">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16.收发分系统：脉冲峰值功率≥100 W。</w:t>
            </w:r>
          </w:p>
          <w:p w14:paraId="589CD7F3">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17.系统相位噪声≤0.4°</w:t>
            </w:r>
          </w:p>
          <w:p w14:paraId="6A386183">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18.地物杂波抑制比≥42 dB</w:t>
            </w:r>
          </w:p>
          <w:p w14:paraId="35082CB6">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19.电源要求：单相AC220V±10%，50 Hz±5%。</w:t>
            </w:r>
          </w:p>
          <w:p w14:paraId="3197BD02">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20.重量（标准配置，参考值）≤2000 Kg（不包括天线罩）</w:t>
            </w:r>
          </w:p>
          <w:p w14:paraId="68349239">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21.环境要求</w:t>
            </w:r>
          </w:p>
          <w:p w14:paraId="64F55149">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（1）工作温度：室外装置：-40℃～+50℃,室内装置：0℃～+40℃；</w:t>
            </w:r>
          </w:p>
          <w:p w14:paraId="2226A77A">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（2）贮存温度：-50℃～+60℃；</w:t>
            </w:r>
          </w:p>
          <w:p w14:paraId="609482EA">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（3）最大湿度（+30℃)：室外装置：≤95%，室内装置：≤90%；</w:t>
            </w:r>
          </w:p>
          <w:p w14:paraId="337D2D26">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（4）抗阵风能力：≥30 m/s不损坏（锥形天线罩）；</w:t>
            </w:r>
          </w:p>
          <w:p w14:paraId="0D9E7B4A">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（5）淋雨：最大降水强度：≥6 mm/min；</w:t>
            </w:r>
          </w:p>
          <w:p w14:paraId="087527CA">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（6）抗干扰：抗电源干扰、电磁干扰、无线电频率干扰等；</w:t>
            </w:r>
          </w:p>
          <w:p w14:paraId="66D1F281">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（7）其他：防水、防盐雾。</w:t>
            </w:r>
          </w:p>
          <w:p w14:paraId="00A4C8A3">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22.整机功耗（峰值）≤3 kW</w:t>
            </w:r>
          </w:p>
          <w:p w14:paraId="6C48B169">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23.平均无故障时间（MTBF）≥2000 h</w:t>
            </w:r>
          </w:p>
          <w:p w14:paraId="08ED4A50">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24.平均故障修复时间（MTTR）≤0.5 h</w:t>
            </w:r>
          </w:p>
          <w:p w14:paraId="363CC5A5">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25.架设方式：可固定架设也可移动式。</w:t>
            </w:r>
          </w:p>
          <w:p w14:paraId="631136D3">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26.微波辐射安全性：雷达微波漏能功率密度应符合</w:t>
            </w:r>
            <w:r>
              <w:rPr>
                <w:rFonts w:hint="eastAsia" w:ascii="宋体" w:hAnsi="宋体" w:eastAsia="宋体" w:cs="宋体"/>
                <w:color w:val="auto"/>
                <w:kern w:val="0"/>
                <w:szCs w:val="21"/>
                <w:highlight w:val="none"/>
                <w:lang w:eastAsia="zh-CN" w:bidi="ar"/>
              </w:rPr>
              <w:t>GJB 5313A-2017</w:t>
            </w:r>
            <w:r>
              <w:rPr>
                <w:rFonts w:hint="eastAsia" w:ascii="宋体" w:hAnsi="宋体" w:eastAsia="宋体" w:cs="宋体"/>
                <w:color w:val="auto"/>
                <w:kern w:val="0"/>
                <w:szCs w:val="21"/>
                <w:highlight w:val="none"/>
                <w:lang w:bidi="ar"/>
              </w:rPr>
              <w:t>的要求。</w:t>
            </w:r>
          </w:p>
          <w:p w14:paraId="38AA034D">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27.防雷要求：接地电阻应不大于4Ω,雷达电源线输入端应加装防雷滤波器，室外电缆一律采用屏蔽电缆或光缆。</w:t>
            </w:r>
          </w:p>
          <w:p w14:paraId="31A021D4">
            <w:pPr>
              <w:rPr>
                <w:rFonts w:ascii="宋体" w:hAnsi="宋体" w:eastAsia="宋体" w:cs="宋体"/>
                <w:color w:val="auto"/>
                <w:kern w:val="0"/>
                <w:szCs w:val="21"/>
                <w:highlight w:val="none"/>
                <w:lang w:bidi="ar"/>
              </w:rPr>
            </w:pPr>
            <w:r>
              <w:rPr>
                <w:rFonts w:hint="eastAsia" w:ascii="宋体" w:hAnsi="宋体" w:eastAsia="宋体" w:cs="宋体"/>
                <w:color w:val="auto"/>
                <w:szCs w:val="21"/>
                <w:highlight w:val="none"/>
              </w:rPr>
              <w:t>▲</w:t>
            </w:r>
            <w:r>
              <w:rPr>
                <w:rFonts w:hint="eastAsia" w:ascii="Times New Roman" w:hAnsi="Times New Roman" w:eastAsia="宋体" w:cs="Times New Roman"/>
                <w:b/>
                <w:bCs/>
                <w:color w:val="auto"/>
                <w:kern w:val="0"/>
                <w:szCs w:val="21"/>
                <w:highlight w:val="none"/>
                <w:lang w:bidi="ar"/>
              </w:rPr>
              <w:t>28.产品具有中国气象局颁发的《气象专用技术装备使用许可证》。</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4924">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b/>
                <w:bCs/>
                <w:color w:val="auto"/>
                <w:kern w:val="0"/>
                <w:szCs w:val="21"/>
                <w:highlight w:val="none"/>
                <w:lang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A53EB">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b/>
                <w:bCs/>
                <w:color w:val="auto"/>
                <w:kern w:val="0"/>
                <w:szCs w:val="21"/>
                <w:highlight w:val="none"/>
                <w:lang w:bidi="ar"/>
              </w:rPr>
              <w:t>套</w:t>
            </w:r>
          </w:p>
        </w:tc>
      </w:tr>
      <w:tr w14:paraId="719B787A">
        <w:tblPrEx>
          <w:tblCellMar>
            <w:top w:w="0" w:type="dxa"/>
            <w:left w:w="108" w:type="dxa"/>
            <w:bottom w:w="0" w:type="dxa"/>
            <w:right w:w="108" w:type="dxa"/>
          </w:tblCellMar>
        </w:tblPrEx>
        <w:trPr>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4B748">
            <w:pPr>
              <w:widowControl/>
              <w:snapToGrid w:val="0"/>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szCs w:val="21"/>
                <w:highlight w:val="none"/>
              </w:rPr>
              <w:t>6</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6D106">
            <w:pPr>
              <w:widowControl/>
              <w:snapToGrid w:val="0"/>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小型旋翼</w:t>
            </w:r>
          </w:p>
          <w:p w14:paraId="63E666A0">
            <w:pPr>
              <w:widowControl/>
              <w:snapToGrid w:val="0"/>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无人机</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AFFFC">
            <w:pPr>
              <w:widowControl/>
              <w:ind w:firstLine="0" w:firstLineChars="0"/>
              <w:rPr>
                <w:rFonts w:ascii="宋体" w:hAnsi="宋体" w:eastAsia="宋体" w:cs="宋体"/>
                <w:color w:val="auto"/>
                <w:kern w:val="0"/>
                <w:szCs w:val="21"/>
                <w:highlight w:val="none"/>
                <w:lang w:bidi="ar"/>
              </w:rPr>
            </w:pPr>
            <w:r>
              <w:rPr>
                <w:rFonts w:hint="eastAsia" w:ascii="宋体" w:hAnsi="宋体" w:eastAsia="宋体" w:cs="宋体"/>
                <w:b/>
                <w:bCs/>
                <w:color w:val="auto"/>
                <w:kern w:val="0"/>
                <w:szCs w:val="21"/>
                <w:highlight w:val="none"/>
                <w:lang w:bidi="ar"/>
              </w:rPr>
              <w:t>小型旋翼无人机由无人机平台、无人机遥控器、云台相机组成，同时支持搭载国内无人机气象模块负载，进行气象多参数多要素测量。支持飞行轨迹编程、远程控制、一键起降功能，配备专业化操作软件，具有模块化吊舱设计，可根据任务需要搭载不同任务吊舱。</w:t>
            </w:r>
          </w:p>
          <w:p w14:paraId="6F0F94A5">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1.飞行高度：0～500m（电子限高）</w:t>
            </w:r>
          </w:p>
          <w:p w14:paraId="46EFBC19">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2.电池：</w:t>
            </w:r>
            <w:r>
              <w:rPr>
                <w:rFonts w:hint="eastAsia" w:ascii="宋体" w:hAnsi="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2块智能动力电池，提供≥30 min续航。</w:t>
            </w:r>
          </w:p>
          <w:p w14:paraId="11FC20AE">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3.地面站遥控距离≥5 km</w:t>
            </w:r>
          </w:p>
          <w:p w14:paraId="2BF123CA">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4.重量≤20 kg，满足便携性要求。</w:t>
            </w:r>
          </w:p>
          <w:p w14:paraId="3E1BC90E">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5.工作频率（参考）</w:t>
            </w:r>
          </w:p>
          <w:p w14:paraId="74E90C6F">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（1）2.4000 GHz 至2.4835 GHz</w:t>
            </w:r>
          </w:p>
          <w:p w14:paraId="32921FE3">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（2）5.150 GHz 至5.250 GHz（CE：5.170 GHz至5.250 GHz）</w:t>
            </w:r>
          </w:p>
          <w:p w14:paraId="3F0C4557">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（3）5.725 GHz至5.850 GHz</w:t>
            </w:r>
          </w:p>
          <w:p w14:paraId="25497D3C">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6.最长飞行时间≥30 min</w:t>
            </w:r>
          </w:p>
          <w:p w14:paraId="04B5F22F">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7.IP防护等级≥IP55</w:t>
            </w:r>
          </w:p>
          <w:p w14:paraId="21D251E5">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8.云台：高清摄像，有效像素≥2.1亿，图传。</w:t>
            </w:r>
          </w:p>
          <w:p w14:paraId="14C91EC4">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9.功能</w:t>
            </w:r>
          </w:p>
          <w:p w14:paraId="32DC042F">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（1）支持可编程飞行轨迹；</w:t>
            </w:r>
          </w:p>
          <w:p w14:paraId="61D96391">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（2）支持远程控制；</w:t>
            </w:r>
          </w:p>
          <w:p w14:paraId="4CE3BCEE">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（3）支持一键起飞降落；</w:t>
            </w:r>
          </w:p>
          <w:p w14:paraId="6CE5732B">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（4）模块化吊舱设计；</w:t>
            </w:r>
          </w:p>
          <w:p w14:paraId="2689312F">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（5）搭载气象参数多要素测量（温度、湿度和气压等）；</w:t>
            </w:r>
          </w:p>
          <w:p w14:paraId="4E639738">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（6）配备专业软件，操作简单；</w:t>
            </w:r>
          </w:p>
          <w:p w14:paraId="7CF8C0F8">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（7）支持手机与平板的APP应用，支持数据的二次开发。</w:t>
            </w:r>
          </w:p>
          <w:p w14:paraId="24EE64CA">
            <w:pP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r>
              <w:rPr>
                <w:rFonts w:ascii="宋体" w:hAnsi="宋体" w:eastAsia="宋体" w:cs="宋体"/>
                <w:color w:val="auto"/>
                <w:kern w:val="0"/>
                <w:szCs w:val="21"/>
                <w:highlight w:val="none"/>
                <w:lang w:bidi="ar"/>
              </w:rPr>
              <w:t>0</w:t>
            </w:r>
            <w:r>
              <w:rPr>
                <w:rFonts w:hint="eastAsia" w:ascii="宋体" w:hAnsi="宋体" w:eastAsia="宋体" w:cs="宋体"/>
                <w:color w:val="auto"/>
                <w:kern w:val="0"/>
                <w:szCs w:val="21"/>
                <w:highlight w:val="none"/>
                <w:lang w:bidi="ar"/>
              </w:rPr>
              <w:t>.质保期：≥</w:t>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年。</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D8E79">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8C582">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架</w:t>
            </w:r>
          </w:p>
        </w:tc>
      </w:tr>
    </w:tbl>
    <w:p w14:paraId="1B9F742E">
      <w:pPr>
        <w:spacing w:line="360" w:lineRule="auto"/>
        <w:outlineLvl w:val="4"/>
        <w:rPr>
          <w:rFonts w:hint="eastAsia" w:eastAsia="宋体"/>
          <w:b/>
          <w:bCs/>
          <w:color w:val="auto"/>
          <w:highlight w:val="none"/>
        </w:rPr>
      </w:pPr>
      <w:r>
        <w:rPr>
          <w:rFonts w:hint="eastAsia" w:eastAsia="宋体"/>
          <w:b/>
          <w:bCs/>
          <w:color w:val="auto"/>
          <w:highlight w:val="none"/>
        </w:rPr>
        <w:t>（2）指挥模组</w:t>
      </w:r>
    </w:p>
    <w:p w14:paraId="58DEF3E5">
      <w:pPr>
        <w:spacing w:line="360" w:lineRule="auto"/>
        <w:ind w:firstLine="420" w:firstLineChars="200"/>
        <w:rPr>
          <w:rFonts w:hint="eastAsia" w:eastAsia="宋体"/>
          <w:color w:val="auto"/>
          <w:highlight w:val="none"/>
        </w:rPr>
      </w:pPr>
      <w:r>
        <w:rPr>
          <w:rFonts w:hint="eastAsia" w:eastAsia="宋体"/>
          <w:color w:val="auto"/>
          <w:highlight w:val="none"/>
        </w:rPr>
        <w:t>由任务方舱、作业指挥平台和通信系统组成，通信系统主要由信息网络系统、会商系统、通讯系统、指挥调度平台及供电系统等组成，技术性能指标具体见下表：</w:t>
      </w:r>
    </w:p>
    <w:tbl>
      <w:tblPr>
        <w:tblStyle w:val="51"/>
        <w:tblW w:w="8276" w:type="dxa"/>
        <w:jc w:val="center"/>
        <w:tblLayout w:type="fixed"/>
        <w:tblCellMar>
          <w:top w:w="0" w:type="dxa"/>
          <w:left w:w="108" w:type="dxa"/>
          <w:bottom w:w="0" w:type="dxa"/>
          <w:right w:w="108" w:type="dxa"/>
        </w:tblCellMar>
      </w:tblPr>
      <w:tblGrid>
        <w:gridCol w:w="673"/>
        <w:gridCol w:w="932"/>
        <w:gridCol w:w="5345"/>
        <w:gridCol w:w="681"/>
        <w:gridCol w:w="645"/>
      </w:tblGrid>
      <w:tr w14:paraId="211FC2A2">
        <w:tblPrEx>
          <w:tblCellMar>
            <w:top w:w="0" w:type="dxa"/>
            <w:left w:w="108" w:type="dxa"/>
            <w:bottom w:w="0" w:type="dxa"/>
            <w:right w:w="108" w:type="dxa"/>
          </w:tblCellMar>
        </w:tblPrEx>
        <w:trPr>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6741">
            <w:pPr>
              <w:widowControl/>
              <w:snapToGrid w:val="0"/>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序号</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5A6C7">
            <w:pPr>
              <w:widowControl/>
              <w:snapToGrid w:val="0"/>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设备内容</w:t>
            </w:r>
          </w:p>
        </w:tc>
        <w:tc>
          <w:tcPr>
            <w:tcW w:w="5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911A8">
            <w:pPr>
              <w:widowControl/>
              <w:snapToGrid w:val="0"/>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主要性能指标</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1F0B3">
            <w:pPr>
              <w:widowControl/>
              <w:snapToGrid w:val="0"/>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数量</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E1D6">
            <w:pPr>
              <w:widowControl/>
              <w:snapToGrid w:val="0"/>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单位</w:t>
            </w:r>
          </w:p>
        </w:tc>
      </w:tr>
      <w:tr w14:paraId="11B5CD24">
        <w:tblPrEx>
          <w:tblCellMar>
            <w:top w:w="0" w:type="dxa"/>
            <w:left w:w="108" w:type="dxa"/>
            <w:bottom w:w="0" w:type="dxa"/>
            <w:right w:w="108" w:type="dxa"/>
          </w:tblCellMar>
        </w:tblPrEx>
        <w:trPr>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50A77">
            <w:pPr>
              <w:widowControl/>
              <w:snapToGrid w:val="0"/>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831A">
            <w:pPr>
              <w:widowControl/>
              <w:snapToGrid w:val="0"/>
              <w:jc w:val="left"/>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移动式方舱</w:t>
            </w:r>
          </w:p>
        </w:tc>
        <w:tc>
          <w:tcPr>
            <w:tcW w:w="5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E8A3E">
            <w:pPr>
              <w:widowControl/>
              <w:snapToGrid w:val="0"/>
              <w:ind w:firstLine="420" w:firstLineChars="200"/>
              <w:jc w:val="left"/>
              <w:textAlignment w:val="center"/>
              <w:rPr>
                <w:rFonts w:ascii="宋体" w:hAnsi="宋体" w:eastAsia="宋体" w:cs="宋体"/>
                <w:b/>
                <w:bCs/>
                <w:color w:val="auto"/>
                <w:szCs w:val="21"/>
                <w:highlight w:val="none"/>
              </w:rPr>
            </w:pPr>
            <w:r>
              <w:rPr>
                <w:rFonts w:hint="eastAsia" w:ascii="宋体" w:hAnsi="宋体" w:eastAsia="宋体" w:cs="宋体"/>
                <w:color w:val="auto"/>
                <w:kern w:val="0"/>
                <w:szCs w:val="21"/>
                <w:highlight w:val="none"/>
                <w:lang w:bidi="ar"/>
              </w:rPr>
              <w:t>方舱主要由设备舱、工作舱、温湿调控系统、供电系统、录像设备、方舱升降机构、电动天窗、方舱调平仪和便携式大气参数探测设备存储舱等组成。方舱外形尺寸需满足指挥模组功能要求。</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F60FA">
            <w:pPr>
              <w:widowControl/>
              <w:snapToGrid w:val="0"/>
              <w:jc w:val="center"/>
              <w:textAlignment w:val="center"/>
              <w:rPr>
                <w:rFonts w:ascii="宋体" w:hAnsi="宋体" w:eastAsia="宋体" w:cs="宋体"/>
                <w:b/>
                <w:bCs/>
                <w:color w:val="auto"/>
                <w:szCs w:val="21"/>
                <w:highlight w:val="none"/>
              </w:rPr>
            </w:pPr>
            <w:r>
              <w:rPr>
                <w:rFonts w:hint="eastAsia" w:ascii="宋体" w:hAnsi="宋体" w:eastAsia="宋体" w:cs="宋体"/>
                <w:color w:val="auto"/>
                <w:kern w:val="0"/>
                <w:szCs w:val="21"/>
                <w:highlight w:val="none"/>
                <w:lang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CF9CD">
            <w:pPr>
              <w:widowControl/>
              <w:snapToGrid w:val="0"/>
              <w:jc w:val="center"/>
              <w:textAlignment w:val="center"/>
              <w:rPr>
                <w:rFonts w:ascii="宋体" w:hAnsi="宋体" w:eastAsia="宋体" w:cs="宋体"/>
                <w:b/>
                <w:bCs/>
                <w:color w:val="auto"/>
                <w:szCs w:val="21"/>
                <w:highlight w:val="none"/>
              </w:rPr>
            </w:pPr>
            <w:r>
              <w:rPr>
                <w:rFonts w:hint="eastAsia" w:ascii="宋体" w:hAnsi="宋体" w:eastAsia="宋体" w:cs="宋体"/>
                <w:color w:val="auto"/>
                <w:kern w:val="0"/>
                <w:szCs w:val="21"/>
                <w:highlight w:val="none"/>
                <w:lang w:bidi="ar"/>
              </w:rPr>
              <w:t>套</w:t>
            </w:r>
          </w:p>
        </w:tc>
      </w:tr>
      <w:tr w14:paraId="690DC1E7">
        <w:tblPrEx>
          <w:tblCellMar>
            <w:top w:w="0" w:type="dxa"/>
            <w:left w:w="108" w:type="dxa"/>
            <w:bottom w:w="0" w:type="dxa"/>
            <w:right w:w="108" w:type="dxa"/>
          </w:tblCellMar>
        </w:tblPrEx>
        <w:trPr>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372D0">
            <w:pPr>
              <w:widowControl/>
              <w:snapToGrid w:val="0"/>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1.1</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9EDA">
            <w:pPr>
              <w:widowControl/>
              <w:snapToGrid w:val="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方舱主厢体</w:t>
            </w:r>
          </w:p>
        </w:tc>
        <w:tc>
          <w:tcPr>
            <w:tcW w:w="5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90B0">
            <w:pPr>
              <w:widowControl/>
              <w:snapToGrid w:val="0"/>
              <w:ind w:firstLine="420" w:firstLineChars="20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1.采用直角方舱，外形宽度≤2438mm，配备8个角安装方舱角件，厢体按钢骨架铝合金蒙皮进行制作，外蒙皮选用厚度≥2mm 铝板，选用高密度的阻燃聚氨酯泡沫作为夹芯层（隔热芯材），大板中所用的骨架为钢骨架焊接而成，内外蒙皮与骨架粘接固定,厢体骨架整体防腐处理，以保证骨架的防腐能力。内饰型材及外包型材、门结构采用铝型材。各开孔和承重处均设置骨架的预埋件，满足车厢的承重要求和安装要求。</w:t>
            </w:r>
          </w:p>
          <w:p w14:paraId="5FB1CA80">
            <w:pPr>
              <w:ind w:firstLine="420" w:firstLineChars="200"/>
              <w:rPr>
                <w:rFonts w:ascii="宋体" w:hAnsi="宋体"/>
                <w:color w:val="auto"/>
                <w:szCs w:val="21"/>
                <w:highlight w:val="none"/>
              </w:rPr>
            </w:pPr>
            <w:r>
              <w:rPr>
                <w:rFonts w:hint="eastAsia" w:ascii="宋体" w:hAnsi="宋体"/>
                <w:color w:val="auto"/>
                <w:szCs w:val="21"/>
                <w:highlight w:val="none"/>
              </w:rPr>
              <w:t>2.舱体尺寸适配</w:t>
            </w:r>
            <w:r>
              <w:rPr>
                <w:rFonts w:hint="eastAsia" w:ascii="宋体" w:hAnsi="宋体"/>
                <w:color w:val="auto"/>
                <w:szCs w:val="21"/>
                <w:highlight w:val="none"/>
                <w:lang w:val="en-US" w:eastAsia="zh-CN"/>
              </w:rPr>
              <w:t>车载式机动集成作业系统的</w:t>
            </w:r>
            <w:r>
              <w:rPr>
                <w:rFonts w:hint="eastAsia" w:ascii="宋体" w:hAnsi="宋体"/>
                <w:color w:val="auto"/>
                <w:szCs w:val="21"/>
                <w:highlight w:val="none"/>
              </w:rPr>
              <w:t>指挥模组载车底盘。</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1ED6">
            <w:pPr>
              <w:widowControl/>
              <w:snapToGrid w:val="0"/>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C49E9">
            <w:pPr>
              <w:widowControl/>
              <w:snapToGrid w:val="0"/>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r>
      <w:tr w14:paraId="12BB8D2B">
        <w:tblPrEx>
          <w:tblCellMar>
            <w:top w:w="0" w:type="dxa"/>
            <w:left w:w="108" w:type="dxa"/>
            <w:bottom w:w="0" w:type="dxa"/>
            <w:right w:w="108" w:type="dxa"/>
          </w:tblCellMar>
        </w:tblPrEx>
        <w:trPr>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65A8F">
            <w:pPr>
              <w:widowControl/>
              <w:snapToGrid w:val="0"/>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1.2</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6310">
            <w:pPr>
              <w:widowControl/>
              <w:snapToGrid w:val="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方舱配套设施</w:t>
            </w:r>
          </w:p>
        </w:tc>
        <w:tc>
          <w:tcPr>
            <w:tcW w:w="5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4B0F3">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1.舱体自卸举升机构</w:t>
            </w:r>
          </w:p>
          <w:p w14:paraId="69F51D12">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（1）额定提升重量：满足舱体设计使用重量要求，并具备30%以上冗余能力；</w:t>
            </w:r>
          </w:p>
          <w:p w14:paraId="17BCB0A2">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）额定举升高度：≥1500mm；</w:t>
            </w:r>
          </w:p>
          <w:p w14:paraId="15BD370A">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）升降时间(单程)：≤15min；</w:t>
            </w:r>
          </w:p>
          <w:p w14:paraId="7F31A1AB">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）调平时间：＜3min（6m 长方舱所需时间）；</w:t>
            </w:r>
          </w:p>
          <w:p w14:paraId="09351DBA">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）调平精度：≤0.5 度；</w:t>
            </w:r>
          </w:p>
          <w:p w14:paraId="70FAE2A1">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）工作方式：液压或电动（可手动）。</w:t>
            </w:r>
          </w:p>
          <w:p w14:paraId="5E18C19A">
            <w:pPr>
              <w:keepNext w:val="0"/>
              <w:keepLines w:val="0"/>
              <w:pageBreakBefore w:val="0"/>
              <w:widowControl/>
              <w:kinsoku/>
              <w:wordWrap/>
              <w:overflowPunct/>
              <w:topLinePunct w:val="0"/>
              <w:autoSpaceDE/>
              <w:autoSpaceDN/>
              <w:bidi w:val="0"/>
              <w:adjustRightInd/>
              <w:ind w:firstLine="0" w:firstLineChars="0"/>
              <w:jc w:val="left"/>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kern w:val="0"/>
                <w:szCs w:val="21"/>
                <w:highlight w:val="none"/>
                <w:lang w:bidi="ar"/>
              </w:rPr>
              <w:t>登舱门</w:t>
            </w:r>
          </w:p>
          <w:p w14:paraId="22C2E91C">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侧开门开启角度≥90°，采用三点锁紧机构，入户门配备机械锁，在舱内能够将门打开。</w:t>
            </w:r>
          </w:p>
          <w:p w14:paraId="6B1C5ABB">
            <w:pPr>
              <w:keepNext w:val="0"/>
              <w:keepLines w:val="0"/>
              <w:pageBreakBefore w:val="0"/>
              <w:widowControl/>
              <w:kinsoku/>
              <w:wordWrap/>
              <w:overflowPunct/>
              <w:topLinePunct w:val="0"/>
              <w:autoSpaceDE/>
              <w:autoSpaceDN/>
              <w:bidi w:val="0"/>
              <w:adjustRightInd/>
              <w:ind w:firstLine="0" w:firstLineChars="0"/>
              <w:jc w:val="left"/>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kern w:val="0"/>
                <w:szCs w:val="21"/>
                <w:highlight w:val="none"/>
                <w:lang w:bidi="ar"/>
              </w:rPr>
              <w:t>采光窗</w:t>
            </w:r>
          </w:p>
          <w:p w14:paraId="568D31B2">
            <w:pPr>
              <w:keepNext w:val="0"/>
              <w:keepLines w:val="0"/>
              <w:pageBreakBefore w:val="0"/>
              <w:widowControl/>
              <w:kinsoku/>
              <w:wordWrap/>
              <w:overflowPunct/>
              <w:topLinePunct w:val="0"/>
              <w:autoSpaceDE/>
              <w:autoSpaceDN/>
              <w:bidi w:val="0"/>
              <w:adjustRightInd/>
              <w:ind w:firstLine="0" w:firstLineChars="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采用双层钢化玻璃。</w:t>
            </w:r>
          </w:p>
          <w:p w14:paraId="3E0607D4">
            <w:pPr>
              <w:keepNext w:val="0"/>
              <w:keepLines w:val="0"/>
              <w:pageBreakBefore w:val="0"/>
              <w:widowControl/>
              <w:kinsoku/>
              <w:wordWrap/>
              <w:overflowPunct/>
              <w:topLinePunct w:val="0"/>
              <w:autoSpaceDE/>
              <w:autoSpaceDN/>
              <w:bidi w:val="0"/>
              <w:adjustRightInd/>
              <w:ind w:firstLine="0" w:firstLineChars="0"/>
              <w:jc w:val="left"/>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kern w:val="0"/>
                <w:szCs w:val="21"/>
                <w:highlight w:val="none"/>
                <w:lang w:bidi="ar"/>
              </w:rPr>
              <w:t>发电机检修门</w:t>
            </w:r>
          </w:p>
          <w:p w14:paraId="446A1B00">
            <w:pPr>
              <w:keepNext w:val="0"/>
              <w:keepLines w:val="0"/>
              <w:pageBreakBefore w:val="0"/>
              <w:widowControl/>
              <w:kinsoku/>
              <w:wordWrap/>
              <w:overflowPunct/>
              <w:topLinePunct w:val="0"/>
              <w:autoSpaceDE/>
              <w:autoSpaceDN/>
              <w:bidi w:val="0"/>
              <w:adjustRightInd/>
              <w:ind w:firstLine="0" w:firstLineChars="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采用高强度铝合金结构，门板上配备百叶窗式格栅，用于设备通风散热。</w:t>
            </w:r>
          </w:p>
          <w:p w14:paraId="5D514F5C">
            <w:pPr>
              <w:keepNext w:val="0"/>
              <w:keepLines w:val="0"/>
              <w:pageBreakBefore w:val="0"/>
              <w:widowControl/>
              <w:kinsoku/>
              <w:wordWrap/>
              <w:overflowPunct/>
              <w:topLinePunct w:val="0"/>
              <w:autoSpaceDE/>
              <w:autoSpaceDN/>
              <w:bidi w:val="0"/>
              <w:adjustRightInd/>
              <w:ind w:firstLine="0" w:firstLineChars="0"/>
              <w:jc w:val="left"/>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kern w:val="0"/>
                <w:szCs w:val="21"/>
                <w:highlight w:val="none"/>
                <w:lang w:bidi="ar"/>
              </w:rPr>
              <w:t>采光窗帘</w:t>
            </w:r>
          </w:p>
          <w:p w14:paraId="6D76851D">
            <w:pPr>
              <w:keepNext w:val="0"/>
              <w:keepLines w:val="0"/>
              <w:pageBreakBefore w:val="0"/>
              <w:widowControl/>
              <w:kinsoku/>
              <w:wordWrap/>
              <w:overflowPunct/>
              <w:topLinePunct w:val="0"/>
              <w:autoSpaceDE/>
              <w:autoSpaceDN/>
              <w:bidi w:val="0"/>
              <w:adjustRightInd/>
              <w:ind w:firstLine="0" w:firstLineChars="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采用避光防蚊一体式窗帘。</w:t>
            </w:r>
          </w:p>
          <w:p w14:paraId="6C19A45C">
            <w:pPr>
              <w:keepNext w:val="0"/>
              <w:keepLines w:val="0"/>
              <w:pageBreakBefore w:val="0"/>
              <w:widowControl/>
              <w:kinsoku/>
              <w:wordWrap/>
              <w:overflowPunct/>
              <w:topLinePunct w:val="0"/>
              <w:autoSpaceDE/>
              <w:autoSpaceDN/>
              <w:bidi w:val="0"/>
              <w:adjustRightInd/>
              <w:ind w:firstLine="0" w:firstLineChars="0"/>
              <w:jc w:val="left"/>
              <w:rPr>
                <w:rFonts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kern w:val="0"/>
                <w:szCs w:val="21"/>
                <w:highlight w:val="none"/>
                <w:lang w:bidi="ar"/>
              </w:rPr>
              <w:t>设备机柜</w:t>
            </w:r>
          </w:p>
          <w:p w14:paraId="42049B07">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标准19英寸机架，表面喷塑，包含安装件、减震等，尺寸符合设备上装要求。</w:t>
            </w:r>
          </w:p>
          <w:p w14:paraId="2E14C724">
            <w:pPr>
              <w:keepNext w:val="0"/>
              <w:keepLines w:val="0"/>
              <w:pageBreakBefore w:val="0"/>
              <w:widowControl/>
              <w:kinsoku/>
              <w:wordWrap/>
              <w:overflowPunct/>
              <w:topLinePunct w:val="0"/>
              <w:autoSpaceDE/>
              <w:autoSpaceDN/>
              <w:bidi w:val="0"/>
              <w:adjustRightInd/>
              <w:ind w:firstLine="0" w:firstLineChars="0"/>
              <w:jc w:val="left"/>
              <w:rPr>
                <w:rFonts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kern w:val="0"/>
                <w:szCs w:val="21"/>
                <w:highlight w:val="none"/>
                <w:lang w:bidi="ar"/>
              </w:rPr>
              <w:t>舱体地板</w:t>
            </w:r>
          </w:p>
          <w:p w14:paraId="6263221A">
            <w:pPr>
              <w:keepNext w:val="0"/>
              <w:keepLines w:val="0"/>
              <w:pageBreakBefore w:val="0"/>
              <w:widowControl/>
              <w:kinsoku/>
              <w:wordWrap/>
              <w:overflowPunct/>
              <w:topLinePunct w:val="0"/>
              <w:autoSpaceDE/>
              <w:autoSpaceDN/>
              <w:bidi w:val="0"/>
              <w:adjustRightInd/>
              <w:ind w:firstLine="0" w:firstLineChars="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会议区和操作区表面铺地板革，发电机区铺设花纹铝板。</w:t>
            </w:r>
          </w:p>
          <w:p w14:paraId="6DFB7E42">
            <w:pPr>
              <w:keepNext w:val="0"/>
              <w:keepLines w:val="0"/>
              <w:pageBreakBefore w:val="0"/>
              <w:widowControl/>
              <w:kinsoku/>
              <w:wordWrap/>
              <w:overflowPunct/>
              <w:topLinePunct w:val="0"/>
              <w:autoSpaceDE/>
              <w:autoSpaceDN/>
              <w:bidi w:val="0"/>
              <w:adjustRightInd/>
              <w:ind w:firstLine="0" w:firstLineChars="0"/>
              <w:jc w:val="left"/>
              <w:rPr>
                <w:rFonts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kern w:val="0"/>
                <w:szCs w:val="21"/>
                <w:highlight w:val="none"/>
                <w:lang w:bidi="ar"/>
              </w:rPr>
              <w:t>舱内基础内饰</w:t>
            </w:r>
          </w:p>
          <w:p w14:paraId="48E7557B">
            <w:pPr>
              <w:keepNext w:val="0"/>
              <w:keepLines w:val="0"/>
              <w:pageBreakBefore w:val="0"/>
              <w:widowControl/>
              <w:kinsoku/>
              <w:wordWrap/>
              <w:overflowPunct/>
              <w:topLinePunct w:val="0"/>
              <w:autoSpaceDE/>
              <w:autoSpaceDN/>
              <w:bidi w:val="0"/>
              <w:adjustRightInd/>
              <w:ind w:firstLine="0" w:firstLineChars="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对厢体内部进行平整处理，会议区和操作区表面喷漆或软包装饰，发电区墙面喷漆处理。</w:t>
            </w:r>
          </w:p>
          <w:p w14:paraId="2098F395">
            <w:pPr>
              <w:keepNext w:val="0"/>
              <w:keepLines w:val="0"/>
              <w:pageBreakBefore w:val="0"/>
              <w:widowControl/>
              <w:kinsoku/>
              <w:wordWrap/>
              <w:overflowPunct/>
              <w:topLinePunct w:val="0"/>
              <w:autoSpaceDE/>
              <w:autoSpaceDN/>
              <w:bidi w:val="0"/>
              <w:adjustRightInd/>
              <w:ind w:firstLine="0" w:firstLineChars="0"/>
              <w:jc w:val="left"/>
              <w:rPr>
                <w:rFonts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eastAsia="宋体" w:cs="宋体"/>
                <w:color w:val="auto"/>
                <w:kern w:val="0"/>
                <w:szCs w:val="21"/>
                <w:highlight w:val="none"/>
                <w:lang w:bidi="ar"/>
              </w:rPr>
              <w:t>机柜台面</w:t>
            </w:r>
          </w:p>
          <w:p w14:paraId="153BEC1F">
            <w:pPr>
              <w:keepNext w:val="0"/>
              <w:keepLines w:val="0"/>
              <w:pageBreakBefore w:val="0"/>
              <w:widowControl/>
              <w:kinsoku/>
              <w:wordWrap/>
              <w:overflowPunct/>
              <w:topLinePunct w:val="0"/>
              <w:autoSpaceDE/>
              <w:autoSpaceDN/>
              <w:bidi w:val="0"/>
              <w:adjustRightInd/>
              <w:ind w:firstLine="0" w:firstLineChars="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采用环保免漆板制作。</w:t>
            </w:r>
          </w:p>
          <w:p w14:paraId="7B700C95">
            <w:pPr>
              <w:keepNext w:val="0"/>
              <w:keepLines w:val="0"/>
              <w:pageBreakBefore w:val="0"/>
              <w:widowControl/>
              <w:kinsoku/>
              <w:wordWrap/>
              <w:overflowPunct/>
              <w:topLinePunct w:val="0"/>
              <w:autoSpaceDE/>
              <w:autoSpaceDN/>
              <w:bidi w:val="0"/>
              <w:adjustRightInd/>
              <w:ind w:firstLine="0" w:firstLineChars="0"/>
              <w:jc w:val="left"/>
              <w:rPr>
                <w:rFonts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eastAsia="宋体" w:cs="宋体"/>
                <w:color w:val="auto"/>
                <w:kern w:val="0"/>
                <w:szCs w:val="21"/>
                <w:highlight w:val="none"/>
                <w:lang w:bidi="ar"/>
              </w:rPr>
              <w:t>操作员座椅3套</w:t>
            </w:r>
          </w:p>
          <w:p w14:paraId="527DA66D">
            <w:pPr>
              <w:keepNext w:val="0"/>
              <w:keepLines w:val="0"/>
              <w:pageBreakBefore w:val="0"/>
              <w:widowControl/>
              <w:kinsoku/>
              <w:wordWrap/>
              <w:overflowPunct/>
              <w:topLinePunct w:val="0"/>
              <w:autoSpaceDE/>
              <w:autoSpaceDN/>
              <w:bidi w:val="0"/>
              <w:adjustRightInd/>
              <w:ind w:firstLine="0" w:firstLineChars="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可旋转、前后滑移。</w:t>
            </w:r>
          </w:p>
          <w:p w14:paraId="2B6622E4">
            <w:pPr>
              <w:keepNext w:val="0"/>
              <w:keepLines w:val="0"/>
              <w:pageBreakBefore w:val="0"/>
              <w:widowControl/>
              <w:kinsoku/>
              <w:wordWrap/>
              <w:overflowPunct/>
              <w:topLinePunct w:val="0"/>
              <w:autoSpaceDE/>
              <w:autoSpaceDN/>
              <w:bidi w:val="0"/>
              <w:adjustRightInd/>
              <w:ind w:firstLine="0" w:firstLineChars="0"/>
              <w:jc w:val="left"/>
              <w:rPr>
                <w:rFonts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kern w:val="0"/>
                <w:szCs w:val="21"/>
                <w:highlight w:val="none"/>
                <w:lang w:bidi="ar"/>
              </w:rPr>
              <w:t>油漆及外饰</w:t>
            </w:r>
          </w:p>
          <w:p w14:paraId="7EFF0223">
            <w:pPr>
              <w:keepNext w:val="0"/>
              <w:keepLines w:val="0"/>
              <w:pageBreakBefore w:val="0"/>
              <w:widowControl/>
              <w:kinsoku/>
              <w:wordWrap/>
              <w:overflowPunct/>
              <w:topLinePunct w:val="0"/>
              <w:autoSpaceDE/>
              <w:autoSpaceDN/>
              <w:bidi w:val="0"/>
              <w:adjustRightInd/>
              <w:ind w:firstLine="0" w:firstLineChars="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专业烤漆房烤漆，外观贴字根据用户需求定制。</w:t>
            </w:r>
          </w:p>
          <w:p w14:paraId="38E9D74D">
            <w:pPr>
              <w:keepNext w:val="0"/>
              <w:keepLines w:val="0"/>
              <w:pageBreakBefore w:val="0"/>
              <w:widowControl/>
              <w:kinsoku/>
              <w:wordWrap/>
              <w:overflowPunct/>
              <w:topLinePunct w:val="0"/>
              <w:autoSpaceDE/>
              <w:autoSpaceDN/>
              <w:bidi w:val="0"/>
              <w:adjustRightInd/>
              <w:ind w:firstLine="0" w:firstLineChars="0"/>
              <w:jc w:val="left"/>
              <w:rPr>
                <w:rFonts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kern w:val="0"/>
                <w:szCs w:val="21"/>
                <w:highlight w:val="none"/>
                <w:lang w:bidi="ar"/>
              </w:rPr>
              <w:t>车内外照明系统</w:t>
            </w:r>
          </w:p>
          <w:p w14:paraId="6DAC200B">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车内外 LED 照明灯满足工作及车外场地照明需求。</w:t>
            </w:r>
          </w:p>
          <w:p w14:paraId="2F514AE7">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13.车内配备温湿调控系统:满足车内工作温度和湿度控制需求。</w:t>
            </w:r>
          </w:p>
          <w:p w14:paraId="454A4EEB">
            <w:pPr>
              <w:keepNext w:val="0"/>
              <w:keepLines w:val="0"/>
              <w:pageBreakBefore w:val="0"/>
              <w:widowControl/>
              <w:kinsoku/>
              <w:wordWrap/>
              <w:overflowPunct/>
              <w:topLinePunct w:val="0"/>
              <w:autoSpaceDE/>
              <w:autoSpaceDN/>
              <w:bidi w:val="0"/>
              <w:adjustRightInd/>
              <w:ind w:firstLine="0" w:firstLineChars="0"/>
              <w:jc w:val="left"/>
              <w:rPr>
                <w:rFonts w:ascii="宋体" w:hAnsi="宋体" w:eastAsia="宋体" w:cs="宋体"/>
                <w:color w:val="auto"/>
                <w:szCs w:val="21"/>
                <w:highlight w:val="none"/>
              </w:rPr>
            </w:pPr>
            <w:r>
              <w:rPr>
                <w:rFonts w:hint="eastAsia" w:ascii="宋体" w:hAnsi="宋体" w:eastAsia="宋体" w:cs="宋体"/>
                <w:color w:val="auto"/>
                <w:szCs w:val="21"/>
                <w:highlight w:val="none"/>
              </w:rPr>
              <w:t>14.</w:t>
            </w:r>
            <w:r>
              <w:rPr>
                <w:rFonts w:hint="eastAsia" w:ascii="宋体" w:hAnsi="宋体" w:eastAsia="宋体" w:cs="宋体"/>
                <w:color w:val="auto"/>
                <w:kern w:val="0"/>
                <w:szCs w:val="21"/>
                <w:highlight w:val="none"/>
                <w:lang w:bidi="ar"/>
              </w:rPr>
              <w:t>其他辅助设施</w:t>
            </w:r>
          </w:p>
          <w:p w14:paraId="605867FB">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bidi="ar"/>
              </w:rPr>
              <w:t>配备不少于1套</w:t>
            </w:r>
            <w:r>
              <w:rPr>
                <w:rFonts w:hint="eastAsia" w:ascii="宋体" w:hAnsi="宋体" w:eastAsia="宋体" w:cs="宋体"/>
                <w:color w:val="auto"/>
                <w:kern w:val="0"/>
                <w:szCs w:val="21"/>
                <w:highlight w:val="none"/>
                <w:lang w:bidi="ar"/>
              </w:rPr>
              <w:t>联座沙发柜</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打印机和储存柜</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会议桌，5孔电源插座≥3，并预留外部设备信息采集接口，灭火器、综合布线、集成制作等附件耗材，包含波纹管、胶带、扎带、接插件等。</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7C65F">
            <w:pPr>
              <w:widowControl/>
              <w:snapToGrid w:val="0"/>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DE71B">
            <w:pPr>
              <w:widowControl/>
              <w:snapToGrid w:val="0"/>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r>
      <w:tr w14:paraId="646F9197">
        <w:tblPrEx>
          <w:tblCellMar>
            <w:top w:w="0" w:type="dxa"/>
            <w:left w:w="108" w:type="dxa"/>
            <w:bottom w:w="0" w:type="dxa"/>
            <w:right w:w="108" w:type="dxa"/>
          </w:tblCellMar>
        </w:tblPrEx>
        <w:trPr>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03FF">
            <w:pPr>
              <w:widowControl/>
              <w:snapToGrid w:val="0"/>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1.3</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806D">
            <w:pPr>
              <w:widowControl/>
              <w:snapToGrid w:val="0"/>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供电系统</w:t>
            </w:r>
          </w:p>
        </w:tc>
        <w:tc>
          <w:tcPr>
            <w:tcW w:w="5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563B3">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1.功能要求</w:t>
            </w:r>
          </w:p>
          <w:p w14:paraId="2746E882">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方舱具备 1 路 380V频率 50×（1±5%）Hz 或 1 路 220V频率 50×（1±5%）Hz市电供电，1 路发电机供电接口，供电总功率不低于 15kW，供电方式可以切换，满足市电、发电机、UPS 不间断供电要求。配备满足功率的手动或电动市电线缆轴长度</w:t>
            </w:r>
            <w:r>
              <w:rPr>
                <w:rFonts w:hint="eastAsia" w:ascii="宋体" w:hAnsi="宋体" w:eastAsia="宋体" w:cs="宋体"/>
                <w:color w:val="auto"/>
                <w:kern w:val="0"/>
                <w:szCs w:val="21"/>
                <w:highlight w:val="none"/>
                <w:lang w:val="en-US" w:eastAsia="zh-CN" w:bidi="ar"/>
              </w:rPr>
              <w:t>不小于</w:t>
            </w:r>
            <w:r>
              <w:rPr>
                <w:rFonts w:hint="eastAsia" w:ascii="宋体" w:hAnsi="宋体" w:eastAsia="宋体" w:cs="宋体"/>
                <w:color w:val="auto"/>
                <w:kern w:val="0"/>
                <w:szCs w:val="21"/>
                <w:highlight w:val="none"/>
                <w:lang w:bidi="ar"/>
              </w:rPr>
              <w:t>45米。通过舱体对外提供供电及接地的转接板，当外部电源接至转接板后，内部通过配电箱给各设备供电。</w:t>
            </w:r>
          </w:p>
          <w:p w14:paraId="5FB86F18">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2.技术要求</w:t>
            </w:r>
          </w:p>
          <w:p w14:paraId="7475BB49">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（1）静音发电机</w:t>
            </w:r>
          </w:p>
          <w:p w14:paraId="0F6C0E02">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额定频率：50 HZ</w:t>
            </w:r>
          </w:p>
          <w:p w14:paraId="0F8892F8">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额定输出功率：</w:t>
            </w:r>
            <w:r>
              <w:rPr>
                <w:rFonts w:hint="eastAsia" w:ascii="宋体" w:hAnsi="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15KW</w:t>
            </w:r>
          </w:p>
          <w:p w14:paraId="2909CA05">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额定电压：230 V 或 400 V</w:t>
            </w:r>
          </w:p>
          <w:p w14:paraId="1C3360A9">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机组连续运行时间：≥8h</w:t>
            </w:r>
          </w:p>
          <w:p w14:paraId="5B94C7CD">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噪音（1m 处）：≤75 dB(A)</w:t>
            </w:r>
          </w:p>
          <w:p w14:paraId="570F39A3">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（2）UPS 不间断电源</w:t>
            </w:r>
          </w:p>
          <w:p w14:paraId="7F00E63B">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额定容量</w:t>
            </w:r>
            <w:r>
              <w:rPr>
                <w:rFonts w:hint="eastAsia" w:ascii="宋体" w:hAnsi="宋体" w:eastAsia="宋体" w:cs="宋体"/>
                <w:color w:val="auto"/>
                <w:kern w:val="0"/>
                <w:szCs w:val="21"/>
                <w:highlight w:val="none"/>
                <w:lang w:val="en-US" w:eastAsia="zh-CN" w:bidi="ar"/>
              </w:rPr>
              <w:t>不小于</w:t>
            </w:r>
            <w:r>
              <w:rPr>
                <w:rFonts w:hint="eastAsia" w:ascii="宋体" w:hAnsi="宋体" w:eastAsia="宋体" w:cs="宋体"/>
                <w:color w:val="auto"/>
                <w:kern w:val="0"/>
                <w:szCs w:val="21"/>
                <w:highlight w:val="none"/>
                <w:lang w:bidi="ar"/>
              </w:rPr>
              <w:t xml:space="preserve">9KVA，额定电压支持车内用电设备运行；电池容量满足 UPS 主机正常运行,满足后备电源 </w:t>
            </w:r>
            <w:r>
              <w:rPr>
                <w:rFonts w:hint="eastAsia" w:ascii="宋体" w:hAnsi="宋体" w:eastAsia="宋体" w:cs="宋体"/>
                <w:color w:val="auto"/>
                <w:kern w:val="0"/>
                <w:szCs w:val="21"/>
                <w:highlight w:val="none"/>
                <w:lang w:val="en-US" w:eastAsia="zh-CN" w:bidi="ar"/>
              </w:rPr>
              <w:t>不少于</w:t>
            </w:r>
            <w:r>
              <w:rPr>
                <w:rFonts w:hint="eastAsia" w:ascii="宋体" w:hAnsi="宋体" w:eastAsia="宋体" w:cs="宋体"/>
                <w:color w:val="auto"/>
                <w:kern w:val="0"/>
                <w:szCs w:val="21"/>
                <w:highlight w:val="none"/>
                <w:lang w:bidi="ar"/>
              </w:rPr>
              <w:t>30 分钟供电时长。</w:t>
            </w:r>
          </w:p>
          <w:p w14:paraId="37A4F4ED">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（3）配电箱</w:t>
            </w:r>
          </w:p>
          <w:p w14:paraId="63EFB4F0">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集中式电源管理系统，含支路开关、指示灯、电源电压电流显示等，开关分别控制空调、设备用电等；配电盘面板为数控机床加工，表面喷塑处理。</w:t>
            </w:r>
          </w:p>
          <w:p w14:paraId="103587A6">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（4）全车接地</w:t>
            </w:r>
          </w:p>
          <w:p w14:paraId="2C458606">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含接地桩、接地线，电源防浪涌装置。</w:t>
            </w:r>
          </w:p>
          <w:p w14:paraId="7B9BB351">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（5）对外接口板</w:t>
            </w:r>
          </w:p>
          <w:p w14:paraId="1DE896A4">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含电源、数据传输接口。</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D3F1">
            <w:pPr>
              <w:widowControl/>
              <w:snapToGrid w:val="0"/>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EDBAD">
            <w:pPr>
              <w:widowControl/>
              <w:snapToGrid w:val="0"/>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r>
      <w:tr w14:paraId="09F4CB9C">
        <w:tblPrEx>
          <w:tblCellMar>
            <w:top w:w="0" w:type="dxa"/>
            <w:left w:w="108" w:type="dxa"/>
            <w:bottom w:w="0" w:type="dxa"/>
            <w:right w:w="108" w:type="dxa"/>
          </w:tblCellMar>
        </w:tblPrEx>
        <w:trPr>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6E7D">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1.4</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3FB5">
            <w:pPr>
              <w:widowControl/>
              <w:snapToGrid w:val="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视频采集及显示系统</w:t>
            </w:r>
          </w:p>
        </w:tc>
        <w:tc>
          <w:tcPr>
            <w:tcW w:w="5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8976">
            <w:pP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1.功能要求：配备舱顶云台摄像机、舱内摄像机、硬盘录像机、</w:t>
            </w:r>
            <w:r>
              <w:rPr>
                <w:rFonts w:hint="eastAsia" w:ascii="宋体" w:hAnsi="宋体" w:eastAsia="宋体" w:cs="宋体"/>
                <w:color w:val="auto"/>
                <w:kern w:val="0"/>
                <w:szCs w:val="21"/>
                <w:highlight w:val="none"/>
                <w:lang w:bidi="ar"/>
              </w:rPr>
              <w:t>配套显示终端</w:t>
            </w:r>
            <w:r>
              <w:rPr>
                <w:rFonts w:hint="eastAsia" w:ascii="Times New Roman" w:hAnsi="Times New Roman" w:eastAsia="宋体" w:cs="Times New Roman"/>
                <w:color w:val="auto"/>
                <w:kern w:val="0"/>
                <w:szCs w:val="21"/>
                <w:highlight w:val="none"/>
                <w:lang w:bidi="ar"/>
              </w:rPr>
              <w:t>、混切矩阵。</w:t>
            </w:r>
          </w:p>
          <w:p w14:paraId="52272684">
            <w:pP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2.技术指标：</w:t>
            </w:r>
          </w:p>
          <w:p w14:paraId="70758901">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（1）舱顶云台摄像机（1台）</w:t>
            </w:r>
          </w:p>
          <w:p w14:paraId="24F1CF41">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摄像机镜头技术参数：</w:t>
            </w:r>
          </w:p>
          <w:p w14:paraId="4DAEE5FB">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①图像传感器：1/2.8″2.0MP逐行扫描CMOS；</w:t>
            </w:r>
          </w:p>
          <w:p w14:paraId="649D9E54">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②镜头倍数：</w:t>
            </w:r>
            <w:r>
              <w:rPr>
                <w:rFonts w:hint="eastAsia" w:ascii="宋体" w:hAnsi="宋体" w:eastAsia="宋体" w:cs="宋体"/>
                <w:color w:val="auto"/>
                <w:kern w:val="0"/>
                <w:szCs w:val="21"/>
                <w:highlight w:val="none"/>
                <w:lang w:val="en-US" w:eastAsia="zh-CN" w:bidi="ar"/>
              </w:rPr>
              <w:t>不低于</w:t>
            </w:r>
            <w:r>
              <w:rPr>
                <w:rFonts w:hint="eastAsia" w:ascii="宋体" w:hAnsi="宋体" w:eastAsia="宋体" w:cs="宋体"/>
                <w:color w:val="auto"/>
                <w:kern w:val="0"/>
                <w:szCs w:val="21"/>
                <w:highlight w:val="none"/>
                <w:lang w:bidi="ar"/>
              </w:rPr>
              <w:t>20倍光学变焦；</w:t>
            </w:r>
            <w:r>
              <w:rPr>
                <w:rFonts w:ascii="宋体" w:hAnsi="宋体" w:eastAsia="宋体" w:cs="宋体"/>
                <w:color w:val="auto"/>
                <w:kern w:val="0"/>
                <w:szCs w:val="21"/>
                <w:highlight w:val="none"/>
                <w:lang w:bidi="ar"/>
              </w:rPr>
              <w:t xml:space="preserve"> </w:t>
            </w:r>
          </w:p>
          <w:p w14:paraId="5EFE508B">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③焦距(mm)：f4.3～86 mm；</w:t>
            </w:r>
            <w:r>
              <w:rPr>
                <w:rFonts w:ascii="宋体" w:hAnsi="宋体" w:eastAsia="宋体" w:cs="宋体"/>
                <w:color w:val="auto"/>
                <w:kern w:val="0"/>
                <w:szCs w:val="21"/>
                <w:highlight w:val="none"/>
                <w:lang w:bidi="ar"/>
              </w:rPr>
              <w:t xml:space="preserve"> </w:t>
            </w:r>
          </w:p>
          <w:p w14:paraId="66280DD9">
            <w:pPr>
              <w:widowControl/>
              <w:snapToGrid w:val="0"/>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④光圈：Fw1.6～Ft3.4</w:t>
            </w:r>
            <w:r>
              <w:rPr>
                <w:rFonts w:hint="eastAsia" w:ascii="宋体" w:hAnsi="宋体" w:cs="宋体"/>
                <w:color w:val="auto"/>
                <w:kern w:val="0"/>
                <w:szCs w:val="21"/>
                <w:highlight w:val="none"/>
                <w:lang w:eastAsia="zh-CN" w:bidi="ar"/>
              </w:rPr>
              <w:t>。</w:t>
            </w:r>
          </w:p>
          <w:p w14:paraId="42E19293">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摄像机云台技术参数：</w:t>
            </w:r>
          </w:p>
          <w:p w14:paraId="6056640E">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①水平角度：360°无限位旋转；</w:t>
            </w:r>
          </w:p>
          <w:p w14:paraId="23428F63">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②垂直角度：+90°～-90°；</w:t>
            </w:r>
          </w:p>
          <w:p w14:paraId="75E2C754">
            <w:pPr>
              <w:widowControl/>
              <w:snapToGrid w:val="0"/>
              <w:jc w:val="left"/>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③防护等级：≥IP66</w:t>
            </w:r>
            <w:r>
              <w:rPr>
                <w:rFonts w:hint="eastAsia" w:ascii="宋体" w:hAnsi="宋体" w:cs="宋体"/>
                <w:color w:val="auto"/>
                <w:kern w:val="0"/>
                <w:szCs w:val="21"/>
                <w:highlight w:val="none"/>
                <w:lang w:eastAsia="zh-CN" w:bidi="ar"/>
              </w:rPr>
              <w:t>。</w:t>
            </w:r>
          </w:p>
          <w:p w14:paraId="234133A4">
            <w:pPr>
              <w:widowControl/>
              <w:snapToGrid w:val="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摄像机重要功能：</w:t>
            </w:r>
          </w:p>
          <w:p w14:paraId="08CC4EF6">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①电机带断电自锁功能；</w:t>
            </w:r>
          </w:p>
          <w:p w14:paraId="1F7CDFED">
            <w:pPr>
              <w:widowControl/>
              <w:snapToGrid w:val="0"/>
              <w:textAlignment w:val="center"/>
              <w:rPr>
                <w:rFonts w:hint="eastAsia" w:eastAsia="宋体"/>
                <w:color w:val="auto"/>
                <w:highlight w:val="none"/>
                <w:lang w:eastAsia="zh-CN"/>
              </w:rPr>
            </w:pPr>
            <w:r>
              <w:rPr>
                <w:rFonts w:hint="eastAsia" w:ascii="宋体" w:hAnsi="宋体" w:eastAsia="宋体" w:cs="宋体"/>
                <w:color w:val="auto"/>
                <w:kern w:val="0"/>
                <w:szCs w:val="21"/>
                <w:highlight w:val="none"/>
                <w:lang w:bidi="ar"/>
              </w:rPr>
              <w:t>②支持接入全车视频监控系统</w:t>
            </w:r>
            <w:r>
              <w:rPr>
                <w:rFonts w:hint="eastAsia" w:ascii="宋体" w:hAnsi="宋体" w:cs="宋体"/>
                <w:color w:val="auto"/>
                <w:kern w:val="0"/>
                <w:szCs w:val="21"/>
                <w:highlight w:val="none"/>
                <w:lang w:eastAsia="zh-CN" w:bidi="ar"/>
              </w:rPr>
              <w:t>。</w:t>
            </w:r>
          </w:p>
          <w:p w14:paraId="6ABE3C1A">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（2）舱内摄像机（1套）</w:t>
            </w:r>
          </w:p>
          <w:p w14:paraId="73509A07">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①POE半球摄像机；</w:t>
            </w:r>
          </w:p>
          <w:p w14:paraId="3B066E9B">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②支持夜间补光；</w:t>
            </w:r>
          </w:p>
          <w:p w14:paraId="132B846C">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③支持接入全车视频监控系统。</w:t>
            </w:r>
          </w:p>
          <w:p w14:paraId="1F6A8C0F">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（3）硬盘录像机（1套）</w:t>
            </w:r>
          </w:p>
          <w:p w14:paraId="7F938535">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①支持</w:t>
            </w:r>
            <w:r>
              <w:rPr>
                <w:rFonts w:hint="eastAsia" w:ascii="宋体" w:hAnsi="宋体" w:eastAsia="宋体" w:cs="宋体"/>
                <w:color w:val="auto"/>
                <w:kern w:val="0"/>
                <w:szCs w:val="21"/>
                <w:highlight w:val="none"/>
                <w:lang w:val="en-US" w:eastAsia="zh-CN" w:bidi="ar"/>
              </w:rPr>
              <w:t>不少于</w:t>
            </w:r>
            <w:r>
              <w:rPr>
                <w:rFonts w:hint="eastAsia" w:ascii="宋体" w:hAnsi="宋体" w:eastAsia="宋体" w:cs="宋体"/>
                <w:color w:val="auto"/>
                <w:kern w:val="0"/>
                <w:szCs w:val="21"/>
                <w:highlight w:val="none"/>
                <w:lang w:bidi="ar"/>
              </w:rPr>
              <w:t>4路1080P视频输入；</w:t>
            </w:r>
          </w:p>
          <w:p w14:paraId="23F8C186">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②存储容量≥1 T；</w:t>
            </w:r>
          </w:p>
          <w:p w14:paraId="77E549DD">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③支持H.265/H.264压缩模式。</w:t>
            </w:r>
          </w:p>
          <w:p w14:paraId="60601116">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（4）配套显示终端（1套）</w:t>
            </w:r>
          </w:p>
          <w:p w14:paraId="2ECA509B">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分辨率:不低于1080P；数量≥6台。</w:t>
            </w:r>
          </w:p>
          <w:p w14:paraId="3FEE0997">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kern w:val="0"/>
                <w:szCs w:val="21"/>
                <w:highlight w:val="none"/>
                <w:lang w:bidi="ar"/>
              </w:rPr>
              <w:t>混切矩阵</w:t>
            </w:r>
          </w:p>
          <w:p w14:paraId="2D42155A">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）全数字化切换；</w:t>
            </w:r>
          </w:p>
          <w:p w14:paraId="2750218D">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）输入不少于8路信号，输出不少于8路信号；</w:t>
            </w:r>
          </w:p>
          <w:p w14:paraId="7CC937B0">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cs="宋体"/>
                <w:color w:val="auto"/>
                <w:kern w:val="0"/>
                <w:szCs w:val="21"/>
                <w:highlight w:val="none"/>
                <w:lang w:val="en-US" w:eastAsia="zh-CN" w:bidi="ar"/>
              </w:rPr>
              <w:t>3</w:t>
            </w:r>
            <w:r>
              <w:rPr>
                <w:rFonts w:hint="eastAsia" w:ascii="宋体" w:hAnsi="宋体" w:eastAsia="宋体" w:cs="宋体"/>
                <w:color w:val="auto"/>
                <w:kern w:val="0"/>
                <w:szCs w:val="21"/>
                <w:highlight w:val="none"/>
                <w:lang w:bidi="ar"/>
              </w:rPr>
              <w:t>）任意信号输入输出；</w:t>
            </w:r>
          </w:p>
          <w:p w14:paraId="4F38D6DB">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cs="宋体"/>
                <w:color w:val="auto"/>
                <w:kern w:val="0"/>
                <w:szCs w:val="21"/>
                <w:highlight w:val="none"/>
                <w:lang w:val="en-US" w:eastAsia="zh-CN" w:bidi="ar"/>
              </w:rPr>
              <w:t>4</w:t>
            </w:r>
            <w:r>
              <w:rPr>
                <w:rFonts w:hint="eastAsia" w:ascii="宋体" w:hAnsi="宋体" w:eastAsia="宋体" w:cs="宋体"/>
                <w:color w:val="auto"/>
                <w:kern w:val="0"/>
                <w:szCs w:val="21"/>
                <w:highlight w:val="none"/>
                <w:lang w:bidi="ar"/>
              </w:rPr>
              <w:t>）实时无缝切换；</w:t>
            </w:r>
          </w:p>
          <w:p w14:paraId="4A5DB8D7">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cs="宋体"/>
                <w:color w:val="auto"/>
                <w:kern w:val="0"/>
                <w:szCs w:val="21"/>
                <w:highlight w:val="none"/>
                <w:lang w:val="en-US" w:eastAsia="zh-CN" w:bidi="ar"/>
              </w:rPr>
              <w:t>5</w:t>
            </w:r>
            <w:r>
              <w:rPr>
                <w:rFonts w:hint="eastAsia" w:ascii="宋体" w:hAnsi="宋体" w:eastAsia="宋体" w:cs="宋体"/>
                <w:color w:val="auto"/>
                <w:kern w:val="0"/>
                <w:szCs w:val="21"/>
                <w:highlight w:val="none"/>
                <w:lang w:bidi="ar"/>
              </w:rPr>
              <w:t>）输入信号分辨率自适应，输出分辨率可调；</w:t>
            </w:r>
          </w:p>
          <w:p w14:paraId="553DE5D7">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cs="宋体"/>
                <w:color w:val="auto"/>
                <w:kern w:val="0"/>
                <w:szCs w:val="21"/>
                <w:highlight w:val="none"/>
                <w:lang w:val="en-US" w:eastAsia="zh-CN" w:bidi="ar"/>
              </w:rPr>
              <w:t>6</w:t>
            </w:r>
            <w:r>
              <w:rPr>
                <w:rFonts w:hint="eastAsia" w:ascii="宋体" w:hAnsi="宋体" w:eastAsia="宋体" w:cs="宋体"/>
                <w:color w:val="auto"/>
                <w:kern w:val="0"/>
                <w:szCs w:val="21"/>
                <w:highlight w:val="none"/>
                <w:lang w:bidi="ar"/>
              </w:rPr>
              <w:t>）支持模拟音频输入和输出；</w:t>
            </w:r>
          </w:p>
          <w:p w14:paraId="7CA6F9DB">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cs="宋体"/>
                <w:color w:val="auto"/>
                <w:kern w:val="0"/>
                <w:szCs w:val="21"/>
                <w:highlight w:val="none"/>
                <w:lang w:val="en-US" w:eastAsia="zh-CN" w:bidi="ar"/>
              </w:rPr>
              <w:t>7</w:t>
            </w:r>
            <w:r>
              <w:rPr>
                <w:rFonts w:hint="eastAsia" w:ascii="宋体" w:hAnsi="宋体" w:eastAsia="宋体" w:cs="宋体"/>
                <w:color w:val="auto"/>
                <w:kern w:val="0"/>
                <w:szCs w:val="21"/>
                <w:highlight w:val="none"/>
                <w:lang w:bidi="ar"/>
              </w:rPr>
              <w:t>）支持对外接口控制，开放控制协议，方便第三方串口控制；</w:t>
            </w:r>
          </w:p>
          <w:p w14:paraId="4C7092ED">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cs="宋体"/>
                <w:color w:val="auto"/>
                <w:kern w:val="0"/>
                <w:szCs w:val="21"/>
                <w:highlight w:val="none"/>
                <w:lang w:val="en-US" w:eastAsia="zh-CN" w:bidi="ar"/>
              </w:rPr>
              <w:t>8</w:t>
            </w:r>
            <w:r>
              <w:rPr>
                <w:rFonts w:hint="eastAsia" w:ascii="宋体" w:hAnsi="宋体" w:eastAsia="宋体" w:cs="宋体"/>
                <w:color w:val="auto"/>
                <w:kern w:val="0"/>
                <w:szCs w:val="21"/>
                <w:highlight w:val="none"/>
                <w:lang w:bidi="ar"/>
              </w:rPr>
              <w:t>）支持断电现场保护；</w:t>
            </w:r>
          </w:p>
          <w:p w14:paraId="75990B02">
            <w:pPr>
              <w:widowControl/>
              <w:snapToGrid w:val="0"/>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w:t>
            </w:r>
            <w:r>
              <w:rPr>
                <w:rFonts w:hint="eastAsia" w:ascii="宋体" w:hAnsi="宋体" w:cs="宋体"/>
                <w:color w:val="auto"/>
                <w:kern w:val="0"/>
                <w:szCs w:val="21"/>
                <w:highlight w:val="none"/>
                <w:lang w:val="en-US" w:eastAsia="zh-CN" w:bidi="ar"/>
              </w:rPr>
              <w:t>9</w:t>
            </w:r>
            <w:r>
              <w:rPr>
                <w:rFonts w:hint="eastAsia" w:ascii="宋体" w:hAnsi="宋体" w:eastAsia="宋体" w:cs="宋体"/>
                <w:color w:val="auto"/>
                <w:kern w:val="0"/>
                <w:szCs w:val="21"/>
                <w:highlight w:val="none"/>
                <w:lang w:bidi="ar"/>
              </w:rPr>
              <w:t>）标准插卡式工业机箱。</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B6FE6">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8A981">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套</w:t>
            </w:r>
          </w:p>
        </w:tc>
      </w:tr>
      <w:tr w14:paraId="04FA2643">
        <w:tblPrEx>
          <w:tblCellMar>
            <w:top w:w="0" w:type="dxa"/>
            <w:left w:w="108" w:type="dxa"/>
            <w:bottom w:w="0" w:type="dxa"/>
            <w:right w:w="108" w:type="dxa"/>
          </w:tblCellMar>
        </w:tblPrEx>
        <w:trPr>
          <w:jc w:val="center"/>
        </w:trPr>
        <w:tc>
          <w:tcPr>
            <w:tcW w:w="67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C2F3F88">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r>
              <w:rPr>
                <w:rFonts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bidi="ar"/>
              </w:rPr>
              <w:t>5</w:t>
            </w:r>
          </w:p>
        </w:tc>
        <w:tc>
          <w:tcPr>
            <w:tcW w:w="932" w:type="dxa"/>
            <w:tcBorders>
              <w:top w:val="single" w:color="000000" w:sz="4" w:space="0"/>
              <w:left w:val="single" w:color="000000" w:sz="4" w:space="0"/>
              <w:bottom w:val="single" w:color="auto" w:sz="4" w:space="0"/>
              <w:right w:val="single" w:color="000000" w:sz="4" w:space="0"/>
            </w:tcBorders>
            <w:shd w:val="clear" w:color="auto" w:fill="auto"/>
            <w:vAlign w:val="center"/>
          </w:tcPr>
          <w:p w14:paraId="6C8432EF">
            <w:pPr>
              <w:widowControl/>
              <w:snapToGrid w:val="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通信传输系统</w:t>
            </w:r>
          </w:p>
        </w:tc>
        <w:tc>
          <w:tcPr>
            <w:tcW w:w="53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DC78616">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1.功能要求：配备北斗全球导航定位系统、4G/5G 移动通信、卫星通信等功能，具备与探测模组近距离有线数据传输的能力。</w:t>
            </w:r>
          </w:p>
          <w:p w14:paraId="754DCDA4">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2.技术要求</w:t>
            </w:r>
          </w:p>
          <w:p w14:paraId="00C1FFD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（1）北斗传输设备</w:t>
            </w:r>
          </w:p>
          <w:p w14:paraId="6D7162E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color w:val="auto"/>
                <w:szCs w:val="21"/>
                <w:highlight w:val="none"/>
              </w:rPr>
            </w:pPr>
            <w:r>
              <w:rPr>
                <w:rFonts w:hint="eastAsia" w:ascii="宋体" w:hAnsi="宋体" w:cs="宋体"/>
                <w:color w:val="auto"/>
                <w:szCs w:val="21"/>
                <w:highlight w:val="none"/>
                <w:lang w:val="en-US" w:eastAsia="zh-CN"/>
              </w:rPr>
              <w:t>①</w:t>
            </w:r>
            <w:r>
              <w:rPr>
                <w:rFonts w:hint="eastAsia" w:ascii="宋体" w:hAnsi="宋体" w:eastAsia="宋体" w:cs="宋体"/>
                <w:color w:val="auto"/>
                <w:szCs w:val="21"/>
                <w:highlight w:val="none"/>
              </w:rPr>
              <w:t>定位功能：具备支持单独使用北斗定位功能；</w:t>
            </w:r>
          </w:p>
          <w:p w14:paraId="36ECBF7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color w:val="auto"/>
                <w:szCs w:val="21"/>
                <w:highlight w:val="none"/>
              </w:rPr>
            </w:pPr>
            <w:r>
              <w:rPr>
                <w:rFonts w:hint="eastAsia" w:ascii="宋体" w:hAnsi="宋体" w:cs="宋体"/>
                <w:color w:val="auto"/>
                <w:szCs w:val="21"/>
                <w:highlight w:val="none"/>
                <w:lang w:val="en-US" w:eastAsia="zh-CN"/>
              </w:rPr>
              <w:t>②</w:t>
            </w:r>
            <w:r>
              <w:rPr>
                <w:rFonts w:hint="eastAsia" w:ascii="宋体" w:hAnsi="宋体" w:eastAsia="宋体" w:cs="宋体"/>
                <w:color w:val="auto"/>
                <w:szCs w:val="21"/>
                <w:highlight w:val="none"/>
              </w:rPr>
              <w:t>定位精度：≤5m；测速精度：≤0.2m/s；</w:t>
            </w:r>
          </w:p>
          <w:p w14:paraId="2EAE6E9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color w:val="auto"/>
                <w:szCs w:val="21"/>
                <w:highlight w:val="none"/>
              </w:rPr>
            </w:pPr>
            <w:r>
              <w:rPr>
                <w:rFonts w:hint="eastAsia" w:ascii="宋体" w:hAnsi="宋体" w:cs="宋体"/>
                <w:color w:val="auto"/>
                <w:szCs w:val="21"/>
                <w:highlight w:val="none"/>
                <w:lang w:val="en-US" w:eastAsia="zh-CN"/>
              </w:rPr>
              <w:t>③</w:t>
            </w:r>
            <w:r>
              <w:rPr>
                <w:rFonts w:hint="eastAsia" w:ascii="宋体" w:hAnsi="宋体" w:eastAsia="宋体" w:cs="宋体"/>
                <w:color w:val="auto"/>
                <w:szCs w:val="21"/>
                <w:highlight w:val="none"/>
              </w:rPr>
              <w:t>首次定位时间：冷启动≤120 秒，热启动≤10 秒；</w:t>
            </w:r>
          </w:p>
          <w:p w14:paraId="31DEAE5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color w:val="auto"/>
                <w:szCs w:val="21"/>
                <w:highlight w:val="none"/>
              </w:rPr>
            </w:pPr>
            <w:r>
              <w:rPr>
                <w:rFonts w:hint="eastAsia" w:ascii="宋体" w:hAnsi="宋体" w:cs="宋体"/>
                <w:color w:val="auto"/>
                <w:szCs w:val="21"/>
                <w:highlight w:val="none"/>
                <w:lang w:val="en-US" w:eastAsia="zh-CN"/>
              </w:rPr>
              <w:t>④</w:t>
            </w:r>
            <w:r>
              <w:rPr>
                <w:rFonts w:hint="eastAsia" w:ascii="宋体" w:hAnsi="宋体" w:eastAsia="宋体" w:cs="宋体"/>
                <w:color w:val="auto"/>
                <w:szCs w:val="21"/>
                <w:highlight w:val="none"/>
              </w:rPr>
              <w:t>接收频率：支持北斗 B1 频段；</w:t>
            </w:r>
          </w:p>
          <w:p w14:paraId="60B903D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color w:val="auto"/>
                <w:szCs w:val="21"/>
                <w:highlight w:val="none"/>
              </w:rPr>
            </w:pPr>
            <w:r>
              <w:rPr>
                <w:rFonts w:hint="eastAsia" w:ascii="宋体" w:hAnsi="宋体" w:cs="宋体"/>
                <w:color w:val="auto"/>
                <w:szCs w:val="21"/>
                <w:highlight w:val="none"/>
                <w:lang w:val="en-US" w:eastAsia="zh-CN"/>
              </w:rPr>
              <w:t>⑤</w:t>
            </w:r>
            <w:r>
              <w:rPr>
                <w:rFonts w:hint="eastAsia" w:ascii="宋体" w:hAnsi="宋体" w:eastAsia="宋体" w:cs="宋体"/>
                <w:color w:val="auto"/>
                <w:szCs w:val="21"/>
                <w:highlight w:val="none"/>
              </w:rPr>
              <w:t>捕获灵敏度：≤-133dBm；跟踪灵敏度：≤-147dBm；</w:t>
            </w:r>
          </w:p>
          <w:p w14:paraId="58AA7AE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color w:val="auto"/>
                <w:szCs w:val="21"/>
                <w:highlight w:val="none"/>
              </w:rPr>
            </w:pPr>
            <w:r>
              <w:rPr>
                <w:rFonts w:hint="eastAsia" w:ascii="宋体" w:hAnsi="宋体" w:cs="宋体"/>
                <w:color w:val="auto"/>
                <w:szCs w:val="21"/>
                <w:highlight w:val="none"/>
                <w:lang w:val="en-US" w:eastAsia="zh-CN"/>
              </w:rPr>
              <w:t>⑥</w:t>
            </w:r>
            <w:r>
              <w:rPr>
                <w:rFonts w:hint="eastAsia" w:ascii="宋体" w:hAnsi="宋体" w:eastAsia="宋体" w:cs="宋体"/>
                <w:color w:val="auto"/>
                <w:szCs w:val="21"/>
                <w:highlight w:val="none"/>
              </w:rPr>
              <w:t>接收波束个数：北斗二号≥10 个，北斗三号≥14 个；</w:t>
            </w:r>
          </w:p>
          <w:p w14:paraId="22C5EE1B">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color w:val="auto"/>
                <w:szCs w:val="21"/>
                <w:highlight w:val="none"/>
              </w:rPr>
            </w:pPr>
            <w:r>
              <w:rPr>
                <w:rFonts w:hint="eastAsia" w:ascii="宋体" w:hAnsi="宋体" w:cs="宋体"/>
                <w:color w:val="auto"/>
                <w:szCs w:val="21"/>
                <w:highlight w:val="none"/>
                <w:lang w:val="en-US" w:eastAsia="zh-CN"/>
              </w:rPr>
              <w:t>⑦</w:t>
            </w:r>
            <w:r>
              <w:rPr>
                <w:rFonts w:hint="eastAsia" w:ascii="宋体" w:hAnsi="宋体" w:eastAsia="宋体" w:cs="宋体"/>
                <w:color w:val="auto"/>
                <w:szCs w:val="21"/>
                <w:highlight w:val="none"/>
              </w:rPr>
              <w:t>发射频点：Lf1、Lf2；</w:t>
            </w:r>
          </w:p>
          <w:p w14:paraId="6B20934B">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color w:val="auto"/>
                <w:szCs w:val="21"/>
                <w:highlight w:val="none"/>
              </w:rPr>
            </w:pPr>
            <w:r>
              <w:rPr>
                <w:rFonts w:hint="eastAsia" w:ascii="宋体" w:hAnsi="宋体" w:cs="宋体"/>
                <w:color w:val="auto"/>
                <w:szCs w:val="21"/>
                <w:highlight w:val="none"/>
                <w:lang w:val="en-US" w:eastAsia="zh-CN"/>
              </w:rPr>
              <w:t>⑧</w:t>
            </w:r>
            <w:r>
              <w:rPr>
                <w:rFonts w:hint="eastAsia" w:ascii="宋体" w:hAnsi="宋体" w:eastAsia="宋体" w:cs="宋体"/>
                <w:color w:val="auto"/>
                <w:szCs w:val="21"/>
                <w:highlight w:val="none"/>
              </w:rPr>
              <w:t>支持北斗三号系统，支持北斗三号区域短报文通信服务；</w:t>
            </w:r>
          </w:p>
          <w:p w14:paraId="53CEFBF6">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color w:val="auto"/>
                <w:szCs w:val="21"/>
                <w:highlight w:val="none"/>
              </w:rPr>
            </w:pPr>
            <w:r>
              <w:rPr>
                <w:rFonts w:hint="eastAsia" w:ascii="宋体" w:hAnsi="宋体" w:cs="宋体"/>
                <w:color w:val="auto"/>
                <w:szCs w:val="21"/>
                <w:highlight w:val="none"/>
                <w:lang w:val="en-US" w:eastAsia="zh-CN"/>
              </w:rPr>
              <w:t>⑨</w:t>
            </w:r>
            <w:r>
              <w:rPr>
                <w:rFonts w:hint="eastAsia" w:ascii="宋体" w:hAnsi="宋体" w:eastAsia="宋体" w:cs="宋体"/>
                <w:color w:val="auto"/>
                <w:szCs w:val="21"/>
                <w:highlight w:val="none"/>
              </w:rPr>
              <w:t>防护等级：≥IP67。</w:t>
            </w:r>
          </w:p>
          <w:p w14:paraId="614B225C">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（2）4G/5G传输设备</w:t>
            </w:r>
          </w:p>
          <w:p w14:paraId="35A483DB">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①理论带宽（上行）：</w:t>
            </w:r>
          </w:p>
          <w:p w14:paraId="6E3F8909">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NR SA 独立组网：≥Max. 1Gbps</w:t>
            </w:r>
          </w:p>
          <w:p w14:paraId="1B445BF3">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NR NSA 非独立组网：≥Max. 575Mbps</w:t>
            </w:r>
          </w:p>
          <w:p w14:paraId="4031A573">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LTE：≥150Mbps</w:t>
            </w:r>
          </w:p>
          <w:p w14:paraId="58985D3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color w:val="auto"/>
                <w:szCs w:val="21"/>
                <w:highlight w:val="none"/>
              </w:rPr>
            </w:pPr>
            <w:r>
              <w:rPr>
                <w:rFonts w:hint="eastAsia" w:ascii="宋体" w:hAnsi="宋体" w:cs="宋体"/>
                <w:color w:val="auto"/>
                <w:szCs w:val="21"/>
                <w:highlight w:val="none"/>
                <w:lang w:val="en-US" w:eastAsia="zh-CN"/>
              </w:rPr>
              <w:t>②</w:t>
            </w:r>
            <w:r>
              <w:rPr>
                <w:rFonts w:hint="eastAsia" w:ascii="宋体" w:hAnsi="宋体" w:eastAsia="宋体" w:cs="宋体"/>
                <w:color w:val="auto"/>
                <w:szCs w:val="21"/>
                <w:highlight w:val="none"/>
              </w:rPr>
              <w:t>WiFi：2×2 MI24 MO，双频(2.4GHz+5GHz)，外置可拆卸天线；5G：</w:t>
            </w:r>
          </w:p>
          <w:p w14:paraId="7223700A">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4×4 MIMO(Sub-6GHz)，外置可拆卸天线。</w:t>
            </w:r>
          </w:p>
          <w:p w14:paraId="5F73BC93">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（3）千兆交换机（含光模块）</w:t>
            </w:r>
          </w:p>
          <w:p w14:paraId="7F604BF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支持不少于 个 10/100/1000Base-TX 以太网端口，4 个千兆 SFP；支持 IPv4 和 IPv6 的三层路由功能。</w:t>
            </w:r>
          </w:p>
          <w:p w14:paraId="2993A7D4">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（4）卫星通信系统</w:t>
            </w:r>
          </w:p>
          <w:p w14:paraId="78EE07B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color w:val="auto"/>
                <w:szCs w:val="21"/>
                <w:highlight w:val="none"/>
              </w:rPr>
            </w:pPr>
            <w:r>
              <w:rPr>
                <w:rFonts w:hint="eastAsia" w:ascii="宋体" w:hAnsi="宋体" w:cs="宋体"/>
                <w:color w:val="auto"/>
                <w:szCs w:val="21"/>
                <w:highlight w:val="none"/>
                <w:lang w:val="en-US" w:eastAsia="zh-CN"/>
              </w:rPr>
              <w:t>①</w:t>
            </w:r>
            <w:r>
              <w:rPr>
                <w:rFonts w:hint="eastAsia" w:ascii="宋体" w:hAnsi="宋体" w:eastAsia="宋体" w:cs="宋体"/>
                <w:color w:val="auto"/>
                <w:szCs w:val="21"/>
                <w:highlight w:val="none"/>
              </w:rPr>
              <w:t>具备气象“专网”和“高通量互联网”双网模式；</w:t>
            </w:r>
          </w:p>
          <w:p w14:paraId="25DA6BF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color w:val="auto"/>
                <w:szCs w:val="21"/>
                <w:highlight w:val="none"/>
              </w:rPr>
            </w:pPr>
            <w:r>
              <w:rPr>
                <w:rFonts w:hint="eastAsia" w:ascii="宋体" w:hAnsi="宋体" w:cs="宋体"/>
                <w:color w:val="auto"/>
                <w:szCs w:val="21"/>
                <w:highlight w:val="none"/>
                <w:lang w:val="en-US" w:eastAsia="zh-CN"/>
              </w:rPr>
              <w:t>②</w:t>
            </w:r>
            <w:r>
              <w:rPr>
                <w:rFonts w:hint="eastAsia" w:ascii="宋体" w:hAnsi="宋体" w:eastAsia="宋体" w:cs="宋体"/>
                <w:color w:val="auto"/>
                <w:szCs w:val="21"/>
                <w:highlight w:val="none"/>
              </w:rPr>
              <w:t>卫星在“高通量互联网”模式下实现上行速率≥4Mbps，下行速</w:t>
            </w:r>
          </w:p>
          <w:p w14:paraId="48A58672">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率≥9Mbps；</w:t>
            </w:r>
          </w:p>
          <w:p w14:paraId="4A9FAD1C">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color w:val="auto"/>
                <w:szCs w:val="21"/>
                <w:highlight w:val="none"/>
              </w:rPr>
            </w:pPr>
            <w:r>
              <w:rPr>
                <w:rFonts w:hint="eastAsia" w:ascii="宋体" w:hAnsi="宋体" w:cs="宋体"/>
                <w:color w:val="auto"/>
                <w:szCs w:val="21"/>
                <w:highlight w:val="none"/>
                <w:lang w:val="en-US" w:eastAsia="zh-CN"/>
              </w:rPr>
              <w:t>③</w:t>
            </w:r>
            <w:r>
              <w:rPr>
                <w:rFonts w:hint="eastAsia" w:ascii="宋体" w:hAnsi="宋体" w:eastAsia="宋体" w:cs="宋体"/>
                <w:color w:val="auto"/>
                <w:szCs w:val="21"/>
                <w:highlight w:val="none"/>
              </w:rPr>
              <w:t>采用 Ku 波段卫星天线；</w:t>
            </w:r>
          </w:p>
          <w:p w14:paraId="506A997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color w:val="auto"/>
                <w:szCs w:val="21"/>
                <w:highlight w:val="none"/>
              </w:rPr>
            </w:pPr>
            <w:r>
              <w:rPr>
                <w:rFonts w:hint="eastAsia" w:ascii="宋体" w:hAnsi="宋体" w:cs="宋体"/>
                <w:color w:val="auto"/>
                <w:szCs w:val="21"/>
                <w:highlight w:val="none"/>
                <w:lang w:val="en-US" w:eastAsia="zh-CN"/>
              </w:rPr>
              <w:t>④</w:t>
            </w:r>
            <w:r>
              <w:rPr>
                <w:rFonts w:hint="eastAsia" w:ascii="宋体" w:hAnsi="宋体" w:eastAsia="宋体" w:cs="宋体"/>
                <w:color w:val="auto"/>
                <w:szCs w:val="21"/>
                <w:highlight w:val="none"/>
              </w:rPr>
              <w:t>配备</w:t>
            </w:r>
            <w:r>
              <w:rPr>
                <w:rFonts w:hint="eastAsia" w:ascii="宋体" w:hAnsi="宋体" w:eastAsia="宋体" w:cs="宋体"/>
                <w:color w:val="auto"/>
                <w:szCs w:val="21"/>
                <w:highlight w:val="none"/>
                <w:lang w:val="en-US" w:eastAsia="zh-CN"/>
              </w:rPr>
              <w:t>不少于1套</w:t>
            </w:r>
            <w:r>
              <w:rPr>
                <w:rFonts w:hint="eastAsia" w:ascii="宋体" w:hAnsi="宋体" w:eastAsia="宋体" w:cs="宋体"/>
                <w:color w:val="auto"/>
                <w:szCs w:val="21"/>
                <w:highlight w:val="none"/>
              </w:rPr>
              <w:t>会议终端、会议摄像机、拾音系统和扬声器，用于卫星条件下现场音视频会商。</w:t>
            </w:r>
          </w:p>
        </w:tc>
        <w:tc>
          <w:tcPr>
            <w:tcW w:w="68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D5CAF23">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p>
        </w:tc>
        <w:tc>
          <w:tcPr>
            <w:tcW w:w="6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A0E1BA0">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套</w:t>
            </w:r>
          </w:p>
        </w:tc>
      </w:tr>
      <w:tr w14:paraId="2F7DB8B3">
        <w:tblPrEx>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D636DC">
            <w:pPr>
              <w:widowControl/>
              <w:snapToGrid w:val="0"/>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w:t>
            </w: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43AA6716">
            <w:pPr>
              <w:widowControl/>
              <w:snapToGrid w:val="0"/>
              <w:jc w:val="left"/>
              <w:textAlignment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气象信息处理和显控席位</w:t>
            </w:r>
          </w:p>
        </w:tc>
        <w:tc>
          <w:tcPr>
            <w:tcW w:w="53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B50A54">
            <w:pPr>
              <w:widowControl/>
              <w:ind w:firstLine="420" w:firstLineChars="200"/>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所有显控席位应通过 KVM 切换系统和视频矩阵进行集成，且任意操作席位可通过切换、访问和控制权限内的任一业务主机或服务器；</w:t>
            </w:r>
            <w:r>
              <w:rPr>
                <w:rFonts w:hint="eastAsia" w:ascii="宋体" w:hAnsi="宋体" w:eastAsia="宋体" w:cs="宋体"/>
                <w:strike w:val="0"/>
                <w:color w:val="auto"/>
                <w:kern w:val="0"/>
                <w:szCs w:val="21"/>
                <w:highlight w:val="none"/>
                <w:lang w:bidi="ar"/>
              </w:rPr>
              <w:t>所有显控席位应采用双人、双主机冗余设计，可分别由两人负责操作，在一台主机或席位发生故障时，另一席位可接管操作，确保人影指挥决策、数据信息处理正常工作及无人机飞行安全。</w:t>
            </w:r>
          </w:p>
        </w:tc>
        <w:tc>
          <w:tcPr>
            <w:tcW w:w="6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E520D9">
            <w:pPr>
              <w:widowControl/>
              <w:snapToGrid w:val="0"/>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4F7107">
            <w:pPr>
              <w:widowControl/>
              <w:snapToGrid w:val="0"/>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r>
      <w:tr w14:paraId="5886F33B">
        <w:tblPrEx>
          <w:tblCellMar>
            <w:top w:w="0" w:type="dxa"/>
            <w:left w:w="108" w:type="dxa"/>
            <w:bottom w:w="0" w:type="dxa"/>
            <w:right w:w="108" w:type="dxa"/>
          </w:tblCellMar>
        </w:tblPrEx>
        <w:trPr>
          <w:jc w:val="center"/>
        </w:trPr>
        <w:tc>
          <w:tcPr>
            <w:tcW w:w="67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8CEA45D">
            <w:pPr>
              <w:widowControl/>
              <w:snapToGrid w:val="0"/>
              <w:jc w:val="left"/>
              <w:textAlignment w:val="cente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2.1</w:t>
            </w:r>
          </w:p>
        </w:tc>
        <w:tc>
          <w:tcPr>
            <w:tcW w:w="932" w:type="dxa"/>
            <w:tcBorders>
              <w:top w:val="single" w:color="auto" w:sz="4" w:space="0"/>
              <w:left w:val="single" w:color="000000" w:sz="4" w:space="0"/>
              <w:bottom w:val="single" w:color="000000" w:sz="4" w:space="0"/>
              <w:right w:val="single" w:color="000000" w:sz="4" w:space="0"/>
            </w:tcBorders>
            <w:shd w:val="clear" w:color="auto" w:fill="auto"/>
            <w:vAlign w:val="center"/>
          </w:tcPr>
          <w:p w14:paraId="5B0A7CBA">
            <w:pPr>
              <w:widowControl/>
              <w:snapToGrid w:val="0"/>
              <w:jc w:val="left"/>
              <w:textAlignment w:val="cente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无人机显示席位</w:t>
            </w:r>
          </w:p>
        </w:tc>
        <w:tc>
          <w:tcPr>
            <w:tcW w:w="534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842444F">
            <w:pPr>
              <w:widowControl/>
              <w:ind w:firstLine="420" w:firstLineChars="200"/>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实现对无人机飞行轨迹数据和气象参数（温度、湿度、气压等）的实时采集、处理、存储和可视化显示。</w:t>
            </w:r>
          </w:p>
        </w:tc>
        <w:tc>
          <w:tcPr>
            <w:tcW w:w="68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570F1E9">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p>
        </w:tc>
        <w:tc>
          <w:tcPr>
            <w:tcW w:w="64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535BE1B">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套</w:t>
            </w:r>
          </w:p>
        </w:tc>
      </w:tr>
      <w:tr w14:paraId="72FD6C85">
        <w:tblPrEx>
          <w:tblCellMar>
            <w:top w:w="0" w:type="dxa"/>
            <w:left w:w="108" w:type="dxa"/>
            <w:bottom w:w="0" w:type="dxa"/>
            <w:right w:w="108" w:type="dxa"/>
          </w:tblCellMar>
        </w:tblPrEx>
        <w:trPr>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0866">
            <w:pPr>
              <w:widowControl/>
              <w:snapToGrid w:val="0"/>
              <w:jc w:val="left"/>
              <w:textAlignment w:val="cente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2.2</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F706">
            <w:pPr>
              <w:widowControl/>
              <w:snapToGrid w:val="0"/>
              <w:jc w:val="left"/>
              <w:textAlignment w:val="cente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自动观测设备信息处理及显控席位</w:t>
            </w:r>
          </w:p>
        </w:tc>
        <w:tc>
          <w:tcPr>
            <w:tcW w:w="5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491DC">
            <w:pPr>
              <w:widowControl/>
              <w:ind w:firstLine="420" w:firstLineChars="200"/>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收集并处理自动观测资料，包括温度、湿度、气压、风向、风速、降水气象要素数据。使用图形化的形式展示实时数据，支持动态更新，确保数据实时性，提供时间范围选择功能，支持查询历史数据。</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ADF40">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90EC3">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套</w:t>
            </w:r>
          </w:p>
        </w:tc>
      </w:tr>
      <w:tr w14:paraId="56F61AA5">
        <w:tblPrEx>
          <w:tblCellMar>
            <w:top w:w="0" w:type="dxa"/>
            <w:left w:w="108" w:type="dxa"/>
            <w:bottom w:w="0" w:type="dxa"/>
            <w:right w:w="108" w:type="dxa"/>
          </w:tblCellMar>
        </w:tblPrEx>
        <w:trPr>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F75B">
            <w:pPr>
              <w:widowControl/>
              <w:snapToGrid w:val="0"/>
              <w:jc w:val="left"/>
              <w:textAlignment w:val="cente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2.3</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240C">
            <w:pPr>
              <w:widowControl/>
              <w:snapToGrid w:val="0"/>
              <w:jc w:val="left"/>
              <w:textAlignment w:val="cente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雷达信息处理及显控席位</w:t>
            </w:r>
          </w:p>
        </w:tc>
        <w:tc>
          <w:tcPr>
            <w:tcW w:w="5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7C986">
            <w:pPr>
              <w:widowControl/>
              <w:ind w:firstLine="420" w:firstLineChars="200"/>
              <w:rPr>
                <w:rFonts w:ascii="宋体" w:hAnsi="宋体" w:eastAsia="宋体" w:cs="宋体"/>
                <w:color w:val="auto"/>
                <w:spacing w:val="-1"/>
                <w:szCs w:val="21"/>
                <w:highlight w:val="none"/>
              </w:rPr>
            </w:pPr>
            <w:r>
              <w:rPr>
                <w:rFonts w:hint="eastAsia" w:ascii="宋体" w:hAnsi="宋体" w:eastAsia="宋体" w:cs="宋体"/>
                <w:color w:val="auto"/>
                <w:kern w:val="0"/>
                <w:szCs w:val="21"/>
                <w:highlight w:val="none"/>
                <w:lang w:bidi="ar"/>
              </w:rPr>
              <w:t>显控终端通过网络实现与雷达主机和其他设备之间的通讯连接和信息交互，显控终端实现对雷达数据的可视化展示，并实现对雷达资料进行标准化处理和初级质量控制，生成标准化数据。通过人工干预发送雷达天线控制（PPI、体扫等）、发射控制、标定控制、接收控制、信号处理控制、雷达参数设置等。将采集到的回波数据实时显示到屏幕，支持多屏显示。</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CD689">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D26E2">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套</w:t>
            </w:r>
          </w:p>
        </w:tc>
      </w:tr>
      <w:tr w14:paraId="072DA925">
        <w:tblPrEx>
          <w:tblCellMar>
            <w:top w:w="0" w:type="dxa"/>
            <w:left w:w="108" w:type="dxa"/>
            <w:bottom w:w="0" w:type="dxa"/>
            <w:right w:w="108" w:type="dxa"/>
          </w:tblCellMar>
        </w:tblPrEx>
        <w:trPr>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144C">
            <w:pPr>
              <w:widowControl/>
              <w:snapToGrid w:val="0"/>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0DB7">
            <w:pPr>
              <w:widowControl/>
              <w:snapToGrid w:val="0"/>
              <w:jc w:val="left"/>
              <w:textAlignment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人工影响天气决策支持数据接收处理分析平台</w:t>
            </w:r>
          </w:p>
        </w:tc>
        <w:tc>
          <w:tcPr>
            <w:tcW w:w="5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33779">
            <w:pPr>
              <w:widowControl/>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具有“天工”平台数据接口，通信安全；支持 4G/5G 移动网络和卫星通信；支持 DMZ 和 VPN，信息中心，无线方式传输；可对自动观测设备，X 波段天气雷达和测云雷达等设备信息进行采集；可接入观测方舱数据及周边 </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400 公里常规观测和其他观测资料；可对机载探测数据进行接引；对系统接引采集信息和天工系统发布的资料和产品进行显示；支持视频会商。</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A490">
            <w:pPr>
              <w:widowControl/>
              <w:snapToGrid w:val="0"/>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2B457">
            <w:pPr>
              <w:widowControl/>
              <w:snapToGrid w:val="0"/>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r>
    </w:tbl>
    <w:p w14:paraId="58D6C6B3">
      <w:pPr>
        <w:spacing w:line="360" w:lineRule="auto"/>
        <w:outlineLvl w:val="4"/>
        <w:rPr>
          <w:rFonts w:hint="eastAsia" w:eastAsia="宋体"/>
          <w:b/>
          <w:bCs/>
          <w:color w:val="auto"/>
          <w:highlight w:val="none"/>
        </w:rPr>
      </w:pPr>
      <w:r>
        <w:rPr>
          <w:rFonts w:hint="eastAsia" w:eastAsia="宋体"/>
          <w:b/>
          <w:bCs/>
          <w:color w:val="auto"/>
          <w:highlight w:val="none"/>
        </w:rPr>
        <w:t>（3）作业模组</w:t>
      </w:r>
    </w:p>
    <w:p w14:paraId="213D8E34">
      <w:pPr>
        <w:spacing w:line="360" w:lineRule="auto"/>
        <w:ind w:firstLine="420" w:firstLineChars="200"/>
        <w:rPr>
          <w:rFonts w:hint="eastAsia" w:eastAsia="宋体"/>
          <w:color w:val="auto"/>
          <w:highlight w:val="none"/>
        </w:rPr>
      </w:pPr>
      <w:r>
        <w:rPr>
          <w:rFonts w:hint="eastAsia" w:eastAsia="宋体"/>
          <w:color w:val="auto"/>
          <w:highlight w:val="none"/>
        </w:rPr>
        <w:t>主要由任务方舱、火箭作业单元、无人机作业单元、弹药临时存储设备以及供电系统等组成，技术性能指标具体见下表：</w:t>
      </w:r>
    </w:p>
    <w:tbl>
      <w:tblPr>
        <w:tblStyle w:val="51"/>
        <w:tblW w:w="8276" w:type="dxa"/>
        <w:jc w:val="center"/>
        <w:tblLayout w:type="fixed"/>
        <w:tblCellMar>
          <w:top w:w="0" w:type="dxa"/>
          <w:left w:w="108" w:type="dxa"/>
          <w:bottom w:w="0" w:type="dxa"/>
          <w:right w:w="108" w:type="dxa"/>
        </w:tblCellMar>
      </w:tblPr>
      <w:tblGrid>
        <w:gridCol w:w="673"/>
        <w:gridCol w:w="842"/>
        <w:gridCol w:w="5435"/>
        <w:gridCol w:w="681"/>
        <w:gridCol w:w="645"/>
      </w:tblGrid>
      <w:tr w14:paraId="104E68AA">
        <w:tblPrEx>
          <w:tblCellMar>
            <w:top w:w="0" w:type="dxa"/>
            <w:left w:w="108" w:type="dxa"/>
            <w:bottom w:w="0" w:type="dxa"/>
            <w:right w:w="108" w:type="dxa"/>
          </w:tblCellMar>
        </w:tblPrEx>
        <w:trPr>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7A88D">
            <w:pPr>
              <w:widowControl/>
              <w:snapToGrid w:val="0"/>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序号</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6F8F">
            <w:pPr>
              <w:widowControl/>
              <w:snapToGrid w:val="0"/>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设备内容</w:t>
            </w:r>
          </w:p>
        </w:tc>
        <w:tc>
          <w:tcPr>
            <w:tcW w:w="5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DFF86">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b/>
                <w:bCs/>
                <w:color w:val="auto"/>
                <w:kern w:val="0"/>
                <w:szCs w:val="21"/>
                <w:highlight w:val="none"/>
                <w:lang w:bidi="ar"/>
              </w:rPr>
              <w:t>主要性能指标</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DDBF9">
            <w:pPr>
              <w:widowControl/>
              <w:snapToGrid w:val="0"/>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数量</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44C9">
            <w:pPr>
              <w:widowControl/>
              <w:snapToGrid w:val="0"/>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单位</w:t>
            </w:r>
          </w:p>
        </w:tc>
      </w:tr>
      <w:tr w14:paraId="67752099">
        <w:tblPrEx>
          <w:tblCellMar>
            <w:top w:w="0" w:type="dxa"/>
            <w:left w:w="108" w:type="dxa"/>
            <w:bottom w:w="0" w:type="dxa"/>
            <w:right w:w="108" w:type="dxa"/>
          </w:tblCellMar>
        </w:tblPrEx>
        <w:trPr>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CA03">
            <w:pPr>
              <w:widowControl/>
              <w:snapToGrid w:val="0"/>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1</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E3AA">
            <w:pPr>
              <w:widowControl/>
              <w:snapToGrid w:val="0"/>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任务方舱</w:t>
            </w:r>
          </w:p>
        </w:tc>
        <w:tc>
          <w:tcPr>
            <w:tcW w:w="5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99FB3">
            <w:pPr>
              <w:widowControl/>
              <w:snapToGrid w:val="0"/>
              <w:ind w:firstLine="420" w:firstLineChars="20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主要由设备舱、供电系统、录像设备、方舱升降机构、</w:t>
            </w:r>
            <w:r>
              <w:rPr>
                <w:rFonts w:ascii="宋体" w:hAnsi="宋体" w:eastAsia="宋体" w:cs="宋体"/>
                <w:color w:val="auto"/>
                <w:kern w:val="0"/>
                <w:szCs w:val="21"/>
                <w:highlight w:val="none"/>
                <w:lang w:bidi="ar"/>
              </w:rPr>
              <w:t>方舱调平仪等组成</w:t>
            </w: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具备无人机作业单元、移动式火箭发射装置、液压转运平台和弹药临时储运箱装载能力。</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25B0D">
            <w:pPr>
              <w:snapToGrid w:val="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0FEEA">
            <w:pPr>
              <w:snapToGrid w:val="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套</w:t>
            </w:r>
          </w:p>
        </w:tc>
      </w:tr>
      <w:tr w14:paraId="69A01802">
        <w:tblPrEx>
          <w:tblCellMar>
            <w:top w:w="0" w:type="dxa"/>
            <w:left w:w="108" w:type="dxa"/>
            <w:bottom w:w="0" w:type="dxa"/>
            <w:right w:w="108" w:type="dxa"/>
          </w:tblCellMar>
        </w:tblPrEx>
        <w:trPr>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4C7AF">
            <w:pPr>
              <w:widowControl/>
              <w:snapToGrid w:val="0"/>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1.1</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E28A">
            <w:pPr>
              <w:widowControl/>
              <w:snapToGrid w:val="0"/>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方舱主厢体</w:t>
            </w:r>
          </w:p>
        </w:tc>
        <w:tc>
          <w:tcPr>
            <w:tcW w:w="5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229A">
            <w:pPr>
              <w:widowControl/>
              <w:snapToGrid w:val="0"/>
              <w:textAlignment w:val="center"/>
              <w:rPr>
                <w:rFonts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采用直角方舱，外形宽度≤2438mm，配备 8 个角安装方舱角件，厢体按钢骨架铝合金蒙皮进行制作，</w:t>
            </w:r>
          </w:p>
          <w:p w14:paraId="02F29744">
            <w:pPr>
              <w:widowControl/>
              <w:snapToGrid w:val="0"/>
              <w:textAlignment w:val="center"/>
              <w:rPr>
                <w:rFonts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外蒙皮选用厚度≥2mm 铝板，选用高密度的阻燃聚氨酯泡沫作为夹芯层（隔热芯材），大板中所用的骨架为钢骨架焊接而成，内外蒙皮与骨架粘接固定, 厢体骨架整体防腐处理，以保证骨架的防腐能力。</w:t>
            </w:r>
          </w:p>
          <w:p w14:paraId="41905F0B">
            <w:pPr>
              <w:widowControl/>
              <w:snapToGrid w:val="0"/>
              <w:textAlignment w:val="center"/>
              <w:rPr>
                <w:rFonts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bidi="ar"/>
              </w:rPr>
              <w:t>3.</w:t>
            </w:r>
            <w:r>
              <w:rPr>
                <w:rFonts w:hint="eastAsia" w:ascii="宋体" w:hAnsi="宋体" w:eastAsia="宋体" w:cs="宋体"/>
                <w:color w:val="auto"/>
                <w:kern w:val="0"/>
                <w:szCs w:val="21"/>
                <w:highlight w:val="none"/>
                <w:lang w:bidi="ar"/>
              </w:rPr>
              <w:t>内饰型材及外包型材、门结构采用铝型材。各开孔和承重处均设置骨架的预埋件，满足车厢的承重要求和安装要求。</w:t>
            </w:r>
          </w:p>
          <w:p w14:paraId="3A55DD1C">
            <w:pPr>
              <w:widowControl/>
              <w:snapToGrid w:val="0"/>
              <w:textAlignment w:val="center"/>
              <w:rPr>
                <w:rFonts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bidi="ar"/>
              </w:rPr>
              <w:t>4.</w:t>
            </w:r>
            <w:r>
              <w:rPr>
                <w:rFonts w:hint="eastAsia" w:ascii="宋体" w:hAnsi="宋体"/>
                <w:color w:val="auto"/>
                <w:szCs w:val="21"/>
                <w:highlight w:val="none"/>
              </w:rPr>
              <w:t>舱体尺寸适配</w:t>
            </w:r>
            <w:r>
              <w:rPr>
                <w:rFonts w:hint="eastAsia" w:ascii="宋体" w:hAnsi="宋体"/>
                <w:color w:val="auto"/>
                <w:szCs w:val="21"/>
                <w:highlight w:val="none"/>
                <w:lang w:val="en-US" w:eastAsia="zh-CN"/>
              </w:rPr>
              <w:t>车载式机动集成作业系统的</w:t>
            </w:r>
            <w:r>
              <w:rPr>
                <w:rFonts w:hint="eastAsia" w:ascii="宋体" w:hAnsi="宋体"/>
                <w:color w:val="auto"/>
                <w:szCs w:val="21"/>
                <w:highlight w:val="none"/>
              </w:rPr>
              <w:t>指挥模组载车底盘。</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83EF4">
            <w:pPr>
              <w:widowControl/>
              <w:snapToGrid w:val="0"/>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59FF5">
            <w:pPr>
              <w:widowControl/>
              <w:snapToGrid w:val="0"/>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个</w:t>
            </w:r>
          </w:p>
        </w:tc>
      </w:tr>
      <w:tr w14:paraId="339A196A">
        <w:tblPrEx>
          <w:tblCellMar>
            <w:top w:w="0" w:type="dxa"/>
            <w:left w:w="108" w:type="dxa"/>
            <w:bottom w:w="0" w:type="dxa"/>
            <w:right w:w="108" w:type="dxa"/>
          </w:tblCellMar>
        </w:tblPrEx>
        <w:trPr>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12164">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1.2</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BE45">
            <w:pPr>
              <w:widowControl/>
              <w:snapToGrid w:val="0"/>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厢体配套设施</w:t>
            </w:r>
          </w:p>
          <w:p w14:paraId="4446E063">
            <w:pPr>
              <w:widowControl/>
              <w:snapToGrid w:val="0"/>
              <w:jc w:val="center"/>
              <w:textAlignment w:val="center"/>
              <w:rPr>
                <w:rFonts w:ascii="宋体" w:hAnsi="宋体" w:eastAsia="宋体" w:cs="宋体"/>
                <w:color w:val="auto"/>
                <w:szCs w:val="21"/>
                <w:highlight w:val="none"/>
              </w:rPr>
            </w:pPr>
          </w:p>
        </w:tc>
        <w:tc>
          <w:tcPr>
            <w:tcW w:w="5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AC622">
            <w:pPr>
              <w:widowControl/>
              <w:tabs>
                <w:tab w:val="left" w:pos="312"/>
              </w:tabs>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1.舱体自卸举升机构</w:t>
            </w:r>
          </w:p>
          <w:p w14:paraId="20019432">
            <w:pPr>
              <w:widowControl/>
              <w:snapToGrid w:val="0"/>
              <w:ind w:firstLine="420" w:firstLineChars="20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（1）额定提升重量：满足舱体设计使用重量要求，并具备</w:t>
            </w:r>
            <w:r>
              <w:rPr>
                <w:rFonts w:ascii="宋体" w:hAnsi="宋体" w:eastAsia="宋体" w:cs="宋体"/>
                <w:color w:val="auto"/>
                <w:kern w:val="0"/>
                <w:szCs w:val="21"/>
                <w:highlight w:val="none"/>
                <w:lang w:bidi="ar"/>
              </w:rPr>
              <w:t xml:space="preserve">30%以上冗余能力； </w:t>
            </w:r>
          </w:p>
          <w:p w14:paraId="0ABC3299">
            <w:pPr>
              <w:widowControl/>
              <w:snapToGrid w:val="0"/>
              <w:ind w:firstLine="420" w:firstLineChars="20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 xml:space="preserve">额定举升高度：≥1500mm； </w:t>
            </w:r>
          </w:p>
          <w:p w14:paraId="155259AF">
            <w:pPr>
              <w:widowControl/>
              <w:snapToGrid w:val="0"/>
              <w:ind w:firstLine="420" w:firstLineChars="20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cs="宋体"/>
                <w:color w:val="auto"/>
                <w:kern w:val="0"/>
                <w:szCs w:val="21"/>
                <w:highlight w:val="none"/>
                <w:lang w:val="en-US" w:eastAsia="zh-CN" w:bidi="ar"/>
              </w:rPr>
              <w:t>3</w:t>
            </w: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 xml:space="preserve">升降时间(单程)：≤15min； </w:t>
            </w:r>
          </w:p>
          <w:p w14:paraId="3C5891FF">
            <w:pPr>
              <w:widowControl/>
              <w:snapToGrid w:val="0"/>
              <w:ind w:firstLine="420" w:firstLineChars="20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cs="宋体"/>
                <w:color w:val="auto"/>
                <w:kern w:val="0"/>
                <w:szCs w:val="21"/>
                <w:highlight w:val="none"/>
                <w:lang w:val="en-US" w:eastAsia="zh-CN" w:bidi="ar"/>
              </w:rPr>
              <w:t>4</w:t>
            </w: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 xml:space="preserve">调平时间：＜3min（6m 长方舱所需时间）； </w:t>
            </w:r>
          </w:p>
          <w:p w14:paraId="4EFEC59D">
            <w:pPr>
              <w:widowControl/>
              <w:snapToGrid w:val="0"/>
              <w:ind w:firstLine="420" w:firstLineChars="20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cs="宋体"/>
                <w:color w:val="auto"/>
                <w:kern w:val="0"/>
                <w:szCs w:val="21"/>
                <w:highlight w:val="none"/>
                <w:lang w:val="en-US" w:eastAsia="zh-CN" w:bidi="ar"/>
              </w:rPr>
              <w:t>5</w:t>
            </w: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 xml:space="preserve">调平精度：≤0.5 度； </w:t>
            </w:r>
          </w:p>
          <w:p w14:paraId="27CB8A69">
            <w:pPr>
              <w:widowControl/>
              <w:snapToGrid w:val="0"/>
              <w:ind w:firstLine="420" w:firstLineChars="20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cs="宋体"/>
                <w:color w:val="auto"/>
                <w:kern w:val="0"/>
                <w:szCs w:val="21"/>
                <w:highlight w:val="none"/>
                <w:lang w:val="en-US" w:eastAsia="zh-CN" w:bidi="ar"/>
              </w:rPr>
              <w:t>6</w:t>
            </w: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工作方式：液压或电动（可手动）。</w:t>
            </w:r>
          </w:p>
          <w:p w14:paraId="10EBCD54">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2.发电机检修门：</w:t>
            </w:r>
            <w:r>
              <w:rPr>
                <w:rFonts w:ascii="宋体" w:hAnsi="宋体" w:eastAsia="宋体" w:cs="宋体"/>
                <w:color w:val="auto"/>
                <w:kern w:val="0"/>
                <w:szCs w:val="21"/>
                <w:highlight w:val="none"/>
                <w:lang w:bidi="ar"/>
              </w:rPr>
              <w:t>采用高强度铝合金结构，门板上配备百叶窗式格栅，用于设备通风散热。</w:t>
            </w:r>
          </w:p>
          <w:p w14:paraId="55A8D045">
            <w:pPr>
              <w:widowControl/>
              <w:tabs>
                <w:tab w:val="left" w:pos="312"/>
              </w:tabs>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3.舱体地板：花纹铝板。</w:t>
            </w:r>
          </w:p>
          <w:p w14:paraId="0E90CD1F">
            <w:pPr>
              <w:widowControl/>
              <w:tabs>
                <w:tab w:val="left" w:pos="312"/>
              </w:tabs>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4.舱内基础内饰：</w:t>
            </w:r>
            <w:r>
              <w:rPr>
                <w:rFonts w:ascii="宋体" w:hAnsi="宋体" w:eastAsia="宋体" w:cs="宋体"/>
                <w:color w:val="auto"/>
                <w:kern w:val="0"/>
                <w:szCs w:val="21"/>
                <w:highlight w:val="none"/>
                <w:lang w:bidi="ar"/>
              </w:rPr>
              <w:t>对厢体内部进行平整处理，发电区墙面喷漆处理。</w:t>
            </w:r>
          </w:p>
          <w:p w14:paraId="52372F2B">
            <w:pPr>
              <w:widowControl/>
              <w:tabs>
                <w:tab w:val="left" w:pos="312"/>
              </w:tabs>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5.油漆及外饰：</w:t>
            </w:r>
            <w:r>
              <w:rPr>
                <w:rFonts w:ascii="宋体" w:hAnsi="宋体" w:eastAsia="宋体" w:cs="宋体"/>
                <w:color w:val="auto"/>
                <w:kern w:val="0"/>
                <w:szCs w:val="21"/>
                <w:highlight w:val="none"/>
                <w:lang w:bidi="ar"/>
              </w:rPr>
              <w:t>专业烤漆房烤漆，外观贴字</w:t>
            </w:r>
            <w:r>
              <w:rPr>
                <w:rFonts w:hint="eastAsia" w:ascii="宋体" w:hAnsi="宋体" w:eastAsia="宋体" w:cs="宋体"/>
                <w:color w:val="auto"/>
                <w:kern w:val="0"/>
                <w:szCs w:val="21"/>
                <w:highlight w:val="none"/>
                <w:lang w:bidi="ar"/>
              </w:rPr>
              <w:t>可</w:t>
            </w:r>
            <w:r>
              <w:rPr>
                <w:rFonts w:ascii="宋体" w:hAnsi="宋体" w:eastAsia="宋体" w:cs="宋体"/>
                <w:color w:val="auto"/>
                <w:kern w:val="0"/>
                <w:szCs w:val="21"/>
                <w:highlight w:val="none"/>
                <w:lang w:bidi="ar"/>
              </w:rPr>
              <w:t>根据用户需求</w:t>
            </w:r>
            <w:r>
              <w:rPr>
                <w:rFonts w:hint="eastAsia" w:ascii="宋体" w:hAnsi="宋体" w:eastAsia="宋体" w:cs="宋体"/>
                <w:color w:val="auto"/>
                <w:kern w:val="0"/>
                <w:szCs w:val="21"/>
                <w:highlight w:val="none"/>
                <w:lang w:bidi="ar"/>
              </w:rPr>
              <w:t>定制</w:t>
            </w:r>
            <w:r>
              <w:rPr>
                <w:rFonts w:ascii="宋体" w:hAnsi="宋体" w:eastAsia="宋体" w:cs="宋体"/>
                <w:color w:val="auto"/>
                <w:kern w:val="0"/>
                <w:szCs w:val="21"/>
                <w:highlight w:val="none"/>
                <w:lang w:bidi="ar"/>
              </w:rPr>
              <w:t>。</w:t>
            </w:r>
          </w:p>
          <w:p w14:paraId="6941C696">
            <w:pPr>
              <w:widowControl/>
              <w:tabs>
                <w:tab w:val="left" w:pos="312"/>
              </w:tabs>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6.车内外照明：</w:t>
            </w:r>
            <w:r>
              <w:rPr>
                <w:rFonts w:ascii="宋体" w:hAnsi="宋体" w:eastAsia="宋体" w:cs="宋体"/>
                <w:color w:val="auto"/>
                <w:kern w:val="0"/>
                <w:szCs w:val="21"/>
                <w:highlight w:val="none"/>
                <w:lang w:bidi="ar"/>
              </w:rPr>
              <w:t xml:space="preserve"> LED 照明灯满足工作及车外场地照明需求。</w:t>
            </w:r>
          </w:p>
          <w:p w14:paraId="787C6CD1">
            <w:pPr>
              <w:widowControl/>
              <w:tabs>
                <w:tab w:val="left" w:pos="312"/>
              </w:tabs>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7.其他辅助设施：</w:t>
            </w:r>
            <w:r>
              <w:rPr>
                <w:rFonts w:ascii="宋体" w:hAnsi="宋体" w:eastAsia="宋体" w:cs="宋体"/>
                <w:color w:val="auto"/>
                <w:kern w:val="0"/>
                <w:szCs w:val="21"/>
                <w:highlight w:val="none"/>
                <w:lang w:bidi="ar"/>
              </w:rPr>
              <w:t>配备灭火器、综合布线、集成制作等附件耗材，包含波纹管、胶带、扎带、接插件等。</w:t>
            </w:r>
          </w:p>
          <w:p w14:paraId="3BE7DAA2">
            <w:pPr>
              <w:widowControl/>
              <w:tabs>
                <w:tab w:val="left" w:pos="312"/>
              </w:tabs>
              <w:snapToGrid w:val="0"/>
              <w:textAlignment w:val="center"/>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8.具备人工影响天气作业使用焰条的储运功能。</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EF5C9">
            <w:pPr>
              <w:widowControl/>
              <w:snapToGrid w:val="0"/>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3073F">
            <w:pPr>
              <w:widowControl/>
              <w:snapToGrid w:val="0"/>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套</w:t>
            </w:r>
          </w:p>
        </w:tc>
      </w:tr>
      <w:tr w14:paraId="6AAB4C0A">
        <w:tblPrEx>
          <w:tblCellMar>
            <w:top w:w="0" w:type="dxa"/>
            <w:left w:w="108" w:type="dxa"/>
            <w:bottom w:w="0" w:type="dxa"/>
            <w:right w:w="108" w:type="dxa"/>
          </w:tblCellMar>
        </w:tblPrEx>
        <w:trPr>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6E52">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8737">
            <w:pPr>
              <w:widowControl/>
              <w:snapToGrid w:val="0"/>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供电系统</w:t>
            </w:r>
          </w:p>
        </w:tc>
        <w:tc>
          <w:tcPr>
            <w:tcW w:w="5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6247">
            <w:pPr>
              <w:widowControl/>
              <w:snapToGrid w:val="0"/>
              <w:ind w:firstLine="420" w:firstLineChars="20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具备1路</w:t>
            </w:r>
            <w:r>
              <w:rPr>
                <w:rFonts w:hint="eastAsia"/>
                <w:color w:val="auto"/>
                <w:highlight w:val="none"/>
                <w:lang w:val="en-US" w:eastAsia="zh-CN"/>
              </w:rPr>
              <w:t>三相四线</w:t>
            </w:r>
            <w:r>
              <w:rPr>
                <w:rFonts w:hint="eastAsia" w:ascii="宋体" w:hAnsi="宋体" w:eastAsia="宋体" w:cs="宋体"/>
                <w:color w:val="auto"/>
                <w:kern w:val="0"/>
                <w:szCs w:val="21"/>
                <w:highlight w:val="none"/>
                <w:lang w:bidi="ar"/>
              </w:rPr>
              <w:t>380V或1路 220V 市电供电，1路发电机供电接口，做好标识。供电方式可以切换。满足市电、发电机、UPS 不间断供电要求。通过舱体对外提供供电及接地的转接板，当外部电源接至转接板后，内部通过配电箱给各设备供电。</w:t>
            </w:r>
          </w:p>
          <w:p w14:paraId="355A178E">
            <w:pPr>
              <w:keepNext w:val="0"/>
              <w:keepLines w:val="0"/>
              <w:pageBreakBefore w:val="0"/>
              <w:widowControl/>
              <w:kinsoku/>
              <w:wordWrap/>
              <w:overflowPunct/>
              <w:topLinePunct w:val="0"/>
              <w:autoSpaceDE/>
              <w:autoSpaceDN/>
              <w:bidi w:val="0"/>
              <w:adjustRightInd/>
              <w:snapToGrid w:val="0"/>
              <w:ind w:firstLine="0" w:firstLineChars="0"/>
              <w:textAlignment w:val="center"/>
              <w:rPr>
                <w:rFonts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市电接入</w:t>
            </w:r>
          </w:p>
          <w:p w14:paraId="70AFF71B">
            <w:pPr>
              <w:keepNext w:val="0"/>
              <w:keepLines w:val="0"/>
              <w:pageBreakBefore w:val="0"/>
              <w:widowControl/>
              <w:kinsoku/>
              <w:wordWrap/>
              <w:overflowPunct/>
              <w:topLinePunct w:val="0"/>
              <w:autoSpaceDE/>
              <w:autoSpaceDN/>
              <w:bidi w:val="0"/>
              <w:adjustRightInd/>
              <w:snapToGrid w:val="0"/>
              <w:ind w:firstLine="0" w:firstLineChars="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具备1路供电电压 380×（1±10%）V、频率 50×（1±5%）Hz或1路供电电压220×1±10%）V、频率 50×（1±5%）Hz，总功率可满足方舱内所有用电设备正常运行，并预留不低于30%功率冗余，配备满足功率的手动或电动市电线缆轴长度</w:t>
            </w:r>
            <w:r>
              <w:rPr>
                <w:rFonts w:hint="eastAsia" w:ascii="宋体" w:hAnsi="宋体" w:eastAsia="宋体" w:cs="宋体"/>
                <w:color w:val="auto"/>
                <w:kern w:val="0"/>
                <w:szCs w:val="21"/>
                <w:highlight w:val="none"/>
                <w:lang w:eastAsia="zh-CN" w:bidi="ar"/>
              </w:rPr>
              <w:t>不小于</w:t>
            </w:r>
            <w:r>
              <w:rPr>
                <w:rFonts w:hint="eastAsia" w:ascii="宋体" w:hAnsi="宋体" w:eastAsia="宋体" w:cs="宋体"/>
                <w:color w:val="auto"/>
                <w:kern w:val="0"/>
                <w:szCs w:val="21"/>
                <w:highlight w:val="none"/>
                <w:lang w:bidi="ar"/>
              </w:rPr>
              <w:t>45米；配备满足功率的市电对接插头。</w:t>
            </w:r>
          </w:p>
          <w:p w14:paraId="5994134E">
            <w:pPr>
              <w:keepNext w:val="0"/>
              <w:keepLines w:val="0"/>
              <w:pageBreakBefore w:val="0"/>
              <w:widowControl/>
              <w:kinsoku/>
              <w:wordWrap/>
              <w:overflowPunct/>
              <w:topLinePunct w:val="0"/>
              <w:autoSpaceDE/>
              <w:autoSpaceDN/>
              <w:bidi w:val="0"/>
              <w:adjustRightInd/>
              <w:snapToGrid w:val="0"/>
              <w:ind w:firstLine="0" w:firstLineChars="0"/>
              <w:textAlignment w:val="center"/>
              <w:rPr>
                <w:rFonts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静音发电机</w:t>
            </w:r>
          </w:p>
          <w:p w14:paraId="40515961">
            <w:pPr>
              <w:keepNext w:val="0"/>
              <w:keepLines w:val="0"/>
              <w:pageBreakBefore w:val="0"/>
              <w:widowControl/>
              <w:kinsoku/>
              <w:wordWrap/>
              <w:overflowPunct/>
              <w:topLinePunct w:val="0"/>
              <w:autoSpaceDE/>
              <w:autoSpaceDN/>
              <w:bidi w:val="0"/>
              <w:adjustRightInd/>
              <w:snapToGrid w:val="0"/>
              <w:ind w:firstLine="0" w:firstLineChars="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）额定频率：50 HZ；</w:t>
            </w:r>
          </w:p>
          <w:p w14:paraId="2E58E16A">
            <w:pPr>
              <w:keepNext w:val="0"/>
              <w:keepLines w:val="0"/>
              <w:pageBreakBefore w:val="0"/>
              <w:widowControl/>
              <w:kinsoku/>
              <w:wordWrap/>
              <w:overflowPunct/>
              <w:topLinePunct w:val="0"/>
              <w:autoSpaceDE/>
              <w:autoSpaceDN/>
              <w:bidi w:val="0"/>
              <w:adjustRightInd/>
              <w:snapToGrid w:val="0"/>
              <w:ind w:firstLine="0" w:firstLineChars="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）额定输出功率：可满足方舱内所有用电设备正常运行，并预留不低于 30%功率冗余；</w:t>
            </w:r>
          </w:p>
          <w:p w14:paraId="7AE71D68">
            <w:pPr>
              <w:keepNext w:val="0"/>
              <w:keepLines w:val="0"/>
              <w:pageBreakBefore w:val="0"/>
              <w:widowControl/>
              <w:kinsoku/>
              <w:wordWrap/>
              <w:overflowPunct/>
              <w:topLinePunct w:val="0"/>
              <w:autoSpaceDE/>
              <w:autoSpaceDN/>
              <w:bidi w:val="0"/>
              <w:adjustRightInd/>
              <w:snapToGrid w:val="0"/>
              <w:ind w:firstLine="0" w:firstLineChars="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cs="宋体"/>
                <w:color w:val="auto"/>
                <w:kern w:val="0"/>
                <w:szCs w:val="21"/>
                <w:highlight w:val="none"/>
                <w:lang w:val="en-US" w:eastAsia="zh-CN" w:bidi="ar"/>
              </w:rPr>
              <w:t>3</w:t>
            </w:r>
            <w:r>
              <w:rPr>
                <w:rFonts w:hint="eastAsia" w:ascii="宋体" w:hAnsi="宋体" w:eastAsia="宋体" w:cs="宋体"/>
                <w:color w:val="auto"/>
                <w:kern w:val="0"/>
                <w:szCs w:val="21"/>
                <w:highlight w:val="none"/>
                <w:lang w:bidi="ar"/>
              </w:rPr>
              <w:t>）额定电压：230 V 或 400 V；</w:t>
            </w:r>
          </w:p>
          <w:p w14:paraId="4AF62CBB">
            <w:pPr>
              <w:keepNext w:val="0"/>
              <w:keepLines w:val="0"/>
              <w:pageBreakBefore w:val="0"/>
              <w:widowControl/>
              <w:kinsoku/>
              <w:wordWrap/>
              <w:overflowPunct/>
              <w:topLinePunct w:val="0"/>
              <w:autoSpaceDE/>
              <w:autoSpaceDN/>
              <w:bidi w:val="0"/>
              <w:adjustRightInd/>
              <w:snapToGrid w:val="0"/>
              <w:ind w:firstLine="0" w:firstLineChars="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cs="宋体"/>
                <w:color w:val="auto"/>
                <w:kern w:val="0"/>
                <w:szCs w:val="21"/>
                <w:highlight w:val="none"/>
                <w:lang w:val="en-US" w:eastAsia="zh-CN" w:bidi="ar"/>
              </w:rPr>
              <w:t>4</w:t>
            </w:r>
            <w:r>
              <w:rPr>
                <w:rFonts w:hint="eastAsia" w:ascii="宋体" w:hAnsi="宋体" w:eastAsia="宋体" w:cs="宋体"/>
                <w:color w:val="auto"/>
                <w:kern w:val="0"/>
                <w:szCs w:val="21"/>
                <w:highlight w:val="none"/>
                <w:lang w:bidi="ar"/>
              </w:rPr>
              <w:t>）噪音（1m 处）：≤75 dB(A)。</w:t>
            </w:r>
          </w:p>
          <w:p w14:paraId="658106AB">
            <w:pPr>
              <w:keepNext w:val="0"/>
              <w:keepLines w:val="0"/>
              <w:pageBreakBefore w:val="0"/>
              <w:widowControl/>
              <w:kinsoku/>
              <w:wordWrap/>
              <w:overflowPunct/>
              <w:topLinePunct w:val="0"/>
              <w:autoSpaceDE/>
              <w:autoSpaceDN/>
              <w:bidi w:val="0"/>
              <w:adjustRightInd/>
              <w:snapToGrid w:val="0"/>
              <w:ind w:firstLine="0" w:firstLineChars="0"/>
              <w:textAlignment w:val="center"/>
              <w:rPr>
                <w:rFonts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bidi="ar"/>
              </w:rPr>
              <w:t>3.</w:t>
            </w:r>
            <w:r>
              <w:rPr>
                <w:rFonts w:hint="eastAsia" w:ascii="宋体" w:hAnsi="宋体" w:eastAsia="宋体" w:cs="宋体"/>
                <w:color w:val="auto"/>
                <w:kern w:val="0"/>
                <w:szCs w:val="21"/>
                <w:highlight w:val="none"/>
                <w:lang w:bidi="ar"/>
              </w:rPr>
              <w:t>配电箱</w:t>
            </w:r>
          </w:p>
          <w:p w14:paraId="4952660C">
            <w:pPr>
              <w:keepNext w:val="0"/>
              <w:keepLines w:val="0"/>
              <w:pageBreakBefore w:val="0"/>
              <w:widowControl/>
              <w:kinsoku/>
              <w:wordWrap/>
              <w:overflowPunct/>
              <w:topLinePunct w:val="0"/>
              <w:autoSpaceDE/>
              <w:autoSpaceDN/>
              <w:bidi w:val="0"/>
              <w:adjustRightInd/>
              <w:snapToGrid w:val="0"/>
              <w:ind w:firstLine="0" w:firstLineChars="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集中式电源管理系统，含电源漏电保护、开关、电源电压电流显示等，开关分别控制空调、设备用电等；配电盘面板为数控机床加工，表面喷塑处理。</w:t>
            </w:r>
          </w:p>
          <w:p w14:paraId="7FECBE92">
            <w:pPr>
              <w:keepNext w:val="0"/>
              <w:keepLines w:val="0"/>
              <w:pageBreakBefore w:val="0"/>
              <w:widowControl/>
              <w:kinsoku/>
              <w:wordWrap/>
              <w:overflowPunct/>
              <w:topLinePunct w:val="0"/>
              <w:autoSpaceDE/>
              <w:autoSpaceDN/>
              <w:bidi w:val="0"/>
              <w:adjustRightInd/>
              <w:snapToGrid w:val="0"/>
              <w:ind w:firstLine="0" w:firstLineChars="0"/>
              <w:textAlignment w:val="center"/>
              <w:rPr>
                <w:rFonts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bidi="ar"/>
              </w:rPr>
              <w:t>4.</w:t>
            </w:r>
            <w:r>
              <w:rPr>
                <w:rFonts w:hint="eastAsia" w:ascii="宋体" w:hAnsi="宋体" w:eastAsia="宋体" w:cs="宋体"/>
                <w:color w:val="auto"/>
                <w:kern w:val="0"/>
                <w:szCs w:val="21"/>
                <w:highlight w:val="none"/>
                <w:lang w:bidi="ar"/>
              </w:rPr>
              <w:t>舱体接地</w:t>
            </w:r>
          </w:p>
          <w:p w14:paraId="7349A5F5">
            <w:pPr>
              <w:keepNext w:val="0"/>
              <w:keepLines w:val="0"/>
              <w:pageBreakBefore w:val="0"/>
              <w:widowControl/>
              <w:kinsoku/>
              <w:wordWrap/>
              <w:overflowPunct/>
              <w:topLinePunct w:val="0"/>
              <w:autoSpaceDE/>
              <w:autoSpaceDN/>
              <w:bidi w:val="0"/>
              <w:adjustRightInd/>
              <w:snapToGrid w:val="0"/>
              <w:ind w:firstLine="0" w:firstLineChars="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含接地桩、接地线，电源防浪涌装置。</w:t>
            </w:r>
          </w:p>
          <w:p w14:paraId="77609855">
            <w:pPr>
              <w:keepNext w:val="0"/>
              <w:keepLines w:val="0"/>
              <w:pageBreakBefore w:val="0"/>
              <w:widowControl/>
              <w:kinsoku/>
              <w:wordWrap/>
              <w:overflowPunct/>
              <w:topLinePunct w:val="0"/>
              <w:autoSpaceDE/>
              <w:autoSpaceDN/>
              <w:bidi w:val="0"/>
              <w:adjustRightInd/>
              <w:snapToGrid w:val="0"/>
              <w:ind w:firstLine="0" w:firstLineChars="0"/>
              <w:textAlignment w:val="center"/>
              <w:rPr>
                <w:rFonts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bidi="ar"/>
              </w:rPr>
              <w:t>5.</w:t>
            </w:r>
            <w:r>
              <w:rPr>
                <w:rFonts w:hint="eastAsia" w:ascii="宋体" w:hAnsi="宋体" w:eastAsia="宋体" w:cs="宋体"/>
                <w:color w:val="auto"/>
                <w:kern w:val="0"/>
                <w:szCs w:val="21"/>
                <w:highlight w:val="none"/>
                <w:lang w:bidi="ar"/>
              </w:rPr>
              <w:t>对外接口板</w:t>
            </w:r>
          </w:p>
          <w:p w14:paraId="7E3CF816">
            <w:pPr>
              <w:keepNext w:val="0"/>
              <w:keepLines w:val="0"/>
              <w:pageBreakBefore w:val="0"/>
              <w:widowControl/>
              <w:kinsoku/>
              <w:wordWrap/>
              <w:overflowPunct/>
              <w:topLinePunct w:val="0"/>
              <w:autoSpaceDE/>
              <w:autoSpaceDN/>
              <w:bidi w:val="0"/>
              <w:adjustRightInd/>
              <w:snapToGrid w:val="0"/>
              <w:ind w:firstLine="0" w:firstLineChars="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含电源、数据传输接口。</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4F2F">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25438">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套</w:t>
            </w:r>
          </w:p>
        </w:tc>
      </w:tr>
      <w:tr w14:paraId="1EFF7055">
        <w:tblPrEx>
          <w:tblCellMar>
            <w:top w:w="0" w:type="dxa"/>
            <w:left w:w="108" w:type="dxa"/>
            <w:bottom w:w="0" w:type="dxa"/>
            <w:right w:w="108" w:type="dxa"/>
          </w:tblCellMar>
        </w:tblPrEx>
        <w:trPr>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A098">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1.4</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F906">
            <w:pPr>
              <w:widowControl/>
              <w:snapToGrid w:val="0"/>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北斗定位系统</w:t>
            </w:r>
          </w:p>
          <w:p w14:paraId="473C5FD2">
            <w:pPr>
              <w:widowControl/>
              <w:snapToGrid w:val="0"/>
              <w:jc w:val="center"/>
              <w:textAlignment w:val="center"/>
              <w:rPr>
                <w:rFonts w:ascii="宋体" w:hAnsi="宋体" w:eastAsia="宋体" w:cs="宋体"/>
                <w:color w:val="auto"/>
                <w:kern w:val="0"/>
                <w:szCs w:val="21"/>
                <w:highlight w:val="none"/>
                <w:lang w:bidi="ar"/>
              </w:rPr>
            </w:pPr>
          </w:p>
        </w:tc>
        <w:tc>
          <w:tcPr>
            <w:tcW w:w="5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D494">
            <w:pPr>
              <w:widowControl/>
              <w:snapToGrid w:val="0"/>
              <w:ind w:firstLine="420" w:firstLineChars="20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配备北斗全球导航定位系统：</w:t>
            </w:r>
          </w:p>
          <w:p w14:paraId="6247C099">
            <w:pPr>
              <w:widowControl/>
              <w:snapToGrid w:val="0"/>
              <w:textAlignment w:val="center"/>
              <w:rPr>
                <w:rFonts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 xml:space="preserve">定位功能：具备支持单独使用北斗定位功能； </w:t>
            </w:r>
          </w:p>
          <w:p w14:paraId="352C1227">
            <w:pPr>
              <w:widowControl/>
              <w:snapToGrid w:val="0"/>
              <w:textAlignment w:val="center"/>
              <w:rPr>
                <w:rFonts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bidi="ar"/>
              </w:rPr>
              <w:t>2.</w:t>
            </w:r>
            <w:r>
              <w:rPr>
                <w:rFonts w:ascii="宋体" w:hAnsi="宋体" w:eastAsia="宋体" w:cs="宋体"/>
                <w:color w:val="auto"/>
                <w:kern w:val="0"/>
                <w:szCs w:val="21"/>
                <w:highlight w:val="none"/>
                <w:lang w:bidi="ar"/>
              </w:rPr>
              <w:t xml:space="preserve">定位精度：≤5m；测速精度：≤0.2m/s； </w:t>
            </w:r>
          </w:p>
          <w:p w14:paraId="61553346">
            <w:pPr>
              <w:widowControl/>
              <w:snapToGrid w:val="0"/>
              <w:textAlignment w:val="center"/>
              <w:rPr>
                <w:rFonts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bidi="ar"/>
              </w:rPr>
              <w:t>3.</w:t>
            </w:r>
            <w:r>
              <w:rPr>
                <w:rFonts w:ascii="宋体" w:hAnsi="宋体" w:eastAsia="宋体" w:cs="宋体"/>
                <w:color w:val="auto"/>
                <w:kern w:val="0"/>
                <w:szCs w:val="21"/>
                <w:highlight w:val="none"/>
                <w:lang w:bidi="ar"/>
              </w:rPr>
              <w:t xml:space="preserve">首次定位时间：冷启动≤120 秒，热启动≤10 秒； </w:t>
            </w:r>
          </w:p>
          <w:p w14:paraId="69A2F579">
            <w:pPr>
              <w:widowControl/>
              <w:snapToGrid w:val="0"/>
              <w:textAlignment w:val="center"/>
              <w:rPr>
                <w:rFonts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bidi="ar"/>
              </w:rPr>
              <w:t>4.</w:t>
            </w:r>
            <w:r>
              <w:rPr>
                <w:rFonts w:ascii="宋体" w:hAnsi="宋体" w:eastAsia="宋体" w:cs="宋体"/>
                <w:color w:val="auto"/>
                <w:kern w:val="0"/>
                <w:szCs w:val="21"/>
                <w:highlight w:val="none"/>
                <w:lang w:bidi="ar"/>
              </w:rPr>
              <w:t xml:space="preserve">接收频率：支持北斗 B1 频段； </w:t>
            </w:r>
          </w:p>
          <w:p w14:paraId="190A71BD">
            <w:pPr>
              <w:widowControl/>
              <w:snapToGrid w:val="0"/>
              <w:textAlignment w:val="center"/>
              <w:rPr>
                <w:rFonts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bidi="ar"/>
              </w:rPr>
              <w:t>5.</w:t>
            </w:r>
            <w:r>
              <w:rPr>
                <w:rFonts w:ascii="宋体" w:hAnsi="宋体" w:eastAsia="宋体" w:cs="宋体"/>
                <w:color w:val="auto"/>
                <w:kern w:val="0"/>
                <w:szCs w:val="21"/>
                <w:highlight w:val="none"/>
                <w:lang w:bidi="ar"/>
              </w:rPr>
              <w:t xml:space="preserve">捕获灵敏度：≤-133dBm；跟踪灵敏度：≤-147dBm； </w:t>
            </w:r>
          </w:p>
          <w:p w14:paraId="4009F623">
            <w:pPr>
              <w:widowControl/>
              <w:snapToGrid w:val="0"/>
              <w:textAlignment w:val="center"/>
              <w:rPr>
                <w:rFonts w:ascii="Times New Roman" w:hAnsi="Times New Roman" w:eastAsia="宋体" w:cs="Times New Roman"/>
                <w:color w:val="auto"/>
                <w:kern w:val="0"/>
                <w:szCs w:val="21"/>
                <w:highlight w:val="none"/>
                <w:lang w:bidi="ar"/>
              </w:rPr>
            </w:pPr>
            <w:r>
              <w:rPr>
                <w:rFonts w:hint="eastAsia" w:ascii="宋体" w:hAnsi="宋体" w:cs="宋体"/>
                <w:color w:val="auto"/>
                <w:kern w:val="0"/>
                <w:szCs w:val="21"/>
                <w:highlight w:val="none"/>
                <w:lang w:val="en-US" w:eastAsia="zh-CN" w:bidi="ar"/>
              </w:rPr>
              <w:t>6.</w:t>
            </w:r>
            <w:r>
              <w:rPr>
                <w:rFonts w:ascii="宋体" w:hAnsi="宋体" w:eastAsia="宋体" w:cs="宋体"/>
                <w:color w:val="auto"/>
                <w:kern w:val="0"/>
                <w:szCs w:val="21"/>
                <w:highlight w:val="none"/>
                <w:lang w:bidi="ar"/>
              </w:rPr>
              <w:t>防护等级：≥IP67。</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881A">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B435E">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套</w:t>
            </w:r>
          </w:p>
        </w:tc>
      </w:tr>
      <w:tr w14:paraId="550E88D9">
        <w:tblPrEx>
          <w:tblCellMar>
            <w:top w:w="0" w:type="dxa"/>
            <w:left w:w="108" w:type="dxa"/>
            <w:bottom w:w="0" w:type="dxa"/>
            <w:right w:w="108" w:type="dxa"/>
          </w:tblCellMar>
        </w:tblPrEx>
        <w:trPr>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53F40">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1.5</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1C95">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无人机显控席位</w:t>
            </w:r>
          </w:p>
        </w:tc>
        <w:tc>
          <w:tcPr>
            <w:tcW w:w="5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8671">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实现对无人机操控和飞行轨迹数据和气象参数（温度、湿度、气压等）的实时采集、处理、存储和可视化显示，并搭载无人机指挥系统，可对无人机作业进行实时操控指挥。</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C4921">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16387">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套</w:t>
            </w:r>
          </w:p>
        </w:tc>
      </w:tr>
      <w:tr w14:paraId="2649D54D">
        <w:tblPrEx>
          <w:tblCellMar>
            <w:top w:w="0" w:type="dxa"/>
            <w:left w:w="108" w:type="dxa"/>
            <w:bottom w:w="0" w:type="dxa"/>
            <w:right w:w="108" w:type="dxa"/>
          </w:tblCellMar>
        </w:tblPrEx>
        <w:trPr>
          <w:jc w:val="center"/>
        </w:trPr>
        <w:tc>
          <w:tcPr>
            <w:tcW w:w="67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CD9DFCC">
            <w:pPr>
              <w:widowControl/>
              <w:snapToGrid w:val="0"/>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w:t>
            </w:r>
          </w:p>
        </w:tc>
        <w:tc>
          <w:tcPr>
            <w:tcW w:w="842" w:type="dxa"/>
            <w:tcBorders>
              <w:top w:val="single" w:color="000000" w:sz="4" w:space="0"/>
              <w:left w:val="single" w:color="000000" w:sz="4" w:space="0"/>
              <w:bottom w:val="single" w:color="auto" w:sz="4" w:space="0"/>
              <w:right w:val="single" w:color="000000" w:sz="4" w:space="0"/>
            </w:tcBorders>
            <w:shd w:val="clear" w:color="auto" w:fill="auto"/>
            <w:vAlign w:val="center"/>
          </w:tcPr>
          <w:p w14:paraId="714E3B0E">
            <w:pPr>
              <w:widowControl/>
              <w:snapToGrid w:val="0"/>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移动式火箭发射单元</w:t>
            </w:r>
          </w:p>
        </w:tc>
        <w:tc>
          <w:tcPr>
            <w:tcW w:w="543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D986362">
            <w:pPr>
              <w:widowControl/>
              <w:snapToGrid w:val="0"/>
              <w:ind w:firstLine="422" w:firstLineChars="200"/>
              <w:jc w:val="left"/>
              <w:textAlignment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应符合《人工影响天气火箭发射架通用</w:t>
            </w:r>
            <w:r>
              <w:rPr>
                <w:rFonts w:ascii="宋体" w:hAnsi="宋体" w:eastAsia="宋体" w:cs="宋体"/>
                <w:b/>
                <w:bCs/>
                <w:color w:val="auto"/>
                <w:szCs w:val="21"/>
                <w:highlight w:val="none"/>
              </w:rPr>
              <w:t>技术规范》，满足箭架分离、自动化、信息化功能，设备数据实时对接“天工”平台。</w:t>
            </w:r>
          </w:p>
          <w:p w14:paraId="5A262202">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1.在30m外能够无线遥控指挥；</w:t>
            </w:r>
          </w:p>
          <w:p w14:paraId="5C5393D3">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2.能够进行实时的姿态测量反馈；</w:t>
            </w:r>
          </w:p>
          <w:p w14:paraId="5ED17BF5">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3.能够在电气系统异常时启用应急操控；</w:t>
            </w:r>
          </w:p>
          <w:p w14:paraId="567C1487">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4.能够流畅地进行姿态调整；</w:t>
            </w:r>
          </w:p>
          <w:p w14:paraId="4000EC8A">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5.能够在检测发射时将发射架姿态锁紧；</w:t>
            </w:r>
          </w:p>
          <w:p w14:paraId="6472CC9A">
            <w:pPr>
              <w:widowControl/>
              <w:jc w:val="left"/>
              <w:textAlignment w:val="center"/>
              <w:rPr>
                <w:rFonts w:ascii="宋体" w:hAnsi="宋体" w:eastAsia="宋体" w:cs="宋体"/>
                <w:b/>
                <w:bCs/>
                <w:color w:val="auto"/>
                <w:szCs w:val="21"/>
                <w:highlight w:val="none"/>
              </w:rPr>
            </w:pPr>
            <w:r>
              <w:rPr>
                <w:rFonts w:hint="eastAsia" w:ascii="宋体" w:hAnsi="宋体" w:eastAsia="宋体" w:cs="宋体"/>
                <w:color w:val="auto"/>
                <w:szCs w:val="21"/>
                <w:highlight w:val="none"/>
              </w:rPr>
              <w:t>6.能认证人工影响天气作业人员的身份，根据认证结果提供相应的使用授权。</w:t>
            </w:r>
          </w:p>
        </w:tc>
        <w:tc>
          <w:tcPr>
            <w:tcW w:w="68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16BA0EA">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w:t>
            </w:r>
          </w:p>
        </w:tc>
        <w:tc>
          <w:tcPr>
            <w:tcW w:w="6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AA7A074">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套</w:t>
            </w:r>
          </w:p>
        </w:tc>
      </w:tr>
      <w:tr w14:paraId="11383926">
        <w:tblPrEx>
          <w:tblCellMar>
            <w:top w:w="0" w:type="dxa"/>
            <w:left w:w="108" w:type="dxa"/>
            <w:bottom w:w="0" w:type="dxa"/>
            <w:right w:w="108" w:type="dxa"/>
          </w:tblCellMar>
        </w:tblPrEx>
        <w:trPr>
          <w:jc w:val="center"/>
        </w:trPr>
        <w:tc>
          <w:tcPr>
            <w:tcW w:w="67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7E6F24A">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2.1</w:t>
            </w:r>
          </w:p>
        </w:tc>
        <w:tc>
          <w:tcPr>
            <w:tcW w:w="842" w:type="dxa"/>
            <w:tcBorders>
              <w:top w:val="single" w:color="000000" w:sz="4" w:space="0"/>
              <w:left w:val="single" w:color="000000" w:sz="4" w:space="0"/>
              <w:bottom w:val="single" w:color="auto" w:sz="4" w:space="0"/>
              <w:right w:val="single" w:color="000000" w:sz="4" w:space="0"/>
            </w:tcBorders>
            <w:shd w:val="clear" w:color="auto" w:fill="auto"/>
            <w:vAlign w:val="center"/>
          </w:tcPr>
          <w:p w14:paraId="04152305">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火箭发射装置</w:t>
            </w:r>
          </w:p>
        </w:tc>
        <w:tc>
          <w:tcPr>
            <w:tcW w:w="543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52C0E00">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1.发射轨道长：≥1500mm；</w:t>
            </w:r>
          </w:p>
          <w:p w14:paraId="27B11978">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2.发射轨道数：≥4个；</w:t>
            </w:r>
          </w:p>
          <w:p w14:paraId="6CEC27D3">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3.仰射角调整范围：7°～85°；</w:t>
            </w:r>
          </w:p>
          <w:p w14:paraId="0FAAF771">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4.仰射角</w:t>
            </w:r>
          </w:p>
          <w:p w14:paraId="1601E08E">
            <w:pPr>
              <w:widowControl/>
              <w:ind w:firstLine="210" w:firstLineChars="10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（1）调整速度：≥3°/s；</w:t>
            </w:r>
          </w:p>
          <w:p w14:paraId="51156BE9">
            <w:pPr>
              <w:widowControl/>
              <w:ind w:firstLine="210" w:firstLineChars="10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（2）准确度：</w:t>
            </w:r>
            <w:r>
              <w:rPr>
                <w:rFonts w:ascii="宋体" w:hAnsi="宋体" w:eastAsia="宋体" w:cs="宋体"/>
                <w:color w:val="auto"/>
                <w:szCs w:val="21"/>
                <w:highlight w:val="none"/>
              </w:rPr>
              <w:t>±</w:t>
            </w:r>
            <w:r>
              <w:rPr>
                <w:rFonts w:hint="eastAsia" w:ascii="宋体" w:hAnsi="宋体" w:eastAsia="宋体" w:cs="宋体"/>
                <w:color w:val="auto"/>
                <w:szCs w:val="21"/>
                <w:highlight w:val="none"/>
              </w:rPr>
              <w:t>0.5°；</w:t>
            </w:r>
          </w:p>
          <w:p w14:paraId="24C29C91">
            <w:pPr>
              <w:widowControl/>
              <w:ind w:firstLine="210" w:firstLineChars="10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（3）测量精度：1°；</w:t>
            </w:r>
          </w:p>
          <w:p w14:paraId="47CD20AC">
            <w:pPr>
              <w:widowControl/>
              <w:ind w:firstLine="210" w:firstLineChars="10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（4）分辨率：1°；</w:t>
            </w:r>
          </w:p>
          <w:p w14:paraId="480F9E1A">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5.方位角</w:t>
            </w:r>
          </w:p>
          <w:p w14:paraId="12C9E8E4">
            <w:pPr>
              <w:widowControl/>
              <w:ind w:firstLine="210" w:firstLineChars="10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（1）调整速度≥5°/s；</w:t>
            </w:r>
          </w:p>
          <w:p w14:paraId="0A809EB7">
            <w:pPr>
              <w:widowControl/>
              <w:ind w:firstLine="210" w:firstLineChars="10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（2）准确度：</w:t>
            </w:r>
            <w:r>
              <w:rPr>
                <w:rFonts w:ascii="宋体" w:hAnsi="宋体" w:eastAsia="宋体" w:cs="宋体"/>
                <w:color w:val="auto"/>
                <w:szCs w:val="21"/>
                <w:highlight w:val="none"/>
              </w:rPr>
              <w:t>±</w:t>
            </w:r>
            <w:r>
              <w:rPr>
                <w:rFonts w:hint="eastAsia" w:ascii="宋体" w:hAnsi="宋体" w:eastAsia="宋体" w:cs="宋体"/>
                <w:color w:val="auto"/>
                <w:szCs w:val="21"/>
                <w:highlight w:val="none"/>
              </w:rPr>
              <w:t>0.5°；</w:t>
            </w:r>
          </w:p>
          <w:p w14:paraId="6CB35E0C">
            <w:pPr>
              <w:widowControl/>
              <w:ind w:firstLine="210" w:firstLineChars="10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（3）转动回差：≤1°；</w:t>
            </w:r>
          </w:p>
          <w:p w14:paraId="15FCAAF8">
            <w:pPr>
              <w:widowControl/>
              <w:ind w:firstLine="210" w:firstLineChars="10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（4）测量精度：1°；</w:t>
            </w:r>
          </w:p>
          <w:p w14:paraId="11128888">
            <w:pPr>
              <w:widowControl/>
              <w:ind w:firstLine="210" w:firstLineChars="10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（5）分辨率：1°；</w:t>
            </w:r>
          </w:p>
          <w:p w14:paraId="2D640B4B">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6.坐标定位精度：10m；</w:t>
            </w:r>
          </w:p>
          <w:p w14:paraId="3B528937">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7.坐标定位时间：≤60s；</w:t>
            </w:r>
          </w:p>
          <w:p w14:paraId="79182CBC">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8.供电电源：DC 36V/20Ah 或 24V/30Ah；</w:t>
            </w:r>
          </w:p>
          <w:p w14:paraId="723F59AC">
            <w:pPr>
              <w:widowControl/>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szCs w:val="21"/>
                <w:highlight w:val="none"/>
              </w:rPr>
              <w:t>9.使用寿命：不低于8年。</w:t>
            </w:r>
          </w:p>
        </w:tc>
        <w:tc>
          <w:tcPr>
            <w:tcW w:w="68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EA21351">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w:t>
            </w:r>
          </w:p>
        </w:tc>
        <w:tc>
          <w:tcPr>
            <w:tcW w:w="6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C7AFF30">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套</w:t>
            </w:r>
          </w:p>
        </w:tc>
      </w:tr>
      <w:tr w14:paraId="614A8D6D">
        <w:tblPrEx>
          <w:tblCellMar>
            <w:top w:w="0" w:type="dxa"/>
            <w:left w:w="108" w:type="dxa"/>
            <w:bottom w:w="0" w:type="dxa"/>
            <w:right w:w="108" w:type="dxa"/>
          </w:tblCellMar>
        </w:tblPrEx>
        <w:trPr>
          <w:jc w:val="center"/>
        </w:trPr>
        <w:tc>
          <w:tcPr>
            <w:tcW w:w="67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A93A815">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2.2</w:t>
            </w:r>
          </w:p>
        </w:tc>
        <w:tc>
          <w:tcPr>
            <w:tcW w:w="842" w:type="dxa"/>
            <w:tcBorders>
              <w:top w:val="single" w:color="000000" w:sz="4" w:space="0"/>
              <w:left w:val="single" w:color="000000" w:sz="4" w:space="0"/>
              <w:bottom w:val="single" w:color="auto" w:sz="4" w:space="0"/>
              <w:right w:val="single" w:color="000000" w:sz="4" w:space="0"/>
            </w:tcBorders>
            <w:shd w:val="clear" w:color="auto" w:fill="auto"/>
            <w:vAlign w:val="center"/>
          </w:tcPr>
          <w:p w14:paraId="4AC8EAE9">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无线安全锁定发发控器</w:t>
            </w:r>
          </w:p>
        </w:tc>
        <w:tc>
          <w:tcPr>
            <w:tcW w:w="543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EEEFD51">
            <w:pPr>
              <w:rPr>
                <w:rFonts w:ascii="宋体" w:hAnsi="宋体" w:eastAsia="宋体" w:cs="宋体"/>
                <w:color w:val="auto"/>
                <w:szCs w:val="21"/>
                <w:highlight w:val="none"/>
              </w:rPr>
            </w:pPr>
            <w:r>
              <w:rPr>
                <w:rFonts w:hint="eastAsia" w:ascii="宋体" w:hAnsi="宋体" w:eastAsia="宋体" w:cs="宋体"/>
                <w:color w:val="auto"/>
                <w:szCs w:val="21"/>
                <w:highlight w:val="none"/>
              </w:rPr>
              <w:t>1功能要求</w:t>
            </w:r>
          </w:p>
          <w:p w14:paraId="0D0BC597">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（1）具备北斗三号区域短报文通信，最大支持通信等级5级（1000汉字）；</w:t>
            </w:r>
          </w:p>
          <w:p w14:paraId="54C608F5">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（2）具备北斗定位功能；</w:t>
            </w:r>
          </w:p>
          <w:p w14:paraId="1FED5FE8">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（3）具备安全射界验证、作业状态监控，以及身份码（UID）壳体码、发射码“三码”合一验证功能；</w:t>
            </w:r>
          </w:p>
          <w:p w14:paraId="58AD8358">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（4）.支持与“天工”平台对接，具备作业状态上报、作业指令接收、作业信息自动采集等功能；</w:t>
            </w:r>
          </w:p>
          <w:p w14:paraId="1BB7B55F">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）具备指纹识别或数字密码识别功能</w:t>
            </w:r>
          </w:p>
          <w:p w14:paraId="344AFF89">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2.技术参数</w:t>
            </w:r>
          </w:p>
          <w:p w14:paraId="016C5476">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（1）通讯距离：≥50 m</w:t>
            </w:r>
          </w:p>
          <w:p w14:paraId="717A7980">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（2）内部电源：3.7V，≥5200mAh锂电池</w:t>
            </w:r>
          </w:p>
          <w:p w14:paraId="49BC7AD4">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（3）环境要求</w:t>
            </w:r>
          </w:p>
          <w:p w14:paraId="3CF30EBD">
            <w:pPr>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①防水等级≥ </w:t>
            </w:r>
            <w:r>
              <w:rPr>
                <w:rFonts w:ascii="宋体" w:hAnsi="宋体" w:eastAsia="宋体" w:cs="Times New Roman"/>
                <w:color w:val="auto"/>
                <w:szCs w:val="21"/>
                <w:highlight w:val="none"/>
              </w:rPr>
              <w:t xml:space="preserve">5级 </w:t>
            </w:r>
          </w:p>
          <w:p w14:paraId="14421087">
            <w:pPr>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②防尘等级</w:t>
            </w:r>
            <w:r>
              <w:rPr>
                <w:rFonts w:hint="eastAsia" w:ascii="宋体" w:hAnsi="宋体" w:eastAsia="宋体" w:cs="Times New Roman"/>
                <w:color w:val="auto"/>
                <w:szCs w:val="21"/>
                <w:highlight w:val="none"/>
              </w:rPr>
              <w:t xml:space="preserve">≥ </w:t>
            </w:r>
            <w:r>
              <w:rPr>
                <w:rFonts w:ascii="宋体" w:hAnsi="宋体" w:eastAsia="宋体" w:cs="Times New Roman"/>
                <w:color w:val="auto"/>
                <w:szCs w:val="21"/>
                <w:highlight w:val="none"/>
              </w:rPr>
              <w:t xml:space="preserve">6级 </w:t>
            </w:r>
          </w:p>
          <w:p w14:paraId="7D8E8531">
            <w:pPr>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③工作环境温度</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 xml:space="preserve">-20℃～50℃ </w:t>
            </w:r>
          </w:p>
          <w:p w14:paraId="110B43FD">
            <w:pPr>
              <w:ind w:firstLine="420" w:firstLineChars="200"/>
              <w:rPr>
                <w:rFonts w:ascii="宋体" w:hAnsi="宋体" w:eastAsia="宋体" w:cs="宋体"/>
                <w:color w:val="auto"/>
                <w:kern w:val="0"/>
                <w:szCs w:val="21"/>
                <w:highlight w:val="none"/>
                <w:lang w:bidi="ar"/>
              </w:rPr>
            </w:pPr>
            <w:r>
              <w:rPr>
                <w:rFonts w:ascii="宋体" w:hAnsi="宋体" w:eastAsia="宋体" w:cs="Times New Roman"/>
                <w:color w:val="auto"/>
                <w:szCs w:val="21"/>
                <w:highlight w:val="none"/>
              </w:rPr>
              <w:t>④工作环境湿度RH</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 xml:space="preserve">10%～100% </w:t>
            </w:r>
          </w:p>
        </w:tc>
        <w:tc>
          <w:tcPr>
            <w:tcW w:w="68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16B0B00">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w:t>
            </w:r>
          </w:p>
        </w:tc>
        <w:tc>
          <w:tcPr>
            <w:tcW w:w="6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D8B24D5">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个</w:t>
            </w:r>
          </w:p>
        </w:tc>
      </w:tr>
      <w:tr w14:paraId="02129376">
        <w:tblPrEx>
          <w:tblCellMar>
            <w:top w:w="0" w:type="dxa"/>
            <w:left w:w="108" w:type="dxa"/>
            <w:bottom w:w="0" w:type="dxa"/>
            <w:right w:w="108" w:type="dxa"/>
          </w:tblCellMar>
        </w:tblPrEx>
        <w:trPr>
          <w:jc w:val="center"/>
        </w:trPr>
        <w:tc>
          <w:tcPr>
            <w:tcW w:w="67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D755904">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2.3</w:t>
            </w:r>
          </w:p>
        </w:tc>
        <w:tc>
          <w:tcPr>
            <w:tcW w:w="842" w:type="dxa"/>
            <w:tcBorders>
              <w:top w:val="single" w:color="000000" w:sz="4" w:space="0"/>
              <w:left w:val="single" w:color="000000" w:sz="4" w:space="0"/>
              <w:bottom w:val="single" w:color="auto" w:sz="4" w:space="0"/>
              <w:right w:val="single" w:color="000000" w:sz="4" w:space="0"/>
            </w:tcBorders>
            <w:shd w:val="clear" w:color="auto" w:fill="auto"/>
            <w:vAlign w:val="center"/>
          </w:tcPr>
          <w:p w14:paraId="795C2702">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火箭作业安全监控</w:t>
            </w:r>
          </w:p>
        </w:tc>
        <w:tc>
          <w:tcPr>
            <w:tcW w:w="543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66323B6">
            <w:pPr>
              <w:rPr>
                <w:rFonts w:ascii="宋体" w:hAnsi="宋体" w:eastAsia="宋体" w:cs="宋体"/>
                <w:color w:val="auto"/>
                <w:szCs w:val="21"/>
                <w:highlight w:val="none"/>
              </w:rPr>
            </w:pPr>
            <w:r>
              <w:rPr>
                <w:rFonts w:hint="eastAsia" w:ascii="宋体" w:hAnsi="宋体" w:eastAsia="宋体" w:cs="宋体"/>
                <w:color w:val="auto"/>
                <w:szCs w:val="21"/>
                <w:highlight w:val="none"/>
              </w:rPr>
              <w:t>1功能要求</w:t>
            </w:r>
          </w:p>
          <w:p w14:paraId="5FF30D16">
            <w:pPr>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采用天线主机一体化设计，集成北斗、</w:t>
            </w:r>
            <w:r>
              <w:rPr>
                <w:rFonts w:ascii="宋体" w:hAnsi="宋体" w:eastAsia="宋体" w:cs="Times New Roman"/>
                <w:color w:val="auto"/>
                <w:szCs w:val="21"/>
                <w:highlight w:val="none"/>
              </w:rPr>
              <w:t>RDSS、RNSS、4G 多种通讯和定位模式，集成度高、功耗低，支持北斗三号短报文通信，</w:t>
            </w:r>
            <w:r>
              <w:rPr>
                <w:rFonts w:hint="eastAsia" w:ascii="宋体" w:hAnsi="宋体" w:eastAsia="宋体" w:cs="Times New Roman"/>
                <w:color w:val="auto"/>
                <w:szCs w:val="21"/>
                <w:highlight w:val="none"/>
              </w:rPr>
              <w:t>能够</w:t>
            </w:r>
            <w:r>
              <w:rPr>
                <w:rFonts w:ascii="宋体" w:hAnsi="宋体" w:eastAsia="宋体" w:cs="Times New Roman"/>
                <w:color w:val="auto"/>
                <w:szCs w:val="21"/>
                <w:highlight w:val="none"/>
              </w:rPr>
              <w:t xml:space="preserve">自动采集、记录、存储、作业状态、接收作业指令、上报作业信息及补传作业信息以加密的方式通过网络实时与“天工”平台通讯及三码合一验证等功能。 </w:t>
            </w:r>
          </w:p>
          <w:p w14:paraId="73AE9D20">
            <w:pPr>
              <w:rPr>
                <w:rFonts w:ascii="宋体" w:hAnsi="宋体" w:eastAsia="宋体" w:cs="Times New Roman"/>
                <w:color w:val="auto"/>
                <w:szCs w:val="21"/>
                <w:highlight w:val="none"/>
              </w:rPr>
            </w:pPr>
            <w:r>
              <w:rPr>
                <w:rFonts w:ascii="宋体" w:hAnsi="宋体" w:eastAsia="宋体" w:cs="Times New Roman"/>
                <w:color w:val="auto"/>
                <w:szCs w:val="21"/>
                <w:highlight w:val="none"/>
              </w:rPr>
              <w:t xml:space="preserve">（1）作业信息申报：通过识别装置获取火箭弹壳体码并向天工平台进行火箭弹三码信息的作业申报操作。 </w:t>
            </w:r>
          </w:p>
          <w:p w14:paraId="79FA1A59">
            <w:pPr>
              <w:rPr>
                <w:rFonts w:ascii="宋体" w:hAnsi="宋体" w:eastAsia="宋体" w:cs="Times New Roman"/>
                <w:color w:val="auto"/>
                <w:szCs w:val="21"/>
                <w:highlight w:val="none"/>
              </w:rPr>
            </w:pPr>
            <w:r>
              <w:rPr>
                <w:rFonts w:ascii="宋体" w:hAnsi="宋体" w:eastAsia="宋体" w:cs="Times New Roman"/>
                <w:color w:val="auto"/>
                <w:szCs w:val="21"/>
                <w:highlight w:val="none"/>
              </w:rPr>
              <w:t xml:space="preserve">（2）数据安全加密：终端内部集成安全加密芯片，具备用户数据保护，可存储关键信息参数在加密芯片内。 </w:t>
            </w:r>
          </w:p>
          <w:p w14:paraId="1246695D">
            <w:pPr>
              <w:rPr>
                <w:rFonts w:ascii="宋体" w:hAnsi="宋体" w:eastAsia="宋体" w:cs="Times New Roman"/>
                <w:color w:val="auto"/>
                <w:szCs w:val="21"/>
                <w:highlight w:val="none"/>
              </w:rPr>
            </w:pPr>
            <w:r>
              <w:rPr>
                <w:rFonts w:ascii="宋体" w:hAnsi="宋体" w:eastAsia="宋体" w:cs="Times New Roman"/>
                <w:color w:val="auto"/>
                <w:szCs w:val="21"/>
                <w:highlight w:val="none"/>
              </w:rPr>
              <w:t>（3）数据算法移植：把部分 MCU 程序移植到加密芯片中，终端可实现算法下载更新。支持北斗三号短报文通信，集成 RDSS、RNSS、4G、收发天线于一体，配备硬件级加密芯片，支持与“天工”平台进行安全加密对接，具备作业指令接收、作业状态上报、安全射界验证、作业信息采集及三码合一验证等功能。</w:t>
            </w:r>
          </w:p>
          <w:p w14:paraId="245572EF">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2.技术参数</w:t>
            </w:r>
          </w:p>
          <w:p w14:paraId="1C98D1B3">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（1）卫星通信</w:t>
            </w:r>
          </w:p>
          <w:p w14:paraId="72824972">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①</w:t>
            </w:r>
            <w:r>
              <w:rPr>
                <w:rFonts w:ascii="宋体" w:hAnsi="宋体" w:eastAsia="宋体" w:cs="Times New Roman"/>
                <w:color w:val="auto"/>
                <w:szCs w:val="21"/>
                <w:highlight w:val="none"/>
              </w:rPr>
              <w:t>接收灵敏度</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-130dBm（8Kbps）</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-127.5dBm（16Kbps）</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-123.8dBm（24Kbps）</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 xml:space="preserve"> </w:t>
            </w:r>
          </w:p>
          <w:p w14:paraId="4223B8CF">
            <w:pPr>
              <w:rPr>
                <w:rFonts w:ascii="宋体" w:hAnsi="宋体" w:eastAsia="宋体" w:cs="Times New Roman"/>
                <w:color w:val="auto"/>
                <w:szCs w:val="21"/>
                <w:highlight w:val="none"/>
              </w:rPr>
            </w:pPr>
            <w:r>
              <w:rPr>
                <w:rFonts w:ascii="宋体" w:hAnsi="宋体" w:eastAsia="宋体" w:cs="Times New Roman"/>
                <w:color w:val="auto"/>
                <w:szCs w:val="21"/>
                <w:highlight w:val="none"/>
              </w:rPr>
              <w:t>②发射功率</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37.0dBm±0.5dB</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 xml:space="preserve"> </w:t>
            </w:r>
          </w:p>
          <w:p w14:paraId="7092C578">
            <w:pPr>
              <w:rPr>
                <w:rFonts w:ascii="宋体" w:hAnsi="宋体" w:eastAsia="宋体" w:cs="Times New Roman"/>
                <w:color w:val="auto"/>
                <w:szCs w:val="21"/>
                <w:highlight w:val="none"/>
              </w:rPr>
            </w:pPr>
            <w:r>
              <w:rPr>
                <w:rFonts w:ascii="宋体" w:hAnsi="宋体" w:eastAsia="宋体" w:cs="Times New Roman"/>
                <w:color w:val="auto"/>
                <w:szCs w:val="21"/>
                <w:highlight w:val="none"/>
              </w:rPr>
              <w:t>③双向零值</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均值 1ms±10ns</w:t>
            </w:r>
            <w:r>
              <w:rPr>
                <w:rFonts w:hint="eastAsia" w:ascii="宋体" w:hAnsi="宋体" w:eastAsia="宋体" w:cs="Times New Roman"/>
                <w:color w:val="auto"/>
                <w:szCs w:val="21"/>
                <w:highlight w:val="none"/>
              </w:rPr>
              <w:t>；</w:t>
            </w:r>
          </w:p>
          <w:p w14:paraId="535657FE">
            <w:pPr>
              <w:rPr>
                <w:rFonts w:ascii="宋体" w:hAnsi="宋体" w:eastAsia="宋体" w:cs="Times New Roman"/>
                <w:color w:val="auto"/>
                <w:szCs w:val="21"/>
                <w:highlight w:val="none"/>
              </w:rPr>
            </w:pPr>
            <w:r>
              <w:rPr>
                <w:rFonts w:ascii="宋体" w:hAnsi="宋体" w:eastAsia="宋体" w:cs="Times New Roman"/>
                <w:color w:val="auto"/>
                <w:szCs w:val="21"/>
                <w:highlight w:val="none"/>
              </w:rPr>
              <w:t>④双通道时差测量误差</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方差＜5ns</w:t>
            </w:r>
            <w:r>
              <w:rPr>
                <w:rFonts w:hint="eastAsia" w:ascii="宋体" w:hAnsi="宋体" w:eastAsia="宋体" w:cs="Times New Roman"/>
                <w:color w:val="auto"/>
                <w:szCs w:val="21"/>
                <w:highlight w:val="none"/>
              </w:rPr>
              <w:t>；</w:t>
            </w:r>
          </w:p>
          <w:p w14:paraId="308EA3D0">
            <w:pPr>
              <w:rPr>
                <w:rFonts w:ascii="宋体" w:hAnsi="宋体" w:eastAsia="宋体" w:cs="Times New Roman"/>
                <w:color w:val="auto"/>
                <w:szCs w:val="21"/>
                <w:highlight w:val="none"/>
              </w:rPr>
            </w:pPr>
            <w:r>
              <w:rPr>
                <w:rFonts w:ascii="宋体" w:hAnsi="宋体" w:eastAsia="宋体" w:cs="Times New Roman"/>
                <w:color w:val="auto"/>
                <w:szCs w:val="21"/>
                <w:highlight w:val="none"/>
              </w:rPr>
              <w:t>⑤发射频率准确度</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优于5×10</w:t>
            </w:r>
            <w:r>
              <w:rPr>
                <w:rFonts w:ascii="宋体" w:hAnsi="宋体" w:eastAsia="宋体" w:cs="Times New Roman"/>
                <w:color w:val="auto"/>
                <w:szCs w:val="21"/>
                <w:highlight w:val="none"/>
                <w:vertAlign w:val="superscript"/>
              </w:rPr>
              <w:t>-7</w:t>
            </w:r>
          </w:p>
          <w:p w14:paraId="6AA5C78A">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ascii="宋体" w:hAnsi="宋体" w:eastAsia="宋体" w:cs="Times New Roman"/>
                <w:color w:val="auto"/>
                <w:szCs w:val="21"/>
                <w:highlight w:val="none"/>
              </w:rPr>
              <w:t>定位</w:t>
            </w:r>
          </w:p>
          <w:p w14:paraId="0C9E6B67">
            <w:pPr>
              <w:rPr>
                <w:rFonts w:ascii="宋体" w:hAnsi="宋体" w:eastAsia="宋体" w:cs="Times New Roman"/>
                <w:color w:val="auto"/>
                <w:kern w:val="0"/>
                <w:szCs w:val="21"/>
                <w:highlight w:val="none"/>
                <w:lang w:bidi="ar"/>
              </w:rPr>
            </w:pPr>
            <w:r>
              <w:rPr>
                <w:rFonts w:hint="eastAsia" w:ascii="宋体" w:hAnsi="宋体" w:eastAsia="宋体" w:cs="Times New Roman"/>
                <w:color w:val="auto"/>
                <w:szCs w:val="21"/>
                <w:highlight w:val="none"/>
              </w:rPr>
              <w:t>①</w:t>
            </w:r>
            <w:r>
              <w:rPr>
                <w:rFonts w:hint="eastAsia" w:ascii="宋体" w:hAnsi="宋体" w:eastAsia="宋体" w:cs="Times New Roman"/>
                <w:color w:val="auto"/>
                <w:kern w:val="0"/>
                <w:szCs w:val="21"/>
                <w:highlight w:val="none"/>
                <w:lang w:bidi="ar"/>
              </w:rPr>
              <w:t>接收频率：</w:t>
            </w:r>
            <w:r>
              <w:rPr>
                <w:rFonts w:ascii="宋体" w:hAnsi="宋体" w:eastAsia="宋体" w:cs="Times New Roman"/>
                <w:color w:val="auto"/>
                <w:kern w:val="0"/>
                <w:szCs w:val="21"/>
                <w:highlight w:val="none"/>
                <w:lang w:bidi="ar"/>
              </w:rPr>
              <w:t>BDS B1I</w:t>
            </w:r>
            <w:r>
              <w:rPr>
                <w:rFonts w:hint="eastAsia" w:ascii="宋体" w:hAnsi="宋体" w:eastAsia="宋体" w:cs="Times New Roman"/>
                <w:color w:val="auto"/>
                <w:kern w:val="0"/>
                <w:szCs w:val="21"/>
                <w:highlight w:val="none"/>
                <w:lang w:bidi="ar"/>
              </w:rPr>
              <w:t>，</w:t>
            </w:r>
            <w:r>
              <w:rPr>
                <w:rFonts w:ascii="宋体" w:hAnsi="宋体" w:eastAsia="宋体" w:cs="Times New Roman"/>
                <w:color w:val="auto"/>
                <w:kern w:val="0"/>
                <w:szCs w:val="21"/>
                <w:highlight w:val="none"/>
                <w:lang w:bidi="ar"/>
              </w:rPr>
              <w:t>B1C</w:t>
            </w:r>
            <w:r>
              <w:rPr>
                <w:rFonts w:hint="eastAsia" w:ascii="宋体" w:hAnsi="宋体" w:eastAsia="宋体" w:cs="Times New Roman"/>
                <w:color w:val="auto"/>
                <w:kern w:val="0"/>
                <w:szCs w:val="21"/>
                <w:highlight w:val="none"/>
                <w:lang w:bidi="ar"/>
              </w:rPr>
              <w:t>；</w:t>
            </w:r>
          </w:p>
          <w:p w14:paraId="1F764F96">
            <w:pPr>
              <w:rPr>
                <w:rFonts w:ascii="宋体" w:hAnsi="宋体" w:eastAsia="宋体" w:cs="Times New Roman"/>
                <w:color w:val="auto"/>
                <w:kern w:val="0"/>
                <w:szCs w:val="21"/>
                <w:highlight w:val="none"/>
                <w:lang w:bidi="ar"/>
              </w:rPr>
            </w:pPr>
            <w:r>
              <w:rPr>
                <w:rFonts w:ascii="宋体" w:hAnsi="宋体" w:eastAsia="宋体" w:cs="Times New Roman"/>
                <w:color w:val="auto"/>
                <w:szCs w:val="21"/>
                <w:highlight w:val="none"/>
              </w:rPr>
              <w:t>②</w:t>
            </w:r>
            <w:r>
              <w:rPr>
                <w:rFonts w:hint="eastAsia" w:ascii="宋体" w:hAnsi="宋体" w:eastAsia="宋体" w:cs="Times New Roman"/>
                <w:color w:val="auto"/>
                <w:kern w:val="0"/>
                <w:szCs w:val="21"/>
                <w:highlight w:val="none"/>
                <w:lang w:bidi="ar"/>
              </w:rPr>
              <w:t>协议版本：</w:t>
            </w:r>
            <w:r>
              <w:rPr>
                <w:rFonts w:ascii="宋体" w:hAnsi="宋体" w:eastAsia="宋体" w:cs="Times New Roman"/>
                <w:color w:val="auto"/>
                <w:kern w:val="0"/>
                <w:szCs w:val="21"/>
                <w:highlight w:val="none"/>
                <w:lang w:bidi="ar"/>
              </w:rPr>
              <w:t>NMEA0183</w:t>
            </w:r>
            <w:r>
              <w:rPr>
                <w:rFonts w:hint="eastAsia" w:ascii="宋体" w:hAnsi="宋体" w:eastAsia="宋体" w:cs="Times New Roman"/>
                <w:color w:val="auto"/>
                <w:kern w:val="0"/>
                <w:szCs w:val="21"/>
                <w:highlight w:val="none"/>
                <w:lang w:bidi="ar"/>
              </w:rPr>
              <w:t>，兼容北斗；</w:t>
            </w:r>
          </w:p>
          <w:p w14:paraId="66C0A2BB">
            <w:pPr>
              <w:rPr>
                <w:rFonts w:ascii="宋体" w:hAnsi="宋体" w:eastAsia="宋体" w:cs="Times New Roman"/>
                <w:color w:val="auto"/>
                <w:kern w:val="0"/>
                <w:szCs w:val="21"/>
                <w:highlight w:val="none"/>
                <w:lang w:bidi="ar"/>
              </w:rPr>
            </w:pPr>
            <w:r>
              <w:rPr>
                <w:rFonts w:ascii="宋体" w:hAnsi="宋体" w:eastAsia="宋体" w:cs="Times New Roman"/>
                <w:color w:val="auto"/>
                <w:szCs w:val="21"/>
                <w:highlight w:val="none"/>
              </w:rPr>
              <w:t>③</w:t>
            </w:r>
            <w:r>
              <w:rPr>
                <w:rFonts w:hint="eastAsia" w:ascii="宋体" w:hAnsi="宋体" w:eastAsia="宋体" w:cs="Times New Roman"/>
                <w:color w:val="auto"/>
                <w:kern w:val="0"/>
                <w:szCs w:val="21"/>
                <w:highlight w:val="none"/>
                <w:lang w:bidi="ar"/>
              </w:rPr>
              <w:t>捕获灵敏度：</w:t>
            </w:r>
            <w:r>
              <w:rPr>
                <w:rFonts w:ascii="宋体" w:hAnsi="宋体" w:eastAsia="宋体" w:cs="Times New Roman"/>
                <w:color w:val="auto"/>
                <w:kern w:val="0"/>
                <w:szCs w:val="21"/>
                <w:highlight w:val="none"/>
                <w:lang w:bidi="ar"/>
              </w:rPr>
              <w:t>-148dBm</w:t>
            </w:r>
            <w:r>
              <w:rPr>
                <w:rFonts w:hint="eastAsia" w:ascii="宋体" w:hAnsi="宋体" w:eastAsia="宋体" w:cs="Times New Roman"/>
                <w:color w:val="auto"/>
                <w:kern w:val="0"/>
                <w:szCs w:val="21"/>
                <w:highlight w:val="none"/>
                <w:lang w:bidi="ar"/>
              </w:rPr>
              <w:t>；</w:t>
            </w:r>
          </w:p>
          <w:p w14:paraId="27BEC988">
            <w:pPr>
              <w:rPr>
                <w:rFonts w:ascii="宋体" w:hAnsi="宋体" w:eastAsia="宋体" w:cs="Times New Roman"/>
                <w:color w:val="auto"/>
                <w:kern w:val="0"/>
                <w:szCs w:val="21"/>
                <w:highlight w:val="none"/>
                <w:lang w:bidi="ar"/>
              </w:rPr>
            </w:pPr>
            <w:r>
              <w:rPr>
                <w:rFonts w:ascii="宋体" w:hAnsi="宋体" w:eastAsia="宋体" w:cs="Times New Roman"/>
                <w:color w:val="auto"/>
                <w:szCs w:val="21"/>
                <w:highlight w:val="none"/>
              </w:rPr>
              <w:t>④</w:t>
            </w:r>
            <w:r>
              <w:rPr>
                <w:rFonts w:hint="eastAsia" w:ascii="宋体" w:hAnsi="宋体" w:eastAsia="宋体" w:cs="Times New Roman"/>
                <w:color w:val="auto"/>
                <w:kern w:val="0"/>
                <w:szCs w:val="21"/>
                <w:highlight w:val="none"/>
                <w:lang w:bidi="ar"/>
              </w:rPr>
              <w:t>定位精度：</w:t>
            </w:r>
            <w:r>
              <w:rPr>
                <w:rFonts w:ascii="宋体" w:hAnsi="宋体" w:eastAsia="宋体" w:cs="Times New Roman"/>
                <w:color w:val="auto"/>
                <w:kern w:val="0"/>
                <w:szCs w:val="21"/>
                <w:highlight w:val="none"/>
                <w:lang w:bidi="ar"/>
              </w:rPr>
              <w:t>&lt;10m</w:t>
            </w:r>
            <w:r>
              <w:rPr>
                <w:rFonts w:hint="eastAsia" w:ascii="宋体" w:hAnsi="宋体" w:eastAsia="宋体" w:cs="Times New Roman"/>
                <w:color w:val="auto"/>
                <w:kern w:val="0"/>
                <w:szCs w:val="21"/>
                <w:highlight w:val="none"/>
                <w:lang w:bidi="ar"/>
              </w:rPr>
              <w:t>。</w:t>
            </w:r>
          </w:p>
          <w:p w14:paraId="68C8166C">
            <w:pPr>
              <w:ind w:firstLine="0"/>
              <w:jc w:val="left"/>
              <w:rPr>
                <w:rFonts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bidi="ar"/>
              </w:rPr>
              <w:t>（3）加密：支持加密方式：</w:t>
            </w:r>
            <w:r>
              <w:rPr>
                <w:rFonts w:ascii="宋体" w:hAnsi="宋体" w:eastAsia="宋体" w:cs="Times New Roman"/>
                <w:color w:val="auto"/>
                <w:kern w:val="0"/>
                <w:szCs w:val="21"/>
                <w:highlight w:val="none"/>
                <w:lang w:bidi="ar"/>
              </w:rPr>
              <w:t>DES/TDES/AES/SHA1/SHA256/RSA/</w:t>
            </w:r>
            <w:r>
              <w:rPr>
                <w:rFonts w:hint="eastAsia" w:ascii="宋体" w:hAnsi="宋体" w:eastAsia="宋体" w:cs="Times New Roman"/>
                <w:color w:val="auto"/>
                <w:kern w:val="0"/>
                <w:szCs w:val="21"/>
                <w:highlight w:val="none"/>
                <w:lang w:bidi="ar"/>
              </w:rPr>
              <w:t>，国密</w:t>
            </w:r>
            <w:r>
              <w:rPr>
                <w:rFonts w:ascii="宋体" w:hAnsi="宋体" w:eastAsia="宋体" w:cs="Times New Roman"/>
                <w:color w:val="auto"/>
                <w:kern w:val="0"/>
                <w:szCs w:val="21"/>
                <w:highlight w:val="none"/>
                <w:lang w:bidi="ar"/>
              </w:rPr>
              <w:t>SM1/2/3/4/7</w:t>
            </w:r>
            <w:r>
              <w:rPr>
                <w:rFonts w:hint="eastAsia" w:ascii="宋体" w:hAnsi="宋体" w:eastAsia="宋体" w:cs="Times New Roman"/>
                <w:color w:val="auto"/>
                <w:kern w:val="0"/>
                <w:szCs w:val="21"/>
                <w:highlight w:val="none"/>
                <w:lang w:bidi="ar"/>
              </w:rPr>
              <w:t>。</w:t>
            </w:r>
          </w:p>
          <w:p w14:paraId="07123E61">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（4）环境适应性指标</w:t>
            </w:r>
          </w:p>
          <w:p w14:paraId="4B022D5F">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①温度：-30℃～70℃ ；</w:t>
            </w:r>
          </w:p>
          <w:p w14:paraId="2F42A1EE">
            <w:pPr>
              <w:rPr>
                <w:rFonts w:ascii="宋体" w:hAnsi="宋体" w:eastAsia="宋体" w:cs="宋体"/>
                <w:color w:val="auto"/>
                <w:kern w:val="0"/>
                <w:szCs w:val="21"/>
                <w:highlight w:val="none"/>
                <w:lang w:bidi="ar"/>
              </w:rPr>
            </w:pPr>
            <w:r>
              <w:rPr>
                <w:rFonts w:ascii="宋体" w:hAnsi="宋体" w:eastAsia="宋体" w:cs="Times New Roman"/>
                <w:color w:val="auto"/>
                <w:szCs w:val="21"/>
                <w:highlight w:val="none"/>
              </w:rPr>
              <w:t>②</w:t>
            </w:r>
            <w:r>
              <w:rPr>
                <w:rFonts w:hint="eastAsia" w:ascii="宋体" w:hAnsi="宋体" w:eastAsia="宋体" w:cs="Times New Roman"/>
                <w:color w:val="auto"/>
                <w:szCs w:val="21"/>
                <w:highlight w:val="none"/>
              </w:rPr>
              <w:t>防水等级：</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 xml:space="preserve"> IP65。</w:t>
            </w:r>
          </w:p>
        </w:tc>
        <w:tc>
          <w:tcPr>
            <w:tcW w:w="68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CA8A62E">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w:t>
            </w:r>
          </w:p>
        </w:tc>
        <w:tc>
          <w:tcPr>
            <w:tcW w:w="6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1385CF6">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套</w:t>
            </w:r>
          </w:p>
        </w:tc>
      </w:tr>
      <w:tr w14:paraId="51887456">
        <w:tblPrEx>
          <w:tblCellMar>
            <w:top w:w="0" w:type="dxa"/>
            <w:left w:w="108" w:type="dxa"/>
            <w:bottom w:w="0" w:type="dxa"/>
            <w:right w:w="108" w:type="dxa"/>
          </w:tblCellMar>
        </w:tblPrEx>
        <w:trPr>
          <w:jc w:val="center"/>
        </w:trPr>
        <w:tc>
          <w:tcPr>
            <w:tcW w:w="67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78D0314">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2.4</w:t>
            </w:r>
          </w:p>
        </w:tc>
        <w:tc>
          <w:tcPr>
            <w:tcW w:w="842" w:type="dxa"/>
            <w:tcBorders>
              <w:top w:val="single" w:color="000000" w:sz="4" w:space="0"/>
              <w:left w:val="single" w:color="000000" w:sz="4" w:space="0"/>
              <w:bottom w:val="single" w:color="auto" w:sz="4" w:space="0"/>
              <w:right w:val="single" w:color="000000" w:sz="4" w:space="0"/>
            </w:tcBorders>
            <w:shd w:val="clear" w:color="auto" w:fill="auto"/>
            <w:vAlign w:val="center"/>
          </w:tcPr>
          <w:p w14:paraId="5D31D800">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液压转运平台</w:t>
            </w:r>
          </w:p>
        </w:tc>
        <w:tc>
          <w:tcPr>
            <w:tcW w:w="543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D88B892">
            <w:pPr>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用于火箭发射装置的日常转运和装卸，应具有 </w:t>
            </w:r>
          </w:p>
          <w:p w14:paraId="5180CEB2">
            <w:pPr>
              <w:rPr>
                <w:rFonts w:ascii="宋体" w:hAnsi="宋体" w:eastAsia="宋体" w:cs="Times New Roman"/>
                <w:color w:val="auto"/>
                <w:szCs w:val="21"/>
                <w:highlight w:val="none"/>
              </w:rPr>
            </w:pPr>
            <w:r>
              <w:rPr>
                <w:rFonts w:ascii="宋体" w:hAnsi="宋体" w:eastAsia="宋体" w:cs="Times New Roman"/>
                <w:color w:val="auto"/>
                <w:szCs w:val="21"/>
                <w:highlight w:val="none"/>
              </w:rPr>
              <w:t>承载能力强，稳定性好，易于操作与维护</w:t>
            </w:r>
            <w:r>
              <w:rPr>
                <w:rFonts w:hint="eastAsia" w:ascii="宋体" w:hAnsi="宋体" w:eastAsia="宋体" w:cs="Times New Roman"/>
                <w:color w:val="auto"/>
                <w:szCs w:val="21"/>
                <w:highlight w:val="none"/>
              </w:rPr>
              <w:t>，技术指标：</w:t>
            </w:r>
          </w:p>
          <w:p w14:paraId="02EF7EF8">
            <w:pPr>
              <w:numPr>
                <w:ilvl w:val="0"/>
                <w:numId w:val="0"/>
              </w:numPr>
              <w:rPr>
                <w:rFonts w:ascii="宋体" w:hAnsi="宋体" w:eastAsia="宋体" w:cs="Times New Roman"/>
                <w:color w:val="auto"/>
                <w:szCs w:val="21"/>
                <w:highlight w:val="none"/>
              </w:rPr>
            </w:pPr>
            <w:r>
              <w:rPr>
                <w:rFonts w:hint="eastAsia" w:ascii="宋体" w:hAnsi="宋体" w:cs="Times New Roman"/>
                <w:color w:val="auto"/>
                <w:kern w:val="2"/>
                <w:sz w:val="21"/>
                <w:szCs w:val="21"/>
                <w:highlight w:val="none"/>
                <w:lang w:val="en-US" w:eastAsia="zh-CN" w:bidi="ar-SA"/>
              </w:rPr>
              <w:t>1.</w:t>
            </w:r>
            <w:r>
              <w:rPr>
                <w:rFonts w:ascii="宋体" w:hAnsi="宋体" w:eastAsia="宋体" w:cs="Times New Roman"/>
                <w:color w:val="auto"/>
                <w:szCs w:val="21"/>
                <w:highlight w:val="none"/>
              </w:rPr>
              <w:t>平台尺寸(L×A1×B)：</w:t>
            </w:r>
          </w:p>
          <w:p w14:paraId="07BB81EC">
            <w:pPr>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不小于1200mm×610mm×80mm；</w:t>
            </w:r>
          </w:p>
          <w:p w14:paraId="04EEBE41">
            <w:pPr>
              <w:rPr>
                <w:rFonts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2.</w:t>
            </w:r>
            <w:r>
              <w:rPr>
                <w:rFonts w:ascii="宋体" w:hAnsi="宋体" w:eastAsia="宋体" w:cs="Times New Roman"/>
                <w:color w:val="auto"/>
                <w:szCs w:val="21"/>
                <w:highlight w:val="none"/>
              </w:rPr>
              <w:t>承载</w:t>
            </w:r>
            <w:r>
              <w:rPr>
                <w:rFonts w:hint="eastAsia" w:ascii="宋体" w:hAnsi="宋体" w:eastAsia="宋体" w:cs="Times New Roman"/>
                <w:color w:val="auto"/>
                <w:szCs w:val="21"/>
                <w:highlight w:val="none"/>
              </w:rPr>
              <w:t>重量：</w:t>
            </w:r>
            <w:r>
              <w:rPr>
                <w:rFonts w:ascii="宋体" w:hAnsi="宋体" w:eastAsia="宋体" w:cs="Times New Roman"/>
                <w:color w:val="auto"/>
                <w:szCs w:val="21"/>
                <w:highlight w:val="none"/>
              </w:rPr>
              <w:t>≥1000(Kg)</w:t>
            </w:r>
            <w:r>
              <w:rPr>
                <w:rFonts w:hint="eastAsia" w:ascii="宋体" w:hAnsi="宋体" w:eastAsia="宋体" w:cs="Times New Roman"/>
                <w:color w:val="auto"/>
                <w:szCs w:val="21"/>
                <w:highlight w:val="none"/>
              </w:rPr>
              <w:t>；</w:t>
            </w:r>
          </w:p>
          <w:p w14:paraId="1E823F60">
            <w:pPr>
              <w:rPr>
                <w:rFonts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rPr>
              <w:t>升降方式：电动和手动；</w:t>
            </w:r>
          </w:p>
          <w:p w14:paraId="47098B6E">
            <w:pPr>
              <w:rPr>
                <w:rFonts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rPr>
              <w:t>升降高度</w:t>
            </w:r>
          </w:p>
          <w:p w14:paraId="4D7ECA4E">
            <w:pPr>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①</w:t>
            </w:r>
            <w:r>
              <w:rPr>
                <w:rFonts w:ascii="宋体" w:hAnsi="宋体" w:eastAsia="宋体" w:cs="Times New Roman"/>
                <w:color w:val="auto"/>
                <w:szCs w:val="21"/>
                <w:highlight w:val="none"/>
              </w:rPr>
              <w:t>最高高度</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≥1000(mm)</w:t>
            </w:r>
            <w:r>
              <w:rPr>
                <w:rFonts w:hint="eastAsia" w:ascii="宋体" w:hAnsi="宋体" w:eastAsia="宋体" w:cs="Times New Roman"/>
                <w:color w:val="auto"/>
                <w:szCs w:val="21"/>
                <w:highlight w:val="none"/>
              </w:rPr>
              <w:t>；</w:t>
            </w:r>
          </w:p>
          <w:p w14:paraId="5BCE87EA">
            <w:pPr>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②最低高度</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≤380(mm)</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 xml:space="preserve"> </w:t>
            </w:r>
          </w:p>
          <w:p w14:paraId="0B481FF8">
            <w:pPr>
              <w:rPr>
                <w:rFonts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5.</w:t>
            </w:r>
            <w:r>
              <w:rPr>
                <w:rFonts w:hint="eastAsia" w:ascii="宋体" w:hAnsi="宋体" w:eastAsia="宋体" w:cs="宋体"/>
                <w:color w:val="auto"/>
                <w:szCs w:val="21"/>
                <w:highlight w:val="none"/>
              </w:rPr>
              <w:t>高承载PU脚轮，2个万向型脚轮，两个固定型脚轮，万向脚轮带刹</w:t>
            </w:r>
            <w:r>
              <w:rPr>
                <w:rFonts w:hint="eastAsia" w:ascii="宋体" w:hAnsi="宋体" w:eastAsia="宋体" w:cs="Times New Roman"/>
                <w:color w:val="auto"/>
                <w:szCs w:val="21"/>
                <w:highlight w:val="none"/>
              </w:rPr>
              <w:t>，轮</w:t>
            </w:r>
            <w:r>
              <w:rPr>
                <w:rFonts w:ascii="宋体" w:hAnsi="宋体" w:eastAsia="宋体" w:cs="Times New Roman"/>
                <w:color w:val="auto"/>
                <w:szCs w:val="21"/>
                <w:highlight w:val="none"/>
              </w:rPr>
              <w:t>直径</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≥150(mm)</w:t>
            </w:r>
            <w:r>
              <w:rPr>
                <w:rFonts w:hint="eastAsia" w:ascii="宋体" w:hAnsi="宋体" w:eastAsia="宋体" w:cs="Times New Roman"/>
                <w:color w:val="auto"/>
                <w:szCs w:val="21"/>
                <w:highlight w:val="none"/>
              </w:rPr>
              <w:t>；</w:t>
            </w:r>
          </w:p>
          <w:p w14:paraId="0AE22FEF">
            <w:pPr>
              <w:keepNext/>
              <w:spacing w:line="288" w:lineRule="auto"/>
              <w:jc w:val="left"/>
              <w:rPr>
                <w:rFonts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满足不同场景下的火箭发射装置和弹药临时储运箱的转运与装卸要求：</w:t>
            </w:r>
          </w:p>
          <w:p w14:paraId="57011CB0">
            <w:pPr>
              <w:keepNext/>
              <w:spacing w:line="288" w:lineRule="auto"/>
              <w:ind w:firstLine="420" w:firstLineChars="200"/>
              <w:jc w:val="left"/>
              <w:rPr>
                <w:rFonts w:ascii="宋体" w:hAnsi="宋体" w:eastAsia="宋体" w:cs="宋体"/>
                <w:color w:val="auto"/>
                <w:szCs w:val="21"/>
                <w:highlight w:val="none"/>
              </w:rPr>
            </w:pPr>
            <w:r>
              <w:rPr>
                <w:rFonts w:hint="eastAsia" w:ascii="宋体" w:hAnsi="宋体" w:eastAsia="宋体" w:cs="Times New Roman"/>
                <w:color w:val="auto"/>
                <w:szCs w:val="21"/>
                <w:highlight w:val="none"/>
              </w:rPr>
              <w:t>①</w:t>
            </w:r>
            <w:r>
              <w:rPr>
                <w:rFonts w:hint="eastAsia" w:ascii="宋体" w:hAnsi="宋体" w:eastAsia="宋体" w:cs="宋体"/>
                <w:color w:val="auto"/>
                <w:szCs w:val="21"/>
                <w:highlight w:val="none"/>
              </w:rPr>
              <w:t>火箭发射架：火箭架质心到火箭架定向器尾外沿垂线距离不小于1000mm，火箭架质心高度距离底面大于600mm。</w:t>
            </w:r>
          </w:p>
          <w:p w14:paraId="21CC96F2">
            <w:pPr>
              <w:keepNext/>
              <w:spacing w:line="288" w:lineRule="auto"/>
              <w:ind w:firstLine="420" w:firstLineChars="200"/>
              <w:jc w:val="left"/>
              <w:rPr>
                <w:rFonts w:ascii="宋体" w:hAnsi="宋体" w:eastAsia="宋体" w:cs="宋体"/>
                <w:color w:val="auto"/>
                <w:szCs w:val="21"/>
                <w:highlight w:val="none"/>
              </w:rPr>
            </w:pPr>
            <w:r>
              <w:rPr>
                <w:rFonts w:ascii="宋体" w:hAnsi="宋体" w:eastAsia="宋体" w:cs="Times New Roman"/>
                <w:color w:val="auto"/>
                <w:szCs w:val="21"/>
                <w:highlight w:val="none"/>
              </w:rPr>
              <w:t>②</w:t>
            </w:r>
            <w:r>
              <w:rPr>
                <w:rFonts w:hint="eastAsia" w:ascii="宋体" w:hAnsi="宋体" w:eastAsia="宋体" w:cs="宋体"/>
                <w:color w:val="auto"/>
                <w:szCs w:val="21"/>
                <w:highlight w:val="none"/>
              </w:rPr>
              <w:t>采用叉取方式：正常使用时，两叉最小外径距离不大于210mm，两叉最大内径距离大于530mm，叉舌厚度不大于50mm。</w:t>
            </w:r>
          </w:p>
          <w:p w14:paraId="0B8AE7FC">
            <w:pPr>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③</w:t>
            </w:r>
            <w:r>
              <w:rPr>
                <w:rFonts w:hint="eastAsia" w:ascii="宋体" w:hAnsi="宋体" w:eastAsia="宋体" w:cs="宋体"/>
                <w:color w:val="auto"/>
                <w:szCs w:val="21"/>
                <w:highlight w:val="none"/>
              </w:rPr>
              <w:t>采用滑动方式：支撑平台宽度不小于500mm，长度不小于800mm。</w:t>
            </w:r>
          </w:p>
        </w:tc>
        <w:tc>
          <w:tcPr>
            <w:tcW w:w="68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218BC1E">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w:t>
            </w:r>
          </w:p>
        </w:tc>
        <w:tc>
          <w:tcPr>
            <w:tcW w:w="6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97BF1E6">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台</w:t>
            </w:r>
          </w:p>
        </w:tc>
      </w:tr>
      <w:tr w14:paraId="22BDB8FF">
        <w:tblPrEx>
          <w:tblCellMar>
            <w:top w:w="0" w:type="dxa"/>
            <w:left w:w="108" w:type="dxa"/>
            <w:bottom w:w="0" w:type="dxa"/>
            <w:right w:w="108" w:type="dxa"/>
          </w:tblCellMar>
        </w:tblPrEx>
        <w:trPr>
          <w:jc w:val="center"/>
        </w:trPr>
        <w:tc>
          <w:tcPr>
            <w:tcW w:w="67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B975E52">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2.5</w:t>
            </w:r>
          </w:p>
        </w:tc>
        <w:tc>
          <w:tcPr>
            <w:tcW w:w="842" w:type="dxa"/>
            <w:tcBorders>
              <w:top w:val="single" w:color="000000" w:sz="4" w:space="0"/>
              <w:left w:val="single" w:color="000000" w:sz="4" w:space="0"/>
              <w:bottom w:val="single" w:color="auto" w:sz="4" w:space="0"/>
              <w:right w:val="single" w:color="000000" w:sz="4" w:space="0"/>
            </w:tcBorders>
            <w:shd w:val="clear" w:color="auto" w:fill="auto"/>
            <w:vAlign w:val="center"/>
          </w:tcPr>
          <w:p w14:paraId="260F74FA">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弹药临时储运箱</w:t>
            </w:r>
          </w:p>
        </w:tc>
        <w:tc>
          <w:tcPr>
            <w:tcW w:w="543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EBE985A">
            <w:pPr>
              <w:widowControl/>
              <w:snapToGrid w:val="0"/>
              <w:ind w:firstLine="420" w:firstLineChars="20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可拆卸，</w:t>
            </w:r>
            <w:r>
              <w:rPr>
                <w:rFonts w:ascii="宋体" w:hAnsi="宋体" w:eastAsia="宋体" w:cs="宋体"/>
                <w:color w:val="auto"/>
                <w:kern w:val="0"/>
                <w:szCs w:val="21"/>
                <w:highlight w:val="none"/>
                <w:lang w:bidi="ar"/>
              </w:rPr>
              <w:t>内置导轨、方便弹药</w:t>
            </w:r>
            <w:r>
              <w:rPr>
                <w:rFonts w:hint="eastAsia" w:ascii="宋体" w:hAnsi="宋体" w:eastAsia="宋体" w:cs="宋体"/>
                <w:color w:val="auto"/>
                <w:kern w:val="0"/>
                <w:szCs w:val="21"/>
                <w:highlight w:val="none"/>
                <w:lang w:bidi="ar"/>
              </w:rPr>
              <w:t>放置</w:t>
            </w:r>
            <w:r>
              <w:rPr>
                <w:rFonts w:ascii="宋体" w:hAnsi="宋体" w:eastAsia="宋体" w:cs="宋体"/>
                <w:color w:val="auto"/>
                <w:kern w:val="0"/>
                <w:szCs w:val="21"/>
                <w:highlight w:val="none"/>
                <w:lang w:bidi="ar"/>
              </w:rPr>
              <w:t>，操作简单可靠，能够满足44mm、56mm、66mm、82mm等口径火箭弹的安全储运要求</w:t>
            </w: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携弹量</w:t>
            </w:r>
            <w:r>
              <w:rPr>
                <w:rFonts w:hint="eastAsia" w:ascii="宋体" w:hAnsi="宋体" w:eastAsia="宋体" w:cs="宋体"/>
                <w:color w:val="auto"/>
                <w:kern w:val="0"/>
                <w:szCs w:val="21"/>
                <w:highlight w:val="none"/>
                <w:lang w:bidi="ar"/>
              </w:rPr>
              <w:t>≥12枚</w:t>
            </w:r>
            <w:r>
              <w:rPr>
                <w:rFonts w:ascii="宋体" w:hAnsi="宋体" w:eastAsia="宋体" w:cs="宋体"/>
                <w:color w:val="auto"/>
                <w:kern w:val="0"/>
                <w:szCs w:val="21"/>
                <w:highlight w:val="none"/>
                <w:lang w:bidi="ar"/>
              </w:rPr>
              <w:t>。</w:t>
            </w:r>
          </w:p>
        </w:tc>
        <w:tc>
          <w:tcPr>
            <w:tcW w:w="68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FFF4C2A">
            <w:pPr>
              <w:widowControl/>
              <w:snapToGrid w:val="0"/>
              <w:jc w:val="center"/>
              <w:textAlignment w:val="center"/>
              <w:rPr>
                <w:rFonts w:ascii="宋体" w:hAnsi="宋体" w:eastAsia="宋体" w:cs="宋体"/>
                <w:color w:val="auto"/>
                <w:kern w:val="0"/>
                <w:szCs w:val="21"/>
                <w:highlight w:val="none"/>
                <w:lang w:bidi="ar"/>
              </w:rPr>
            </w:pPr>
            <w:r>
              <w:rPr>
                <w:rFonts w:ascii="宋体" w:hAnsi="宋体" w:eastAsia="宋体" w:cs="宋体"/>
                <w:color w:val="auto"/>
                <w:kern w:val="0"/>
                <w:szCs w:val="21"/>
                <w:highlight w:val="none"/>
                <w:lang w:bidi="ar"/>
              </w:rPr>
              <w:t>3</w:t>
            </w:r>
          </w:p>
        </w:tc>
        <w:tc>
          <w:tcPr>
            <w:tcW w:w="6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DE647D8">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个</w:t>
            </w:r>
          </w:p>
        </w:tc>
      </w:tr>
      <w:tr w14:paraId="1DB0B30E">
        <w:tblPrEx>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A7F1E1">
            <w:pPr>
              <w:widowControl/>
              <w:snapToGrid w:val="0"/>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3</w:t>
            </w:r>
          </w:p>
        </w:tc>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14:paraId="793689F3">
            <w:pPr>
              <w:widowControl/>
              <w:snapToGrid w:val="0"/>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szCs w:val="21"/>
                <w:highlight w:val="none"/>
              </w:rPr>
              <w:t>无人机作业单元</w:t>
            </w:r>
          </w:p>
        </w:tc>
        <w:tc>
          <w:tcPr>
            <w:tcW w:w="54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D58039">
            <w:pPr>
              <w:widowControl/>
              <w:snapToGrid w:val="0"/>
              <w:spacing w:line="276" w:lineRule="auto"/>
              <w:jc w:val="left"/>
              <w:textAlignment w:val="center"/>
              <w:rPr>
                <w:rFonts w:ascii="宋体" w:hAnsi="宋体" w:eastAsia="宋体" w:cs="宋体"/>
                <w:b/>
                <w:color w:val="auto"/>
                <w:kern w:val="0"/>
                <w:szCs w:val="21"/>
                <w:highlight w:val="none"/>
                <w:lang w:bidi="ar"/>
              </w:rPr>
            </w:pPr>
            <w:r>
              <w:rPr>
                <w:rFonts w:hint="eastAsia" w:ascii="宋体" w:hAnsi="宋体" w:eastAsia="宋体" w:cs="宋体"/>
                <w:b/>
                <w:color w:val="auto"/>
                <w:kern w:val="0"/>
                <w:szCs w:val="21"/>
                <w:highlight w:val="none"/>
                <w:lang w:bidi="ar"/>
              </w:rPr>
              <w:t>总体功能要求</w:t>
            </w:r>
          </w:p>
          <w:p w14:paraId="75850DAB">
            <w:pPr>
              <w:widowControl/>
              <w:snapToGrid w:val="0"/>
              <w:spacing w:line="276" w:lineRule="auto"/>
              <w:jc w:val="left"/>
              <w:textAlignment w:val="center"/>
              <w:rPr>
                <w:rFonts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具备挂载云粒子谱探测仪、机载云水含量探测器、焰条播撒器的能力。</w:t>
            </w:r>
          </w:p>
          <w:p w14:paraId="7A9E36B3">
            <w:pPr>
              <w:widowControl/>
              <w:snapToGrid w:val="0"/>
              <w:spacing w:line="276" w:lineRule="auto"/>
              <w:jc w:val="left"/>
              <w:textAlignment w:val="center"/>
              <w:rPr>
                <w:rFonts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关键部位具备加热防除冰能力。</w:t>
            </w:r>
          </w:p>
          <w:p w14:paraId="715A32CD">
            <w:pPr>
              <w:widowControl/>
              <w:snapToGrid w:val="0"/>
              <w:spacing w:line="276" w:lineRule="auto"/>
              <w:jc w:val="left"/>
              <w:textAlignment w:val="center"/>
              <w:rPr>
                <w:rFonts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bidi="ar"/>
              </w:rPr>
              <w:t>3.</w:t>
            </w:r>
            <w:r>
              <w:rPr>
                <w:rFonts w:hint="eastAsia" w:ascii="宋体" w:hAnsi="宋体" w:eastAsia="宋体" w:cs="宋体"/>
                <w:color w:val="auto"/>
                <w:kern w:val="0"/>
                <w:szCs w:val="21"/>
                <w:highlight w:val="none"/>
                <w:lang w:bidi="ar"/>
              </w:rPr>
              <w:t>具备任务载荷的实时数据传输和显控能力。</w:t>
            </w:r>
          </w:p>
          <w:p w14:paraId="40EA3378">
            <w:pPr>
              <w:widowControl/>
              <w:snapToGrid w:val="0"/>
              <w:spacing w:line="276" w:lineRule="auto"/>
              <w:jc w:val="left"/>
              <w:textAlignment w:val="center"/>
              <w:rPr>
                <w:rFonts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bidi="ar"/>
              </w:rPr>
              <w:t>4.</w:t>
            </w:r>
            <w:r>
              <w:rPr>
                <w:rFonts w:hint="eastAsia" w:ascii="宋体" w:hAnsi="宋体" w:eastAsia="宋体" w:cs="宋体"/>
                <w:color w:val="auto"/>
                <w:kern w:val="0"/>
                <w:szCs w:val="21"/>
                <w:highlight w:val="none"/>
                <w:lang w:bidi="ar"/>
              </w:rPr>
              <w:t>同时具备</w:t>
            </w:r>
            <w:r>
              <w:rPr>
                <w:rFonts w:ascii="宋体" w:hAnsi="宋体" w:eastAsia="宋体" w:cs="宋体"/>
                <w:color w:val="auto"/>
                <w:kern w:val="0"/>
                <w:szCs w:val="21"/>
                <w:highlight w:val="none"/>
                <w:lang w:bidi="ar"/>
              </w:rPr>
              <w:t>C</w:t>
            </w: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 xml:space="preserve">U </w:t>
            </w:r>
            <w:r>
              <w:rPr>
                <w:rFonts w:hint="eastAsia" w:ascii="宋体" w:hAnsi="宋体" w:eastAsia="宋体" w:cs="宋体"/>
                <w:color w:val="auto"/>
                <w:kern w:val="0"/>
                <w:szCs w:val="21"/>
                <w:highlight w:val="none"/>
                <w:lang w:bidi="ar"/>
              </w:rPr>
              <w:t>或</w:t>
            </w:r>
            <w:r>
              <w:rPr>
                <w:rFonts w:ascii="宋体" w:hAnsi="宋体" w:eastAsia="宋体" w:cs="宋体"/>
                <w:color w:val="auto"/>
                <w:kern w:val="0"/>
                <w:szCs w:val="21"/>
                <w:highlight w:val="none"/>
                <w:lang w:bidi="ar"/>
              </w:rPr>
              <w:t xml:space="preserve">L </w:t>
            </w:r>
            <w:r>
              <w:rPr>
                <w:rFonts w:hint="eastAsia" w:ascii="宋体" w:hAnsi="宋体" w:eastAsia="宋体" w:cs="宋体"/>
                <w:color w:val="auto"/>
                <w:kern w:val="0"/>
                <w:szCs w:val="21"/>
                <w:highlight w:val="none"/>
                <w:lang w:bidi="ar"/>
              </w:rPr>
              <w:t>波段的视距链路通讯能力，必要时根据需求增加高通量卫星链路，可向任务载荷提供不少于</w:t>
            </w:r>
            <w:r>
              <w:rPr>
                <w:rFonts w:ascii="宋体" w:hAnsi="宋体" w:eastAsia="宋体" w:cs="宋体"/>
                <w:color w:val="auto"/>
                <w:kern w:val="0"/>
                <w:szCs w:val="21"/>
                <w:highlight w:val="none"/>
                <w:lang w:bidi="ar"/>
              </w:rPr>
              <w:t xml:space="preserve">1Mpbs </w:t>
            </w:r>
            <w:r>
              <w:rPr>
                <w:rFonts w:hint="eastAsia" w:ascii="宋体" w:hAnsi="宋体" w:eastAsia="宋体" w:cs="宋体"/>
                <w:color w:val="auto"/>
                <w:kern w:val="0"/>
                <w:szCs w:val="21"/>
                <w:highlight w:val="none"/>
                <w:lang w:bidi="ar"/>
              </w:rPr>
              <w:t>数据传输带宽。</w:t>
            </w:r>
          </w:p>
          <w:p w14:paraId="5EFF2D35">
            <w:pPr>
              <w:widowControl/>
              <w:snapToGrid w:val="0"/>
              <w:spacing w:line="276" w:lineRule="auto"/>
              <w:jc w:val="left"/>
              <w:textAlignment w:val="center"/>
              <w:rPr>
                <w:rFonts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bidi="ar"/>
              </w:rPr>
              <w:t>5.</w:t>
            </w:r>
            <w:r>
              <w:rPr>
                <w:rFonts w:hint="eastAsia" w:ascii="宋体" w:hAnsi="宋体" w:eastAsia="宋体" w:cs="宋体"/>
                <w:color w:val="auto"/>
                <w:kern w:val="0"/>
                <w:szCs w:val="21"/>
                <w:highlight w:val="none"/>
                <w:lang w:bidi="ar"/>
              </w:rPr>
              <w:t>具备</w:t>
            </w:r>
            <w:r>
              <w:rPr>
                <w:rFonts w:ascii="宋体" w:hAnsi="宋体" w:eastAsia="宋体" w:cs="宋体"/>
                <w:color w:val="auto"/>
                <w:kern w:val="0"/>
                <w:szCs w:val="21"/>
                <w:highlight w:val="none"/>
                <w:lang w:bidi="ar"/>
              </w:rPr>
              <w:t xml:space="preserve">GPS/BDS </w:t>
            </w:r>
            <w:r>
              <w:rPr>
                <w:rFonts w:hint="eastAsia" w:ascii="宋体" w:hAnsi="宋体" w:eastAsia="宋体" w:cs="宋体"/>
                <w:color w:val="auto"/>
                <w:kern w:val="0"/>
                <w:szCs w:val="21"/>
                <w:highlight w:val="none"/>
                <w:lang w:bidi="ar"/>
              </w:rPr>
              <w:t>卫星定位能力。</w:t>
            </w:r>
          </w:p>
          <w:p w14:paraId="530FAB27">
            <w:pPr>
              <w:widowControl/>
              <w:snapToGrid w:val="0"/>
              <w:spacing w:line="276" w:lineRule="auto"/>
              <w:jc w:val="left"/>
              <w:textAlignment w:val="center"/>
              <w:rPr>
                <w:rFonts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bidi="ar"/>
              </w:rPr>
              <w:t>6.</w:t>
            </w:r>
            <w:r>
              <w:rPr>
                <w:rFonts w:hint="eastAsia" w:ascii="宋体" w:hAnsi="宋体" w:eastAsia="宋体" w:cs="宋体"/>
                <w:color w:val="auto"/>
                <w:kern w:val="0"/>
                <w:szCs w:val="21"/>
                <w:highlight w:val="none"/>
                <w:lang w:bidi="ar"/>
              </w:rPr>
              <w:t>具备</w:t>
            </w:r>
            <w:r>
              <w:rPr>
                <w:rFonts w:ascii="宋体" w:hAnsi="宋体" w:eastAsia="宋体" w:cs="宋体"/>
                <w:color w:val="auto"/>
                <w:kern w:val="0"/>
                <w:szCs w:val="21"/>
                <w:highlight w:val="none"/>
                <w:lang w:bidi="ar"/>
              </w:rPr>
              <w:t xml:space="preserve">ADS-B </w:t>
            </w:r>
            <w:r>
              <w:rPr>
                <w:rFonts w:hint="eastAsia" w:ascii="宋体" w:hAnsi="宋体" w:eastAsia="宋体" w:cs="宋体"/>
                <w:color w:val="auto"/>
                <w:kern w:val="0"/>
                <w:szCs w:val="21"/>
                <w:highlight w:val="none"/>
                <w:lang w:bidi="ar"/>
              </w:rPr>
              <w:t>能力并加装符合民航规定型号的</w:t>
            </w:r>
            <w:r>
              <w:rPr>
                <w:rFonts w:ascii="宋体" w:hAnsi="宋体" w:eastAsia="宋体" w:cs="宋体"/>
                <w:color w:val="auto"/>
                <w:kern w:val="0"/>
                <w:szCs w:val="21"/>
                <w:highlight w:val="none"/>
                <w:lang w:bidi="ar"/>
              </w:rPr>
              <w:t>ADS-B</w:t>
            </w:r>
            <w:r>
              <w:rPr>
                <w:rFonts w:hint="eastAsia" w:ascii="宋体" w:hAnsi="宋体" w:eastAsia="宋体" w:cs="宋体"/>
                <w:color w:val="auto"/>
                <w:kern w:val="0"/>
                <w:szCs w:val="21"/>
                <w:highlight w:val="none"/>
                <w:lang w:bidi="ar"/>
              </w:rPr>
              <w:t>设备。</w:t>
            </w:r>
          </w:p>
        </w:tc>
        <w:tc>
          <w:tcPr>
            <w:tcW w:w="6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29EFAB">
            <w:pPr>
              <w:widowControl/>
              <w:snapToGrid w:val="0"/>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2</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FE3C57">
            <w:pPr>
              <w:widowControl/>
              <w:snapToGrid w:val="0"/>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套</w:t>
            </w:r>
          </w:p>
        </w:tc>
      </w:tr>
      <w:tr w14:paraId="2ED10053">
        <w:tblPrEx>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14:paraId="2E0768E5">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w:t>
            </w:r>
            <w:r>
              <w:rPr>
                <w:rFonts w:ascii="宋体" w:hAnsi="宋体" w:eastAsia="宋体" w:cs="宋体"/>
                <w:color w:val="auto"/>
                <w:kern w:val="0"/>
                <w:szCs w:val="21"/>
                <w:highlight w:val="none"/>
                <w:lang w:bidi="ar"/>
              </w:rPr>
              <w:t>1</w:t>
            </w:r>
          </w:p>
        </w:tc>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14:paraId="6C620E29">
            <w:pPr>
              <w:widowControl/>
              <w:snapToGrid w:val="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无人机作业平台1</w:t>
            </w:r>
          </w:p>
        </w:tc>
        <w:tc>
          <w:tcPr>
            <w:tcW w:w="5435" w:type="dxa"/>
            <w:tcBorders>
              <w:top w:val="single" w:color="auto" w:sz="4" w:space="0"/>
              <w:left w:val="single" w:color="auto" w:sz="4" w:space="0"/>
              <w:bottom w:val="single" w:color="auto" w:sz="4" w:space="0"/>
              <w:right w:val="single" w:color="auto" w:sz="4" w:space="0"/>
            </w:tcBorders>
            <w:shd w:val="clear" w:color="auto" w:fill="auto"/>
            <w:vAlign w:val="center"/>
          </w:tcPr>
          <w:p w14:paraId="0F187037">
            <w:pPr>
              <w:snapToGrid w:val="0"/>
              <w:spacing w:line="276" w:lineRule="auto"/>
              <w:jc w:val="left"/>
              <w:rPr>
                <w:rFonts w:ascii="宋体" w:hAnsi="宋体" w:eastAsia="宋体" w:cs="宋体"/>
                <w:b/>
                <w:color w:val="auto"/>
                <w:kern w:val="0"/>
                <w:szCs w:val="21"/>
                <w:highlight w:val="none"/>
                <w:lang w:bidi="ar"/>
              </w:rPr>
            </w:pPr>
            <w:r>
              <w:rPr>
                <w:rFonts w:hint="eastAsia" w:ascii="宋体" w:hAnsi="宋体" w:eastAsia="宋体" w:cs="宋体"/>
                <w:b/>
                <w:color w:val="auto"/>
                <w:kern w:val="0"/>
                <w:szCs w:val="21"/>
                <w:highlight w:val="none"/>
                <w:lang w:bidi="ar"/>
              </w:rPr>
              <w:t>1. 技术要求</w:t>
            </w:r>
          </w:p>
          <w:p w14:paraId="6EC718C1">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bidi="ar"/>
              </w:rPr>
              <w:t>）适航：</w:t>
            </w:r>
          </w:p>
          <w:p w14:paraId="2E7BF1B4">
            <w:pPr>
              <w:snapToGrid w:val="0"/>
              <w:spacing w:line="276" w:lineRule="auto"/>
              <w:ind w:firstLine="210" w:firstLineChars="100"/>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应通过中国民用航空主管部门进行的适航性检查，处于适航状态。</w:t>
            </w:r>
          </w:p>
          <w:p w14:paraId="0F37D3EC">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）最大载重能力：不小于</w:t>
            </w:r>
            <w:r>
              <w:rPr>
                <w:rFonts w:hint="eastAsia" w:ascii="宋体" w:hAnsi="宋体" w:eastAsia="宋体" w:cs="宋体"/>
                <w:color w:val="auto"/>
                <w:kern w:val="0"/>
                <w:szCs w:val="21"/>
                <w:highlight w:val="none"/>
                <w:lang w:val="en-US" w:eastAsia="zh-CN" w:bidi="ar"/>
              </w:rPr>
              <w:t>6</w:t>
            </w:r>
            <w:r>
              <w:rPr>
                <w:rFonts w:ascii="宋体" w:hAnsi="宋体" w:eastAsia="宋体" w:cs="宋体"/>
                <w:color w:val="auto"/>
                <w:kern w:val="0"/>
                <w:szCs w:val="21"/>
                <w:highlight w:val="none"/>
                <w:lang w:bidi="ar"/>
              </w:rPr>
              <w:t>0kg</w:t>
            </w:r>
            <w:r>
              <w:rPr>
                <w:rFonts w:hint="eastAsia" w:ascii="宋体" w:hAnsi="宋体" w:eastAsia="宋体" w:cs="宋体"/>
                <w:color w:val="auto"/>
                <w:kern w:val="0"/>
                <w:szCs w:val="21"/>
                <w:highlight w:val="none"/>
                <w:lang w:bidi="ar"/>
              </w:rPr>
              <w:t>（满油（电））。</w:t>
            </w:r>
          </w:p>
          <w:p w14:paraId="25A04AAF">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）最大续航时间：不小于</w:t>
            </w:r>
            <w:r>
              <w:rPr>
                <w:rFonts w:ascii="宋体" w:hAnsi="宋体" w:eastAsia="宋体" w:cs="宋体"/>
                <w:color w:val="auto"/>
                <w:kern w:val="0"/>
                <w:szCs w:val="21"/>
                <w:highlight w:val="none"/>
                <w:lang w:bidi="ar"/>
              </w:rPr>
              <w:t>4h</w:t>
            </w:r>
            <w:r>
              <w:rPr>
                <w:rFonts w:hint="eastAsia" w:ascii="宋体" w:hAnsi="宋体" w:eastAsia="宋体" w:cs="宋体"/>
                <w:color w:val="auto"/>
                <w:kern w:val="0"/>
                <w:szCs w:val="21"/>
                <w:highlight w:val="none"/>
                <w:lang w:bidi="ar"/>
              </w:rPr>
              <w:t>（满油（电））。</w:t>
            </w:r>
          </w:p>
          <w:p w14:paraId="14BDE4EF">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）最大飞行速度：不小于</w:t>
            </w:r>
            <w:r>
              <w:rPr>
                <w:rFonts w:ascii="宋体" w:hAnsi="宋体" w:eastAsia="宋体" w:cs="宋体"/>
                <w:color w:val="auto"/>
                <w:kern w:val="0"/>
                <w:szCs w:val="21"/>
                <w:highlight w:val="none"/>
                <w:lang w:bidi="ar"/>
              </w:rPr>
              <w:t>150km/h</w:t>
            </w:r>
            <w:r>
              <w:rPr>
                <w:rFonts w:hint="eastAsia" w:ascii="宋体" w:hAnsi="宋体" w:eastAsia="宋体" w:cs="宋体"/>
                <w:color w:val="auto"/>
                <w:kern w:val="0"/>
                <w:szCs w:val="21"/>
                <w:highlight w:val="none"/>
                <w:lang w:bidi="ar"/>
              </w:rPr>
              <w:t>（满油（电））。</w:t>
            </w:r>
          </w:p>
          <w:p w14:paraId="4A9C897B">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）巡航速度：</w:t>
            </w:r>
            <w:r>
              <w:rPr>
                <w:rFonts w:ascii="宋体" w:hAnsi="宋体" w:eastAsia="宋体" w:cs="宋体"/>
                <w:color w:val="auto"/>
                <w:kern w:val="0"/>
                <w:szCs w:val="21"/>
                <w:highlight w:val="none"/>
                <w:lang w:bidi="ar"/>
              </w:rPr>
              <w:t>60km/h</w:t>
            </w: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180km/h</w:t>
            </w:r>
            <w:r>
              <w:rPr>
                <w:rFonts w:hint="eastAsia" w:ascii="宋体" w:hAnsi="宋体" w:eastAsia="宋体" w:cs="宋体"/>
                <w:color w:val="auto"/>
                <w:kern w:val="0"/>
                <w:szCs w:val="21"/>
                <w:highlight w:val="none"/>
                <w:lang w:bidi="ar"/>
              </w:rPr>
              <w:t>（满油（电））。</w:t>
            </w:r>
          </w:p>
          <w:p w14:paraId="09E5124C">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）最大爬升率：不小于</w:t>
            </w:r>
            <w:r>
              <w:rPr>
                <w:rFonts w:ascii="宋体" w:hAnsi="宋体" w:eastAsia="宋体" w:cs="宋体"/>
                <w:color w:val="auto"/>
                <w:kern w:val="0"/>
                <w:szCs w:val="21"/>
                <w:highlight w:val="none"/>
                <w:lang w:bidi="ar"/>
              </w:rPr>
              <w:t>1.5m/s</w:t>
            </w:r>
            <w:r>
              <w:rPr>
                <w:rFonts w:hint="eastAsia" w:ascii="宋体" w:hAnsi="宋体" w:eastAsia="宋体" w:cs="宋体"/>
                <w:color w:val="auto"/>
                <w:kern w:val="0"/>
                <w:szCs w:val="21"/>
                <w:highlight w:val="none"/>
                <w:lang w:bidi="ar"/>
              </w:rPr>
              <w:t>（满油（电））。</w:t>
            </w:r>
          </w:p>
          <w:p w14:paraId="25EFC032">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7</w:t>
            </w:r>
            <w:r>
              <w:rPr>
                <w:rFonts w:hint="eastAsia" w:ascii="宋体" w:hAnsi="宋体" w:eastAsia="宋体" w:cs="宋体"/>
                <w:color w:val="auto"/>
                <w:kern w:val="0"/>
                <w:szCs w:val="21"/>
                <w:highlight w:val="none"/>
                <w:lang w:bidi="ar"/>
              </w:rPr>
              <w:t>）最大升限：不小于</w:t>
            </w:r>
            <w:r>
              <w:rPr>
                <w:rFonts w:ascii="宋体" w:hAnsi="宋体" w:eastAsia="宋体" w:cs="宋体"/>
                <w:color w:val="auto"/>
                <w:kern w:val="0"/>
                <w:szCs w:val="21"/>
                <w:highlight w:val="none"/>
                <w:lang w:bidi="ar"/>
              </w:rPr>
              <w:t>5500m</w:t>
            </w:r>
            <w:r>
              <w:rPr>
                <w:rFonts w:hint="eastAsia" w:ascii="宋体" w:hAnsi="宋体" w:eastAsia="宋体" w:cs="宋体"/>
                <w:color w:val="auto"/>
                <w:kern w:val="0"/>
                <w:szCs w:val="21"/>
                <w:highlight w:val="none"/>
                <w:lang w:bidi="ar"/>
              </w:rPr>
              <w:t>（满油（电）满载）</w:t>
            </w:r>
          </w:p>
          <w:p w14:paraId="1056EA79">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8</w:t>
            </w:r>
            <w:r>
              <w:rPr>
                <w:rFonts w:hint="eastAsia" w:ascii="宋体" w:hAnsi="宋体" w:eastAsia="宋体" w:cs="宋体"/>
                <w:color w:val="auto"/>
                <w:kern w:val="0"/>
                <w:szCs w:val="21"/>
                <w:highlight w:val="none"/>
                <w:lang w:bidi="ar"/>
              </w:rPr>
              <w:t>）最大起飞海拔：不小于</w:t>
            </w:r>
            <w:r>
              <w:rPr>
                <w:rFonts w:ascii="宋体" w:hAnsi="宋体" w:eastAsia="宋体" w:cs="宋体"/>
                <w:color w:val="auto"/>
                <w:kern w:val="0"/>
                <w:szCs w:val="21"/>
                <w:highlight w:val="none"/>
                <w:lang w:bidi="ar"/>
              </w:rPr>
              <w:t>1500m</w:t>
            </w:r>
            <w:r>
              <w:rPr>
                <w:rFonts w:hint="eastAsia" w:ascii="宋体" w:hAnsi="宋体" w:eastAsia="宋体" w:cs="宋体"/>
                <w:color w:val="auto"/>
                <w:kern w:val="0"/>
                <w:szCs w:val="21"/>
                <w:highlight w:val="none"/>
                <w:lang w:bidi="ar"/>
              </w:rPr>
              <w:t>（满油（电）满载）</w:t>
            </w:r>
          </w:p>
          <w:p w14:paraId="36B40D1A">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9</w:t>
            </w:r>
            <w:r>
              <w:rPr>
                <w:rFonts w:hint="eastAsia" w:ascii="宋体" w:hAnsi="宋体" w:eastAsia="宋体" w:cs="宋体"/>
                <w:color w:val="auto"/>
                <w:kern w:val="0"/>
                <w:szCs w:val="21"/>
                <w:highlight w:val="none"/>
                <w:lang w:bidi="ar"/>
              </w:rPr>
              <w:t>）可用挂点：不少于</w:t>
            </w:r>
            <w:r>
              <w:rPr>
                <w:rFonts w:ascii="宋体" w:hAnsi="宋体" w:eastAsia="宋体" w:cs="宋体"/>
                <w:color w:val="auto"/>
                <w:kern w:val="0"/>
                <w:szCs w:val="21"/>
                <w:highlight w:val="none"/>
                <w:lang w:bidi="ar"/>
              </w:rPr>
              <w:t xml:space="preserve">4 </w:t>
            </w:r>
            <w:r>
              <w:rPr>
                <w:rFonts w:hint="eastAsia" w:ascii="宋体" w:hAnsi="宋体" w:eastAsia="宋体" w:cs="宋体"/>
                <w:color w:val="auto"/>
                <w:kern w:val="0"/>
                <w:szCs w:val="21"/>
                <w:highlight w:val="none"/>
                <w:lang w:bidi="ar"/>
              </w:rPr>
              <w:t>个。</w:t>
            </w:r>
          </w:p>
          <w:p w14:paraId="4D07FB3C">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10</w:t>
            </w:r>
            <w:r>
              <w:rPr>
                <w:rFonts w:hint="eastAsia" w:ascii="宋体" w:hAnsi="宋体" w:eastAsia="宋体" w:cs="宋体"/>
                <w:color w:val="auto"/>
                <w:kern w:val="0"/>
                <w:szCs w:val="21"/>
                <w:highlight w:val="none"/>
                <w:lang w:bidi="ar"/>
              </w:rPr>
              <w:t>）额外供电能力：不小于</w:t>
            </w:r>
            <w:r>
              <w:rPr>
                <w:rFonts w:ascii="宋体" w:hAnsi="宋体" w:eastAsia="宋体" w:cs="宋体"/>
                <w:color w:val="auto"/>
                <w:kern w:val="0"/>
                <w:szCs w:val="21"/>
                <w:highlight w:val="none"/>
                <w:lang w:bidi="ar"/>
              </w:rPr>
              <w:t>1kW</w:t>
            </w:r>
            <w:r>
              <w:rPr>
                <w:rFonts w:hint="eastAsia" w:ascii="宋体" w:hAnsi="宋体" w:eastAsia="宋体" w:cs="宋体"/>
                <w:color w:val="auto"/>
                <w:kern w:val="0"/>
                <w:szCs w:val="21"/>
                <w:highlight w:val="none"/>
                <w:lang w:bidi="ar"/>
              </w:rPr>
              <w:t>。</w:t>
            </w:r>
          </w:p>
          <w:p w14:paraId="7CCD1049">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11</w:t>
            </w:r>
            <w:r>
              <w:rPr>
                <w:rFonts w:hint="eastAsia" w:ascii="宋体" w:hAnsi="宋体" w:eastAsia="宋体" w:cs="宋体"/>
                <w:color w:val="auto"/>
                <w:kern w:val="0"/>
                <w:szCs w:val="21"/>
                <w:highlight w:val="none"/>
                <w:lang w:bidi="ar"/>
              </w:rPr>
              <w:t>）抗风等级：</w:t>
            </w:r>
          </w:p>
          <w:p w14:paraId="5D2EB888">
            <w:pPr>
              <w:snapToGrid w:val="0"/>
              <w:spacing w:line="276" w:lineRule="auto"/>
              <w:ind w:firstLine="420" w:firstLineChars="200"/>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满油（电）满载状态下，可抗空中大于</w:t>
            </w:r>
            <w:r>
              <w:rPr>
                <w:rFonts w:ascii="宋体" w:hAnsi="宋体" w:eastAsia="宋体" w:cs="宋体"/>
                <w:color w:val="auto"/>
                <w:kern w:val="0"/>
                <w:szCs w:val="21"/>
                <w:highlight w:val="none"/>
                <w:lang w:bidi="ar"/>
              </w:rPr>
              <w:t xml:space="preserve">15 m/s </w:t>
            </w:r>
            <w:r>
              <w:rPr>
                <w:rFonts w:hint="eastAsia" w:ascii="宋体" w:hAnsi="宋体" w:eastAsia="宋体" w:cs="宋体"/>
                <w:color w:val="auto"/>
                <w:kern w:val="0"/>
                <w:szCs w:val="21"/>
                <w:highlight w:val="none"/>
                <w:lang w:bidi="ar"/>
              </w:rPr>
              <w:t>连续风、可在阵风小于等于</w:t>
            </w:r>
            <w:r>
              <w:rPr>
                <w:rFonts w:ascii="宋体" w:hAnsi="宋体" w:eastAsia="宋体" w:cs="宋体"/>
                <w:color w:val="auto"/>
                <w:kern w:val="0"/>
                <w:szCs w:val="21"/>
                <w:highlight w:val="none"/>
                <w:lang w:bidi="ar"/>
              </w:rPr>
              <w:t xml:space="preserve">7 m/s </w:t>
            </w:r>
            <w:r>
              <w:rPr>
                <w:rFonts w:hint="eastAsia" w:ascii="宋体" w:hAnsi="宋体" w:eastAsia="宋体" w:cs="宋体"/>
                <w:color w:val="auto"/>
                <w:kern w:val="0"/>
                <w:szCs w:val="21"/>
                <w:highlight w:val="none"/>
                <w:lang w:bidi="ar"/>
              </w:rPr>
              <w:t>正侧风下起降。</w:t>
            </w:r>
          </w:p>
          <w:p w14:paraId="517B2001">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12</w:t>
            </w:r>
            <w:r>
              <w:rPr>
                <w:rFonts w:hint="eastAsia" w:ascii="宋体" w:hAnsi="宋体" w:eastAsia="宋体" w:cs="宋体"/>
                <w:color w:val="auto"/>
                <w:kern w:val="0"/>
                <w:szCs w:val="21"/>
                <w:highlight w:val="none"/>
                <w:lang w:bidi="ar"/>
              </w:rPr>
              <w:t>）飞机</w:t>
            </w:r>
            <w:r>
              <w:rPr>
                <w:rFonts w:ascii="宋体" w:hAnsi="宋体" w:eastAsia="宋体" w:cs="宋体"/>
                <w:color w:val="auto"/>
                <w:kern w:val="0"/>
                <w:szCs w:val="21"/>
                <w:highlight w:val="none"/>
                <w:lang w:bidi="ar"/>
              </w:rPr>
              <w:t>构型</w:t>
            </w:r>
            <w:r>
              <w:rPr>
                <w:rFonts w:hint="eastAsia" w:ascii="宋体" w:hAnsi="宋体" w:eastAsia="宋体" w:cs="宋体"/>
                <w:color w:val="auto"/>
                <w:kern w:val="0"/>
                <w:szCs w:val="21"/>
                <w:highlight w:val="none"/>
                <w:lang w:bidi="ar"/>
              </w:rPr>
              <w:t>：复合翼垂直起降。</w:t>
            </w:r>
          </w:p>
          <w:p w14:paraId="12F11FC8">
            <w:pPr>
              <w:snapToGrid w:val="0"/>
              <w:spacing w:line="276" w:lineRule="auto"/>
              <w:jc w:val="left"/>
              <w:rPr>
                <w:rFonts w:ascii="宋体" w:hAnsi="宋体" w:eastAsia="宋体" w:cs="宋体"/>
                <w:b/>
                <w:color w:val="auto"/>
                <w:kern w:val="0"/>
                <w:szCs w:val="21"/>
                <w:highlight w:val="none"/>
                <w:lang w:bidi="ar"/>
              </w:rPr>
            </w:pPr>
            <w:r>
              <w:rPr>
                <w:rFonts w:ascii="宋体" w:hAnsi="宋体" w:eastAsia="宋体" w:cs="宋体"/>
                <w:b/>
                <w:color w:val="auto"/>
                <w:kern w:val="0"/>
                <w:szCs w:val="21"/>
                <w:highlight w:val="none"/>
                <w:lang w:bidi="ar"/>
              </w:rPr>
              <w:t>2</w:t>
            </w:r>
            <w:r>
              <w:rPr>
                <w:rFonts w:hint="eastAsia" w:ascii="宋体" w:hAnsi="宋体" w:eastAsia="宋体" w:cs="宋体"/>
                <w:b/>
                <w:color w:val="auto"/>
                <w:kern w:val="0"/>
                <w:szCs w:val="21"/>
                <w:highlight w:val="none"/>
                <w:lang w:bidi="ar"/>
              </w:rPr>
              <w:t>. 运行环境要求</w:t>
            </w:r>
          </w:p>
          <w:p w14:paraId="728E03D0">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bidi="ar"/>
              </w:rPr>
              <w:t>）工作温度：</w:t>
            </w:r>
            <w:r>
              <w:rPr>
                <w:rFonts w:ascii="宋体" w:hAnsi="宋体" w:eastAsia="宋体" w:cs="宋体"/>
                <w:color w:val="auto"/>
                <w:kern w:val="0"/>
                <w:szCs w:val="21"/>
                <w:highlight w:val="none"/>
                <w:lang w:bidi="ar"/>
              </w:rPr>
              <w:t>-30</w:t>
            </w: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+45</w:t>
            </w:r>
            <w:r>
              <w:rPr>
                <w:rFonts w:hint="eastAsia" w:ascii="宋体" w:hAnsi="宋体" w:eastAsia="宋体" w:cs="宋体"/>
                <w:color w:val="auto"/>
                <w:kern w:val="0"/>
                <w:szCs w:val="21"/>
                <w:highlight w:val="none"/>
                <w:lang w:bidi="ar"/>
              </w:rPr>
              <w:t>℃；</w:t>
            </w:r>
          </w:p>
          <w:p w14:paraId="797C69ED">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）贮存温度：</w:t>
            </w:r>
            <w:r>
              <w:rPr>
                <w:rFonts w:ascii="宋体" w:hAnsi="宋体" w:eastAsia="宋体" w:cs="宋体"/>
                <w:color w:val="auto"/>
                <w:kern w:val="0"/>
                <w:szCs w:val="21"/>
                <w:highlight w:val="none"/>
                <w:lang w:bidi="ar"/>
              </w:rPr>
              <w:t>-40</w:t>
            </w: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+55</w:t>
            </w:r>
            <w:r>
              <w:rPr>
                <w:rFonts w:hint="eastAsia" w:ascii="宋体" w:hAnsi="宋体" w:eastAsia="宋体" w:cs="宋体"/>
                <w:color w:val="auto"/>
                <w:kern w:val="0"/>
                <w:szCs w:val="21"/>
                <w:highlight w:val="none"/>
                <w:lang w:bidi="ar"/>
              </w:rPr>
              <w:t>℃；</w:t>
            </w:r>
          </w:p>
          <w:p w14:paraId="788D44F6">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）相对湿度：</w:t>
            </w:r>
            <w:r>
              <w:rPr>
                <w:rFonts w:ascii="宋体" w:hAnsi="宋体" w:eastAsia="宋体" w:cs="宋体"/>
                <w:color w:val="auto"/>
                <w:kern w:val="0"/>
                <w:szCs w:val="21"/>
                <w:highlight w:val="none"/>
                <w:lang w:bidi="ar"/>
              </w:rPr>
              <w:t>100%</w:t>
            </w:r>
            <w:r>
              <w:rPr>
                <w:rFonts w:hint="eastAsia" w:ascii="宋体" w:hAnsi="宋体" w:eastAsia="宋体" w:cs="宋体"/>
                <w:color w:val="auto"/>
                <w:kern w:val="0"/>
                <w:szCs w:val="21"/>
                <w:highlight w:val="none"/>
                <w:lang w:bidi="ar"/>
              </w:rPr>
              <w:t>条件下持续工作时间＞</w:t>
            </w:r>
            <w:r>
              <w:rPr>
                <w:rFonts w:ascii="宋体" w:hAnsi="宋体" w:eastAsia="宋体" w:cs="宋体"/>
                <w:color w:val="auto"/>
                <w:kern w:val="0"/>
                <w:szCs w:val="21"/>
                <w:highlight w:val="none"/>
                <w:lang w:bidi="ar"/>
              </w:rPr>
              <w:t>4h</w:t>
            </w:r>
            <w:r>
              <w:rPr>
                <w:rFonts w:hint="eastAsia" w:ascii="宋体" w:hAnsi="宋体" w:eastAsia="宋体" w:cs="宋体"/>
                <w:color w:val="auto"/>
                <w:kern w:val="0"/>
                <w:szCs w:val="21"/>
                <w:highlight w:val="none"/>
                <w:lang w:bidi="ar"/>
              </w:rPr>
              <w:t>；</w:t>
            </w:r>
          </w:p>
          <w:p w14:paraId="30979695">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）可在小雨（＜</w:t>
            </w:r>
            <w:r>
              <w:rPr>
                <w:rFonts w:ascii="宋体" w:hAnsi="宋体" w:eastAsia="宋体" w:cs="宋体"/>
                <w:color w:val="auto"/>
                <w:kern w:val="0"/>
                <w:szCs w:val="21"/>
                <w:highlight w:val="none"/>
                <w:lang w:bidi="ar"/>
              </w:rPr>
              <w:t>2.0mm/h</w:t>
            </w:r>
            <w:r>
              <w:rPr>
                <w:rFonts w:hint="eastAsia" w:ascii="宋体" w:hAnsi="宋体" w:eastAsia="宋体" w:cs="宋体"/>
                <w:color w:val="auto"/>
                <w:kern w:val="0"/>
                <w:szCs w:val="21"/>
                <w:highlight w:val="none"/>
                <w:lang w:bidi="ar"/>
              </w:rPr>
              <w:t>）条件下工作；</w:t>
            </w:r>
          </w:p>
          <w:p w14:paraId="67DBACA2">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）具备防腐蚀、霉菌、潮湿、沙尘等措施。</w:t>
            </w:r>
          </w:p>
          <w:p w14:paraId="1E166457">
            <w:pPr>
              <w:snapToGrid w:val="0"/>
              <w:spacing w:line="276" w:lineRule="auto"/>
              <w:jc w:val="left"/>
              <w:rPr>
                <w:color w:val="auto"/>
                <w:highlight w:val="none"/>
              </w:rPr>
            </w:pPr>
            <w:r>
              <w:rPr>
                <w:rFonts w:ascii="宋体" w:hAnsi="宋体" w:eastAsia="宋体" w:cs="宋体"/>
                <w:b/>
                <w:color w:val="auto"/>
                <w:kern w:val="0"/>
                <w:szCs w:val="21"/>
                <w:highlight w:val="none"/>
                <w:lang w:bidi="ar"/>
              </w:rPr>
              <w:t>3</w:t>
            </w:r>
            <w:r>
              <w:rPr>
                <w:rFonts w:hint="eastAsia" w:ascii="宋体" w:hAnsi="宋体" w:eastAsia="宋体" w:cs="宋体"/>
                <w:b/>
                <w:color w:val="auto"/>
                <w:kern w:val="0"/>
                <w:szCs w:val="21"/>
                <w:highlight w:val="none"/>
                <w:lang w:bidi="ar"/>
              </w:rPr>
              <w:t>.其他要求：</w:t>
            </w:r>
          </w:p>
          <w:p w14:paraId="7A89F888">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催化播撒：具备冷暖云焰条作业方式，焰条播撒控制器接收上位机指令，对焰条点火，播撒催化剂，实时人工影响天气作业，能够检测焰条状态，包括有/无、正常/故障。作业设备一次装载量连续催化时间应不小于</w:t>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 xml:space="preserve"> h。</w:t>
            </w:r>
          </w:p>
          <w:p w14:paraId="52330B85">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空地通信：依托无人机平台的C、U或L波段的视距链路，实现各类任务载荷的实时数据传输和显控，空地通信、集成控制。具备飞行前离线任务规划和飞行中在线任务规划的能力。具备自主、指令等多种飞行控制能力。能够实时监控无人机各系统的工作状态。能够存储和管理无人机下传的遥测数据、视频和其他信息，并提供快速下载功能。集成视距数据链地面终端，可加密传输。具备数字地图显示功能，地图包含卫星地图、高程信息等。</w:t>
            </w:r>
          </w:p>
          <w:p w14:paraId="3E0E320E">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val="en-US" w:eastAsia="zh-CN" w:bidi="ar"/>
              </w:rPr>
              <w:t>3</w:t>
            </w:r>
            <w:r>
              <w:rPr>
                <w:rFonts w:hint="eastAsia" w:ascii="宋体" w:hAnsi="宋体" w:eastAsia="宋体" w:cs="宋体"/>
                <w:color w:val="auto"/>
                <w:kern w:val="0"/>
                <w:szCs w:val="21"/>
                <w:highlight w:val="none"/>
                <w:lang w:bidi="ar"/>
              </w:rPr>
              <w:t>）任务集成：具备向机载云水含量探测仪和云粒子谱探测仪数据通讯、供电的能力。具备机载催化、作业和通讯的集成和显控，地面站应具备与指挥模组无缝对接，并与“天工”实时相互传输人影作业探测相关各类载荷信息数据的功能。</w:t>
            </w:r>
          </w:p>
          <w:p w14:paraId="0DB8DCFB">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val="en-US" w:eastAsia="zh-CN" w:bidi="ar"/>
              </w:rPr>
              <w:t>4</w:t>
            </w:r>
            <w:r>
              <w:rPr>
                <w:rFonts w:hint="eastAsia" w:ascii="宋体" w:hAnsi="宋体" w:eastAsia="宋体" w:cs="宋体"/>
                <w:color w:val="auto"/>
                <w:kern w:val="0"/>
                <w:szCs w:val="21"/>
                <w:highlight w:val="none"/>
                <w:lang w:bidi="ar"/>
              </w:rPr>
              <w:t>）其他</w:t>
            </w:r>
            <w:r>
              <w:rPr>
                <w:rFonts w:ascii="宋体" w:hAnsi="宋体" w:eastAsia="宋体" w:cs="宋体"/>
                <w:color w:val="auto"/>
                <w:kern w:val="0"/>
                <w:szCs w:val="21"/>
                <w:highlight w:val="none"/>
                <w:lang w:bidi="ar"/>
              </w:rPr>
              <w:t>功能要求、</w:t>
            </w:r>
            <w:r>
              <w:rPr>
                <w:rFonts w:hint="eastAsia" w:ascii="宋体" w:hAnsi="宋体" w:eastAsia="宋体" w:cs="宋体"/>
                <w:color w:val="auto"/>
                <w:kern w:val="0"/>
                <w:szCs w:val="21"/>
                <w:highlight w:val="none"/>
                <w:lang w:bidi="ar"/>
              </w:rPr>
              <w:t>机身结构</w:t>
            </w:r>
            <w:r>
              <w:rPr>
                <w:rFonts w:ascii="宋体" w:hAnsi="宋体" w:eastAsia="宋体" w:cs="宋体"/>
                <w:color w:val="auto"/>
                <w:kern w:val="0"/>
                <w:szCs w:val="21"/>
                <w:highlight w:val="none"/>
                <w:lang w:bidi="ar"/>
              </w:rPr>
              <w:t>、起落架系统、飞</w:t>
            </w:r>
            <w:r>
              <w:rPr>
                <w:rFonts w:hint="eastAsia" w:ascii="宋体" w:hAnsi="宋体" w:eastAsia="宋体" w:cs="宋体"/>
                <w:color w:val="auto"/>
                <w:kern w:val="0"/>
                <w:szCs w:val="21"/>
                <w:highlight w:val="none"/>
                <w:lang w:bidi="ar"/>
              </w:rPr>
              <w:t>管</w:t>
            </w:r>
            <w:r>
              <w:rPr>
                <w:rFonts w:ascii="宋体" w:hAnsi="宋体" w:eastAsia="宋体" w:cs="宋体"/>
                <w:color w:val="auto"/>
                <w:kern w:val="0"/>
                <w:szCs w:val="21"/>
                <w:highlight w:val="none"/>
                <w:lang w:bidi="ar"/>
              </w:rPr>
              <w:t>系统、巡航动力系统、垂起动力系统、电气系统、燃油系统、机载链路系统、防除冰系统均</w:t>
            </w:r>
            <w:r>
              <w:rPr>
                <w:rFonts w:hint="eastAsia" w:ascii="宋体" w:hAnsi="宋体" w:eastAsia="宋体" w:cs="宋体"/>
                <w:color w:val="auto"/>
                <w:kern w:val="0"/>
                <w:szCs w:val="21"/>
                <w:highlight w:val="none"/>
                <w:lang w:bidi="ar"/>
              </w:rPr>
              <w:t>应</w:t>
            </w:r>
            <w:r>
              <w:rPr>
                <w:rFonts w:ascii="宋体" w:hAnsi="宋体" w:eastAsia="宋体" w:cs="宋体"/>
                <w:color w:val="auto"/>
                <w:kern w:val="0"/>
                <w:szCs w:val="21"/>
                <w:highlight w:val="none"/>
                <w:lang w:bidi="ar"/>
              </w:rPr>
              <w:t>满足</w:t>
            </w:r>
            <w:r>
              <w:rPr>
                <w:rFonts w:hint="eastAsia" w:ascii="宋体" w:hAnsi="宋体" w:eastAsia="宋体" w:cs="宋体"/>
                <w:color w:val="auto"/>
                <w:kern w:val="0"/>
                <w:szCs w:val="21"/>
                <w:highlight w:val="none"/>
                <w:lang w:bidi="ar"/>
              </w:rPr>
              <w:t>《机动集成作业系统</w:t>
            </w:r>
            <w:r>
              <w:rPr>
                <w:rFonts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bidi="ar"/>
              </w:rPr>
              <w:t>无人机作业单元技术要求》中</w:t>
            </w:r>
            <w:r>
              <w:rPr>
                <w:rFonts w:ascii="宋体" w:hAnsi="宋体" w:eastAsia="宋体" w:cs="宋体"/>
                <w:color w:val="auto"/>
                <w:kern w:val="0"/>
                <w:szCs w:val="21"/>
                <w:highlight w:val="none"/>
                <w:lang w:bidi="ar"/>
              </w:rPr>
              <w:t>提及的</w:t>
            </w:r>
            <w:r>
              <w:rPr>
                <w:rFonts w:hint="eastAsia" w:ascii="宋体" w:hAnsi="宋体" w:eastAsia="宋体" w:cs="宋体"/>
                <w:color w:val="auto"/>
                <w:kern w:val="0"/>
                <w:szCs w:val="21"/>
                <w:highlight w:val="none"/>
                <w:lang w:bidi="ar"/>
              </w:rPr>
              <w:t>标准</w:t>
            </w:r>
            <w:r>
              <w:rPr>
                <w:rFonts w:ascii="宋体" w:hAnsi="宋体" w:eastAsia="宋体" w:cs="宋体"/>
                <w:color w:val="auto"/>
                <w:kern w:val="0"/>
                <w:szCs w:val="21"/>
                <w:highlight w:val="none"/>
                <w:lang w:bidi="ar"/>
              </w:rPr>
              <w:t>。</w:t>
            </w:r>
          </w:p>
          <w:p w14:paraId="22CB6D53">
            <w:pPr>
              <w:snapToGrid w:val="0"/>
              <w:spacing w:line="276" w:lineRule="auto"/>
              <w:jc w:val="left"/>
              <w:rPr>
                <w:rFonts w:ascii="宋体" w:hAnsi="宋体" w:eastAsia="宋体" w:cs="宋体"/>
                <w:b/>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cs="宋体"/>
                <w:color w:val="auto"/>
                <w:kern w:val="0"/>
                <w:szCs w:val="21"/>
                <w:highlight w:val="none"/>
                <w:lang w:val="en-US" w:eastAsia="zh-CN" w:bidi="ar"/>
              </w:rPr>
              <w:t>4</w:t>
            </w:r>
            <w:r>
              <w:rPr>
                <w:rFonts w:hint="eastAsia" w:ascii="宋体" w:hAnsi="宋体" w:eastAsia="宋体" w:cs="宋体"/>
                <w:color w:val="auto"/>
                <w:kern w:val="0"/>
                <w:szCs w:val="21"/>
                <w:highlight w:val="none"/>
                <w:lang w:bidi="ar"/>
              </w:rPr>
              <w:t>. 质保期≥</w:t>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lang w:val="en-US" w:eastAsia="zh-CN" w:bidi="ar"/>
              </w:rPr>
              <w:t>质保期结束后开始计算维保期，</w:t>
            </w:r>
            <w:r>
              <w:rPr>
                <w:rFonts w:hint="eastAsia" w:ascii="宋体" w:hAnsi="宋体" w:eastAsia="宋体" w:cs="宋体"/>
                <w:color w:val="auto"/>
                <w:kern w:val="0"/>
                <w:szCs w:val="21"/>
                <w:highlight w:val="none"/>
                <w:lang w:bidi="ar"/>
              </w:rPr>
              <w:t>维保期</w:t>
            </w:r>
            <w:r>
              <w:rPr>
                <w:rFonts w:hint="eastAsia" w:ascii="宋体" w:hAnsi="宋体" w:eastAsia="宋体" w:cs="宋体"/>
                <w:color w:val="auto"/>
                <w:kern w:val="0"/>
                <w:szCs w:val="21"/>
                <w:highlight w:val="none"/>
                <w:lang w:val="en-US" w:eastAsia="zh-CN" w:bidi="ar"/>
              </w:rPr>
              <w:t>不低于</w:t>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年；维保期内提供</w:t>
            </w:r>
            <w:r>
              <w:rPr>
                <w:rFonts w:ascii="宋体" w:hAnsi="宋体" w:eastAsia="宋体" w:cs="宋体"/>
                <w:color w:val="auto"/>
                <w:kern w:val="0"/>
                <w:szCs w:val="21"/>
                <w:highlight w:val="none"/>
                <w:lang w:bidi="ar"/>
              </w:rPr>
              <w:t>易损</w:t>
            </w:r>
            <w:r>
              <w:rPr>
                <w:rFonts w:hint="eastAsia" w:ascii="宋体" w:hAnsi="宋体" w:eastAsia="宋体" w:cs="宋体"/>
                <w:color w:val="auto"/>
                <w:kern w:val="0"/>
                <w:szCs w:val="21"/>
                <w:highlight w:val="none"/>
                <w:lang w:bidi="ar"/>
              </w:rPr>
              <w:t>件</w:t>
            </w:r>
            <w:r>
              <w:rPr>
                <w:rFonts w:ascii="宋体" w:hAnsi="宋体" w:eastAsia="宋体" w:cs="宋体"/>
                <w:color w:val="auto"/>
                <w:kern w:val="0"/>
                <w:szCs w:val="21"/>
                <w:highlight w:val="none"/>
                <w:lang w:bidi="ar"/>
              </w:rPr>
              <w:t>更换服务和运维耗材</w:t>
            </w:r>
            <w:r>
              <w:rPr>
                <w:rFonts w:hint="eastAsia" w:ascii="宋体" w:hAnsi="宋体" w:eastAsia="宋体" w:cs="宋体"/>
                <w:color w:val="auto"/>
                <w:kern w:val="0"/>
                <w:szCs w:val="21"/>
                <w:highlight w:val="none"/>
                <w:lang w:bidi="ar"/>
              </w:rPr>
              <w:t>；飞行运行服务期：≥</w:t>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年，提供每年不低于</w:t>
            </w:r>
            <w:r>
              <w:rPr>
                <w:rFonts w:ascii="宋体" w:hAnsi="宋体" w:eastAsia="宋体" w:cs="宋体"/>
                <w:color w:val="auto"/>
                <w:kern w:val="0"/>
                <w:szCs w:val="21"/>
                <w:highlight w:val="none"/>
                <w:lang w:bidi="ar"/>
              </w:rPr>
              <w:t>60</w:t>
            </w:r>
            <w:r>
              <w:rPr>
                <w:rFonts w:hint="eastAsia" w:ascii="宋体" w:hAnsi="宋体" w:eastAsia="宋体" w:cs="宋体"/>
                <w:color w:val="auto"/>
                <w:kern w:val="0"/>
                <w:szCs w:val="21"/>
                <w:highlight w:val="none"/>
                <w:lang w:bidi="ar"/>
              </w:rPr>
              <w:t>个飞行小时或常驻</w:t>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个月（先到为准）飞行运行服务。</w:t>
            </w:r>
          </w:p>
        </w:tc>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14:paraId="2831496A">
            <w:pPr>
              <w:snapToGrid w:val="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14:paraId="67926A0D">
            <w:pPr>
              <w:snapToGrid w:val="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台</w:t>
            </w:r>
          </w:p>
        </w:tc>
      </w:tr>
      <w:tr w14:paraId="66AD4482">
        <w:tblPrEx>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14:paraId="35251061">
            <w:pPr>
              <w:widowControl/>
              <w:snapToGrid w:val="0"/>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3.2</w:t>
            </w:r>
          </w:p>
        </w:tc>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14:paraId="2BB58FB2">
            <w:pPr>
              <w:widowControl/>
              <w:snapToGrid w:val="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无人机作业平台2</w:t>
            </w:r>
          </w:p>
        </w:tc>
        <w:tc>
          <w:tcPr>
            <w:tcW w:w="5435" w:type="dxa"/>
            <w:tcBorders>
              <w:top w:val="single" w:color="auto" w:sz="4" w:space="0"/>
              <w:left w:val="single" w:color="auto" w:sz="4" w:space="0"/>
              <w:bottom w:val="single" w:color="auto" w:sz="4" w:space="0"/>
              <w:right w:val="single" w:color="auto" w:sz="4" w:space="0"/>
            </w:tcBorders>
            <w:shd w:val="clear" w:color="auto" w:fill="auto"/>
            <w:vAlign w:val="center"/>
          </w:tcPr>
          <w:p w14:paraId="1CF9D2F2">
            <w:pPr>
              <w:snapToGrid w:val="0"/>
              <w:spacing w:line="276" w:lineRule="auto"/>
              <w:jc w:val="left"/>
              <w:rPr>
                <w:rFonts w:ascii="宋体" w:hAnsi="宋体" w:eastAsia="宋体" w:cs="宋体"/>
                <w:b/>
                <w:color w:val="auto"/>
                <w:kern w:val="0"/>
                <w:szCs w:val="21"/>
                <w:highlight w:val="none"/>
                <w:lang w:bidi="ar"/>
              </w:rPr>
            </w:pPr>
            <w:r>
              <w:rPr>
                <w:rFonts w:hint="eastAsia" w:ascii="宋体" w:hAnsi="宋体" w:eastAsia="宋体" w:cs="宋体"/>
                <w:b/>
                <w:color w:val="auto"/>
                <w:kern w:val="0"/>
                <w:szCs w:val="21"/>
                <w:highlight w:val="none"/>
                <w:lang w:bidi="ar"/>
              </w:rPr>
              <w:t>1. 设备运行要求</w:t>
            </w:r>
          </w:p>
          <w:p w14:paraId="2B57391C">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）适航：</w:t>
            </w:r>
          </w:p>
          <w:p w14:paraId="006F9295">
            <w:pPr>
              <w:snapToGrid w:val="0"/>
              <w:spacing w:line="276" w:lineRule="auto"/>
              <w:ind w:firstLine="420" w:firstLineChars="200"/>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应通过中国民用航空主管部门进行的适航性检查，处于适航状态。</w:t>
            </w:r>
          </w:p>
          <w:p w14:paraId="637918A7">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）最大载重能力：不小于</w:t>
            </w:r>
            <w:r>
              <w:rPr>
                <w:rFonts w:hint="eastAsia" w:ascii="宋体" w:hAnsi="宋体" w:eastAsia="宋体" w:cs="宋体"/>
                <w:color w:val="auto"/>
                <w:kern w:val="0"/>
                <w:szCs w:val="21"/>
                <w:highlight w:val="none"/>
                <w:lang w:val="en-US" w:eastAsia="zh-CN" w:bidi="ar"/>
              </w:rPr>
              <w:t>60</w:t>
            </w:r>
            <w:r>
              <w:rPr>
                <w:rFonts w:ascii="宋体" w:hAnsi="宋体" w:eastAsia="宋体" w:cs="宋体"/>
                <w:color w:val="auto"/>
                <w:kern w:val="0"/>
                <w:szCs w:val="21"/>
                <w:highlight w:val="none"/>
                <w:lang w:bidi="ar"/>
              </w:rPr>
              <w:t>kg</w:t>
            </w:r>
            <w:r>
              <w:rPr>
                <w:rFonts w:hint="eastAsia" w:ascii="宋体" w:hAnsi="宋体" w:eastAsia="宋体" w:cs="宋体"/>
                <w:color w:val="auto"/>
                <w:kern w:val="0"/>
                <w:szCs w:val="21"/>
                <w:highlight w:val="none"/>
                <w:lang w:bidi="ar"/>
              </w:rPr>
              <w:t>（满油（电））。</w:t>
            </w:r>
          </w:p>
          <w:p w14:paraId="39D85CA4">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）最大续航时间：不小于</w:t>
            </w:r>
            <w:r>
              <w:rPr>
                <w:rFonts w:ascii="宋体" w:hAnsi="宋体" w:eastAsia="宋体" w:cs="宋体"/>
                <w:color w:val="auto"/>
                <w:kern w:val="0"/>
                <w:szCs w:val="21"/>
                <w:highlight w:val="none"/>
                <w:lang w:bidi="ar"/>
              </w:rPr>
              <w:t>4h</w:t>
            </w:r>
            <w:r>
              <w:rPr>
                <w:rFonts w:hint="eastAsia" w:ascii="宋体" w:hAnsi="宋体" w:eastAsia="宋体" w:cs="宋体"/>
                <w:color w:val="auto"/>
                <w:kern w:val="0"/>
                <w:szCs w:val="21"/>
                <w:highlight w:val="none"/>
                <w:lang w:bidi="ar"/>
              </w:rPr>
              <w:t>（满油（电））。</w:t>
            </w:r>
          </w:p>
          <w:p w14:paraId="25B51D9A">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）最大飞行速度：不小于</w:t>
            </w:r>
            <w:r>
              <w:rPr>
                <w:rFonts w:ascii="宋体" w:hAnsi="宋体" w:eastAsia="宋体" w:cs="宋体"/>
                <w:color w:val="auto"/>
                <w:kern w:val="0"/>
                <w:szCs w:val="21"/>
                <w:highlight w:val="none"/>
                <w:lang w:bidi="ar"/>
              </w:rPr>
              <w:t>150km/h</w:t>
            </w:r>
            <w:r>
              <w:rPr>
                <w:rFonts w:hint="eastAsia" w:ascii="宋体" w:hAnsi="宋体" w:eastAsia="宋体" w:cs="宋体"/>
                <w:color w:val="auto"/>
                <w:kern w:val="0"/>
                <w:szCs w:val="21"/>
                <w:highlight w:val="none"/>
                <w:lang w:bidi="ar"/>
              </w:rPr>
              <w:t>（满油（电））。</w:t>
            </w:r>
          </w:p>
          <w:p w14:paraId="0A998BF4">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）巡航速度：</w:t>
            </w:r>
            <w:r>
              <w:rPr>
                <w:rFonts w:ascii="宋体" w:hAnsi="宋体" w:eastAsia="宋体" w:cs="宋体"/>
                <w:color w:val="auto"/>
                <w:kern w:val="0"/>
                <w:szCs w:val="21"/>
                <w:highlight w:val="none"/>
                <w:lang w:bidi="ar"/>
              </w:rPr>
              <w:t>60km/h</w:t>
            </w: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180km/h</w:t>
            </w:r>
            <w:r>
              <w:rPr>
                <w:rFonts w:hint="eastAsia" w:ascii="宋体" w:hAnsi="宋体" w:eastAsia="宋体" w:cs="宋体"/>
                <w:color w:val="auto"/>
                <w:kern w:val="0"/>
                <w:szCs w:val="21"/>
                <w:highlight w:val="none"/>
                <w:lang w:bidi="ar"/>
              </w:rPr>
              <w:t>（满油（电））。</w:t>
            </w:r>
          </w:p>
          <w:p w14:paraId="5589DED7">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）最大爬升率：不小于</w:t>
            </w:r>
            <w:r>
              <w:rPr>
                <w:rFonts w:ascii="宋体" w:hAnsi="宋体" w:eastAsia="宋体" w:cs="宋体"/>
                <w:color w:val="auto"/>
                <w:kern w:val="0"/>
                <w:szCs w:val="21"/>
                <w:highlight w:val="none"/>
                <w:lang w:bidi="ar"/>
              </w:rPr>
              <w:t>1.5m/s</w:t>
            </w:r>
            <w:r>
              <w:rPr>
                <w:rFonts w:hint="eastAsia" w:ascii="宋体" w:hAnsi="宋体" w:eastAsia="宋体" w:cs="宋体"/>
                <w:color w:val="auto"/>
                <w:kern w:val="0"/>
                <w:szCs w:val="21"/>
                <w:highlight w:val="none"/>
                <w:lang w:bidi="ar"/>
              </w:rPr>
              <w:t>（满油（电））。</w:t>
            </w:r>
          </w:p>
          <w:p w14:paraId="75C1BF90">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7</w:t>
            </w:r>
            <w:r>
              <w:rPr>
                <w:rFonts w:hint="eastAsia" w:ascii="宋体" w:hAnsi="宋体" w:eastAsia="宋体" w:cs="宋体"/>
                <w:color w:val="auto"/>
                <w:kern w:val="0"/>
                <w:szCs w:val="21"/>
                <w:highlight w:val="none"/>
                <w:lang w:bidi="ar"/>
              </w:rPr>
              <w:t>）最大升限：不小于</w:t>
            </w:r>
            <w:r>
              <w:rPr>
                <w:rFonts w:ascii="宋体" w:hAnsi="宋体" w:eastAsia="宋体" w:cs="宋体"/>
                <w:color w:val="auto"/>
                <w:kern w:val="0"/>
                <w:szCs w:val="21"/>
                <w:highlight w:val="none"/>
                <w:lang w:bidi="ar"/>
              </w:rPr>
              <w:t>5500m</w:t>
            </w:r>
            <w:r>
              <w:rPr>
                <w:rFonts w:hint="eastAsia" w:ascii="宋体" w:hAnsi="宋体" w:eastAsia="宋体" w:cs="宋体"/>
                <w:color w:val="auto"/>
                <w:kern w:val="0"/>
                <w:szCs w:val="21"/>
                <w:highlight w:val="none"/>
                <w:lang w:bidi="ar"/>
              </w:rPr>
              <w:t>（满油（电）满载）</w:t>
            </w:r>
          </w:p>
          <w:p w14:paraId="4CD199D2">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8</w:t>
            </w:r>
            <w:r>
              <w:rPr>
                <w:rFonts w:hint="eastAsia" w:ascii="宋体" w:hAnsi="宋体" w:eastAsia="宋体" w:cs="宋体"/>
                <w:color w:val="auto"/>
                <w:kern w:val="0"/>
                <w:szCs w:val="21"/>
                <w:highlight w:val="none"/>
                <w:lang w:bidi="ar"/>
              </w:rPr>
              <w:t>）最大起飞海拔：不小于</w:t>
            </w:r>
            <w:r>
              <w:rPr>
                <w:rFonts w:ascii="宋体" w:hAnsi="宋体" w:eastAsia="宋体" w:cs="宋体"/>
                <w:color w:val="auto"/>
                <w:kern w:val="0"/>
                <w:szCs w:val="21"/>
                <w:highlight w:val="none"/>
                <w:lang w:bidi="ar"/>
              </w:rPr>
              <w:t>1500m</w:t>
            </w:r>
            <w:r>
              <w:rPr>
                <w:rFonts w:hint="eastAsia" w:ascii="宋体" w:hAnsi="宋体" w:eastAsia="宋体" w:cs="宋体"/>
                <w:color w:val="auto"/>
                <w:kern w:val="0"/>
                <w:szCs w:val="21"/>
                <w:highlight w:val="none"/>
                <w:lang w:bidi="ar"/>
              </w:rPr>
              <w:t>（满油（电）满载）</w:t>
            </w:r>
          </w:p>
          <w:p w14:paraId="4CCB344A">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9</w:t>
            </w:r>
            <w:r>
              <w:rPr>
                <w:rFonts w:hint="eastAsia" w:ascii="宋体" w:hAnsi="宋体" w:eastAsia="宋体" w:cs="宋体"/>
                <w:color w:val="auto"/>
                <w:kern w:val="0"/>
                <w:szCs w:val="21"/>
                <w:highlight w:val="none"/>
                <w:lang w:bidi="ar"/>
              </w:rPr>
              <w:t>）可用挂点：不少于</w:t>
            </w:r>
            <w:r>
              <w:rPr>
                <w:rFonts w:ascii="宋体" w:hAnsi="宋体" w:eastAsia="宋体" w:cs="宋体"/>
                <w:color w:val="auto"/>
                <w:kern w:val="0"/>
                <w:szCs w:val="21"/>
                <w:highlight w:val="none"/>
                <w:lang w:bidi="ar"/>
              </w:rPr>
              <w:t xml:space="preserve">4 </w:t>
            </w:r>
            <w:r>
              <w:rPr>
                <w:rFonts w:hint="eastAsia" w:ascii="宋体" w:hAnsi="宋体" w:eastAsia="宋体" w:cs="宋体"/>
                <w:color w:val="auto"/>
                <w:kern w:val="0"/>
                <w:szCs w:val="21"/>
                <w:highlight w:val="none"/>
                <w:lang w:bidi="ar"/>
              </w:rPr>
              <w:t>个。</w:t>
            </w:r>
          </w:p>
          <w:p w14:paraId="214BD628">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10</w:t>
            </w:r>
            <w:r>
              <w:rPr>
                <w:rFonts w:hint="eastAsia" w:ascii="宋体" w:hAnsi="宋体" w:eastAsia="宋体" w:cs="宋体"/>
                <w:color w:val="auto"/>
                <w:kern w:val="0"/>
                <w:szCs w:val="21"/>
                <w:highlight w:val="none"/>
                <w:lang w:bidi="ar"/>
              </w:rPr>
              <w:t>）额外供电能力：不小于</w:t>
            </w:r>
            <w:r>
              <w:rPr>
                <w:rFonts w:ascii="宋体" w:hAnsi="宋体" w:eastAsia="宋体" w:cs="宋体"/>
                <w:color w:val="auto"/>
                <w:kern w:val="0"/>
                <w:szCs w:val="21"/>
                <w:highlight w:val="none"/>
                <w:lang w:bidi="ar"/>
              </w:rPr>
              <w:t>1kW</w:t>
            </w:r>
            <w:r>
              <w:rPr>
                <w:rFonts w:hint="eastAsia" w:ascii="宋体" w:hAnsi="宋体" w:eastAsia="宋体" w:cs="宋体"/>
                <w:color w:val="auto"/>
                <w:kern w:val="0"/>
                <w:szCs w:val="21"/>
                <w:highlight w:val="none"/>
                <w:lang w:bidi="ar"/>
              </w:rPr>
              <w:t>。</w:t>
            </w:r>
          </w:p>
          <w:p w14:paraId="39DE0DE1">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11</w:t>
            </w:r>
            <w:r>
              <w:rPr>
                <w:rFonts w:hint="eastAsia" w:ascii="宋体" w:hAnsi="宋体" w:eastAsia="宋体" w:cs="宋体"/>
                <w:color w:val="auto"/>
                <w:kern w:val="0"/>
                <w:szCs w:val="21"/>
                <w:highlight w:val="none"/>
                <w:lang w:bidi="ar"/>
              </w:rPr>
              <w:t>）抗风等级：</w:t>
            </w:r>
          </w:p>
          <w:p w14:paraId="250B82DF">
            <w:pPr>
              <w:snapToGrid w:val="0"/>
              <w:spacing w:line="276" w:lineRule="auto"/>
              <w:ind w:firstLine="420" w:firstLineChars="200"/>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满油（电）满载状态下，可抗空中大于</w:t>
            </w:r>
            <w:r>
              <w:rPr>
                <w:rFonts w:ascii="宋体" w:hAnsi="宋体" w:eastAsia="宋体" w:cs="宋体"/>
                <w:color w:val="auto"/>
                <w:kern w:val="0"/>
                <w:szCs w:val="21"/>
                <w:highlight w:val="none"/>
                <w:lang w:bidi="ar"/>
              </w:rPr>
              <w:t xml:space="preserve">15 m/s </w:t>
            </w:r>
            <w:r>
              <w:rPr>
                <w:rFonts w:hint="eastAsia" w:ascii="宋体" w:hAnsi="宋体" w:eastAsia="宋体" w:cs="宋体"/>
                <w:color w:val="auto"/>
                <w:kern w:val="0"/>
                <w:szCs w:val="21"/>
                <w:highlight w:val="none"/>
                <w:lang w:bidi="ar"/>
              </w:rPr>
              <w:t>连续风、可在阵风小于等于</w:t>
            </w:r>
            <w:r>
              <w:rPr>
                <w:rFonts w:ascii="宋体" w:hAnsi="宋体" w:eastAsia="宋体" w:cs="宋体"/>
                <w:color w:val="auto"/>
                <w:kern w:val="0"/>
                <w:szCs w:val="21"/>
                <w:highlight w:val="none"/>
                <w:lang w:bidi="ar"/>
              </w:rPr>
              <w:t xml:space="preserve">7 m/s </w:t>
            </w:r>
            <w:r>
              <w:rPr>
                <w:rFonts w:hint="eastAsia" w:ascii="宋体" w:hAnsi="宋体" w:eastAsia="宋体" w:cs="宋体"/>
                <w:color w:val="auto"/>
                <w:kern w:val="0"/>
                <w:szCs w:val="21"/>
                <w:highlight w:val="none"/>
                <w:lang w:bidi="ar"/>
              </w:rPr>
              <w:t>正侧风下起降。</w:t>
            </w:r>
          </w:p>
          <w:p w14:paraId="53CEBF6B">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12</w:t>
            </w:r>
            <w:r>
              <w:rPr>
                <w:rFonts w:hint="eastAsia" w:ascii="宋体" w:hAnsi="宋体" w:eastAsia="宋体" w:cs="宋体"/>
                <w:color w:val="auto"/>
                <w:kern w:val="0"/>
                <w:szCs w:val="21"/>
                <w:highlight w:val="none"/>
                <w:lang w:bidi="ar"/>
              </w:rPr>
              <w:t>）飞机</w:t>
            </w:r>
            <w:r>
              <w:rPr>
                <w:rFonts w:ascii="宋体" w:hAnsi="宋体" w:eastAsia="宋体" w:cs="宋体"/>
                <w:color w:val="auto"/>
                <w:kern w:val="0"/>
                <w:szCs w:val="21"/>
                <w:highlight w:val="none"/>
                <w:lang w:bidi="ar"/>
              </w:rPr>
              <w:t>构型</w:t>
            </w:r>
            <w:r>
              <w:rPr>
                <w:rFonts w:hint="eastAsia" w:ascii="宋体" w:hAnsi="宋体" w:eastAsia="宋体" w:cs="宋体"/>
                <w:color w:val="auto"/>
                <w:kern w:val="0"/>
                <w:szCs w:val="21"/>
                <w:highlight w:val="none"/>
                <w:lang w:bidi="ar"/>
              </w:rPr>
              <w:t>：自旋翼。</w:t>
            </w:r>
          </w:p>
          <w:p w14:paraId="6A0F2522">
            <w:pPr>
              <w:snapToGrid w:val="0"/>
              <w:spacing w:line="276" w:lineRule="auto"/>
              <w:jc w:val="left"/>
              <w:rPr>
                <w:rFonts w:ascii="宋体" w:hAnsi="宋体" w:eastAsia="宋体" w:cs="宋体"/>
                <w:b/>
                <w:color w:val="auto"/>
                <w:kern w:val="0"/>
                <w:szCs w:val="21"/>
                <w:highlight w:val="none"/>
                <w:lang w:bidi="ar"/>
              </w:rPr>
            </w:pPr>
            <w:r>
              <w:rPr>
                <w:rFonts w:ascii="宋体" w:hAnsi="宋体" w:eastAsia="宋体" w:cs="宋体"/>
                <w:b/>
                <w:color w:val="auto"/>
                <w:kern w:val="0"/>
                <w:szCs w:val="21"/>
                <w:highlight w:val="none"/>
                <w:lang w:bidi="ar"/>
              </w:rPr>
              <w:t>2</w:t>
            </w:r>
            <w:r>
              <w:rPr>
                <w:rFonts w:hint="eastAsia" w:ascii="宋体" w:hAnsi="宋体" w:eastAsia="宋体" w:cs="宋体"/>
                <w:b/>
                <w:color w:val="auto"/>
                <w:kern w:val="0"/>
                <w:szCs w:val="21"/>
                <w:highlight w:val="none"/>
                <w:lang w:bidi="ar"/>
              </w:rPr>
              <w:t>. 运行环境要求</w:t>
            </w:r>
          </w:p>
          <w:p w14:paraId="25001F16">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bidi="ar"/>
              </w:rPr>
              <w:t>）工作温度：</w:t>
            </w:r>
            <w:r>
              <w:rPr>
                <w:rFonts w:ascii="宋体" w:hAnsi="宋体" w:eastAsia="宋体" w:cs="宋体"/>
                <w:color w:val="auto"/>
                <w:kern w:val="0"/>
                <w:szCs w:val="21"/>
                <w:highlight w:val="none"/>
                <w:lang w:bidi="ar"/>
              </w:rPr>
              <w:t>-30</w:t>
            </w: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+45</w:t>
            </w:r>
            <w:r>
              <w:rPr>
                <w:rFonts w:hint="eastAsia" w:ascii="宋体" w:hAnsi="宋体" w:eastAsia="宋体" w:cs="宋体"/>
                <w:color w:val="auto"/>
                <w:kern w:val="0"/>
                <w:szCs w:val="21"/>
                <w:highlight w:val="none"/>
                <w:lang w:bidi="ar"/>
              </w:rPr>
              <w:t>℃；</w:t>
            </w:r>
          </w:p>
          <w:p w14:paraId="1CDF0182">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）贮存温度：</w:t>
            </w:r>
            <w:r>
              <w:rPr>
                <w:rFonts w:ascii="宋体" w:hAnsi="宋体" w:eastAsia="宋体" w:cs="宋体"/>
                <w:color w:val="auto"/>
                <w:kern w:val="0"/>
                <w:szCs w:val="21"/>
                <w:highlight w:val="none"/>
                <w:lang w:bidi="ar"/>
              </w:rPr>
              <w:t>-40</w:t>
            </w: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+55</w:t>
            </w:r>
            <w:r>
              <w:rPr>
                <w:rFonts w:hint="eastAsia" w:ascii="宋体" w:hAnsi="宋体" w:eastAsia="宋体" w:cs="宋体"/>
                <w:color w:val="auto"/>
                <w:kern w:val="0"/>
                <w:szCs w:val="21"/>
                <w:highlight w:val="none"/>
                <w:lang w:bidi="ar"/>
              </w:rPr>
              <w:t>℃；</w:t>
            </w:r>
          </w:p>
          <w:p w14:paraId="06F7C151">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）相对湿度：</w:t>
            </w:r>
            <w:r>
              <w:rPr>
                <w:rFonts w:ascii="宋体" w:hAnsi="宋体" w:eastAsia="宋体" w:cs="宋体"/>
                <w:color w:val="auto"/>
                <w:kern w:val="0"/>
                <w:szCs w:val="21"/>
                <w:highlight w:val="none"/>
                <w:lang w:bidi="ar"/>
              </w:rPr>
              <w:t>100%</w:t>
            </w:r>
            <w:r>
              <w:rPr>
                <w:rFonts w:hint="eastAsia" w:ascii="宋体" w:hAnsi="宋体" w:eastAsia="宋体" w:cs="宋体"/>
                <w:color w:val="auto"/>
                <w:kern w:val="0"/>
                <w:szCs w:val="21"/>
                <w:highlight w:val="none"/>
                <w:lang w:bidi="ar"/>
              </w:rPr>
              <w:t>条件下持续工作时间＞</w:t>
            </w:r>
            <w:r>
              <w:rPr>
                <w:rFonts w:ascii="宋体" w:hAnsi="宋体" w:eastAsia="宋体" w:cs="宋体"/>
                <w:color w:val="auto"/>
                <w:kern w:val="0"/>
                <w:szCs w:val="21"/>
                <w:highlight w:val="none"/>
                <w:lang w:bidi="ar"/>
              </w:rPr>
              <w:t>4h</w:t>
            </w:r>
            <w:r>
              <w:rPr>
                <w:rFonts w:hint="eastAsia" w:ascii="宋体" w:hAnsi="宋体" w:eastAsia="宋体" w:cs="宋体"/>
                <w:color w:val="auto"/>
                <w:kern w:val="0"/>
                <w:szCs w:val="21"/>
                <w:highlight w:val="none"/>
                <w:lang w:bidi="ar"/>
              </w:rPr>
              <w:t>；</w:t>
            </w:r>
          </w:p>
          <w:p w14:paraId="73283652">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）可在小雨（＜</w:t>
            </w:r>
            <w:r>
              <w:rPr>
                <w:rFonts w:ascii="宋体" w:hAnsi="宋体" w:eastAsia="宋体" w:cs="宋体"/>
                <w:color w:val="auto"/>
                <w:kern w:val="0"/>
                <w:szCs w:val="21"/>
                <w:highlight w:val="none"/>
                <w:lang w:bidi="ar"/>
              </w:rPr>
              <w:t>2.0mm/h</w:t>
            </w:r>
            <w:r>
              <w:rPr>
                <w:rFonts w:hint="eastAsia" w:ascii="宋体" w:hAnsi="宋体" w:eastAsia="宋体" w:cs="宋体"/>
                <w:color w:val="auto"/>
                <w:kern w:val="0"/>
                <w:szCs w:val="21"/>
                <w:highlight w:val="none"/>
                <w:lang w:bidi="ar"/>
              </w:rPr>
              <w:t>）条件下工作；</w:t>
            </w:r>
          </w:p>
          <w:p w14:paraId="3D8EE18D">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）具备防腐蚀、霉菌、潮湿、沙尘等措施。</w:t>
            </w:r>
          </w:p>
          <w:p w14:paraId="5FD3DAE1">
            <w:pPr>
              <w:snapToGrid w:val="0"/>
              <w:spacing w:line="276" w:lineRule="auto"/>
              <w:jc w:val="left"/>
              <w:rPr>
                <w:color w:val="auto"/>
                <w:highlight w:val="none"/>
              </w:rPr>
            </w:pPr>
            <w:r>
              <w:rPr>
                <w:rFonts w:ascii="宋体" w:hAnsi="宋体" w:eastAsia="宋体" w:cs="宋体"/>
                <w:b/>
                <w:color w:val="auto"/>
                <w:kern w:val="0"/>
                <w:szCs w:val="21"/>
                <w:highlight w:val="none"/>
                <w:lang w:bidi="ar"/>
              </w:rPr>
              <w:t>3</w:t>
            </w:r>
            <w:r>
              <w:rPr>
                <w:rFonts w:hint="eastAsia" w:ascii="宋体" w:hAnsi="宋体" w:eastAsia="宋体" w:cs="宋体"/>
                <w:b/>
                <w:color w:val="auto"/>
                <w:kern w:val="0"/>
                <w:szCs w:val="21"/>
                <w:highlight w:val="none"/>
                <w:lang w:bidi="ar"/>
              </w:rPr>
              <w:t>.其他要求：</w:t>
            </w:r>
          </w:p>
          <w:p w14:paraId="5F6BD463">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催化播撒：具备冷暖云焰条作业方式，焰条播撒控制器接收上位机指令，对焰条点火，播撒催化剂，实时人工影响天气作业，能够检测焰条状态，包括有/无、正常/故障。作业设备一次装载量连续催化时间应不小于</w:t>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 xml:space="preserve"> h。</w:t>
            </w:r>
          </w:p>
          <w:p w14:paraId="378EC912">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空地通信：依托无人机平台的C、U或L波段的视距链路，实现各类任务载荷的实时数据传输和显控，空地通信、集成控制。具备飞行前离线任务规划和飞行中在线任务规划的能力。具备自主、指令等多种飞行控制能力。能够实时监控无人机各系统的工作状态。能够存储和管理无人机下传的遥测数据、视频和其他信息，并提供快速下载功能。集成视距数据链地面终端，可加密传输。具备数字地图显示功能，地图包含卫星地图、高程信息等。</w:t>
            </w:r>
          </w:p>
          <w:p w14:paraId="73FFC071">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val="en-US" w:eastAsia="zh-CN" w:bidi="ar"/>
              </w:rPr>
              <w:t>3</w:t>
            </w:r>
            <w:r>
              <w:rPr>
                <w:rFonts w:hint="eastAsia" w:ascii="宋体" w:hAnsi="宋体" w:eastAsia="宋体" w:cs="宋体"/>
                <w:color w:val="auto"/>
                <w:kern w:val="0"/>
                <w:szCs w:val="21"/>
                <w:highlight w:val="none"/>
                <w:lang w:bidi="ar"/>
              </w:rPr>
              <w:t>）任务集成：具备向机载云水含量探测仪和云粒子谱探测仪数据通讯、供电的能力。具备机载催化、作业和通讯的集成和显控，地面站应具备与指挥模组无缝对接，并与“天工”实时相互传输人影作业探测相关各类载荷信息数据的功能。</w:t>
            </w:r>
          </w:p>
          <w:p w14:paraId="496A5C62">
            <w:pPr>
              <w:snapToGrid w:val="0"/>
              <w:spacing w:line="276"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val="en-US" w:eastAsia="zh-CN" w:bidi="ar"/>
              </w:rPr>
              <w:t>4</w:t>
            </w:r>
            <w:r>
              <w:rPr>
                <w:rFonts w:hint="eastAsia" w:ascii="宋体" w:hAnsi="宋体" w:eastAsia="宋体" w:cs="宋体"/>
                <w:color w:val="auto"/>
                <w:kern w:val="0"/>
                <w:szCs w:val="21"/>
                <w:highlight w:val="none"/>
                <w:lang w:bidi="ar"/>
              </w:rPr>
              <w:t>）其他</w:t>
            </w:r>
            <w:r>
              <w:rPr>
                <w:rFonts w:ascii="宋体" w:hAnsi="宋体" w:eastAsia="宋体" w:cs="宋体"/>
                <w:color w:val="auto"/>
                <w:kern w:val="0"/>
                <w:szCs w:val="21"/>
                <w:highlight w:val="none"/>
                <w:lang w:bidi="ar"/>
              </w:rPr>
              <w:t>功能要求、</w:t>
            </w:r>
            <w:r>
              <w:rPr>
                <w:rFonts w:hint="eastAsia" w:ascii="宋体" w:hAnsi="宋体" w:eastAsia="宋体" w:cs="宋体"/>
                <w:color w:val="auto"/>
                <w:kern w:val="0"/>
                <w:szCs w:val="21"/>
                <w:highlight w:val="none"/>
                <w:lang w:bidi="ar"/>
              </w:rPr>
              <w:t>机身结构</w:t>
            </w:r>
            <w:r>
              <w:rPr>
                <w:rFonts w:ascii="宋体" w:hAnsi="宋体" w:eastAsia="宋体" w:cs="宋体"/>
                <w:color w:val="auto"/>
                <w:kern w:val="0"/>
                <w:szCs w:val="21"/>
                <w:highlight w:val="none"/>
                <w:lang w:bidi="ar"/>
              </w:rPr>
              <w:t>、起落架系统、飞</w:t>
            </w:r>
            <w:r>
              <w:rPr>
                <w:rFonts w:hint="eastAsia" w:ascii="宋体" w:hAnsi="宋体" w:eastAsia="宋体" w:cs="宋体"/>
                <w:color w:val="auto"/>
                <w:kern w:val="0"/>
                <w:szCs w:val="21"/>
                <w:highlight w:val="none"/>
                <w:lang w:bidi="ar"/>
              </w:rPr>
              <w:t>管</w:t>
            </w:r>
            <w:r>
              <w:rPr>
                <w:rFonts w:ascii="宋体" w:hAnsi="宋体" w:eastAsia="宋体" w:cs="宋体"/>
                <w:color w:val="auto"/>
                <w:kern w:val="0"/>
                <w:szCs w:val="21"/>
                <w:highlight w:val="none"/>
                <w:lang w:bidi="ar"/>
              </w:rPr>
              <w:t>系统、巡航动力系统、垂起动力系统、电气系统、燃油系统、机载链路系统、防除冰系统均</w:t>
            </w:r>
            <w:r>
              <w:rPr>
                <w:rFonts w:hint="eastAsia" w:ascii="宋体" w:hAnsi="宋体" w:eastAsia="宋体" w:cs="宋体"/>
                <w:color w:val="auto"/>
                <w:kern w:val="0"/>
                <w:szCs w:val="21"/>
                <w:highlight w:val="none"/>
                <w:lang w:bidi="ar"/>
              </w:rPr>
              <w:t>应</w:t>
            </w:r>
            <w:r>
              <w:rPr>
                <w:rFonts w:ascii="宋体" w:hAnsi="宋体" w:eastAsia="宋体" w:cs="宋体"/>
                <w:color w:val="auto"/>
                <w:kern w:val="0"/>
                <w:szCs w:val="21"/>
                <w:highlight w:val="none"/>
                <w:lang w:bidi="ar"/>
              </w:rPr>
              <w:t>满足</w:t>
            </w:r>
            <w:r>
              <w:rPr>
                <w:rFonts w:hint="eastAsia" w:ascii="宋体" w:hAnsi="宋体" w:eastAsia="宋体" w:cs="宋体"/>
                <w:color w:val="auto"/>
                <w:kern w:val="0"/>
                <w:szCs w:val="21"/>
                <w:highlight w:val="none"/>
                <w:lang w:bidi="ar"/>
              </w:rPr>
              <w:t>《机动集成作业系统</w:t>
            </w:r>
            <w:r>
              <w:rPr>
                <w:rFonts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bidi="ar"/>
              </w:rPr>
              <w:t>无人机作业单元技术要求》中</w:t>
            </w:r>
            <w:r>
              <w:rPr>
                <w:rFonts w:ascii="宋体" w:hAnsi="宋体" w:eastAsia="宋体" w:cs="宋体"/>
                <w:color w:val="auto"/>
                <w:kern w:val="0"/>
                <w:szCs w:val="21"/>
                <w:highlight w:val="none"/>
                <w:lang w:bidi="ar"/>
              </w:rPr>
              <w:t>提及的</w:t>
            </w:r>
            <w:r>
              <w:rPr>
                <w:rFonts w:hint="eastAsia" w:ascii="宋体" w:hAnsi="宋体" w:eastAsia="宋体" w:cs="宋体"/>
                <w:color w:val="auto"/>
                <w:kern w:val="0"/>
                <w:szCs w:val="21"/>
                <w:highlight w:val="none"/>
                <w:lang w:bidi="ar"/>
              </w:rPr>
              <w:t>标准</w:t>
            </w:r>
            <w:r>
              <w:rPr>
                <w:rFonts w:ascii="宋体" w:hAnsi="宋体" w:eastAsia="宋体" w:cs="宋体"/>
                <w:color w:val="auto"/>
                <w:kern w:val="0"/>
                <w:szCs w:val="21"/>
                <w:highlight w:val="none"/>
                <w:lang w:bidi="ar"/>
              </w:rPr>
              <w:t>。</w:t>
            </w:r>
          </w:p>
          <w:p w14:paraId="1A33B611">
            <w:pPr>
              <w:snapToGrid w:val="0"/>
              <w:spacing w:line="276" w:lineRule="auto"/>
              <w:jc w:val="left"/>
              <w:rPr>
                <w:rFonts w:ascii="宋体" w:hAnsi="宋体" w:eastAsia="宋体" w:cs="宋体"/>
                <w:b/>
                <w:bCs/>
                <w:color w:val="auto"/>
                <w:szCs w:val="21"/>
                <w:highlight w:val="none"/>
              </w:rPr>
            </w:pPr>
            <w:r>
              <w:rPr>
                <w:rFonts w:hint="eastAsia" w:ascii="宋体" w:hAnsi="宋体" w:eastAsia="宋体" w:cs="宋体"/>
                <w:color w:val="auto"/>
                <w:kern w:val="0"/>
                <w:szCs w:val="21"/>
                <w:highlight w:val="none"/>
                <w:lang w:bidi="ar"/>
              </w:rPr>
              <w:t>▲</w:t>
            </w:r>
            <w:r>
              <w:rPr>
                <w:rFonts w:hint="eastAsia" w:ascii="宋体" w:hAnsi="宋体" w:cs="宋体"/>
                <w:color w:val="auto"/>
                <w:kern w:val="0"/>
                <w:szCs w:val="21"/>
                <w:highlight w:val="none"/>
                <w:lang w:val="en-US" w:eastAsia="zh-CN" w:bidi="ar"/>
              </w:rPr>
              <w:t>4</w:t>
            </w:r>
            <w:r>
              <w:rPr>
                <w:rFonts w:hint="eastAsia" w:ascii="宋体" w:hAnsi="宋体" w:eastAsia="宋体" w:cs="宋体"/>
                <w:color w:val="auto"/>
                <w:kern w:val="0"/>
                <w:szCs w:val="21"/>
                <w:highlight w:val="none"/>
                <w:lang w:bidi="ar"/>
              </w:rPr>
              <w:t>. 质保期≥</w:t>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lang w:val="en-US" w:eastAsia="zh-CN" w:bidi="ar"/>
              </w:rPr>
              <w:t>质保期结束后开始计算维保期，</w:t>
            </w:r>
            <w:r>
              <w:rPr>
                <w:rFonts w:hint="eastAsia" w:ascii="宋体" w:hAnsi="宋体" w:eastAsia="宋体" w:cs="宋体"/>
                <w:color w:val="auto"/>
                <w:kern w:val="0"/>
                <w:szCs w:val="21"/>
                <w:highlight w:val="none"/>
                <w:lang w:bidi="ar"/>
              </w:rPr>
              <w:t>维保期</w:t>
            </w:r>
            <w:r>
              <w:rPr>
                <w:rFonts w:hint="eastAsia" w:ascii="宋体" w:hAnsi="宋体" w:eastAsia="宋体" w:cs="宋体"/>
                <w:color w:val="auto"/>
                <w:kern w:val="0"/>
                <w:szCs w:val="21"/>
                <w:highlight w:val="none"/>
                <w:lang w:val="en-US" w:eastAsia="zh-CN" w:bidi="ar"/>
              </w:rPr>
              <w:t>不低于</w:t>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年；维保期内提供</w:t>
            </w:r>
            <w:r>
              <w:rPr>
                <w:rFonts w:ascii="宋体" w:hAnsi="宋体" w:eastAsia="宋体" w:cs="宋体"/>
                <w:color w:val="auto"/>
                <w:kern w:val="0"/>
                <w:szCs w:val="21"/>
                <w:highlight w:val="none"/>
                <w:lang w:bidi="ar"/>
              </w:rPr>
              <w:t>易损</w:t>
            </w:r>
            <w:r>
              <w:rPr>
                <w:rFonts w:hint="eastAsia" w:ascii="宋体" w:hAnsi="宋体" w:eastAsia="宋体" w:cs="宋体"/>
                <w:color w:val="auto"/>
                <w:kern w:val="0"/>
                <w:szCs w:val="21"/>
                <w:highlight w:val="none"/>
                <w:lang w:bidi="ar"/>
              </w:rPr>
              <w:t>件</w:t>
            </w:r>
            <w:r>
              <w:rPr>
                <w:rFonts w:ascii="宋体" w:hAnsi="宋体" w:eastAsia="宋体" w:cs="宋体"/>
                <w:color w:val="auto"/>
                <w:kern w:val="0"/>
                <w:szCs w:val="21"/>
                <w:highlight w:val="none"/>
                <w:lang w:bidi="ar"/>
              </w:rPr>
              <w:t>更换服务和运维耗材</w:t>
            </w:r>
            <w:r>
              <w:rPr>
                <w:rFonts w:hint="eastAsia" w:ascii="宋体" w:hAnsi="宋体" w:eastAsia="宋体" w:cs="宋体"/>
                <w:color w:val="auto"/>
                <w:kern w:val="0"/>
                <w:szCs w:val="21"/>
                <w:highlight w:val="none"/>
                <w:lang w:bidi="ar"/>
              </w:rPr>
              <w:t>；飞行运行服务期：≥</w:t>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年，提供每年不低于</w:t>
            </w:r>
            <w:r>
              <w:rPr>
                <w:rFonts w:ascii="宋体" w:hAnsi="宋体" w:eastAsia="宋体" w:cs="宋体"/>
                <w:color w:val="auto"/>
                <w:kern w:val="0"/>
                <w:szCs w:val="21"/>
                <w:highlight w:val="none"/>
                <w:lang w:bidi="ar"/>
              </w:rPr>
              <w:t>60</w:t>
            </w:r>
            <w:r>
              <w:rPr>
                <w:rFonts w:hint="eastAsia" w:ascii="宋体" w:hAnsi="宋体" w:eastAsia="宋体" w:cs="宋体"/>
                <w:color w:val="auto"/>
                <w:kern w:val="0"/>
                <w:szCs w:val="21"/>
                <w:highlight w:val="none"/>
                <w:lang w:bidi="ar"/>
              </w:rPr>
              <w:t>个飞行小时或常驻</w:t>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个月（以先到为准）飞行运行服务。</w:t>
            </w:r>
          </w:p>
        </w:tc>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14:paraId="5BC2E187">
            <w:pPr>
              <w:snapToGrid w:val="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14:paraId="1357F311">
            <w:pPr>
              <w:snapToGrid w:val="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台</w:t>
            </w:r>
          </w:p>
        </w:tc>
      </w:tr>
      <w:tr w14:paraId="2BFBB4D5">
        <w:tblPrEx>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14:paraId="27356B6C">
            <w:pPr>
              <w:widowControl/>
              <w:snapToGrid w:val="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w:t>
            </w:r>
            <w:r>
              <w:rPr>
                <w:rFonts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bidi="ar"/>
              </w:rPr>
              <w:t>3</w:t>
            </w:r>
          </w:p>
        </w:tc>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14:paraId="748819B9">
            <w:pPr>
              <w:widowControl/>
              <w:snapToGrid w:val="0"/>
              <w:jc w:val="left"/>
              <w:textAlignment w:val="center"/>
              <w:rPr>
                <w:rFonts w:ascii="宋体" w:hAnsi="宋体" w:eastAsia="宋体" w:cs="宋体"/>
                <w:b/>
                <w:color w:val="auto"/>
                <w:kern w:val="0"/>
                <w:szCs w:val="21"/>
                <w:highlight w:val="none"/>
                <w:lang w:bidi="ar"/>
              </w:rPr>
            </w:pPr>
            <w:r>
              <w:rPr>
                <w:rFonts w:hint="eastAsia" w:ascii="宋体" w:hAnsi="宋体" w:eastAsia="宋体" w:cs="宋体"/>
                <w:bCs/>
                <w:color w:val="auto"/>
                <w:kern w:val="0"/>
                <w:szCs w:val="21"/>
                <w:highlight w:val="none"/>
                <w:lang w:bidi="ar"/>
              </w:rPr>
              <w:t>无人机</w:t>
            </w:r>
            <w:r>
              <w:rPr>
                <w:rFonts w:ascii="宋体" w:hAnsi="宋体" w:eastAsia="宋体" w:cs="宋体"/>
                <w:bCs/>
                <w:color w:val="auto"/>
                <w:kern w:val="0"/>
                <w:szCs w:val="21"/>
                <w:highlight w:val="none"/>
                <w:lang w:bidi="ar"/>
              </w:rPr>
              <w:t>探测设备</w:t>
            </w:r>
          </w:p>
        </w:tc>
        <w:tc>
          <w:tcPr>
            <w:tcW w:w="5435" w:type="dxa"/>
            <w:tcBorders>
              <w:top w:val="single" w:color="auto" w:sz="4" w:space="0"/>
              <w:left w:val="single" w:color="auto" w:sz="4" w:space="0"/>
              <w:bottom w:val="single" w:color="auto" w:sz="4" w:space="0"/>
              <w:right w:val="single" w:color="auto" w:sz="4" w:space="0"/>
            </w:tcBorders>
            <w:shd w:val="clear" w:color="auto" w:fill="auto"/>
            <w:vAlign w:val="center"/>
          </w:tcPr>
          <w:p w14:paraId="18E7FFE0">
            <w:pPr>
              <w:autoSpaceDE w:val="0"/>
              <w:autoSpaceDN w:val="0"/>
              <w:adjustRightInd w:val="0"/>
              <w:jc w:val="left"/>
              <w:rPr>
                <w:rFonts w:ascii="宋体" w:hAnsi="宋体" w:eastAsia="宋体" w:cs="宋体"/>
                <w:b/>
                <w:color w:val="auto"/>
                <w:kern w:val="0"/>
                <w:szCs w:val="21"/>
                <w:highlight w:val="none"/>
                <w:lang w:bidi="ar"/>
              </w:rPr>
            </w:pPr>
            <w:r>
              <w:rPr>
                <w:rFonts w:hint="eastAsia" w:ascii="宋体" w:hAnsi="宋体" w:eastAsia="宋体" w:cs="宋体"/>
                <w:b/>
                <w:color w:val="auto"/>
                <w:kern w:val="0"/>
                <w:szCs w:val="21"/>
                <w:highlight w:val="none"/>
                <w:lang w:bidi="ar"/>
              </w:rPr>
              <w:t>设备性能</w:t>
            </w:r>
            <w:r>
              <w:rPr>
                <w:rFonts w:ascii="宋体" w:hAnsi="宋体" w:eastAsia="宋体" w:cs="宋体"/>
                <w:b/>
                <w:color w:val="auto"/>
                <w:kern w:val="0"/>
                <w:szCs w:val="21"/>
                <w:highlight w:val="none"/>
                <w:lang w:bidi="ar"/>
              </w:rPr>
              <w:t>要求</w:t>
            </w:r>
          </w:p>
          <w:p w14:paraId="733190BC">
            <w:pPr>
              <w:autoSpaceDE w:val="0"/>
              <w:autoSpaceDN w:val="0"/>
              <w:adjustRightInd w:val="0"/>
              <w:jc w:val="left"/>
              <w:rPr>
                <w:rFonts w:ascii="宋体" w:hAnsi="宋体" w:eastAsia="宋体" w:cs="宋体"/>
                <w:b/>
                <w:color w:val="auto"/>
                <w:kern w:val="0"/>
                <w:szCs w:val="21"/>
                <w:highlight w:val="none"/>
                <w:lang w:bidi="ar"/>
              </w:rPr>
            </w:pPr>
            <w:r>
              <w:rPr>
                <w:rFonts w:hint="eastAsia" w:ascii="宋体" w:hAnsi="宋体" w:eastAsia="宋体" w:cs="宋体"/>
                <w:b/>
                <w:color w:val="auto"/>
                <w:kern w:val="0"/>
                <w:szCs w:val="21"/>
                <w:highlight w:val="none"/>
                <w:lang w:bidi="ar"/>
              </w:rPr>
              <w:t>1.云粒子谱探测仪</w:t>
            </w:r>
          </w:p>
          <w:p w14:paraId="7903E831">
            <w:pPr>
              <w:autoSpaceDE w:val="0"/>
              <w:autoSpaceDN w:val="0"/>
              <w:adjustRightInd w:val="0"/>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bidi="ar"/>
              </w:rPr>
              <w:t>）测量粒子范围：</w:t>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μ</w:t>
            </w:r>
            <w:r>
              <w:rPr>
                <w:rFonts w:ascii="宋体" w:hAnsi="宋体" w:eastAsia="宋体" w:cs="宋体"/>
                <w:color w:val="auto"/>
                <w:kern w:val="0"/>
                <w:szCs w:val="21"/>
                <w:highlight w:val="none"/>
                <w:lang w:bidi="ar"/>
              </w:rPr>
              <w:t>m</w:t>
            </w: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50</w:t>
            </w:r>
            <w:r>
              <w:rPr>
                <w:rFonts w:hint="eastAsia" w:ascii="宋体" w:hAnsi="宋体" w:eastAsia="宋体" w:cs="宋体"/>
                <w:color w:val="auto"/>
                <w:kern w:val="0"/>
                <w:szCs w:val="21"/>
                <w:highlight w:val="none"/>
                <w:lang w:bidi="ar"/>
              </w:rPr>
              <w:t>μ</w:t>
            </w:r>
            <w:r>
              <w:rPr>
                <w:rFonts w:ascii="宋体" w:hAnsi="宋体" w:eastAsia="宋体" w:cs="宋体"/>
                <w:color w:val="auto"/>
                <w:kern w:val="0"/>
                <w:szCs w:val="21"/>
                <w:highlight w:val="none"/>
                <w:lang w:bidi="ar"/>
              </w:rPr>
              <w:t>m</w:t>
            </w:r>
            <w:r>
              <w:rPr>
                <w:rFonts w:hint="eastAsia" w:ascii="宋体" w:hAnsi="宋体" w:eastAsia="宋体" w:cs="宋体"/>
                <w:color w:val="auto"/>
                <w:kern w:val="0"/>
                <w:szCs w:val="21"/>
                <w:highlight w:val="none"/>
                <w:lang w:bidi="ar"/>
              </w:rPr>
              <w:t>；</w:t>
            </w:r>
          </w:p>
          <w:p w14:paraId="5376C272">
            <w:pPr>
              <w:autoSpaceDE w:val="0"/>
              <w:autoSpaceDN w:val="0"/>
              <w:adjustRightInd w:val="0"/>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）粒径分布：</w:t>
            </w:r>
            <w:r>
              <w:rPr>
                <w:rFonts w:ascii="宋体" w:hAnsi="宋体" w:eastAsia="宋体" w:cs="宋体"/>
                <w:color w:val="auto"/>
                <w:kern w:val="0"/>
                <w:szCs w:val="21"/>
                <w:highlight w:val="none"/>
                <w:lang w:bidi="ar"/>
              </w:rPr>
              <w:t>32</w:t>
            </w:r>
            <w:r>
              <w:rPr>
                <w:rFonts w:hint="eastAsia" w:ascii="宋体" w:hAnsi="宋体" w:eastAsia="宋体" w:cs="宋体"/>
                <w:color w:val="auto"/>
                <w:kern w:val="0"/>
                <w:szCs w:val="21"/>
                <w:highlight w:val="none"/>
                <w:lang w:bidi="ar"/>
              </w:rPr>
              <w:t>等级粒子直径大小和数量分布；</w:t>
            </w:r>
          </w:p>
          <w:p w14:paraId="1E55C100">
            <w:pPr>
              <w:autoSpaceDE w:val="0"/>
              <w:autoSpaceDN w:val="0"/>
              <w:adjustRightInd w:val="0"/>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）采样速率：</w:t>
            </w:r>
            <w:r>
              <w:rPr>
                <w:rFonts w:ascii="宋体" w:hAnsi="宋体" w:eastAsia="宋体" w:cs="宋体"/>
                <w:color w:val="auto"/>
                <w:kern w:val="0"/>
                <w:szCs w:val="21"/>
                <w:highlight w:val="none"/>
                <w:lang w:bidi="ar"/>
              </w:rPr>
              <w:t>1Hz</w:t>
            </w: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10Hz</w:t>
            </w:r>
            <w:r>
              <w:rPr>
                <w:rFonts w:hint="eastAsia" w:ascii="宋体" w:hAnsi="宋体" w:eastAsia="宋体" w:cs="宋体"/>
                <w:color w:val="auto"/>
                <w:kern w:val="0"/>
                <w:szCs w:val="21"/>
                <w:highlight w:val="none"/>
                <w:lang w:bidi="ar"/>
              </w:rPr>
              <w:t>；</w:t>
            </w:r>
          </w:p>
          <w:p w14:paraId="7ADBF427">
            <w:pPr>
              <w:autoSpaceDE w:val="0"/>
              <w:autoSpaceDN w:val="0"/>
              <w:adjustRightInd w:val="0"/>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）工作环境温度：</w:t>
            </w:r>
            <w:r>
              <w:rPr>
                <w:rFonts w:ascii="宋体" w:hAnsi="宋体" w:eastAsia="宋体" w:cs="宋体"/>
                <w:color w:val="auto"/>
                <w:kern w:val="0"/>
                <w:szCs w:val="21"/>
                <w:highlight w:val="none"/>
                <w:lang w:bidi="ar"/>
              </w:rPr>
              <w:t>-30</w:t>
            </w: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+40</w:t>
            </w:r>
            <w:r>
              <w:rPr>
                <w:rFonts w:hint="eastAsia" w:ascii="宋体" w:hAnsi="宋体" w:eastAsia="宋体" w:cs="宋体"/>
                <w:color w:val="auto"/>
                <w:kern w:val="0"/>
                <w:szCs w:val="21"/>
                <w:highlight w:val="none"/>
                <w:lang w:bidi="ar"/>
              </w:rPr>
              <w:t>℃。</w:t>
            </w:r>
          </w:p>
          <w:p w14:paraId="30D743CA">
            <w:pPr>
              <w:autoSpaceDE w:val="0"/>
              <w:autoSpaceDN w:val="0"/>
              <w:adjustRightInd w:val="0"/>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）探</w:t>
            </w:r>
            <w:r>
              <w:rPr>
                <w:rFonts w:ascii="宋体" w:hAnsi="宋体" w:eastAsia="宋体" w:cs="宋体"/>
                <w:color w:val="auto"/>
                <w:kern w:val="0"/>
                <w:szCs w:val="21"/>
                <w:highlight w:val="none"/>
                <w:lang w:bidi="ar"/>
              </w:rPr>
              <w:t>测项目</w:t>
            </w:r>
            <w:r>
              <w:rPr>
                <w:rFonts w:hint="eastAsia" w:ascii="宋体" w:hAnsi="宋体" w:eastAsia="宋体" w:cs="宋体"/>
                <w:color w:val="auto"/>
                <w:kern w:val="0"/>
                <w:szCs w:val="21"/>
                <w:highlight w:val="none"/>
                <w:lang w:bidi="ar"/>
              </w:rPr>
              <w:t>包括云滴粒子的平均直径、平均体直径、数浓度、体浓度以及含水量等云滴</w:t>
            </w:r>
            <w:r>
              <w:rPr>
                <w:rFonts w:ascii="宋体" w:hAnsi="宋体" w:eastAsia="宋体" w:cs="宋体"/>
                <w:color w:val="auto"/>
                <w:kern w:val="0"/>
                <w:szCs w:val="21"/>
                <w:highlight w:val="none"/>
                <w:lang w:bidi="ar"/>
              </w:rPr>
              <w:t>大小和</w:t>
            </w:r>
            <w:r>
              <w:rPr>
                <w:rFonts w:hint="eastAsia" w:ascii="宋体" w:hAnsi="宋体" w:eastAsia="宋体" w:cs="宋体"/>
                <w:color w:val="auto"/>
                <w:kern w:val="0"/>
                <w:szCs w:val="21"/>
                <w:highlight w:val="none"/>
                <w:lang w:bidi="ar"/>
              </w:rPr>
              <w:t>滴谱分布数据；</w:t>
            </w:r>
          </w:p>
          <w:p w14:paraId="4E5B10EC">
            <w:pPr>
              <w:autoSpaceDE w:val="0"/>
              <w:autoSpaceDN w:val="0"/>
              <w:adjustRightInd w:val="0"/>
              <w:jc w:val="left"/>
              <w:rPr>
                <w:rFonts w:ascii="宋体" w:hAnsi="宋体" w:eastAsia="宋体" w:cs="宋体"/>
                <w:b/>
                <w:color w:val="auto"/>
                <w:kern w:val="0"/>
                <w:szCs w:val="21"/>
                <w:highlight w:val="none"/>
                <w:lang w:bidi="ar"/>
              </w:rPr>
            </w:pPr>
            <w:r>
              <w:rPr>
                <w:rFonts w:ascii="宋体" w:hAnsi="宋体" w:eastAsia="宋体" w:cs="宋体"/>
                <w:b/>
                <w:color w:val="auto"/>
                <w:kern w:val="0"/>
                <w:szCs w:val="21"/>
                <w:highlight w:val="none"/>
                <w:lang w:bidi="ar"/>
              </w:rPr>
              <w:t>2.</w:t>
            </w:r>
            <w:r>
              <w:rPr>
                <w:rFonts w:hint="eastAsia" w:ascii="宋体" w:hAnsi="宋体" w:eastAsia="宋体" w:cs="宋体"/>
                <w:b/>
                <w:color w:val="auto"/>
                <w:kern w:val="0"/>
                <w:szCs w:val="21"/>
                <w:highlight w:val="none"/>
                <w:lang w:bidi="ar"/>
              </w:rPr>
              <w:t>云水含量探测仪</w:t>
            </w:r>
          </w:p>
          <w:p w14:paraId="352817F6">
            <w:pPr>
              <w:autoSpaceDE w:val="0"/>
              <w:autoSpaceDN w:val="0"/>
              <w:adjustRightInd w:val="0"/>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bidi="ar"/>
              </w:rPr>
              <w:t>）空速范围：</w:t>
            </w:r>
            <w:r>
              <w:rPr>
                <w:rFonts w:ascii="宋体" w:hAnsi="宋体" w:eastAsia="宋体" w:cs="宋体"/>
                <w:color w:val="auto"/>
                <w:kern w:val="0"/>
                <w:szCs w:val="21"/>
                <w:highlight w:val="none"/>
                <w:lang w:bidi="ar"/>
              </w:rPr>
              <w:t>10</w:t>
            </w:r>
            <w:r>
              <w:rPr>
                <w:rFonts w:hint="eastAsia" w:ascii="宋体" w:hAnsi="宋体" w:cs="宋体"/>
                <w:color w:val="auto"/>
                <w:kern w:val="0"/>
                <w:szCs w:val="21"/>
                <w:highlight w:val="none"/>
                <w:lang w:val="en-US" w:eastAsia="zh-CN" w:bidi="ar"/>
              </w:rPr>
              <w:t xml:space="preserve"> </w:t>
            </w:r>
            <w:r>
              <w:rPr>
                <w:rFonts w:ascii="宋体" w:hAnsi="宋体" w:eastAsia="宋体" w:cs="宋体"/>
                <w:color w:val="auto"/>
                <w:kern w:val="0"/>
                <w:szCs w:val="21"/>
                <w:highlight w:val="none"/>
                <w:lang w:bidi="ar"/>
              </w:rPr>
              <w:t>m/s</w:t>
            </w: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180 m/s</w:t>
            </w:r>
            <w:r>
              <w:rPr>
                <w:rFonts w:hint="eastAsia" w:ascii="宋体" w:hAnsi="宋体" w:eastAsia="宋体" w:cs="宋体"/>
                <w:color w:val="auto"/>
                <w:kern w:val="0"/>
                <w:szCs w:val="21"/>
                <w:highlight w:val="none"/>
                <w:lang w:bidi="ar"/>
              </w:rPr>
              <w:t>；</w:t>
            </w:r>
          </w:p>
          <w:p w14:paraId="7676E6BA">
            <w:pPr>
              <w:autoSpaceDE w:val="0"/>
              <w:autoSpaceDN w:val="0"/>
              <w:adjustRightInd w:val="0"/>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）静压分辨率：</w:t>
            </w:r>
            <w:r>
              <w:rPr>
                <w:rFonts w:hint="eastAsia" w:ascii="宋体" w:hAnsi="宋体" w:eastAsia="宋体" w:cs="宋体"/>
                <w:color w:val="auto"/>
                <w:kern w:val="0"/>
                <w:szCs w:val="21"/>
                <w:highlight w:val="none"/>
                <w:lang w:val="en-US" w:eastAsia="zh-CN" w:bidi="ar"/>
              </w:rPr>
              <w:t>≤</w:t>
            </w:r>
            <w:r>
              <w:rPr>
                <w:rFonts w:ascii="宋体" w:hAnsi="宋体" w:eastAsia="宋体" w:cs="宋体"/>
                <w:color w:val="auto"/>
                <w:kern w:val="0"/>
                <w:szCs w:val="21"/>
                <w:highlight w:val="none"/>
                <w:lang w:bidi="ar"/>
              </w:rPr>
              <w:t>0.01 Pa</w:t>
            </w:r>
            <w:r>
              <w:rPr>
                <w:rFonts w:hint="eastAsia" w:ascii="宋体" w:hAnsi="宋体" w:eastAsia="宋体" w:cs="宋体"/>
                <w:color w:val="auto"/>
                <w:kern w:val="0"/>
                <w:szCs w:val="21"/>
                <w:highlight w:val="none"/>
                <w:lang w:bidi="ar"/>
              </w:rPr>
              <w:t>；</w:t>
            </w:r>
          </w:p>
          <w:p w14:paraId="60BED738">
            <w:pPr>
              <w:autoSpaceDE w:val="0"/>
              <w:autoSpaceDN w:val="0"/>
              <w:adjustRightInd w:val="0"/>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）温度精度：</w:t>
            </w:r>
            <w:r>
              <w:rPr>
                <w:rFonts w:hint="eastAsia" w:ascii="宋体" w:hAnsi="宋体" w:eastAsia="宋体" w:cs="宋体"/>
                <w:color w:val="auto"/>
                <w:kern w:val="0"/>
                <w:szCs w:val="21"/>
                <w:highlight w:val="none"/>
                <w:lang w:val="en-US" w:eastAsia="zh-CN" w:bidi="ar"/>
              </w:rPr>
              <w:t>≤</w:t>
            </w:r>
            <w:r>
              <w:rPr>
                <w:rFonts w:ascii="宋体" w:hAnsi="宋体" w:eastAsia="宋体" w:cs="宋体"/>
                <w:color w:val="auto"/>
                <w:kern w:val="0"/>
                <w:szCs w:val="21"/>
                <w:highlight w:val="none"/>
                <w:lang w:bidi="ar"/>
              </w:rPr>
              <w:t>0.1</w:t>
            </w:r>
            <w:r>
              <w:rPr>
                <w:rFonts w:hint="eastAsia" w:ascii="宋体" w:hAnsi="宋体" w:eastAsia="宋体" w:cs="宋体"/>
                <w:color w:val="auto"/>
                <w:kern w:val="0"/>
                <w:szCs w:val="21"/>
                <w:highlight w:val="none"/>
                <w:lang w:bidi="ar"/>
              </w:rPr>
              <w:t>℃；</w:t>
            </w:r>
          </w:p>
          <w:p w14:paraId="46CDBE8F">
            <w:pPr>
              <w:autoSpaceDE w:val="0"/>
              <w:autoSpaceDN w:val="0"/>
              <w:adjustRightInd w:val="0"/>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）温度范围：</w:t>
            </w:r>
            <w:r>
              <w:rPr>
                <w:rFonts w:ascii="宋体" w:hAnsi="宋体" w:eastAsia="宋体" w:cs="宋体"/>
                <w:color w:val="auto"/>
                <w:kern w:val="0"/>
                <w:szCs w:val="21"/>
                <w:highlight w:val="none"/>
                <w:lang w:bidi="ar"/>
              </w:rPr>
              <w:t>-50</w:t>
            </w: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+50</w:t>
            </w:r>
            <w:r>
              <w:rPr>
                <w:rFonts w:hint="eastAsia" w:ascii="宋体" w:hAnsi="宋体" w:eastAsia="宋体" w:cs="宋体"/>
                <w:color w:val="auto"/>
                <w:kern w:val="0"/>
                <w:szCs w:val="21"/>
                <w:highlight w:val="none"/>
                <w:lang w:bidi="ar"/>
              </w:rPr>
              <w:t>℃；</w:t>
            </w:r>
          </w:p>
          <w:p w14:paraId="35767F89">
            <w:pPr>
              <w:autoSpaceDE w:val="0"/>
              <w:autoSpaceDN w:val="0"/>
              <w:adjustRightInd w:val="0"/>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）湿度范围：</w:t>
            </w:r>
            <w:r>
              <w:rPr>
                <w:rFonts w:ascii="宋体" w:hAnsi="宋体" w:eastAsia="宋体" w:cs="宋体"/>
                <w:color w:val="auto"/>
                <w:kern w:val="0"/>
                <w:szCs w:val="21"/>
                <w:highlight w:val="none"/>
                <w:lang w:bidi="ar"/>
              </w:rPr>
              <w:t>0%</w:t>
            </w: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100%</w:t>
            </w:r>
            <w:r>
              <w:rPr>
                <w:rFonts w:hint="eastAsia" w:ascii="宋体" w:hAnsi="宋体" w:eastAsia="宋体" w:cs="宋体"/>
                <w:color w:val="auto"/>
                <w:kern w:val="0"/>
                <w:szCs w:val="21"/>
                <w:highlight w:val="none"/>
                <w:lang w:bidi="ar"/>
              </w:rPr>
              <w:t>；</w:t>
            </w:r>
          </w:p>
          <w:p w14:paraId="38FF613E">
            <w:pPr>
              <w:autoSpaceDE w:val="0"/>
              <w:autoSpaceDN w:val="0"/>
              <w:adjustRightInd w:val="0"/>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）湿度精度：</w:t>
            </w:r>
            <w:r>
              <w:rPr>
                <w:rFonts w:hint="eastAsia" w:ascii="宋体" w:hAnsi="宋体" w:eastAsia="宋体" w:cs="宋体"/>
                <w:color w:val="auto"/>
                <w:kern w:val="0"/>
                <w:szCs w:val="21"/>
                <w:highlight w:val="none"/>
                <w:lang w:val="en-US" w:eastAsia="zh-CN" w:bidi="ar"/>
              </w:rPr>
              <w:t>≤</w:t>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w:t>
            </w:r>
          </w:p>
          <w:p w14:paraId="1908F003">
            <w:pPr>
              <w:autoSpaceDE w:val="0"/>
              <w:autoSpaceDN w:val="0"/>
              <w:adjustRightInd w:val="0"/>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7</w:t>
            </w:r>
            <w:r>
              <w:rPr>
                <w:rFonts w:hint="eastAsia" w:ascii="宋体" w:hAnsi="宋体" w:eastAsia="宋体" w:cs="宋体"/>
                <w:color w:val="auto"/>
                <w:kern w:val="0"/>
                <w:szCs w:val="21"/>
                <w:highlight w:val="none"/>
                <w:lang w:bidi="ar"/>
              </w:rPr>
              <w:t>）液水分辨率：</w:t>
            </w:r>
            <w:r>
              <w:rPr>
                <w:rFonts w:hint="eastAsia" w:ascii="宋体" w:hAnsi="宋体" w:eastAsia="宋体" w:cs="宋体"/>
                <w:color w:val="auto"/>
                <w:kern w:val="0"/>
                <w:szCs w:val="21"/>
                <w:highlight w:val="none"/>
                <w:lang w:val="en-US" w:eastAsia="zh-CN" w:bidi="ar"/>
              </w:rPr>
              <w:t>≤</w:t>
            </w:r>
            <w:r>
              <w:rPr>
                <w:rFonts w:ascii="宋体" w:hAnsi="宋体" w:eastAsia="宋体" w:cs="宋体"/>
                <w:color w:val="auto"/>
                <w:kern w:val="0"/>
                <w:szCs w:val="21"/>
                <w:highlight w:val="none"/>
                <w:lang w:bidi="ar"/>
              </w:rPr>
              <w:t>0.003 g/m³</w:t>
            </w:r>
            <w:r>
              <w:rPr>
                <w:rFonts w:hint="eastAsia" w:ascii="宋体" w:hAnsi="宋体" w:eastAsia="宋体" w:cs="宋体"/>
                <w:color w:val="auto"/>
                <w:kern w:val="0"/>
                <w:szCs w:val="21"/>
                <w:highlight w:val="none"/>
                <w:lang w:bidi="ar"/>
              </w:rPr>
              <w:t>；</w:t>
            </w:r>
          </w:p>
          <w:p w14:paraId="663BDF5E">
            <w:pPr>
              <w:autoSpaceDE w:val="0"/>
              <w:autoSpaceDN w:val="0"/>
              <w:adjustRightInd w:val="0"/>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8</w:t>
            </w:r>
            <w:r>
              <w:rPr>
                <w:rFonts w:hint="eastAsia" w:ascii="宋体" w:hAnsi="宋体" w:eastAsia="宋体" w:cs="宋体"/>
                <w:color w:val="auto"/>
                <w:kern w:val="0"/>
                <w:szCs w:val="21"/>
                <w:highlight w:val="none"/>
                <w:lang w:bidi="ar"/>
              </w:rPr>
              <w:t>）液水测量范围：</w:t>
            </w:r>
            <w:r>
              <w:rPr>
                <w:rFonts w:ascii="宋体" w:hAnsi="宋体" w:eastAsia="宋体" w:cs="宋体"/>
                <w:color w:val="auto"/>
                <w:kern w:val="0"/>
                <w:szCs w:val="21"/>
                <w:highlight w:val="none"/>
                <w:lang w:bidi="ar"/>
              </w:rPr>
              <w:t>0.003</w:t>
            </w: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3 g/m³</w:t>
            </w:r>
            <w:r>
              <w:rPr>
                <w:rFonts w:hint="eastAsia" w:ascii="宋体" w:hAnsi="宋体" w:eastAsia="宋体" w:cs="宋体"/>
                <w:color w:val="auto"/>
                <w:kern w:val="0"/>
                <w:szCs w:val="21"/>
                <w:highlight w:val="none"/>
                <w:lang w:bidi="ar"/>
              </w:rPr>
              <w:t>；</w:t>
            </w:r>
          </w:p>
          <w:p w14:paraId="1CD8919C">
            <w:pPr>
              <w:widowControl/>
              <w:snapToGrid w:val="0"/>
              <w:spacing w:line="276" w:lineRule="auto"/>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9</w:t>
            </w:r>
            <w:r>
              <w:rPr>
                <w:rFonts w:hint="eastAsia" w:ascii="宋体" w:hAnsi="宋体" w:eastAsia="宋体" w:cs="宋体"/>
                <w:color w:val="auto"/>
                <w:kern w:val="0"/>
                <w:szCs w:val="21"/>
                <w:highlight w:val="none"/>
                <w:lang w:bidi="ar"/>
              </w:rPr>
              <w:t>）液水测量精度：±</w:t>
            </w:r>
            <w:r>
              <w:rPr>
                <w:rFonts w:ascii="宋体" w:hAnsi="宋体" w:eastAsia="宋体" w:cs="宋体"/>
                <w:color w:val="auto"/>
                <w:kern w:val="0"/>
                <w:szCs w:val="21"/>
                <w:highlight w:val="none"/>
                <w:lang w:bidi="ar"/>
              </w:rPr>
              <w:t>10%</w:t>
            </w:r>
            <w:r>
              <w:rPr>
                <w:rFonts w:hint="eastAsia" w:ascii="宋体" w:hAnsi="宋体" w:eastAsia="宋体" w:cs="宋体"/>
                <w:color w:val="auto"/>
                <w:kern w:val="0"/>
                <w:szCs w:val="21"/>
                <w:highlight w:val="none"/>
                <w:lang w:bidi="ar"/>
              </w:rPr>
              <w:t>。</w:t>
            </w:r>
          </w:p>
          <w:p w14:paraId="76D87D47">
            <w:pPr>
              <w:widowControl/>
              <w:snapToGrid w:val="0"/>
              <w:spacing w:line="276" w:lineRule="auto"/>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10</w:t>
            </w:r>
            <w:r>
              <w:rPr>
                <w:rFonts w:hint="eastAsia" w:ascii="宋体" w:hAnsi="宋体" w:eastAsia="宋体" w:cs="宋体"/>
                <w:color w:val="auto"/>
                <w:kern w:val="0"/>
                <w:szCs w:val="21"/>
                <w:highlight w:val="none"/>
                <w:lang w:bidi="ar"/>
              </w:rPr>
              <w:t>）探测</w:t>
            </w:r>
            <w:r>
              <w:rPr>
                <w:rFonts w:ascii="宋体" w:hAnsi="宋体" w:eastAsia="宋体" w:cs="宋体"/>
                <w:color w:val="auto"/>
                <w:kern w:val="0"/>
                <w:szCs w:val="21"/>
                <w:highlight w:val="none"/>
                <w:lang w:bidi="ar"/>
              </w:rPr>
              <w:t>项目包括</w:t>
            </w:r>
            <w:r>
              <w:rPr>
                <w:rFonts w:hint="eastAsia" w:ascii="宋体" w:hAnsi="宋体" w:eastAsia="宋体" w:cs="宋体"/>
                <w:color w:val="auto"/>
                <w:kern w:val="0"/>
                <w:szCs w:val="21"/>
                <w:highlight w:val="none"/>
                <w:lang w:bidi="ar"/>
              </w:rPr>
              <w:t>云和雾中液态水和总水以及温度、湿度、气压等要素。</w:t>
            </w:r>
          </w:p>
        </w:tc>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14:paraId="7F1F4B49">
            <w:pPr>
              <w:snapToGrid w:val="0"/>
              <w:jc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14:paraId="6723FE0A">
            <w:pPr>
              <w:snapToGrid w:val="0"/>
              <w:jc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套</w:t>
            </w:r>
          </w:p>
        </w:tc>
      </w:tr>
      <w:tr w14:paraId="7990BDBD">
        <w:tblPrEx>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14:paraId="4074B915">
            <w:pPr>
              <w:widowControl/>
              <w:snapToGrid w:val="0"/>
              <w:jc w:val="center"/>
              <w:textAlignment w:val="center"/>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3.4</w:t>
            </w:r>
          </w:p>
        </w:tc>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14:paraId="770E3889">
            <w:pPr>
              <w:widowControl/>
              <w:snapToGrid w:val="0"/>
              <w:jc w:val="left"/>
              <w:textAlignment w:val="cente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无人机作业</w:t>
            </w:r>
            <w:r>
              <w:rPr>
                <w:rFonts w:ascii="Times New Roman" w:hAnsi="Times New Roman" w:eastAsia="宋体" w:cs="Times New Roman"/>
                <w:color w:val="auto"/>
                <w:kern w:val="0"/>
                <w:szCs w:val="21"/>
                <w:highlight w:val="none"/>
                <w:lang w:bidi="ar"/>
              </w:rPr>
              <w:t>平台</w:t>
            </w:r>
            <w:r>
              <w:rPr>
                <w:rFonts w:hint="eastAsia" w:ascii="Times New Roman" w:hAnsi="Times New Roman" w:eastAsia="宋体" w:cs="Times New Roman"/>
                <w:color w:val="auto"/>
                <w:kern w:val="0"/>
                <w:szCs w:val="21"/>
                <w:highlight w:val="none"/>
                <w:lang w:bidi="ar"/>
              </w:rPr>
              <w:t>2方舱</w:t>
            </w:r>
          </w:p>
        </w:tc>
        <w:tc>
          <w:tcPr>
            <w:tcW w:w="5435" w:type="dxa"/>
            <w:tcBorders>
              <w:top w:val="single" w:color="auto" w:sz="4" w:space="0"/>
              <w:left w:val="single" w:color="auto" w:sz="4" w:space="0"/>
              <w:bottom w:val="single" w:color="auto" w:sz="4" w:space="0"/>
              <w:right w:val="single" w:color="auto" w:sz="4" w:space="0"/>
            </w:tcBorders>
            <w:shd w:val="clear" w:color="auto" w:fill="auto"/>
            <w:vAlign w:val="center"/>
          </w:tcPr>
          <w:p w14:paraId="6C829763">
            <w:pPr>
              <w:autoSpaceDE w:val="0"/>
              <w:autoSpaceDN w:val="0"/>
              <w:adjustRightInd w:val="0"/>
              <w:ind w:firstLine="420" w:firstLineChars="200"/>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主要由方舱舱体、方舱升降机构、通讯系统、显控席位、设备储运箱及其配套设备和供配电系统等组成。具备无人机平台及其相关配套设备设施的储运以及对无人机飞行操控和飞行轨迹数据和气象参数（温度、湿度、气压等）的实时采集、处理、存储和可视化显示，并搭载无人机指挥系统，可对无人机作业进行实时操控指挥。</w:t>
            </w:r>
          </w:p>
        </w:tc>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14:paraId="7A198CE0">
            <w:pPr>
              <w:snapToGrid w:val="0"/>
              <w:jc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14:paraId="113CE1E1">
            <w:pPr>
              <w:snapToGrid w:val="0"/>
              <w:jc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套</w:t>
            </w:r>
          </w:p>
        </w:tc>
      </w:tr>
    </w:tbl>
    <w:p w14:paraId="41216E45">
      <w:pPr>
        <w:spacing w:line="360" w:lineRule="auto"/>
        <w:outlineLvl w:val="4"/>
        <w:rPr>
          <w:rFonts w:hint="eastAsia" w:eastAsia="宋体"/>
          <w:b/>
          <w:bCs/>
          <w:color w:val="auto"/>
          <w:highlight w:val="none"/>
        </w:rPr>
      </w:pPr>
      <w:r>
        <w:rPr>
          <w:rFonts w:hint="eastAsia" w:eastAsia="宋体"/>
          <w:b/>
          <w:bCs/>
          <w:color w:val="auto"/>
          <w:highlight w:val="none"/>
        </w:rPr>
        <w:t>（4）保障模组</w:t>
      </w:r>
    </w:p>
    <w:p w14:paraId="19498EA6">
      <w:pPr>
        <w:spacing w:line="360" w:lineRule="auto"/>
        <w:ind w:firstLine="420" w:firstLineChars="200"/>
        <w:rPr>
          <w:rFonts w:hint="eastAsia" w:eastAsia="宋体"/>
          <w:color w:val="auto"/>
          <w:highlight w:val="none"/>
        </w:rPr>
      </w:pPr>
      <w:r>
        <w:rPr>
          <w:rFonts w:hint="eastAsia" w:eastAsia="宋体"/>
          <w:color w:val="auto"/>
          <w:highlight w:val="none"/>
        </w:rPr>
        <w:t>主要由任务舱舱体、车载监控子系统和工作生活单元等组成，配备基本生活设施、设备存储工具箱和小型设备存放机柜、网络通讯设备、供配电单元、监控系统，满足野外作业所需生活保障、电气线缆接线、作业保障、急救、环境监控等基本需求，提供必要的后勤支持。技术性能指标具体见下表：</w:t>
      </w:r>
    </w:p>
    <w:tbl>
      <w:tblPr>
        <w:tblStyle w:val="52"/>
        <w:tblW w:w="7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879"/>
        <w:gridCol w:w="5020"/>
        <w:gridCol w:w="656"/>
        <w:gridCol w:w="620"/>
      </w:tblGrid>
      <w:tr w14:paraId="5F853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dxa"/>
            <w:vAlign w:val="center"/>
          </w:tcPr>
          <w:p w14:paraId="7F1CCEED">
            <w:pPr>
              <w:widowControl/>
              <w:snapToGrid w:val="0"/>
              <w:jc w:val="center"/>
              <w:textAlignment w:val="center"/>
              <w:rPr>
                <w:rFonts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序号</w:t>
            </w:r>
          </w:p>
        </w:tc>
        <w:tc>
          <w:tcPr>
            <w:tcW w:w="879" w:type="dxa"/>
            <w:vAlign w:val="center"/>
          </w:tcPr>
          <w:p w14:paraId="0E6F9E66">
            <w:pPr>
              <w:widowControl/>
              <w:snapToGrid w:val="0"/>
              <w:jc w:val="center"/>
              <w:textAlignment w:val="center"/>
              <w:rPr>
                <w:rFonts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设备内容</w:t>
            </w:r>
          </w:p>
        </w:tc>
        <w:tc>
          <w:tcPr>
            <w:tcW w:w="5020" w:type="dxa"/>
            <w:vAlign w:val="center"/>
          </w:tcPr>
          <w:p w14:paraId="40A4BF69">
            <w:pPr>
              <w:widowControl/>
              <w:snapToGrid w:val="0"/>
              <w:jc w:val="center"/>
              <w:textAlignment w:val="center"/>
              <w:rPr>
                <w:rFonts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主要性能指标</w:t>
            </w:r>
          </w:p>
        </w:tc>
        <w:tc>
          <w:tcPr>
            <w:tcW w:w="656" w:type="dxa"/>
            <w:vAlign w:val="center"/>
          </w:tcPr>
          <w:p w14:paraId="20B49357">
            <w:pPr>
              <w:widowControl/>
              <w:snapToGrid w:val="0"/>
              <w:jc w:val="center"/>
              <w:textAlignment w:val="center"/>
              <w:rPr>
                <w:rFonts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数量</w:t>
            </w:r>
          </w:p>
        </w:tc>
        <w:tc>
          <w:tcPr>
            <w:tcW w:w="620" w:type="dxa"/>
            <w:vAlign w:val="center"/>
          </w:tcPr>
          <w:p w14:paraId="0681B18A">
            <w:pPr>
              <w:widowControl/>
              <w:snapToGrid w:val="0"/>
              <w:jc w:val="center"/>
              <w:textAlignment w:val="center"/>
              <w:rPr>
                <w:rFonts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单位</w:t>
            </w:r>
          </w:p>
        </w:tc>
      </w:tr>
      <w:tr w14:paraId="160AF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dxa"/>
            <w:vAlign w:val="center"/>
          </w:tcPr>
          <w:p w14:paraId="0D0678EF">
            <w:pPr>
              <w:spacing w:after="126" w:line="264"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79" w:type="dxa"/>
            <w:vAlign w:val="center"/>
          </w:tcPr>
          <w:p w14:paraId="67BD14A7">
            <w:pPr>
              <w:spacing w:after="126" w:line="264"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任务舱</w:t>
            </w:r>
          </w:p>
        </w:tc>
        <w:tc>
          <w:tcPr>
            <w:tcW w:w="5020" w:type="dxa"/>
          </w:tcPr>
          <w:p w14:paraId="1BC0072D">
            <w:pPr>
              <w:widowControl/>
              <w:spacing w:after="126" w:line="264"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由舱体结构、门、窗、</w:t>
            </w:r>
            <w:r>
              <w:rPr>
                <w:rFonts w:hint="eastAsia" w:ascii="宋体" w:hAnsi="宋体" w:eastAsia="宋体" w:cs="宋体"/>
                <w:color w:val="auto"/>
                <w:kern w:val="0"/>
                <w:szCs w:val="21"/>
                <w:highlight w:val="none"/>
                <w:lang w:bidi="ar"/>
              </w:rPr>
              <w:t>温湿调控系统</w:t>
            </w:r>
            <w:r>
              <w:rPr>
                <w:rFonts w:hint="eastAsia" w:ascii="宋体" w:hAnsi="宋体" w:eastAsia="宋体" w:cs="宋体"/>
                <w:color w:val="auto"/>
                <w:szCs w:val="21"/>
                <w:highlight w:val="none"/>
              </w:rPr>
              <w:t>、加热器、换气扇、机柜、机柜减震及固定机构、供电电缆、光缆、电源及信号孔门</w:t>
            </w:r>
            <w:r>
              <w:rPr>
                <w:rFonts w:ascii="宋体" w:hAnsi="宋体" w:eastAsia="宋体" w:cs="宋体"/>
                <w:color w:val="auto"/>
                <w:szCs w:val="21"/>
                <w:highlight w:val="none"/>
              </w:rPr>
              <w:t>(含接插件)、照明系统、随舱工具等组成。</w:t>
            </w:r>
          </w:p>
        </w:tc>
        <w:tc>
          <w:tcPr>
            <w:tcW w:w="656" w:type="dxa"/>
            <w:vAlign w:val="center"/>
          </w:tcPr>
          <w:p w14:paraId="3320B6BF">
            <w:pPr>
              <w:widowControl/>
              <w:spacing w:after="126" w:line="264"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20" w:type="dxa"/>
            <w:vAlign w:val="center"/>
          </w:tcPr>
          <w:p w14:paraId="4FF334C2">
            <w:pPr>
              <w:widowControl/>
              <w:spacing w:after="126" w:line="264"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套</w:t>
            </w:r>
          </w:p>
        </w:tc>
      </w:tr>
      <w:tr w14:paraId="6098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dxa"/>
            <w:vAlign w:val="center"/>
          </w:tcPr>
          <w:p w14:paraId="43F16A5F">
            <w:pPr>
              <w:spacing w:after="126" w:line="264"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879" w:type="dxa"/>
            <w:vAlign w:val="center"/>
          </w:tcPr>
          <w:p w14:paraId="42898127">
            <w:pPr>
              <w:spacing w:after="126" w:line="264"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任务舱舱体</w:t>
            </w:r>
          </w:p>
        </w:tc>
        <w:tc>
          <w:tcPr>
            <w:tcW w:w="5020" w:type="dxa"/>
          </w:tcPr>
          <w:p w14:paraId="0CB29E76">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方舱箱体：</w:t>
            </w:r>
          </w:p>
          <w:p w14:paraId="4825F0EE">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ascii="宋体" w:hAnsi="宋体" w:eastAsia="宋体" w:cs="Times New Roman"/>
                <w:color w:val="auto"/>
                <w:szCs w:val="21"/>
                <w:highlight w:val="none"/>
              </w:rPr>
              <w:t>钢骨架大板方舱；</w:t>
            </w:r>
          </w:p>
          <w:p w14:paraId="5CC5CB77">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ascii="宋体" w:hAnsi="宋体" w:eastAsia="宋体" w:cs="Times New Roman"/>
                <w:color w:val="auto"/>
                <w:szCs w:val="21"/>
                <w:highlight w:val="none"/>
              </w:rPr>
              <w:t>配备方舱角件；</w:t>
            </w:r>
          </w:p>
          <w:p w14:paraId="01B69D6E">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rPr>
              <w:t>喷涂重金属海洋防腐漆；</w:t>
            </w:r>
          </w:p>
          <w:p w14:paraId="110C01F0">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w:t>
            </w:r>
            <w:r>
              <w:rPr>
                <w:rFonts w:ascii="宋体" w:hAnsi="宋体" w:eastAsia="宋体" w:cs="Times New Roman"/>
                <w:color w:val="auto"/>
                <w:szCs w:val="21"/>
                <w:highlight w:val="none"/>
              </w:rPr>
              <w:t>舱顶不锈钢护栏。</w:t>
            </w:r>
          </w:p>
          <w:p w14:paraId="54024CE2">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（5）舱体尺寸适配车载式机动集成作业系统的指挥模组载车底盘。</w:t>
            </w:r>
          </w:p>
          <w:p w14:paraId="6BCAB2CF">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2.舱体自卸举升机构（1套）</w:t>
            </w:r>
          </w:p>
          <w:p w14:paraId="337863E2">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（1）额定提升重量：舱体单腿承重≥3.5吨；</w:t>
            </w:r>
          </w:p>
          <w:p w14:paraId="37D03699">
            <w:pPr>
              <w:rPr>
                <w:rFonts w:ascii="宋体" w:hAnsi="宋体" w:eastAsia="宋体" w:cs="Times New Roman"/>
                <w:color w:val="auto"/>
                <w:szCs w:val="21"/>
                <w:highlight w:val="none"/>
              </w:rPr>
            </w:pPr>
            <w:r>
              <w:rPr>
                <w:rFonts w:hint="eastAsia" w:ascii="宋体" w:hAnsi="宋体" w:eastAsia="宋体" w:cs="宋体"/>
                <w:color w:val="auto"/>
                <w:kern w:val="0"/>
                <w:szCs w:val="21"/>
                <w:highlight w:val="none"/>
                <w:lang w:bidi="ar"/>
              </w:rPr>
              <w:t>（2）额定举升高度：≥1500 mm。</w:t>
            </w:r>
          </w:p>
          <w:p w14:paraId="3A2F2849">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3</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方舱侧开门：</w:t>
            </w:r>
          </w:p>
          <w:p w14:paraId="61A623DD">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ascii="宋体" w:hAnsi="宋体" w:eastAsia="宋体" w:cs="Times New Roman"/>
                <w:color w:val="auto"/>
                <w:szCs w:val="21"/>
                <w:highlight w:val="none"/>
              </w:rPr>
              <w:t>入户门</w:t>
            </w:r>
          </w:p>
          <w:p w14:paraId="0468F632">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（2）检修门</w:t>
            </w:r>
          </w:p>
          <w:p w14:paraId="5E690510">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4</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攀登梯：</w:t>
            </w:r>
            <w:r>
              <w:rPr>
                <w:rFonts w:ascii="宋体" w:hAnsi="宋体" w:eastAsia="宋体" w:cs="Times New Roman"/>
                <w:color w:val="auto"/>
                <w:szCs w:val="21"/>
                <w:highlight w:val="none"/>
              </w:rPr>
              <w:t>方舱固定式爬梯</w:t>
            </w:r>
          </w:p>
          <w:p w14:paraId="6424E2D4">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5</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外部电源接口面板：</w:t>
            </w:r>
            <w:r>
              <w:rPr>
                <w:rFonts w:ascii="宋体" w:hAnsi="宋体" w:eastAsia="宋体" w:cs="Times New Roman"/>
                <w:color w:val="auto"/>
                <w:szCs w:val="21"/>
                <w:highlight w:val="none"/>
              </w:rPr>
              <w:t>220V/50Hz 电源输入接口、网线接口、光纤接口</w:t>
            </w:r>
            <w:r>
              <w:rPr>
                <w:rFonts w:hint="eastAsia" w:ascii="宋体" w:hAnsi="宋体" w:eastAsia="宋体" w:cs="Times New Roman"/>
                <w:color w:val="auto"/>
                <w:szCs w:val="21"/>
                <w:highlight w:val="none"/>
              </w:rPr>
              <w:t>。</w:t>
            </w:r>
          </w:p>
          <w:p w14:paraId="00147D59">
            <w:pPr>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rPr>
              <w:t>舱体尺寸适配车载式机动集成作业系统的指挥模组载车底盘。</w:t>
            </w:r>
          </w:p>
        </w:tc>
        <w:tc>
          <w:tcPr>
            <w:tcW w:w="656" w:type="dxa"/>
            <w:vAlign w:val="center"/>
          </w:tcPr>
          <w:p w14:paraId="2D3152E3">
            <w:pPr>
              <w:spacing w:after="126" w:line="264"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20" w:type="dxa"/>
            <w:vAlign w:val="center"/>
          </w:tcPr>
          <w:p w14:paraId="3588877C">
            <w:pPr>
              <w:spacing w:after="126" w:line="264"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套</w:t>
            </w:r>
          </w:p>
        </w:tc>
      </w:tr>
      <w:tr w14:paraId="7ADB7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dxa"/>
            <w:vAlign w:val="center"/>
          </w:tcPr>
          <w:p w14:paraId="22850C4D">
            <w:pPr>
              <w:widowControl/>
              <w:spacing w:after="126" w:line="264" w:lineRule="auto"/>
              <w:jc w:val="center"/>
              <w:rPr>
                <w:rFonts w:ascii="宋体" w:hAnsi="宋体" w:eastAsia="宋体" w:cs="宋体"/>
                <w:color w:val="auto"/>
                <w:szCs w:val="21"/>
                <w:highlight w:val="none"/>
              </w:rPr>
            </w:pPr>
            <w:r>
              <w:rPr>
                <w:rFonts w:ascii="宋体" w:hAnsi="宋体" w:eastAsia="宋体" w:cs="Times New Roman"/>
                <w:color w:val="auto"/>
                <w:szCs w:val="21"/>
                <w:highlight w:val="none"/>
              </w:rPr>
              <w:t>1.2</w:t>
            </w:r>
          </w:p>
        </w:tc>
        <w:tc>
          <w:tcPr>
            <w:tcW w:w="879" w:type="dxa"/>
            <w:tcBorders>
              <w:top w:val="single" w:color="000000" w:sz="4" w:space="0"/>
              <w:left w:val="single" w:color="000000" w:sz="4" w:space="0"/>
              <w:right w:val="single" w:color="000000" w:sz="4" w:space="0"/>
            </w:tcBorders>
            <w:vAlign w:val="center"/>
          </w:tcPr>
          <w:p w14:paraId="04760B7A">
            <w:pPr>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供电系统</w:t>
            </w:r>
          </w:p>
        </w:tc>
        <w:tc>
          <w:tcPr>
            <w:tcW w:w="5020" w:type="dxa"/>
            <w:tcBorders>
              <w:top w:val="single" w:color="000000" w:sz="4" w:space="0"/>
              <w:left w:val="single" w:color="000000" w:sz="4" w:space="0"/>
              <w:right w:val="single" w:color="000000" w:sz="4" w:space="0"/>
            </w:tcBorders>
          </w:tcPr>
          <w:p w14:paraId="7A792E0B">
            <w:pPr>
              <w:rPr>
                <w:rFonts w:ascii="宋体" w:hAnsi="宋体" w:eastAsia="宋体" w:cs="Times New Roman"/>
                <w:color w:val="auto"/>
                <w:szCs w:val="21"/>
                <w:highlight w:val="none"/>
              </w:rPr>
            </w:pP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rPr>
              <w:t>市电接入：</w:t>
            </w:r>
            <w:r>
              <w:rPr>
                <w:rFonts w:ascii="宋体" w:hAnsi="宋体" w:eastAsia="宋体" w:cs="Times New Roman"/>
                <w:color w:val="auto"/>
                <w:szCs w:val="21"/>
                <w:highlight w:val="none"/>
              </w:rPr>
              <w:t>具备1路供电电压 380×（1±10%）V、频率 50×（1±5%）Hz 或 1路供电电压220×（1±10%）V、频率 50×（1±5%）Hz，供电总功率不低于 10kW，配备满足功率的手动或电动市电线缆轴长度≥45米；配备满足功率的市电对接插头。</w:t>
            </w:r>
          </w:p>
          <w:p w14:paraId="0C998E17">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静音发电机</w:t>
            </w:r>
          </w:p>
          <w:p w14:paraId="1A245572">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ascii="宋体" w:hAnsi="宋体" w:eastAsia="宋体" w:cs="Times New Roman"/>
                <w:color w:val="auto"/>
                <w:szCs w:val="21"/>
                <w:highlight w:val="none"/>
              </w:rPr>
              <w:t>额定频率：50 HZ</w:t>
            </w:r>
            <w:r>
              <w:rPr>
                <w:rFonts w:hint="eastAsia" w:ascii="宋体" w:hAnsi="宋体" w:eastAsia="宋体" w:cs="Times New Roman"/>
                <w:color w:val="auto"/>
                <w:szCs w:val="21"/>
                <w:highlight w:val="none"/>
              </w:rPr>
              <w:t>；</w:t>
            </w:r>
          </w:p>
          <w:p w14:paraId="1D42C246">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ascii="宋体" w:hAnsi="宋体" w:eastAsia="宋体" w:cs="Times New Roman"/>
                <w:color w:val="auto"/>
                <w:szCs w:val="21"/>
                <w:highlight w:val="none"/>
              </w:rPr>
              <w:t xml:space="preserve">额定输出功率：≥10KW </w:t>
            </w:r>
          </w:p>
          <w:p w14:paraId="2C53E370">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rPr>
              <w:t xml:space="preserve">额定电压：230 V </w:t>
            </w:r>
            <w:r>
              <w:rPr>
                <w:rFonts w:hint="eastAsia" w:ascii="宋体" w:hAnsi="宋体" w:eastAsia="宋体" w:cs="Times New Roman"/>
                <w:color w:val="auto"/>
                <w:szCs w:val="21"/>
                <w:highlight w:val="none"/>
              </w:rPr>
              <w:t>或4</w:t>
            </w:r>
            <w:r>
              <w:rPr>
                <w:rFonts w:ascii="宋体" w:hAnsi="宋体" w:eastAsia="宋体" w:cs="Times New Roman"/>
                <w:color w:val="auto"/>
                <w:szCs w:val="21"/>
                <w:highlight w:val="none"/>
              </w:rPr>
              <w:t>00 V</w:t>
            </w:r>
          </w:p>
          <w:p w14:paraId="1C779FF6">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w:t>
            </w:r>
            <w:r>
              <w:rPr>
                <w:rFonts w:ascii="宋体" w:hAnsi="宋体" w:eastAsia="宋体" w:cs="Times New Roman"/>
                <w:color w:val="auto"/>
                <w:szCs w:val="21"/>
                <w:highlight w:val="none"/>
              </w:rPr>
              <w:t>机组连续运行时间：≥8h</w:t>
            </w:r>
          </w:p>
          <w:p w14:paraId="142FFFAE">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w:t>
            </w:r>
            <w:r>
              <w:rPr>
                <w:rFonts w:ascii="宋体" w:hAnsi="宋体" w:eastAsia="宋体" w:cs="Times New Roman"/>
                <w:color w:val="auto"/>
                <w:szCs w:val="21"/>
                <w:highlight w:val="none"/>
              </w:rPr>
              <w:t>噪音（1m 处）：</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79 dB(A)</w:t>
            </w:r>
          </w:p>
          <w:p w14:paraId="27974C32">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rPr>
              <w:t>配电箱：</w:t>
            </w:r>
            <w:r>
              <w:rPr>
                <w:rFonts w:ascii="宋体" w:hAnsi="宋体" w:eastAsia="宋体" w:cs="Times New Roman"/>
                <w:color w:val="auto"/>
                <w:szCs w:val="21"/>
                <w:highlight w:val="none"/>
              </w:rPr>
              <w:t>集中式电源管理系统，含电源漏电保护、开关、电源电压电流显示等，开关分别控制空调、设备用电等；配电盘面板为数控机床加工，表面喷塑处理。</w:t>
            </w:r>
          </w:p>
          <w:p w14:paraId="0F15BE87">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rPr>
              <w:t>全车接地：</w:t>
            </w:r>
            <w:r>
              <w:rPr>
                <w:rFonts w:ascii="宋体" w:hAnsi="宋体" w:eastAsia="宋体" w:cs="Times New Roman"/>
                <w:color w:val="auto"/>
                <w:szCs w:val="21"/>
                <w:highlight w:val="none"/>
              </w:rPr>
              <w:t>含接地桩、接地线，电源防浪涌装置。</w:t>
            </w:r>
          </w:p>
          <w:p w14:paraId="7065B707">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rPr>
              <w:t>对外接口板：</w:t>
            </w:r>
            <w:r>
              <w:rPr>
                <w:rFonts w:ascii="宋体" w:hAnsi="宋体" w:eastAsia="宋体" w:cs="Times New Roman"/>
                <w:color w:val="auto"/>
                <w:szCs w:val="21"/>
                <w:highlight w:val="none"/>
              </w:rPr>
              <w:t>含电源、数据传输接口。</w:t>
            </w:r>
          </w:p>
        </w:tc>
        <w:tc>
          <w:tcPr>
            <w:tcW w:w="656" w:type="dxa"/>
            <w:tcBorders>
              <w:top w:val="single" w:color="000000" w:sz="4" w:space="0"/>
              <w:left w:val="single" w:color="000000" w:sz="4" w:space="0"/>
              <w:right w:val="single" w:color="000000" w:sz="4" w:space="0"/>
            </w:tcBorders>
            <w:vAlign w:val="center"/>
          </w:tcPr>
          <w:p w14:paraId="1E68246A">
            <w:pPr>
              <w:widowControl/>
              <w:spacing w:after="126" w:line="264"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620" w:type="dxa"/>
            <w:tcBorders>
              <w:top w:val="single" w:color="000000" w:sz="4" w:space="0"/>
              <w:left w:val="single" w:color="000000" w:sz="4" w:space="0"/>
              <w:right w:val="single" w:color="000000" w:sz="4" w:space="0"/>
            </w:tcBorders>
            <w:vAlign w:val="center"/>
          </w:tcPr>
          <w:p w14:paraId="28BBBF95">
            <w:pPr>
              <w:widowControl/>
              <w:spacing w:after="126" w:line="264"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套</w:t>
            </w:r>
          </w:p>
        </w:tc>
      </w:tr>
      <w:tr w14:paraId="629D5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dxa"/>
            <w:vAlign w:val="center"/>
          </w:tcPr>
          <w:p w14:paraId="3C3C3040">
            <w:pPr>
              <w:spacing w:after="126" w:line="264"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879" w:type="dxa"/>
            <w:tcBorders>
              <w:left w:val="single" w:color="000000" w:sz="4" w:space="0"/>
              <w:right w:val="single" w:color="000000" w:sz="4" w:space="0"/>
            </w:tcBorders>
            <w:vAlign w:val="center"/>
          </w:tcPr>
          <w:p w14:paraId="325C9F9E">
            <w:pPr>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通信传输系统</w:t>
            </w:r>
          </w:p>
        </w:tc>
        <w:tc>
          <w:tcPr>
            <w:tcW w:w="5020" w:type="dxa"/>
            <w:tcBorders>
              <w:top w:val="single" w:color="000000" w:sz="4" w:space="0"/>
              <w:left w:val="single" w:color="000000" w:sz="4" w:space="0"/>
              <w:bottom w:val="single" w:color="000000" w:sz="4" w:space="0"/>
              <w:right w:val="single" w:color="000000" w:sz="4" w:space="0"/>
            </w:tcBorders>
          </w:tcPr>
          <w:p w14:paraId="49C7E612">
            <w:pPr>
              <w:rPr>
                <w:rFonts w:ascii="宋体" w:hAnsi="宋体" w:eastAsia="宋体" w:cs="Times New Roman"/>
                <w:color w:val="auto"/>
                <w:szCs w:val="21"/>
                <w:highlight w:val="none"/>
              </w:rPr>
            </w:pPr>
            <w:r>
              <w:rPr>
                <w:rFonts w:ascii="宋体" w:hAnsi="宋体" w:eastAsia="宋体" w:cs="Times New Roman"/>
                <w:color w:val="auto"/>
                <w:szCs w:val="21"/>
                <w:highlight w:val="none"/>
              </w:rPr>
              <w:t>配备北斗全球导航定位系统、4G/5G 移动通信，用于提供方舱内部工作网络，联通探测、指挥和作业模组，以及方舱内部各类监控设备组网。</w:t>
            </w:r>
          </w:p>
        </w:tc>
        <w:tc>
          <w:tcPr>
            <w:tcW w:w="656" w:type="dxa"/>
            <w:tcBorders>
              <w:left w:val="single" w:color="000000" w:sz="4" w:space="0"/>
              <w:right w:val="single" w:color="000000" w:sz="4" w:space="0"/>
            </w:tcBorders>
            <w:vAlign w:val="center"/>
          </w:tcPr>
          <w:p w14:paraId="4BA0FD3E">
            <w:pPr>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620" w:type="dxa"/>
            <w:tcBorders>
              <w:left w:val="single" w:color="000000" w:sz="4" w:space="0"/>
              <w:right w:val="single" w:color="000000" w:sz="4" w:space="0"/>
            </w:tcBorders>
            <w:vAlign w:val="center"/>
          </w:tcPr>
          <w:p w14:paraId="6002DA0F">
            <w:pPr>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套</w:t>
            </w:r>
          </w:p>
        </w:tc>
      </w:tr>
      <w:tr w14:paraId="29BAB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dxa"/>
            <w:vAlign w:val="center"/>
          </w:tcPr>
          <w:p w14:paraId="73E2D60B">
            <w:pPr>
              <w:widowControl/>
              <w:spacing w:after="126" w:line="264"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879" w:type="dxa"/>
            <w:tcBorders>
              <w:left w:val="single" w:color="000000" w:sz="4" w:space="0"/>
              <w:right w:val="single" w:color="000000" w:sz="4" w:space="0"/>
            </w:tcBorders>
            <w:vAlign w:val="center"/>
          </w:tcPr>
          <w:p w14:paraId="7BD8870B">
            <w:pPr>
              <w:jc w:val="center"/>
              <w:rPr>
                <w:rFonts w:ascii="宋体" w:hAnsi="宋体" w:eastAsia="宋体" w:cs="Times New Roman"/>
                <w:color w:val="auto"/>
                <w:szCs w:val="21"/>
                <w:highlight w:val="none"/>
              </w:rPr>
            </w:pPr>
            <w:r>
              <w:rPr>
                <w:rFonts w:hint="eastAsia" w:ascii="宋体" w:hAnsi="宋体" w:eastAsia="宋体" w:cs="宋体"/>
                <w:color w:val="auto"/>
                <w:szCs w:val="21"/>
                <w:highlight w:val="none"/>
              </w:rPr>
              <w:t>车载监控子系统</w:t>
            </w:r>
          </w:p>
        </w:tc>
        <w:tc>
          <w:tcPr>
            <w:tcW w:w="5020" w:type="dxa"/>
            <w:tcBorders>
              <w:top w:val="single" w:color="000000" w:sz="4" w:space="0"/>
              <w:left w:val="single" w:color="000000" w:sz="4" w:space="0"/>
              <w:right w:val="single" w:color="000000" w:sz="4" w:space="0"/>
            </w:tcBorders>
          </w:tcPr>
          <w:p w14:paraId="4A462CC0">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舱内摄像机：P</w:t>
            </w:r>
            <w:r>
              <w:rPr>
                <w:rFonts w:ascii="宋体" w:hAnsi="宋体" w:eastAsia="宋体" w:cs="Times New Roman"/>
                <w:color w:val="auto"/>
                <w:szCs w:val="21"/>
                <w:highlight w:val="none"/>
              </w:rPr>
              <w:t>OE</w:t>
            </w:r>
            <w:r>
              <w:rPr>
                <w:rFonts w:hint="eastAsia" w:ascii="宋体" w:hAnsi="宋体" w:eastAsia="宋体" w:cs="Times New Roman"/>
                <w:color w:val="auto"/>
                <w:szCs w:val="21"/>
                <w:highlight w:val="none"/>
              </w:rPr>
              <w:t>半球摄像机支持夜间补光，支持接入全车视频监控系统。</w:t>
            </w:r>
          </w:p>
          <w:p w14:paraId="013063A6">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舱外摄像机</w:t>
            </w:r>
          </w:p>
          <w:p w14:paraId="42FD6AFA">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Times New Roman"/>
                <w:color w:val="auto"/>
                <w:szCs w:val="21"/>
                <w:highlight w:val="none"/>
              </w:rPr>
              <w:t>（1）</w:t>
            </w:r>
            <w:r>
              <w:rPr>
                <w:rFonts w:hint="eastAsia" w:ascii="宋体" w:hAnsi="宋体" w:eastAsia="宋体" w:cs="宋体"/>
                <w:color w:val="auto"/>
                <w:kern w:val="0"/>
                <w:szCs w:val="21"/>
                <w:highlight w:val="none"/>
                <w:lang w:bidi="ar"/>
              </w:rPr>
              <w:t>摄像机镜头技术参数：</w:t>
            </w:r>
          </w:p>
          <w:p w14:paraId="52334B52">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①图像传感器：1/2.8″2.0MP逐行扫描CMOS；</w:t>
            </w:r>
          </w:p>
          <w:p w14:paraId="48E0481A">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②镜头倍数：</w:t>
            </w:r>
            <w:r>
              <w:rPr>
                <w:rFonts w:hint="eastAsia" w:ascii="宋体" w:hAnsi="宋体" w:eastAsia="宋体" w:cs="宋体"/>
                <w:color w:val="auto"/>
                <w:kern w:val="0"/>
                <w:szCs w:val="21"/>
                <w:highlight w:val="none"/>
                <w:lang w:val="en-US" w:eastAsia="zh-CN" w:bidi="ar"/>
              </w:rPr>
              <w:t>不低于</w:t>
            </w:r>
            <w:r>
              <w:rPr>
                <w:rFonts w:hint="eastAsia" w:ascii="宋体" w:hAnsi="宋体" w:eastAsia="宋体" w:cs="宋体"/>
                <w:color w:val="auto"/>
                <w:kern w:val="0"/>
                <w:szCs w:val="21"/>
                <w:highlight w:val="none"/>
                <w:lang w:bidi="ar"/>
              </w:rPr>
              <w:t>20倍光学变焦；</w:t>
            </w:r>
            <w:r>
              <w:rPr>
                <w:rFonts w:ascii="宋体" w:hAnsi="宋体" w:eastAsia="宋体" w:cs="宋体"/>
                <w:color w:val="auto"/>
                <w:kern w:val="0"/>
                <w:szCs w:val="21"/>
                <w:highlight w:val="none"/>
                <w:lang w:bidi="ar"/>
              </w:rPr>
              <w:t xml:space="preserve"> </w:t>
            </w:r>
          </w:p>
          <w:p w14:paraId="6F535CCB">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③焦距(mm)：f4.3～86 mm；</w:t>
            </w:r>
            <w:r>
              <w:rPr>
                <w:rFonts w:ascii="宋体" w:hAnsi="宋体" w:eastAsia="宋体" w:cs="宋体"/>
                <w:color w:val="auto"/>
                <w:kern w:val="0"/>
                <w:szCs w:val="21"/>
                <w:highlight w:val="none"/>
                <w:lang w:bidi="ar"/>
              </w:rPr>
              <w:t xml:space="preserve"> </w:t>
            </w:r>
          </w:p>
          <w:p w14:paraId="6AF08F56">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④光圈：Fw1.6～Ft3.4；</w:t>
            </w:r>
          </w:p>
          <w:p w14:paraId="47C52576">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w:t>
            </w:r>
            <w:r>
              <w:rPr>
                <w:rFonts w:hint="eastAsia" w:ascii="宋体" w:hAnsi="宋体" w:eastAsia="宋体" w:cs="宋体"/>
                <w:color w:val="auto"/>
                <w:kern w:val="0"/>
                <w:szCs w:val="21"/>
                <w:highlight w:val="none"/>
                <w:lang w:bidi="ar"/>
              </w:rPr>
              <w:t>摄像机云台技术参数：</w:t>
            </w:r>
          </w:p>
          <w:p w14:paraId="2EEA96A4">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①水平角度：360°无限位旋转；</w:t>
            </w:r>
          </w:p>
          <w:p w14:paraId="0E1DA619">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②垂直角度：+90°～-90°；</w:t>
            </w:r>
          </w:p>
          <w:p w14:paraId="66E46816">
            <w:pPr>
              <w:widowControl/>
              <w:snapToGrid w:val="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③防护等级：≥IP66；</w:t>
            </w:r>
          </w:p>
          <w:p w14:paraId="27D86FA4">
            <w:pPr>
              <w:widowControl/>
              <w:snapToGrid w:val="0"/>
              <w:jc w:val="left"/>
              <w:textAlignment w:val="center"/>
              <w:rPr>
                <w:rFonts w:ascii="宋体" w:hAnsi="宋体" w:eastAsia="宋体" w:cs="宋体"/>
                <w:color w:val="auto"/>
                <w:kern w:val="0"/>
                <w:szCs w:val="21"/>
                <w:highlight w:val="none"/>
                <w:lang w:bidi="ar"/>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rPr>
              <w:t>）</w:t>
            </w:r>
            <w:r>
              <w:rPr>
                <w:rFonts w:hint="eastAsia" w:ascii="宋体" w:hAnsi="宋体" w:eastAsia="宋体" w:cs="宋体"/>
                <w:color w:val="auto"/>
                <w:kern w:val="0"/>
                <w:szCs w:val="21"/>
                <w:highlight w:val="none"/>
                <w:lang w:bidi="ar"/>
              </w:rPr>
              <w:t>摄像机重要功能：</w:t>
            </w:r>
          </w:p>
          <w:p w14:paraId="752EA901">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①电机带断电自锁功能；</w:t>
            </w:r>
          </w:p>
          <w:p w14:paraId="61057542">
            <w:pPr>
              <w:widowControl/>
              <w:snapToGrid w:val="0"/>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②支持接入全车视频监控系统；</w:t>
            </w:r>
          </w:p>
          <w:p w14:paraId="4E7C67EA">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硬盘录像机：</w:t>
            </w:r>
          </w:p>
          <w:p w14:paraId="1C3A1CF2">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rPr>
              <w:t>）支持</w:t>
            </w:r>
            <w:r>
              <w:rPr>
                <w:rFonts w:hint="eastAsia" w:ascii="宋体" w:hAnsi="宋体" w:eastAsia="宋体" w:cs="Times New Roman"/>
                <w:color w:val="auto"/>
                <w:szCs w:val="21"/>
                <w:highlight w:val="none"/>
                <w:lang w:val="en-US" w:eastAsia="zh-CN"/>
              </w:rPr>
              <w:t>不少于</w:t>
            </w:r>
            <w:r>
              <w:rPr>
                <w:rFonts w:hint="eastAsia" w:ascii="宋体" w:hAnsi="宋体" w:eastAsia="宋体" w:cs="Times New Roman"/>
                <w:color w:val="auto"/>
                <w:szCs w:val="21"/>
                <w:highlight w:val="none"/>
              </w:rPr>
              <w:t>4路1</w:t>
            </w:r>
            <w:r>
              <w:rPr>
                <w:rFonts w:ascii="宋体" w:hAnsi="宋体" w:eastAsia="宋体" w:cs="Times New Roman"/>
                <w:color w:val="auto"/>
                <w:szCs w:val="21"/>
                <w:highlight w:val="none"/>
              </w:rPr>
              <w:t>080P</w:t>
            </w:r>
            <w:r>
              <w:rPr>
                <w:rFonts w:hint="eastAsia" w:ascii="宋体" w:hAnsi="宋体" w:eastAsia="宋体" w:cs="Times New Roman"/>
                <w:color w:val="auto"/>
                <w:szCs w:val="21"/>
                <w:highlight w:val="none"/>
              </w:rPr>
              <w:t>视频输入</w:t>
            </w:r>
          </w:p>
          <w:p w14:paraId="04C78A07">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）存储容量≥1</w:t>
            </w:r>
            <w:r>
              <w:rPr>
                <w:rFonts w:ascii="宋体" w:hAnsi="宋体" w:eastAsia="宋体" w:cs="Times New Roman"/>
                <w:color w:val="auto"/>
                <w:szCs w:val="21"/>
                <w:highlight w:val="none"/>
              </w:rPr>
              <w:t>T</w:t>
            </w:r>
          </w:p>
          <w:p w14:paraId="28A6458F">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rPr>
              <w:t>）支持H</w:t>
            </w:r>
            <w:r>
              <w:rPr>
                <w:rFonts w:ascii="宋体" w:hAnsi="宋体" w:eastAsia="宋体" w:cs="Times New Roman"/>
                <w:color w:val="auto"/>
                <w:szCs w:val="21"/>
                <w:highlight w:val="none"/>
              </w:rPr>
              <w:t>.265/H.264</w:t>
            </w:r>
            <w:r>
              <w:rPr>
                <w:rFonts w:hint="eastAsia" w:ascii="宋体" w:hAnsi="宋体" w:eastAsia="宋体" w:cs="Times New Roman"/>
                <w:color w:val="auto"/>
                <w:szCs w:val="21"/>
                <w:highlight w:val="none"/>
              </w:rPr>
              <w:t>压缩模式</w:t>
            </w:r>
          </w:p>
          <w:p w14:paraId="47303DBB">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环境监控系统：包括温湿度传感器、烟雾传感器，及监控主机，带声光报警功能。具备监控及报警信息本地显示，监控及报警信息上传功能。</w:t>
            </w:r>
          </w:p>
        </w:tc>
        <w:tc>
          <w:tcPr>
            <w:tcW w:w="656" w:type="dxa"/>
            <w:tcBorders>
              <w:left w:val="single" w:color="000000" w:sz="4" w:space="0"/>
              <w:right w:val="single" w:color="000000" w:sz="4" w:space="0"/>
            </w:tcBorders>
            <w:vAlign w:val="center"/>
          </w:tcPr>
          <w:p w14:paraId="18738AA6">
            <w:pPr>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620" w:type="dxa"/>
            <w:tcBorders>
              <w:left w:val="single" w:color="000000" w:sz="4" w:space="0"/>
              <w:right w:val="single" w:color="000000" w:sz="4" w:space="0"/>
            </w:tcBorders>
            <w:vAlign w:val="center"/>
          </w:tcPr>
          <w:p w14:paraId="3EBF142C">
            <w:pPr>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套</w:t>
            </w:r>
          </w:p>
        </w:tc>
      </w:tr>
      <w:tr w14:paraId="38D38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dxa"/>
            <w:vAlign w:val="center"/>
          </w:tcPr>
          <w:p w14:paraId="77A11A94">
            <w:pPr>
              <w:widowControl/>
              <w:spacing w:after="126" w:line="264"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879" w:type="dxa"/>
            <w:tcBorders>
              <w:left w:val="single" w:color="000000" w:sz="4" w:space="0"/>
              <w:bottom w:val="single" w:color="000000" w:sz="4" w:space="0"/>
              <w:right w:val="single" w:color="000000" w:sz="4" w:space="0"/>
            </w:tcBorders>
            <w:vAlign w:val="center"/>
          </w:tcPr>
          <w:p w14:paraId="5D0C0423">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工作生活单元</w:t>
            </w:r>
          </w:p>
        </w:tc>
        <w:tc>
          <w:tcPr>
            <w:tcW w:w="5020" w:type="dxa"/>
            <w:tcBorders>
              <w:top w:val="single" w:color="000000" w:sz="4" w:space="0"/>
              <w:left w:val="single" w:color="000000" w:sz="4" w:space="0"/>
              <w:bottom w:val="single" w:color="000000" w:sz="4" w:space="0"/>
              <w:right w:val="single" w:color="000000" w:sz="4" w:space="0"/>
            </w:tcBorders>
          </w:tcPr>
          <w:p w14:paraId="30732146">
            <w:pPr>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满足野外作业所需工作、生活、急救、安全、防火等基本需求。</w:t>
            </w:r>
          </w:p>
          <w:p w14:paraId="65C21B6C">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1.配备尺寸不小于1900*600mm的双层房车床：≥2套；</w:t>
            </w:r>
          </w:p>
          <w:p w14:paraId="3D3BD822">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2.配套有洗手间兼淋浴间模块、热水器、洗手盆、储物柜和车载冰箱以及净水箱、灰水箱等设施。</w:t>
            </w:r>
          </w:p>
          <w:p w14:paraId="019EF8BA">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3.配备厨房。包括厨房工作台、电磁炉、微波炉和洗手池等。</w:t>
            </w:r>
          </w:p>
          <w:p w14:paraId="4A80F4E9">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4.配备医疗急救箱、灭火器等应急设施。</w:t>
            </w:r>
          </w:p>
          <w:p w14:paraId="50218722">
            <w:pPr>
              <w:rPr>
                <w:rFonts w:ascii="宋体" w:hAnsi="宋体" w:eastAsia="宋体" w:cs="Times New Roman"/>
                <w:color w:val="auto"/>
                <w:szCs w:val="21"/>
                <w:highlight w:val="none"/>
              </w:rPr>
            </w:pPr>
            <w:r>
              <w:rPr>
                <w:rFonts w:hint="eastAsia" w:ascii="宋体" w:hAnsi="宋体" w:eastAsia="宋体" w:cs="宋体"/>
                <w:color w:val="auto"/>
                <w:szCs w:val="21"/>
                <w:highlight w:val="none"/>
              </w:rPr>
              <w:t>5.车内配备温湿调控系统:满足车内工作温度和湿度控制需求。</w:t>
            </w:r>
          </w:p>
        </w:tc>
        <w:tc>
          <w:tcPr>
            <w:tcW w:w="656" w:type="dxa"/>
            <w:tcBorders>
              <w:left w:val="single" w:color="000000" w:sz="4" w:space="0"/>
              <w:bottom w:val="single" w:color="000000" w:sz="4" w:space="0"/>
              <w:right w:val="single" w:color="000000" w:sz="4" w:space="0"/>
            </w:tcBorders>
            <w:vAlign w:val="center"/>
          </w:tcPr>
          <w:p w14:paraId="7906A6F6">
            <w:pPr>
              <w:jc w:val="center"/>
              <w:rPr>
                <w:rFonts w:ascii="宋体" w:hAnsi="宋体" w:eastAsia="宋体" w:cs="Times New Roman"/>
                <w:color w:val="auto"/>
                <w:szCs w:val="21"/>
                <w:highlight w:val="none"/>
              </w:rPr>
            </w:pPr>
            <w:r>
              <w:rPr>
                <w:rFonts w:ascii="宋体" w:hAnsi="宋体" w:eastAsia="宋体" w:cs="Times New Roman"/>
                <w:color w:val="auto"/>
                <w:szCs w:val="21"/>
                <w:highlight w:val="none"/>
              </w:rPr>
              <w:t>1</w:t>
            </w:r>
          </w:p>
        </w:tc>
        <w:tc>
          <w:tcPr>
            <w:tcW w:w="620" w:type="dxa"/>
            <w:tcBorders>
              <w:left w:val="single" w:color="000000" w:sz="4" w:space="0"/>
              <w:bottom w:val="single" w:color="000000" w:sz="4" w:space="0"/>
              <w:right w:val="single" w:color="000000" w:sz="4" w:space="0"/>
            </w:tcBorders>
            <w:vAlign w:val="center"/>
          </w:tcPr>
          <w:p w14:paraId="20A25B1E">
            <w:pPr>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套</w:t>
            </w:r>
          </w:p>
        </w:tc>
      </w:tr>
    </w:tbl>
    <w:p w14:paraId="4B26F7A3">
      <w:pPr>
        <w:rPr>
          <w:rFonts w:ascii="宋体" w:hAnsi="宋体" w:eastAsia="宋体" w:cs="宋体"/>
          <w:bCs/>
          <w:color w:val="auto"/>
          <w:sz w:val="24"/>
          <w:szCs w:val="24"/>
          <w:highlight w:val="none"/>
        </w:rPr>
      </w:pPr>
    </w:p>
    <w:p w14:paraId="4CE44B23">
      <w:pPr>
        <w:rPr>
          <w:rFonts w:ascii="Calibri" w:hAnsi="Calibri" w:eastAsia="宋体" w:cs="Times New Roman"/>
          <w:color w:val="auto"/>
          <w:sz w:val="24"/>
          <w:szCs w:val="24"/>
          <w:highlight w:val="none"/>
        </w:rPr>
      </w:pPr>
    </w:p>
    <w:p w14:paraId="1AFD05CC">
      <w:pPr>
        <w:rPr>
          <w:rFonts w:ascii="Calibri" w:hAnsi="Calibri" w:eastAsia="宋体" w:cs="Times New Roman"/>
          <w:color w:val="auto"/>
          <w:sz w:val="24"/>
          <w:szCs w:val="24"/>
          <w:highlight w:val="none"/>
        </w:rPr>
      </w:pPr>
    </w:p>
    <w:p w14:paraId="1C287E62">
      <w:pPr>
        <w:spacing w:line="360" w:lineRule="auto"/>
        <w:rPr>
          <w:rFonts w:hint="eastAsia" w:ascii="黑体" w:hAnsi="黑体" w:eastAsia="黑体" w:cs="Arial"/>
          <w:b/>
          <w:color w:val="auto"/>
          <w:kern w:val="0"/>
          <w:sz w:val="28"/>
          <w:szCs w:val="28"/>
          <w:highlight w:val="none"/>
        </w:rPr>
      </w:pPr>
      <w:r>
        <w:rPr>
          <w:rFonts w:hint="eastAsia" w:ascii="Calibri" w:hAnsi="Calibri" w:eastAsia="宋体" w:cs="Times New Roman"/>
          <w:color w:val="auto"/>
          <w:sz w:val="24"/>
          <w:szCs w:val="24"/>
          <w:highlight w:val="none"/>
        </w:rPr>
        <w:br w:type="page"/>
      </w:r>
      <w:r>
        <w:rPr>
          <w:rFonts w:hint="eastAsia"/>
          <w:color w:val="auto"/>
          <w:szCs w:val="21"/>
          <w:highlight w:val="none"/>
        </w:rPr>
        <w:t>▲</w:t>
      </w:r>
      <w:r>
        <w:rPr>
          <w:rFonts w:hint="eastAsia" w:ascii="黑体" w:hAnsi="黑体" w:eastAsia="黑体" w:cs="Arial"/>
          <w:b/>
          <w:color w:val="auto"/>
          <w:kern w:val="0"/>
          <w:sz w:val="28"/>
          <w:szCs w:val="28"/>
          <w:highlight w:val="none"/>
        </w:rPr>
        <w:t>三、商务要求</w:t>
      </w:r>
    </w:p>
    <w:p w14:paraId="70A1457E">
      <w:pPr>
        <w:spacing w:line="360" w:lineRule="auto"/>
        <w:rPr>
          <w:color w:val="auto"/>
          <w:szCs w:val="21"/>
          <w:highlight w:val="none"/>
        </w:rPr>
      </w:pPr>
      <w:r>
        <w:rPr>
          <w:rFonts w:hint="eastAsia"/>
          <w:color w:val="auto"/>
          <w:szCs w:val="21"/>
          <w:highlight w:val="none"/>
        </w:rPr>
        <w:t>1．报价要求</w:t>
      </w:r>
    </w:p>
    <w:p w14:paraId="63568A0B">
      <w:pPr>
        <w:spacing w:line="360" w:lineRule="auto"/>
        <w:ind w:firstLine="420" w:firstLineChars="200"/>
        <w:rPr>
          <w:color w:val="auto"/>
          <w:szCs w:val="21"/>
          <w:highlight w:val="none"/>
        </w:rPr>
      </w:pPr>
      <w:r>
        <w:rPr>
          <w:rFonts w:hint="eastAsia"/>
          <w:color w:val="auto"/>
          <w:szCs w:val="21"/>
          <w:highlight w:val="none"/>
        </w:rPr>
        <w:t>本次报价须为人民币报价，包含产品价格、运输费（含装卸费）、保险费、安装调试费、税费、培训费、产品检测费、产品质保期内</w:t>
      </w:r>
      <w:r>
        <w:rPr>
          <w:rFonts w:hint="eastAsia"/>
          <w:color w:val="auto"/>
          <w:szCs w:val="21"/>
          <w:highlight w:val="none"/>
          <w:lang w:val="en-US" w:eastAsia="zh-CN"/>
        </w:rPr>
        <w:t>维修</w:t>
      </w:r>
      <w:r>
        <w:rPr>
          <w:rFonts w:hint="eastAsia"/>
          <w:color w:val="auto"/>
          <w:szCs w:val="21"/>
          <w:highlight w:val="none"/>
        </w:rPr>
        <w:t>维护费</w:t>
      </w:r>
      <w:r>
        <w:rPr>
          <w:rFonts w:hint="eastAsia"/>
          <w:color w:val="auto"/>
          <w:szCs w:val="21"/>
          <w:highlight w:val="none"/>
          <w:lang w:eastAsia="zh-CN"/>
        </w:rPr>
        <w:t>、技术服务费</w:t>
      </w:r>
      <w:r>
        <w:rPr>
          <w:rFonts w:hint="eastAsia"/>
          <w:color w:val="auto"/>
          <w:szCs w:val="21"/>
          <w:highlight w:val="none"/>
        </w:rPr>
        <w:t>等费用。对于本文件中明确列明必须报价的货物或服务，</w:t>
      </w:r>
      <w:r>
        <w:rPr>
          <w:rFonts w:hint="eastAsia"/>
          <w:color w:val="auto"/>
          <w:szCs w:val="21"/>
          <w:highlight w:val="none"/>
          <w:lang w:eastAsia="zh-CN"/>
        </w:rPr>
        <w:t>投标人</w:t>
      </w:r>
      <w:r>
        <w:rPr>
          <w:rFonts w:hint="eastAsia"/>
          <w:color w:val="auto"/>
          <w:szCs w:val="21"/>
          <w:highlight w:val="none"/>
        </w:rPr>
        <w:t>应分别报价。对于本文件中未列明，而</w:t>
      </w:r>
      <w:r>
        <w:rPr>
          <w:rFonts w:hint="eastAsia"/>
          <w:color w:val="auto"/>
          <w:szCs w:val="21"/>
          <w:highlight w:val="none"/>
          <w:lang w:eastAsia="zh-CN"/>
        </w:rPr>
        <w:t>投标人</w:t>
      </w:r>
      <w:r>
        <w:rPr>
          <w:rFonts w:hint="eastAsia"/>
          <w:color w:val="auto"/>
          <w:szCs w:val="21"/>
          <w:highlight w:val="none"/>
        </w:rPr>
        <w:t>认为必需的费用也需列入总报价。在合同实施时，采购人将不予支付中标</w:t>
      </w:r>
      <w:r>
        <w:rPr>
          <w:rFonts w:hint="eastAsia"/>
          <w:color w:val="auto"/>
          <w:szCs w:val="21"/>
          <w:highlight w:val="none"/>
          <w:lang w:eastAsia="zh-CN"/>
        </w:rPr>
        <w:t>人</w:t>
      </w:r>
      <w:r>
        <w:rPr>
          <w:rFonts w:hint="eastAsia"/>
          <w:color w:val="auto"/>
          <w:szCs w:val="21"/>
          <w:highlight w:val="none"/>
        </w:rPr>
        <w:t>没有列入的项目费用，并认为此项目的费用已包括在投标总报价中。</w:t>
      </w:r>
    </w:p>
    <w:p w14:paraId="19EE6B3A">
      <w:pPr>
        <w:spacing w:line="360" w:lineRule="auto"/>
        <w:rPr>
          <w:color w:val="auto"/>
          <w:szCs w:val="21"/>
          <w:highlight w:val="none"/>
        </w:rPr>
      </w:pPr>
      <w:r>
        <w:rPr>
          <w:rFonts w:hint="eastAsia"/>
          <w:color w:val="auto"/>
          <w:szCs w:val="21"/>
          <w:highlight w:val="none"/>
        </w:rPr>
        <w:t>2.合同签订日期</w:t>
      </w:r>
    </w:p>
    <w:p w14:paraId="7C364062">
      <w:pPr>
        <w:spacing w:line="360" w:lineRule="auto"/>
        <w:ind w:firstLine="420" w:firstLineChars="200"/>
        <w:rPr>
          <w:color w:val="auto"/>
          <w:szCs w:val="21"/>
          <w:highlight w:val="none"/>
        </w:rPr>
      </w:pPr>
      <w:r>
        <w:rPr>
          <w:rFonts w:hint="eastAsia"/>
          <w:color w:val="auto"/>
          <w:szCs w:val="21"/>
          <w:highlight w:val="none"/>
        </w:rPr>
        <w:t>中标通知书发出后25日内。</w:t>
      </w:r>
    </w:p>
    <w:p w14:paraId="788E9C6A">
      <w:pPr>
        <w:spacing w:line="360" w:lineRule="auto"/>
        <w:rPr>
          <w:color w:val="auto"/>
          <w:szCs w:val="21"/>
          <w:highlight w:val="none"/>
        </w:rPr>
      </w:pPr>
      <w:r>
        <w:rPr>
          <w:rFonts w:hint="eastAsia"/>
          <w:color w:val="auto"/>
          <w:szCs w:val="21"/>
          <w:highlight w:val="none"/>
        </w:rPr>
        <w:t>3.交货（实施）时间</w:t>
      </w:r>
    </w:p>
    <w:p w14:paraId="42041CCE">
      <w:pPr>
        <w:spacing w:line="360" w:lineRule="auto"/>
        <w:ind w:firstLine="420" w:firstLineChars="200"/>
        <w:rPr>
          <w:color w:val="auto"/>
          <w:szCs w:val="21"/>
          <w:highlight w:val="none"/>
        </w:rPr>
      </w:pPr>
      <w:r>
        <w:rPr>
          <w:rFonts w:hint="eastAsia" w:eastAsia="宋体"/>
          <w:color w:val="auto"/>
          <w:szCs w:val="21"/>
          <w:highlight w:val="none"/>
        </w:rPr>
        <w:t>中标人须在合同签订后1个月内将项目技术和实施方案提交采购人进行评审，评审通过后方可实施；在合同签订后6个月内完成全部仪器设备和配件的采购和生产，并向采购人申请组织出厂验收；在合同签订后</w:t>
      </w:r>
      <w:r>
        <w:rPr>
          <w:rFonts w:hint="eastAsia" w:eastAsia="宋体"/>
          <w:color w:val="auto"/>
          <w:szCs w:val="21"/>
          <w:highlight w:val="none"/>
          <w:lang w:val="en-US" w:eastAsia="zh-CN"/>
        </w:rPr>
        <w:t>8</w:t>
      </w:r>
      <w:r>
        <w:rPr>
          <w:rFonts w:hint="eastAsia" w:eastAsia="宋体"/>
          <w:color w:val="auto"/>
          <w:szCs w:val="21"/>
          <w:highlight w:val="none"/>
        </w:rPr>
        <w:t>个月内完成生产建造并向采购人申请组织出厂验收；在合同签订后</w:t>
      </w:r>
      <w:r>
        <w:rPr>
          <w:rFonts w:hint="eastAsia" w:eastAsia="宋体"/>
          <w:color w:val="auto"/>
          <w:szCs w:val="21"/>
          <w:highlight w:val="none"/>
          <w:lang w:val="en-US" w:eastAsia="zh-CN"/>
        </w:rPr>
        <w:t>10</w:t>
      </w:r>
      <w:r>
        <w:rPr>
          <w:rFonts w:hint="eastAsia" w:eastAsia="宋体"/>
          <w:color w:val="auto"/>
          <w:szCs w:val="21"/>
          <w:highlight w:val="none"/>
        </w:rPr>
        <w:t>个月内完成交付。</w:t>
      </w:r>
    </w:p>
    <w:p w14:paraId="02C8A402">
      <w:pPr>
        <w:spacing w:line="360" w:lineRule="auto"/>
        <w:rPr>
          <w:color w:val="auto"/>
          <w:szCs w:val="21"/>
          <w:highlight w:val="none"/>
        </w:rPr>
      </w:pPr>
      <w:r>
        <w:rPr>
          <w:rFonts w:hint="eastAsia"/>
          <w:color w:val="auto"/>
          <w:szCs w:val="21"/>
          <w:highlight w:val="none"/>
        </w:rPr>
        <w:t>4.交货地点或服务地点</w:t>
      </w:r>
    </w:p>
    <w:p w14:paraId="39E15B61">
      <w:pPr>
        <w:spacing w:line="360" w:lineRule="auto"/>
        <w:ind w:firstLine="420" w:firstLineChars="200"/>
        <w:rPr>
          <w:rFonts w:hint="default" w:eastAsia="宋体"/>
          <w:color w:val="auto"/>
          <w:szCs w:val="21"/>
          <w:highlight w:val="none"/>
          <w:lang w:val="en-US" w:eastAsia="zh-CN"/>
        </w:rPr>
      </w:pPr>
      <w:r>
        <w:rPr>
          <w:rFonts w:hint="eastAsia"/>
          <w:color w:val="auto"/>
          <w:szCs w:val="21"/>
          <w:highlight w:val="none"/>
          <w:lang w:val="en-US" w:eastAsia="zh-CN"/>
        </w:rPr>
        <w:t>以采购人指定地点为准。</w:t>
      </w:r>
    </w:p>
    <w:p w14:paraId="629615F6">
      <w:pPr>
        <w:spacing w:line="360" w:lineRule="auto"/>
        <w:rPr>
          <w:color w:val="auto"/>
          <w:szCs w:val="21"/>
          <w:highlight w:val="none"/>
        </w:rPr>
      </w:pPr>
      <w:r>
        <w:rPr>
          <w:rFonts w:hint="eastAsia"/>
          <w:color w:val="auto"/>
          <w:szCs w:val="21"/>
          <w:highlight w:val="none"/>
        </w:rPr>
        <w:t>5.验收标准</w:t>
      </w:r>
    </w:p>
    <w:p w14:paraId="413087BF">
      <w:pPr>
        <w:spacing w:line="360" w:lineRule="auto"/>
        <w:ind w:firstLine="210" w:firstLineChars="100"/>
        <w:rPr>
          <w:color w:val="auto"/>
          <w:szCs w:val="21"/>
          <w:highlight w:val="none"/>
        </w:rPr>
      </w:pPr>
      <w:bookmarkStart w:id="36" w:name="_Hlk77607553"/>
      <w:r>
        <w:rPr>
          <w:rFonts w:hint="eastAsia"/>
          <w:color w:val="auto"/>
          <w:szCs w:val="21"/>
          <w:highlight w:val="none"/>
        </w:rPr>
        <w:t>详见招标文件合同主要条款格式部分</w:t>
      </w:r>
    </w:p>
    <w:bookmarkEnd w:id="36"/>
    <w:p w14:paraId="026A7609">
      <w:pPr>
        <w:spacing w:line="360" w:lineRule="auto"/>
        <w:rPr>
          <w:color w:val="auto"/>
          <w:szCs w:val="21"/>
          <w:highlight w:val="none"/>
        </w:rPr>
      </w:pPr>
      <w:r>
        <w:rPr>
          <w:rFonts w:hint="eastAsia"/>
          <w:color w:val="auto"/>
          <w:szCs w:val="21"/>
          <w:highlight w:val="none"/>
        </w:rPr>
        <w:t>6.服务标准、期限、效率</w:t>
      </w:r>
    </w:p>
    <w:p w14:paraId="499C473C">
      <w:pPr>
        <w:spacing w:line="360" w:lineRule="auto"/>
        <w:ind w:firstLine="420" w:firstLineChars="200"/>
        <w:rPr>
          <w:color w:val="auto"/>
          <w:szCs w:val="21"/>
          <w:highlight w:val="none"/>
        </w:rPr>
      </w:pPr>
      <w:r>
        <w:rPr>
          <w:rFonts w:hint="eastAsia"/>
          <w:color w:val="auto"/>
          <w:szCs w:val="21"/>
          <w:highlight w:val="none"/>
        </w:rPr>
        <w:t>6.1中标</w:t>
      </w:r>
      <w:r>
        <w:rPr>
          <w:rFonts w:hint="eastAsia"/>
          <w:color w:val="auto"/>
          <w:szCs w:val="21"/>
          <w:highlight w:val="none"/>
          <w:lang w:eastAsia="zh-CN"/>
        </w:rPr>
        <w:t>人</w:t>
      </w:r>
      <w:r>
        <w:rPr>
          <w:rFonts w:hint="eastAsia"/>
          <w:color w:val="auto"/>
          <w:szCs w:val="21"/>
          <w:highlight w:val="none"/>
        </w:rPr>
        <w:t>在质量保证期内应当为采购人提供以下技术支持和服务：</w:t>
      </w:r>
    </w:p>
    <w:p w14:paraId="6C7F3D10">
      <w:pPr>
        <w:spacing w:line="360" w:lineRule="auto"/>
        <w:ind w:firstLine="420" w:firstLineChars="200"/>
        <w:rPr>
          <w:color w:val="auto"/>
          <w:szCs w:val="21"/>
          <w:highlight w:val="none"/>
        </w:rPr>
      </w:pPr>
      <w:r>
        <w:rPr>
          <w:rFonts w:hint="eastAsia"/>
          <w:color w:val="auto"/>
          <w:szCs w:val="21"/>
          <w:highlight w:val="none"/>
        </w:rPr>
        <w:t>6.1.1电话咨询</w:t>
      </w:r>
    </w:p>
    <w:p w14:paraId="4588A9C0">
      <w:pPr>
        <w:spacing w:line="360" w:lineRule="auto"/>
        <w:ind w:firstLine="420" w:firstLineChars="200"/>
        <w:rPr>
          <w:color w:val="auto"/>
          <w:szCs w:val="21"/>
          <w:highlight w:val="none"/>
        </w:rPr>
      </w:pPr>
      <w:r>
        <w:rPr>
          <w:rFonts w:hint="eastAsia"/>
          <w:color w:val="auto"/>
          <w:szCs w:val="21"/>
          <w:highlight w:val="none"/>
        </w:rPr>
        <w:t>中标</w:t>
      </w:r>
      <w:r>
        <w:rPr>
          <w:rFonts w:hint="eastAsia"/>
          <w:color w:val="auto"/>
          <w:szCs w:val="21"/>
          <w:highlight w:val="none"/>
          <w:lang w:eastAsia="zh-CN"/>
        </w:rPr>
        <w:t>人</w:t>
      </w:r>
      <w:r>
        <w:rPr>
          <w:rFonts w:hint="eastAsia"/>
          <w:color w:val="auto"/>
          <w:szCs w:val="21"/>
          <w:highlight w:val="none"/>
        </w:rPr>
        <w:t>应当为采购人提供技术援助电话，解答采购人在使用中遇到的问题，及时为采购人提出解决问题的建议。</w:t>
      </w:r>
    </w:p>
    <w:p w14:paraId="3C3F6E21">
      <w:pPr>
        <w:spacing w:line="360" w:lineRule="auto"/>
        <w:ind w:firstLine="420" w:firstLineChars="200"/>
        <w:rPr>
          <w:color w:val="auto"/>
          <w:szCs w:val="21"/>
          <w:highlight w:val="none"/>
        </w:rPr>
      </w:pPr>
      <w:r>
        <w:rPr>
          <w:rFonts w:hint="eastAsia"/>
          <w:color w:val="auto"/>
          <w:szCs w:val="21"/>
          <w:highlight w:val="none"/>
        </w:rPr>
        <w:t>6.1.2现场响应</w:t>
      </w:r>
    </w:p>
    <w:p w14:paraId="36020787">
      <w:pPr>
        <w:spacing w:line="360" w:lineRule="auto"/>
        <w:ind w:firstLine="420" w:firstLineChars="200"/>
        <w:rPr>
          <w:color w:val="auto"/>
          <w:szCs w:val="21"/>
          <w:highlight w:val="none"/>
        </w:rPr>
      </w:pPr>
      <w:r>
        <w:rPr>
          <w:rFonts w:hint="eastAsia"/>
          <w:color w:val="auto"/>
          <w:szCs w:val="21"/>
          <w:highlight w:val="none"/>
        </w:rPr>
        <w:t>采购人遇到使用或技术问题，电话咨询不能解决的，中标</w:t>
      </w:r>
      <w:r>
        <w:rPr>
          <w:rFonts w:hint="eastAsia"/>
          <w:color w:val="auto"/>
          <w:szCs w:val="21"/>
          <w:highlight w:val="none"/>
          <w:lang w:eastAsia="zh-CN"/>
        </w:rPr>
        <w:t>人</w:t>
      </w:r>
      <w:r>
        <w:rPr>
          <w:rFonts w:hint="eastAsia"/>
          <w:color w:val="auto"/>
          <w:szCs w:val="21"/>
          <w:highlight w:val="none"/>
          <w:lang w:val="en-US" w:eastAsia="zh-CN"/>
        </w:rPr>
        <w:t>一般故障</w:t>
      </w:r>
      <w:r>
        <w:rPr>
          <w:rFonts w:hint="eastAsia"/>
          <w:color w:val="auto"/>
          <w:szCs w:val="21"/>
          <w:highlight w:val="none"/>
        </w:rPr>
        <w:t>应在24小时内技术响应，重大故障2个工作日内到现场进行故障排除。</w:t>
      </w:r>
    </w:p>
    <w:p w14:paraId="3D479A40">
      <w:pPr>
        <w:spacing w:line="360" w:lineRule="auto"/>
        <w:ind w:firstLine="420" w:firstLineChars="200"/>
        <w:rPr>
          <w:color w:val="auto"/>
          <w:szCs w:val="21"/>
          <w:highlight w:val="none"/>
        </w:rPr>
      </w:pPr>
      <w:r>
        <w:rPr>
          <w:rFonts w:hint="eastAsia"/>
          <w:color w:val="auto"/>
          <w:szCs w:val="21"/>
          <w:highlight w:val="none"/>
        </w:rPr>
        <w:t>6.1.3技术升级</w:t>
      </w:r>
    </w:p>
    <w:p w14:paraId="5A5BB55A">
      <w:pPr>
        <w:spacing w:line="360" w:lineRule="auto"/>
        <w:ind w:firstLine="420" w:firstLineChars="200"/>
        <w:rPr>
          <w:color w:val="auto"/>
          <w:szCs w:val="21"/>
          <w:highlight w:val="none"/>
        </w:rPr>
      </w:pPr>
      <w:r>
        <w:rPr>
          <w:rFonts w:hint="eastAsia"/>
          <w:color w:val="auto"/>
          <w:szCs w:val="21"/>
          <w:highlight w:val="none"/>
        </w:rPr>
        <w:t>在质保期内，如果中标</w:t>
      </w:r>
      <w:r>
        <w:rPr>
          <w:rFonts w:hint="eastAsia"/>
          <w:color w:val="auto"/>
          <w:szCs w:val="21"/>
          <w:highlight w:val="none"/>
          <w:lang w:eastAsia="zh-CN"/>
        </w:rPr>
        <w:t>人</w:t>
      </w:r>
      <w:r>
        <w:rPr>
          <w:rFonts w:hint="eastAsia"/>
          <w:color w:val="auto"/>
          <w:szCs w:val="21"/>
          <w:highlight w:val="none"/>
        </w:rPr>
        <w:t>的产品或服务升级，中标</w:t>
      </w:r>
      <w:r>
        <w:rPr>
          <w:rFonts w:hint="eastAsia"/>
          <w:color w:val="auto"/>
          <w:szCs w:val="21"/>
          <w:highlight w:val="none"/>
          <w:lang w:eastAsia="zh-CN"/>
        </w:rPr>
        <w:t>人</w:t>
      </w:r>
      <w:r>
        <w:rPr>
          <w:rFonts w:hint="eastAsia"/>
          <w:color w:val="auto"/>
          <w:szCs w:val="21"/>
          <w:highlight w:val="none"/>
        </w:rPr>
        <w:t>应及时通知采购人，如采购人有相应要求，中标</w:t>
      </w:r>
      <w:r>
        <w:rPr>
          <w:rFonts w:hint="eastAsia"/>
          <w:color w:val="auto"/>
          <w:szCs w:val="21"/>
          <w:highlight w:val="none"/>
          <w:lang w:eastAsia="zh-CN"/>
        </w:rPr>
        <w:t>人</w:t>
      </w:r>
      <w:r>
        <w:rPr>
          <w:rFonts w:hint="eastAsia"/>
          <w:color w:val="auto"/>
          <w:szCs w:val="21"/>
          <w:highlight w:val="none"/>
        </w:rPr>
        <w:t>应对采购人购买的产品或服务进行升级</w:t>
      </w:r>
      <w:r>
        <w:rPr>
          <w:rFonts w:hint="eastAsia"/>
          <w:color w:val="auto"/>
          <w:szCs w:val="21"/>
          <w:highlight w:val="none"/>
          <w:lang w:val="en-US" w:eastAsia="zh-CN"/>
        </w:rPr>
        <w:t xml:space="preserve"> </w:t>
      </w:r>
      <w:r>
        <w:rPr>
          <w:rFonts w:hint="eastAsia"/>
          <w:color w:val="auto"/>
          <w:szCs w:val="21"/>
          <w:highlight w:val="none"/>
        </w:rPr>
        <w:t>。</w:t>
      </w:r>
    </w:p>
    <w:p w14:paraId="04671DC3">
      <w:pPr>
        <w:spacing w:line="360" w:lineRule="auto"/>
        <w:rPr>
          <w:color w:val="auto"/>
          <w:szCs w:val="21"/>
          <w:highlight w:val="none"/>
        </w:rPr>
      </w:pPr>
      <w:r>
        <w:rPr>
          <w:rFonts w:hint="eastAsia"/>
          <w:color w:val="auto"/>
          <w:szCs w:val="21"/>
          <w:highlight w:val="none"/>
        </w:rPr>
        <w:t>7.培训</w:t>
      </w:r>
    </w:p>
    <w:p w14:paraId="7D246C62">
      <w:pPr>
        <w:spacing w:line="360" w:lineRule="auto"/>
        <w:ind w:firstLine="420" w:firstLineChars="200"/>
        <w:rPr>
          <w:color w:val="auto"/>
          <w:szCs w:val="21"/>
          <w:highlight w:val="none"/>
        </w:rPr>
      </w:pPr>
      <w:r>
        <w:rPr>
          <w:rFonts w:hint="eastAsia"/>
          <w:color w:val="auto"/>
          <w:szCs w:val="21"/>
          <w:highlight w:val="none"/>
          <w:lang w:eastAsia="zh-CN"/>
        </w:rPr>
        <w:t>投标人</w:t>
      </w:r>
      <w:r>
        <w:rPr>
          <w:rFonts w:hint="eastAsia"/>
          <w:color w:val="auto"/>
          <w:szCs w:val="21"/>
          <w:highlight w:val="none"/>
        </w:rPr>
        <w:t>对其提供产品或服务的使用和操作应尽培训义务。</w:t>
      </w:r>
      <w:r>
        <w:rPr>
          <w:rFonts w:hint="eastAsia"/>
          <w:color w:val="auto"/>
          <w:szCs w:val="21"/>
          <w:highlight w:val="none"/>
          <w:lang w:eastAsia="zh-CN"/>
        </w:rPr>
        <w:t>投标人</w:t>
      </w:r>
      <w:r>
        <w:rPr>
          <w:rFonts w:hint="eastAsia"/>
          <w:color w:val="auto"/>
          <w:szCs w:val="21"/>
          <w:highlight w:val="none"/>
        </w:rPr>
        <w:t>应提供对采购人的基本培训，使采购人使用人员熟练掌握所培训内容，熟练掌握全部功能，培训的相关费用包括在投标报价中，采购人不再另行支付。</w:t>
      </w:r>
    </w:p>
    <w:p w14:paraId="5C77CE2F">
      <w:pPr>
        <w:spacing w:line="360" w:lineRule="auto"/>
        <w:rPr>
          <w:color w:val="auto"/>
          <w:szCs w:val="21"/>
          <w:highlight w:val="none"/>
        </w:rPr>
      </w:pPr>
      <w:r>
        <w:rPr>
          <w:rFonts w:hint="eastAsia"/>
          <w:color w:val="auto"/>
          <w:szCs w:val="21"/>
          <w:highlight w:val="none"/>
        </w:rPr>
        <w:t>8.付款方式、时间及条件</w:t>
      </w:r>
    </w:p>
    <w:p w14:paraId="4A41D0DB">
      <w:pPr>
        <w:spacing w:line="440" w:lineRule="exact"/>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合同签订且</w:t>
      </w:r>
      <w:r>
        <w:rPr>
          <w:rFonts w:hint="eastAsia" w:ascii="宋体" w:hAnsi="宋体" w:eastAsia="宋体" w:cs="Times New Roman"/>
          <w:color w:val="auto"/>
          <w:szCs w:val="21"/>
          <w:highlight w:val="none"/>
          <w:lang w:val="en-US" w:eastAsia="zh-CN"/>
        </w:rPr>
        <w:t>中标人</w:t>
      </w:r>
      <w:r>
        <w:rPr>
          <w:rFonts w:hint="eastAsia" w:ascii="宋体" w:hAnsi="宋体" w:eastAsia="宋体" w:cs="Times New Roman"/>
          <w:color w:val="auto"/>
          <w:szCs w:val="21"/>
          <w:highlight w:val="none"/>
        </w:rPr>
        <w:t>提交同等金额的不可撤销预付款保函后，</w:t>
      </w:r>
      <w:r>
        <w:rPr>
          <w:rFonts w:hint="eastAsia" w:ascii="宋体" w:hAnsi="宋体" w:eastAsia="宋体" w:cs="Times New Roman"/>
          <w:color w:val="auto"/>
          <w:szCs w:val="21"/>
          <w:highlight w:val="none"/>
          <w:lang w:val="en-US" w:eastAsia="zh-CN"/>
        </w:rPr>
        <w:t>采购人</w:t>
      </w:r>
      <w:r>
        <w:rPr>
          <w:rFonts w:hint="eastAsia" w:ascii="宋体" w:hAnsi="宋体" w:eastAsia="宋体" w:cs="Times New Roman"/>
          <w:color w:val="auto"/>
          <w:szCs w:val="21"/>
          <w:highlight w:val="none"/>
        </w:rPr>
        <w:t>10个工作日内支付合同金额的50%</w:t>
      </w:r>
      <w:r>
        <w:rPr>
          <w:rFonts w:hint="eastAsia" w:ascii="宋体" w:hAnsi="宋体" w:eastAsia="宋体" w:cs="Times New Roman"/>
          <w:color w:val="auto"/>
          <w:szCs w:val="21"/>
          <w:highlight w:val="none"/>
          <w:lang w:eastAsia="zh-CN"/>
        </w:rPr>
        <w:t>；</w:t>
      </w:r>
    </w:p>
    <w:p w14:paraId="4538799F">
      <w:pPr>
        <w:rPr>
          <w:color w:val="auto"/>
          <w:highlight w:val="none"/>
        </w:rPr>
      </w:pPr>
    </w:p>
    <w:p w14:paraId="11465F39">
      <w:pPr>
        <w:snapToGrid w:val="0"/>
        <w:spacing w:line="360" w:lineRule="auto"/>
        <w:ind w:firstLine="420" w:firstLineChars="20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（2）完成全部仪器设备和配件的采购和生产，并向采购人出具告知函，经采购人确认复函后，支付至合同金额的90%；</w:t>
      </w:r>
    </w:p>
    <w:p w14:paraId="16371D9D">
      <w:pPr>
        <w:snapToGrid w:val="0"/>
        <w:spacing w:line="360" w:lineRule="auto"/>
        <w:ind w:firstLine="420" w:firstLineChars="20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（3）中标人按验收流程要求通过最终合同验收后，采购人签署项目验收报告或验收书后，10个工作日内付清合同尾款；</w:t>
      </w:r>
    </w:p>
    <w:p w14:paraId="5C054B3D">
      <w:pPr>
        <w:snapToGrid w:val="0"/>
        <w:spacing w:line="360" w:lineRule="auto"/>
        <w:ind w:firstLine="420" w:firstLineChars="20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（4）中标人向采购人提供付款申请书，并附与付款申请书等额的发票和验收书；</w:t>
      </w:r>
    </w:p>
    <w:p w14:paraId="398F5AB1">
      <w:pPr>
        <w:snapToGrid w:val="0"/>
        <w:spacing w:line="360" w:lineRule="auto"/>
        <w:ind w:firstLine="420" w:firstLineChars="20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票据要求：中标人必须按照采购人要求提供正规的增值税普通发票。一旦发现中标人提供虚假发票，除须向采购人补开合法发票外，须赔偿采购人发票票面金额一倍的违约金，且采购人有权终止合同，中标人不得提出异议，因终止合同而产生的一切损失均由中标人承担；</w:t>
      </w:r>
    </w:p>
    <w:p w14:paraId="68BDA37F">
      <w:pPr>
        <w:spacing w:line="360" w:lineRule="auto"/>
        <w:ind w:firstLine="420" w:firstLineChars="200"/>
        <w:rPr>
          <w:color w:val="auto"/>
          <w:szCs w:val="21"/>
          <w:highlight w:val="none"/>
        </w:rPr>
      </w:pPr>
      <w:r>
        <w:rPr>
          <w:rFonts w:hint="eastAsia" w:ascii="宋体" w:hAnsi="宋体" w:eastAsia="宋体" w:cs="Times New Roman"/>
          <w:color w:val="auto"/>
          <w:szCs w:val="21"/>
          <w:highlight w:val="none"/>
          <w:lang w:val="en-US" w:eastAsia="zh-CN"/>
        </w:rPr>
        <w:t>（6）合同款支付形式为：转账。</w:t>
      </w:r>
    </w:p>
    <w:p w14:paraId="4139EF23">
      <w:pPr>
        <w:spacing w:line="360" w:lineRule="auto"/>
        <w:rPr>
          <w:color w:val="auto"/>
          <w:szCs w:val="21"/>
          <w:highlight w:val="none"/>
        </w:rPr>
      </w:pPr>
      <w:r>
        <w:rPr>
          <w:rFonts w:hint="eastAsia"/>
          <w:color w:val="auto"/>
          <w:szCs w:val="21"/>
          <w:highlight w:val="none"/>
        </w:rPr>
        <w:t>9.履约保证金</w:t>
      </w:r>
    </w:p>
    <w:p w14:paraId="03B2E7C8">
      <w:pPr>
        <w:spacing w:line="360" w:lineRule="auto"/>
        <w:ind w:firstLine="420" w:firstLineChars="200"/>
        <w:rPr>
          <w:color w:val="auto"/>
          <w:szCs w:val="21"/>
          <w:highlight w:val="none"/>
        </w:rPr>
      </w:pPr>
      <w:r>
        <w:rPr>
          <w:rFonts w:hint="eastAsia"/>
          <w:color w:val="auto"/>
          <w:szCs w:val="21"/>
          <w:highlight w:val="none"/>
        </w:rPr>
        <w:t>详见招标文件合同主要条款格式部分</w:t>
      </w:r>
    </w:p>
    <w:p w14:paraId="43DD68AD">
      <w:pPr>
        <w:spacing w:line="360" w:lineRule="auto"/>
        <w:rPr>
          <w:color w:val="auto"/>
          <w:szCs w:val="21"/>
          <w:highlight w:val="none"/>
        </w:rPr>
      </w:pPr>
      <w:r>
        <w:rPr>
          <w:rFonts w:hint="eastAsia"/>
          <w:color w:val="auto"/>
          <w:szCs w:val="21"/>
          <w:highlight w:val="none"/>
        </w:rPr>
        <w:t>10.包装和运输要求</w:t>
      </w:r>
    </w:p>
    <w:p w14:paraId="544D0484">
      <w:pPr>
        <w:spacing w:line="360" w:lineRule="auto"/>
        <w:ind w:firstLine="420" w:firstLineChars="200"/>
        <w:rPr>
          <w:color w:val="auto"/>
          <w:szCs w:val="21"/>
          <w:highlight w:val="none"/>
        </w:rPr>
      </w:pPr>
      <w:r>
        <w:rPr>
          <w:rFonts w:hint="eastAsia"/>
          <w:color w:val="auto"/>
          <w:szCs w:val="21"/>
          <w:highlight w:val="none"/>
        </w:rPr>
        <w:t>根据《财政部等三部门联合印发商品包装和快递包装政府采购需求标准（试行）》财办库</w:t>
      </w:r>
      <w:r>
        <w:rPr>
          <w:rFonts w:hint="eastAsia"/>
          <w:color w:val="auto"/>
          <w:szCs w:val="21"/>
          <w:highlight w:val="none"/>
          <w:lang w:eastAsia="zh-CN"/>
        </w:rPr>
        <w:t>〔2020〕123号</w:t>
      </w:r>
      <w:r>
        <w:rPr>
          <w:rFonts w:hint="eastAsia"/>
          <w:color w:val="auto"/>
          <w:szCs w:val="21"/>
          <w:highlight w:val="none"/>
        </w:rPr>
        <w:t>文规定，若投标产品使用塑料、纸质、木质等包装材料时应满足《商品包装政府采购需求标准（试行）》要求，若投标产品需要快递包装，快递封装材料应满足《快递包装政府采购需求标准（试行）》要求。</w:t>
      </w:r>
    </w:p>
    <w:p w14:paraId="743B5649">
      <w:pPr>
        <w:spacing w:line="360" w:lineRule="auto"/>
        <w:ind w:firstLine="420" w:firstLineChars="200"/>
        <w:rPr>
          <w:color w:val="auto"/>
          <w:szCs w:val="21"/>
          <w:highlight w:val="none"/>
        </w:rPr>
      </w:pPr>
      <w:r>
        <w:rPr>
          <w:rFonts w:hint="eastAsia"/>
          <w:color w:val="auto"/>
          <w:szCs w:val="21"/>
          <w:highlight w:val="none"/>
        </w:rPr>
        <w:t>运输要求详见招标文件合同主要条款格式部分</w:t>
      </w:r>
    </w:p>
    <w:p w14:paraId="18097BC0">
      <w:pPr>
        <w:spacing w:line="360" w:lineRule="auto"/>
        <w:rPr>
          <w:color w:val="auto"/>
          <w:szCs w:val="21"/>
          <w:highlight w:val="none"/>
        </w:rPr>
      </w:pPr>
      <w:r>
        <w:rPr>
          <w:rFonts w:hint="eastAsia"/>
          <w:color w:val="auto"/>
          <w:szCs w:val="21"/>
          <w:highlight w:val="none"/>
        </w:rPr>
        <w:t>11.售后服务</w:t>
      </w:r>
    </w:p>
    <w:p w14:paraId="7EEBB09D">
      <w:pPr>
        <w:spacing w:line="360" w:lineRule="auto"/>
        <w:ind w:firstLine="420" w:firstLineChars="200"/>
        <w:rPr>
          <w:rFonts w:hint="eastAsia"/>
          <w:color w:val="auto"/>
          <w:szCs w:val="21"/>
          <w:highlight w:val="none"/>
        </w:rPr>
      </w:pPr>
      <w:r>
        <w:rPr>
          <w:rFonts w:hint="eastAsia"/>
          <w:color w:val="auto"/>
          <w:szCs w:val="21"/>
          <w:highlight w:val="none"/>
          <w:lang w:val="en-US" w:eastAsia="zh-CN"/>
        </w:rPr>
        <w:t>11.</w:t>
      </w:r>
      <w:r>
        <w:rPr>
          <w:rFonts w:hint="eastAsia"/>
          <w:color w:val="auto"/>
          <w:szCs w:val="21"/>
          <w:highlight w:val="none"/>
        </w:rPr>
        <w:t>1.设备运输、搬运、安装、连接、系统调试等服务；</w:t>
      </w:r>
    </w:p>
    <w:p w14:paraId="370AF2BE">
      <w:pPr>
        <w:spacing w:line="360" w:lineRule="auto"/>
        <w:ind w:firstLine="420" w:firstLineChars="200"/>
        <w:rPr>
          <w:rFonts w:hint="eastAsia"/>
          <w:color w:val="auto"/>
          <w:szCs w:val="21"/>
          <w:highlight w:val="none"/>
        </w:rPr>
      </w:pPr>
      <w:r>
        <w:rPr>
          <w:rFonts w:hint="eastAsia"/>
          <w:color w:val="auto"/>
          <w:szCs w:val="21"/>
          <w:highlight w:val="none"/>
          <w:lang w:val="en-US" w:eastAsia="zh-CN"/>
        </w:rPr>
        <w:t>11.2</w:t>
      </w:r>
      <w:r>
        <w:rPr>
          <w:rFonts w:hint="eastAsia"/>
          <w:color w:val="auto"/>
          <w:szCs w:val="21"/>
          <w:highlight w:val="none"/>
        </w:rPr>
        <w:t>.质量保修范围：</w:t>
      </w:r>
    </w:p>
    <w:p w14:paraId="7751E38E">
      <w:pPr>
        <w:spacing w:line="360" w:lineRule="auto"/>
        <w:ind w:firstLine="210" w:firstLineChars="100"/>
        <w:rPr>
          <w:rFonts w:hint="eastAsia"/>
          <w:color w:val="auto"/>
          <w:szCs w:val="21"/>
          <w:highlight w:val="none"/>
        </w:rPr>
      </w:pPr>
      <w:r>
        <w:rPr>
          <w:rFonts w:hint="eastAsia"/>
          <w:color w:val="auto"/>
          <w:szCs w:val="21"/>
          <w:highlight w:val="none"/>
        </w:rPr>
        <w:t>（1）质保期内一般故障24小时内技术响应，重大故障2个工作日内到现场进行故障排除；</w:t>
      </w:r>
    </w:p>
    <w:p w14:paraId="13CE05D2">
      <w:pPr>
        <w:spacing w:line="360" w:lineRule="auto"/>
        <w:ind w:firstLine="210" w:firstLineChars="100"/>
        <w:rPr>
          <w:rFonts w:hint="eastAsia"/>
          <w:color w:val="auto"/>
          <w:szCs w:val="21"/>
          <w:highlight w:val="none"/>
        </w:rPr>
      </w:pPr>
      <w:r>
        <w:rPr>
          <w:rFonts w:hint="eastAsia"/>
          <w:color w:val="auto"/>
          <w:szCs w:val="21"/>
          <w:highlight w:val="none"/>
        </w:rPr>
        <w:t>（2）因产品问题所造成的直接或间接损失由中标人负责，并且中标人应负责更换合格品，费用含在报价中；</w:t>
      </w:r>
    </w:p>
    <w:p w14:paraId="62915BDD">
      <w:pPr>
        <w:spacing w:line="360" w:lineRule="auto"/>
        <w:ind w:firstLine="210" w:firstLineChars="100"/>
        <w:rPr>
          <w:rFonts w:hint="eastAsia"/>
          <w:color w:val="auto"/>
          <w:szCs w:val="21"/>
          <w:highlight w:val="none"/>
        </w:rPr>
      </w:pPr>
      <w:r>
        <w:rPr>
          <w:rFonts w:hint="eastAsia"/>
          <w:color w:val="auto"/>
          <w:szCs w:val="21"/>
          <w:highlight w:val="none"/>
        </w:rPr>
        <w:t>（3）因产品质量原因造成人员伤亡等事故时，中标</w:t>
      </w:r>
      <w:r>
        <w:rPr>
          <w:rFonts w:hint="eastAsia"/>
          <w:color w:val="auto"/>
          <w:szCs w:val="21"/>
          <w:highlight w:val="none"/>
          <w:lang w:eastAsia="zh-CN"/>
        </w:rPr>
        <w:t>人</w:t>
      </w:r>
      <w:r>
        <w:rPr>
          <w:rFonts w:hint="eastAsia"/>
          <w:color w:val="auto"/>
          <w:szCs w:val="21"/>
          <w:highlight w:val="none"/>
        </w:rPr>
        <w:t>应按要求赴现场协助当地有关部门分析事故原因，承担应有的责任，并将产品质量原因分析报告报国务院气象主管机构；</w:t>
      </w:r>
    </w:p>
    <w:p w14:paraId="2895AFAA">
      <w:pPr>
        <w:spacing w:line="360" w:lineRule="auto"/>
        <w:ind w:firstLine="210" w:firstLineChars="100"/>
        <w:rPr>
          <w:rFonts w:hint="eastAsia"/>
          <w:color w:val="auto"/>
          <w:szCs w:val="21"/>
          <w:highlight w:val="none"/>
        </w:rPr>
      </w:pPr>
      <w:r>
        <w:rPr>
          <w:rFonts w:hint="eastAsia"/>
          <w:color w:val="auto"/>
          <w:szCs w:val="21"/>
          <w:highlight w:val="none"/>
        </w:rPr>
        <w:t>（4）</w:t>
      </w:r>
      <w:r>
        <w:rPr>
          <w:rFonts w:hint="eastAsia" w:ascii="宋体" w:hAnsi="宋体" w:eastAsia="宋体" w:cs="Times New Roman"/>
          <w:color w:val="auto"/>
          <w:szCs w:val="21"/>
          <w:highlight w:val="none"/>
        </w:rPr>
        <w:t>质保期内提供相关设备所需通信服务费</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软件升级费</w:t>
      </w:r>
      <w:r>
        <w:rPr>
          <w:rFonts w:hint="eastAsia" w:ascii="宋体" w:hAnsi="宋体" w:eastAsia="宋体" w:cs="Times New Roman"/>
          <w:color w:val="auto"/>
          <w:szCs w:val="21"/>
          <w:highlight w:val="none"/>
        </w:rPr>
        <w:t>。</w:t>
      </w:r>
    </w:p>
    <w:p w14:paraId="48FACE3B">
      <w:pPr>
        <w:spacing w:line="360" w:lineRule="auto"/>
        <w:ind w:firstLine="210" w:firstLineChars="100"/>
        <w:rPr>
          <w:rFonts w:hint="eastAsia"/>
          <w:color w:val="auto"/>
          <w:szCs w:val="21"/>
          <w:highlight w:val="none"/>
        </w:rPr>
      </w:pPr>
      <w:r>
        <w:rPr>
          <w:rFonts w:hint="eastAsia"/>
          <w:color w:val="auto"/>
          <w:szCs w:val="21"/>
          <w:highlight w:val="none"/>
          <w:lang w:val="en-US" w:eastAsia="zh-CN"/>
        </w:rPr>
        <w:t>11.3</w:t>
      </w:r>
      <w:r>
        <w:rPr>
          <w:rFonts w:hint="eastAsia"/>
          <w:color w:val="auto"/>
          <w:szCs w:val="21"/>
          <w:highlight w:val="none"/>
        </w:rPr>
        <w:t>.产品可靠性指标为无故障运行时间大于三年。</w:t>
      </w:r>
    </w:p>
    <w:p w14:paraId="675DCE66">
      <w:pPr>
        <w:spacing w:line="360" w:lineRule="auto"/>
        <w:ind w:firstLine="210" w:firstLineChars="100"/>
        <w:rPr>
          <w:rFonts w:hint="eastAsia"/>
          <w:color w:val="auto"/>
          <w:szCs w:val="21"/>
          <w:highlight w:val="none"/>
        </w:rPr>
      </w:pPr>
      <w:r>
        <w:rPr>
          <w:rFonts w:hint="eastAsia"/>
          <w:color w:val="auto"/>
          <w:szCs w:val="21"/>
          <w:highlight w:val="none"/>
          <w:lang w:val="en-US" w:eastAsia="zh-CN"/>
        </w:rPr>
        <w:t>11.4</w:t>
      </w:r>
      <w:r>
        <w:rPr>
          <w:rFonts w:hint="eastAsia"/>
          <w:color w:val="auto"/>
          <w:szCs w:val="21"/>
          <w:highlight w:val="none"/>
        </w:rPr>
        <w:t>.提供培训课时及培训人数的承诺和培训方案，培训方案完整，课程设计重点突出、针对性强。</w:t>
      </w:r>
    </w:p>
    <w:p w14:paraId="37DB7E46">
      <w:pPr>
        <w:spacing w:line="360" w:lineRule="auto"/>
        <w:ind w:firstLine="210" w:firstLineChars="100"/>
        <w:rPr>
          <w:rFonts w:hint="eastAsia"/>
          <w:color w:val="auto"/>
          <w:szCs w:val="21"/>
          <w:highlight w:val="none"/>
          <w:lang w:val="en-US" w:eastAsia="zh-CN"/>
        </w:rPr>
      </w:pPr>
      <w:r>
        <w:rPr>
          <w:rFonts w:hint="eastAsia"/>
          <w:color w:val="auto"/>
          <w:szCs w:val="21"/>
          <w:highlight w:val="none"/>
          <w:lang w:val="en-US" w:eastAsia="zh-CN"/>
        </w:rPr>
        <w:t>11.5.为采购人提供不少于2名中型无人机飞手培训服务，并取得相关证书与资格。相关费用由中标人承担。</w:t>
      </w:r>
    </w:p>
    <w:p w14:paraId="5A79B84D">
      <w:pPr>
        <w:spacing w:line="360" w:lineRule="auto"/>
        <w:ind w:firstLine="210" w:firstLineChars="100"/>
        <w:rPr>
          <w:rFonts w:hint="eastAsia"/>
          <w:color w:val="auto"/>
          <w:szCs w:val="21"/>
          <w:highlight w:val="none"/>
          <w:lang w:val="en-US" w:eastAsia="zh-CN"/>
        </w:rPr>
      </w:pPr>
      <w:r>
        <w:rPr>
          <w:rFonts w:hint="eastAsia"/>
          <w:color w:val="auto"/>
          <w:szCs w:val="21"/>
          <w:highlight w:val="none"/>
          <w:lang w:val="en-US" w:eastAsia="zh-CN"/>
        </w:rPr>
        <w:t>11.6为采购人提供不少于2名小型无人机飞手培训服务，并取得相关证书与资格。相关费用由中标人承担。</w:t>
      </w:r>
    </w:p>
    <w:p w14:paraId="15AA963A">
      <w:pPr>
        <w:spacing w:line="360" w:lineRule="auto"/>
        <w:ind w:firstLine="210" w:firstLineChars="100"/>
        <w:rPr>
          <w:rFonts w:hint="eastAsia"/>
          <w:color w:val="auto"/>
          <w:szCs w:val="21"/>
          <w:highlight w:val="none"/>
          <w:lang w:val="en-US" w:eastAsia="zh-CN"/>
        </w:rPr>
      </w:pPr>
      <w:r>
        <w:rPr>
          <w:rFonts w:hint="eastAsia" w:ascii="宋体" w:hAnsi="宋体" w:cs="Times New Roman"/>
          <w:color w:val="auto"/>
          <w:szCs w:val="21"/>
          <w:highlight w:val="none"/>
          <w:lang w:val="en-US" w:eastAsia="zh-CN"/>
        </w:rPr>
        <w:t>11.</w:t>
      </w:r>
      <w:r>
        <w:rPr>
          <w:rFonts w:hint="eastAsia" w:ascii="宋体" w:hAnsi="宋体" w:eastAsia="宋体" w:cs="Times New Roman"/>
          <w:color w:val="auto"/>
          <w:szCs w:val="21"/>
          <w:highlight w:val="none"/>
          <w:lang w:val="en-US" w:eastAsia="zh-CN"/>
        </w:rPr>
        <w:t>7.质保期内按相关规定定期提供所有设备检定服务，相关费用由</w:t>
      </w:r>
      <w:r>
        <w:rPr>
          <w:rFonts w:hint="eastAsia" w:ascii="宋体" w:hAnsi="宋体" w:cs="Times New Roman"/>
          <w:color w:val="auto"/>
          <w:szCs w:val="21"/>
          <w:highlight w:val="none"/>
          <w:lang w:val="en-US" w:eastAsia="zh-CN"/>
        </w:rPr>
        <w:t>中标人</w:t>
      </w:r>
      <w:r>
        <w:rPr>
          <w:rFonts w:hint="eastAsia" w:ascii="宋体" w:hAnsi="宋体" w:eastAsia="宋体" w:cs="Times New Roman"/>
          <w:color w:val="auto"/>
          <w:szCs w:val="21"/>
          <w:highlight w:val="none"/>
          <w:lang w:val="en-US" w:eastAsia="zh-CN"/>
        </w:rPr>
        <w:t>承担。</w:t>
      </w:r>
    </w:p>
    <w:p w14:paraId="296A84BD">
      <w:pPr>
        <w:spacing w:line="360" w:lineRule="auto"/>
        <w:rPr>
          <w:color w:val="auto"/>
          <w:szCs w:val="21"/>
          <w:highlight w:val="none"/>
        </w:rPr>
      </w:pPr>
      <w:r>
        <w:rPr>
          <w:rFonts w:hint="eastAsia"/>
          <w:color w:val="auto"/>
          <w:szCs w:val="21"/>
          <w:highlight w:val="none"/>
        </w:rPr>
        <w:t>12.保险</w:t>
      </w:r>
    </w:p>
    <w:p w14:paraId="6450A1E8">
      <w:pPr>
        <w:spacing w:line="360" w:lineRule="auto"/>
        <w:ind w:firstLine="420" w:firstLineChars="200"/>
        <w:rPr>
          <w:rFonts w:hint="eastAsia"/>
          <w:color w:val="auto"/>
          <w:szCs w:val="21"/>
          <w:highlight w:val="none"/>
        </w:rPr>
      </w:pPr>
      <w:r>
        <w:rPr>
          <w:rFonts w:hint="eastAsia"/>
          <w:color w:val="auto"/>
          <w:szCs w:val="21"/>
          <w:highlight w:val="none"/>
          <w:lang w:eastAsia="zh-CN"/>
        </w:rPr>
        <w:t>投标人</w:t>
      </w:r>
      <w:r>
        <w:rPr>
          <w:rFonts w:hint="eastAsia"/>
          <w:color w:val="auto"/>
          <w:szCs w:val="21"/>
          <w:highlight w:val="none"/>
        </w:rPr>
        <w:t>负责办理运输和保险，将货物运抵交货地点。与运输、保险相关的费用由</w:t>
      </w:r>
      <w:r>
        <w:rPr>
          <w:rFonts w:hint="eastAsia"/>
          <w:color w:val="auto"/>
          <w:szCs w:val="21"/>
          <w:highlight w:val="none"/>
          <w:lang w:eastAsia="zh-CN"/>
        </w:rPr>
        <w:t>投标人</w:t>
      </w:r>
      <w:r>
        <w:rPr>
          <w:rFonts w:hint="eastAsia"/>
          <w:color w:val="auto"/>
          <w:szCs w:val="21"/>
          <w:highlight w:val="none"/>
        </w:rPr>
        <w:t>承担。</w:t>
      </w:r>
    </w:p>
    <w:p w14:paraId="55FC0ABF">
      <w:pPr>
        <w:numPr>
          <w:ilvl w:val="0"/>
          <w:numId w:val="3"/>
        </w:numPr>
        <w:spacing w:line="360" w:lineRule="auto"/>
        <w:rPr>
          <w:rFonts w:hint="eastAsia"/>
          <w:color w:val="auto"/>
          <w:szCs w:val="21"/>
          <w:highlight w:val="none"/>
          <w:lang w:val="en-US" w:eastAsia="zh-CN"/>
        </w:rPr>
      </w:pPr>
      <w:r>
        <w:rPr>
          <w:rFonts w:hint="eastAsia"/>
          <w:color w:val="auto"/>
          <w:szCs w:val="21"/>
          <w:highlight w:val="none"/>
          <w:lang w:val="en-US" w:eastAsia="zh-CN"/>
        </w:rPr>
        <w:t>质保期</w:t>
      </w:r>
    </w:p>
    <w:p w14:paraId="7D378148">
      <w:pPr>
        <w:numPr>
          <w:ilvl w:val="0"/>
          <w:numId w:val="0"/>
        </w:numPr>
        <w:spacing w:line="360"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质保期从正式交付时起计算，项目整体质保期不低于8年，有特殊要求的按采购需求中技术参数要求表的要求为准。</w:t>
      </w:r>
    </w:p>
    <w:p w14:paraId="525E24B1">
      <w:pPr>
        <w:numPr>
          <w:ilvl w:val="0"/>
          <w:numId w:val="3"/>
        </w:numPr>
        <w:spacing w:line="360" w:lineRule="auto"/>
        <w:ind w:left="0" w:leftChars="0" w:firstLine="0" w:firstLineChars="0"/>
        <w:rPr>
          <w:rFonts w:hint="eastAsia"/>
          <w:color w:val="auto"/>
          <w:szCs w:val="21"/>
          <w:highlight w:val="none"/>
          <w:lang w:val="en-US" w:eastAsia="zh-CN"/>
        </w:rPr>
      </w:pPr>
      <w:r>
        <w:rPr>
          <w:rFonts w:hint="eastAsia"/>
          <w:color w:val="auto"/>
          <w:szCs w:val="21"/>
          <w:highlight w:val="none"/>
          <w:lang w:val="en-US" w:eastAsia="zh-CN"/>
        </w:rPr>
        <w:t>无人机适航要求</w:t>
      </w:r>
    </w:p>
    <w:p w14:paraId="561F3F44">
      <w:pPr>
        <w:numPr>
          <w:ilvl w:val="0"/>
          <w:numId w:val="0"/>
        </w:numPr>
        <w:spacing w:line="360" w:lineRule="auto"/>
        <w:ind w:leftChars="0" w:firstLine="420" w:firstLineChars="200"/>
        <w:rPr>
          <w:rFonts w:hint="default"/>
          <w:color w:val="auto"/>
          <w:szCs w:val="21"/>
          <w:highlight w:val="none"/>
          <w:lang w:val="en-US" w:eastAsia="zh-CN"/>
        </w:rPr>
      </w:pPr>
      <w:r>
        <w:rPr>
          <w:rFonts w:hint="eastAsia" w:ascii="宋体" w:hAnsi="宋体" w:eastAsia="宋体" w:cs="Times New Roman"/>
          <w:color w:val="auto"/>
          <w:szCs w:val="21"/>
          <w:highlight w:val="none"/>
          <w:lang w:val="en-US" w:eastAsia="zh-CN"/>
        </w:rPr>
        <w:t>交付时应确保该项目无人机作业平台完成适航工作，并取得适航许可，相关费用由中标人承担。</w:t>
      </w:r>
    </w:p>
    <w:p w14:paraId="40A68D64">
      <w:pPr>
        <w:spacing w:line="360" w:lineRule="auto"/>
        <w:rPr>
          <w:rFonts w:hint="eastAsia"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四、其他要求</w:t>
      </w:r>
    </w:p>
    <w:p w14:paraId="485C189B">
      <w:pPr>
        <w:spacing w:line="360" w:lineRule="auto"/>
        <w:rPr>
          <w:rFonts w:hint="eastAsia"/>
          <w:color w:val="auto"/>
          <w:szCs w:val="21"/>
          <w:highlight w:val="none"/>
        </w:rPr>
      </w:pPr>
      <w:r>
        <w:rPr>
          <w:rFonts w:hint="eastAsia"/>
          <w:color w:val="auto"/>
          <w:szCs w:val="21"/>
          <w:highlight w:val="none"/>
        </w:rPr>
        <w:t>无</w:t>
      </w:r>
    </w:p>
    <w:p w14:paraId="0F51ED73">
      <w:pPr>
        <w:rPr>
          <w:rFonts w:hint="eastAsia"/>
          <w:color w:val="auto"/>
          <w:szCs w:val="21"/>
          <w:highlight w:val="none"/>
        </w:rPr>
      </w:pPr>
      <w:r>
        <w:rPr>
          <w:rFonts w:hint="eastAsia"/>
          <w:color w:val="auto"/>
          <w:szCs w:val="21"/>
          <w:highlight w:val="none"/>
        </w:rPr>
        <w:br w:type="page"/>
      </w:r>
    </w:p>
    <w:p w14:paraId="5E85D9CE">
      <w:pPr>
        <w:spacing w:line="528" w:lineRule="exact"/>
        <w:ind w:firstLine="280" w:firstLineChars="100"/>
        <w:rPr>
          <w:color w:val="auto"/>
          <w:sz w:val="28"/>
          <w:szCs w:val="28"/>
          <w:highlight w:val="none"/>
        </w:rPr>
      </w:pPr>
      <w:bookmarkStart w:id="37" w:name="_Hlk132788223"/>
      <w:r>
        <w:rPr>
          <w:rFonts w:hint="eastAsia"/>
          <w:color w:val="auto"/>
          <w:sz w:val="28"/>
          <w:szCs w:val="28"/>
          <w:highlight w:val="none"/>
        </w:rPr>
        <w:t xml:space="preserve">附件1： </w:t>
      </w:r>
      <w:r>
        <w:rPr>
          <w:color w:val="auto"/>
          <w:sz w:val="28"/>
          <w:szCs w:val="28"/>
          <w:highlight w:val="none"/>
        </w:rPr>
        <w:t xml:space="preserve">                             </w:t>
      </w:r>
    </w:p>
    <w:p w14:paraId="38DBE2AE">
      <w:pPr>
        <w:spacing w:line="528" w:lineRule="exact"/>
        <w:ind w:firstLine="280" w:firstLineChars="100"/>
        <w:jc w:val="center"/>
        <w:rPr>
          <w:color w:val="auto"/>
          <w:sz w:val="28"/>
          <w:szCs w:val="28"/>
          <w:highlight w:val="none"/>
        </w:rPr>
      </w:pPr>
      <w:r>
        <w:rPr>
          <w:rFonts w:hint="eastAsia"/>
          <w:color w:val="auto"/>
          <w:sz w:val="28"/>
          <w:szCs w:val="28"/>
          <w:highlight w:val="none"/>
        </w:rPr>
        <w:t>中小微企业划型标准</w:t>
      </w:r>
    </w:p>
    <w:tbl>
      <w:tblPr>
        <w:tblStyle w:val="51"/>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73775334">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6CB884EB">
            <w:pPr>
              <w:widowControl/>
              <w:jc w:val="left"/>
              <w:rPr>
                <w:color w:val="auto"/>
                <w:szCs w:val="21"/>
                <w:highlight w:val="none"/>
              </w:rPr>
            </w:pPr>
            <w:r>
              <w:rPr>
                <w:rFonts w:hint="eastAsia"/>
                <w:color w:val="auto"/>
                <w:szCs w:val="21"/>
                <w:highlight w:val="none"/>
              </w:rPr>
              <w:t>行业名称</w:t>
            </w:r>
          </w:p>
        </w:tc>
        <w:tc>
          <w:tcPr>
            <w:tcW w:w="1701" w:type="dxa"/>
            <w:tcBorders>
              <w:top w:val="single" w:color="auto" w:sz="4" w:space="0"/>
              <w:left w:val="nil"/>
              <w:bottom w:val="single" w:color="auto" w:sz="4" w:space="0"/>
              <w:right w:val="single" w:color="auto" w:sz="4" w:space="0"/>
            </w:tcBorders>
            <w:noWrap w:val="0"/>
            <w:vAlign w:val="center"/>
          </w:tcPr>
          <w:p w14:paraId="75DFC7F4">
            <w:pPr>
              <w:widowControl/>
              <w:jc w:val="left"/>
              <w:rPr>
                <w:color w:val="auto"/>
                <w:szCs w:val="21"/>
                <w:highlight w:val="none"/>
              </w:rPr>
            </w:pPr>
            <w:r>
              <w:rPr>
                <w:rFonts w:hint="eastAsia"/>
                <w:color w:val="auto"/>
                <w:szCs w:val="21"/>
                <w:highlight w:val="none"/>
              </w:rPr>
              <w:t>指标名称</w:t>
            </w:r>
          </w:p>
        </w:tc>
        <w:tc>
          <w:tcPr>
            <w:tcW w:w="1134" w:type="dxa"/>
            <w:tcBorders>
              <w:top w:val="single" w:color="auto" w:sz="4" w:space="0"/>
              <w:left w:val="nil"/>
              <w:bottom w:val="single" w:color="auto" w:sz="4" w:space="0"/>
              <w:right w:val="single" w:color="auto" w:sz="4" w:space="0"/>
            </w:tcBorders>
            <w:noWrap w:val="0"/>
            <w:vAlign w:val="center"/>
          </w:tcPr>
          <w:p w14:paraId="6CD99674">
            <w:pPr>
              <w:widowControl/>
              <w:jc w:val="left"/>
              <w:rPr>
                <w:color w:val="auto"/>
                <w:szCs w:val="21"/>
                <w:highlight w:val="none"/>
              </w:rPr>
            </w:pPr>
            <w:r>
              <w:rPr>
                <w:rFonts w:hint="eastAsia"/>
                <w:color w:val="auto"/>
                <w:szCs w:val="21"/>
                <w:highlight w:val="none"/>
              </w:rPr>
              <w:t>计量单位</w:t>
            </w:r>
          </w:p>
        </w:tc>
        <w:tc>
          <w:tcPr>
            <w:tcW w:w="1846" w:type="dxa"/>
            <w:tcBorders>
              <w:top w:val="single" w:color="auto" w:sz="4" w:space="0"/>
              <w:left w:val="nil"/>
              <w:bottom w:val="single" w:color="auto" w:sz="4" w:space="0"/>
              <w:right w:val="single" w:color="auto" w:sz="4" w:space="0"/>
            </w:tcBorders>
            <w:noWrap w:val="0"/>
            <w:vAlign w:val="center"/>
          </w:tcPr>
          <w:p w14:paraId="575EE5DA">
            <w:pPr>
              <w:widowControl/>
              <w:jc w:val="left"/>
              <w:rPr>
                <w:color w:val="auto"/>
                <w:szCs w:val="21"/>
                <w:highlight w:val="none"/>
              </w:rPr>
            </w:pPr>
            <w:r>
              <w:rPr>
                <w:rFonts w:hint="eastAsia"/>
                <w:color w:val="auto"/>
                <w:szCs w:val="21"/>
                <w:highlight w:val="none"/>
              </w:rPr>
              <w:t>中型</w:t>
            </w:r>
          </w:p>
        </w:tc>
        <w:tc>
          <w:tcPr>
            <w:tcW w:w="1570" w:type="dxa"/>
            <w:tcBorders>
              <w:top w:val="single" w:color="auto" w:sz="4" w:space="0"/>
              <w:left w:val="nil"/>
              <w:bottom w:val="single" w:color="auto" w:sz="4" w:space="0"/>
              <w:right w:val="single" w:color="auto" w:sz="4" w:space="0"/>
            </w:tcBorders>
            <w:noWrap w:val="0"/>
            <w:vAlign w:val="center"/>
          </w:tcPr>
          <w:p w14:paraId="043972FD">
            <w:pPr>
              <w:widowControl/>
              <w:jc w:val="left"/>
              <w:rPr>
                <w:color w:val="auto"/>
                <w:szCs w:val="21"/>
                <w:highlight w:val="none"/>
              </w:rPr>
            </w:pPr>
            <w:r>
              <w:rPr>
                <w:rFonts w:hint="eastAsia"/>
                <w:color w:val="auto"/>
                <w:szCs w:val="21"/>
                <w:highlight w:val="none"/>
              </w:rPr>
              <w:t>小型</w:t>
            </w:r>
          </w:p>
        </w:tc>
        <w:tc>
          <w:tcPr>
            <w:tcW w:w="1009" w:type="dxa"/>
            <w:tcBorders>
              <w:top w:val="single" w:color="auto" w:sz="4" w:space="0"/>
              <w:left w:val="nil"/>
              <w:bottom w:val="single" w:color="auto" w:sz="4" w:space="0"/>
              <w:right w:val="single" w:color="auto" w:sz="4" w:space="0"/>
            </w:tcBorders>
            <w:noWrap w:val="0"/>
            <w:vAlign w:val="center"/>
          </w:tcPr>
          <w:p w14:paraId="50E223AB">
            <w:pPr>
              <w:widowControl/>
              <w:jc w:val="left"/>
              <w:rPr>
                <w:color w:val="auto"/>
                <w:szCs w:val="21"/>
                <w:highlight w:val="none"/>
              </w:rPr>
            </w:pPr>
            <w:r>
              <w:rPr>
                <w:rFonts w:hint="eastAsia"/>
                <w:color w:val="auto"/>
                <w:szCs w:val="21"/>
                <w:highlight w:val="none"/>
              </w:rPr>
              <w:t>微型</w:t>
            </w:r>
          </w:p>
        </w:tc>
      </w:tr>
      <w:tr w14:paraId="56E26D16">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0C8B6067">
            <w:pPr>
              <w:widowControl/>
              <w:jc w:val="center"/>
              <w:rPr>
                <w:color w:val="auto"/>
                <w:szCs w:val="21"/>
                <w:highlight w:val="none"/>
              </w:rPr>
            </w:pPr>
            <w:r>
              <w:rPr>
                <w:rFonts w:hint="eastAsia"/>
                <w:color w:val="auto"/>
                <w:szCs w:val="21"/>
                <w:highlight w:val="none"/>
              </w:rPr>
              <w:t>农、林、牧、渔</w:t>
            </w:r>
          </w:p>
        </w:tc>
        <w:tc>
          <w:tcPr>
            <w:tcW w:w="1701" w:type="dxa"/>
            <w:tcBorders>
              <w:top w:val="nil"/>
              <w:left w:val="nil"/>
              <w:bottom w:val="single" w:color="auto" w:sz="4" w:space="0"/>
              <w:right w:val="single" w:color="auto" w:sz="4" w:space="0"/>
            </w:tcBorders>
            <w:noWrap w:val="0"/>
            <w:vAlign w:val="center"/>
          </w:tcPr>
          <w:p w14:paraId="59663E43">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709ADBD">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7936259">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6E22ABA7">
            <w:pPr>
              <w:widowControl/>
              <w:jc w:val="left"/>
              <w:rPr>
                <w:color w:val="auto"/>
                <w:szCs w:val="21"/>
                <w:highlight w:val="none"/>
              </w:rPr>
            </w:pPr>
            <w:r>
              <w:rPr>
                <w:rFonts w:hint="eastAsia"/>
                <w:color w:val="auto"/>
                <w:szCs w:val="21"/>
                <w:highlight w:val="none"/>
              </w:rPr>
              <w:t>50≤Y＜500</w:t>
            </w:r>
          </w:p>
        </w:tc>
        <w:tc>
          <w:tcPr>
            <w:tcW w:w="1009" w:type="dxa"/>
            <w:tcBorders>
              <w:top w:val="nil"/>
              <w:left w:val="nil"/>
              <w:bottom w:val="single" w:color="auto" w:sz="4" w:space="0"/>
              <w:right w:val="single" w:color="auto" w:sz="4" w:space="0"/>
            </w:tcBorders>
            <w:noWrap w:val="0"/>
            <w:vAlign w:val="center"/>
          </w:tcPr>
          <w:p w14:paraId="6F17DB8C">
            <w:pPr>
              <w:widowControl/>
              <w:jc w:val="left"/>
              <w:rPr>
                <w:color w:val="auto"/>
                <w:szCs w:val="21"/>
                <w:highlight w:val="none"/>
              </w:rPr>
            </w:pPr>
            <w:r>
              <w:rPr>
                <w:rFonts w:hint="eastAsia"/>
                <w:color w:val="auto"/>
                <w:szCs w:val="21"/>
                <w:highlight w:val="none"/>
              </w:rPr>
              <w:t>Y＜50</w:t>
            </w:r>
          </w:p>
        </w:tc>
      </w:tr>
      <w:tr w14:paraId="5D67ECD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8CB729A">
            <w:pPr>
              <w:widowControl/>
              <w:jc w:val="center"/>
              <w:rPr>
                <w:color w:val="auto"/>
                <w:szCs w:val="21"/>
                <w:highlight w:val="none"/>
              </w:rPr>
            </w:pPr>
            <w:r>
              <w:rPr>
                <w:rFonts w:hint="eastAsia"/>
                <w:color w:val="auto"/>
                <w:szCs w:val="21"/>
                <w:highlight w:val="none"/>
              </w:rPr>
              <w:t>工业</w:t>
            </w:r>
          </w:p>
        </w:tc>
        <w:tc>
          <w:tcPr>
            <w:tcW w:w="1701" w:type="dxa"/>
            <w:tcBorders>
              <w:top w:val="nil"/>
              <w:left w:val="nil"/>
              <w:bottom w:val="single" w:color="auto" w:sz="4" w:space="0"/>
              <w:right w:val="single" w:color="auto" w:sz="4" w:space="0"/>
            </w:tcBorders>
            <w:noWrap w:val="0"/>
            <w:vAlign w:val="center"/>
          </w:tcPr>
          <w:p w14:paraId="42A0D0CE">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1FEA015">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3CE7C90">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3E9F989C">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223C614F">
            <w:pPr>
              <w:widowControl/>
              <w:jc w:val="left"/>
              <w:rPr>
                <w:color w:val="auto"/>
                <w:szCs w:val="21"/>
                <w:highlight w:val="none"/>
              </w:rPr>
            </w:pPr>
            <w:r>
              <w:rPr>
                <w:rFonts w:hint="eastAsia"/>
                <w:color w:val="auto"/>
                <w:szCs w:val="21"/>
                <w:highlight w:val="none"/>
              </w:rPr>
              <w:t>X＜20</w:t>
            </w:r>
          </w:p>
        </w:tc>
      </w:tr>
      <w:tr w14:paraId="15F50DA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2780D54">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C35573A">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BCA069A">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2842C53">
            <w:pPr>
              <w:widowControl/>
              <w:jc w:val="left"/>
              <w:rPr>
                <w:color w:val="auto"/>
                <w:szCs w:val="21"/>
                <w:highlight w:val="none"/>
              </w:rPr>
            </w:pPr>
            <w:r>
              <w:rPr>
                <w:rFonts w:hint="eastAsia"/>
                <w:color w:val="auto"/>
                <w:szCs w:val="21"/>
                <w:highlight w:val="none"/>
              </w:rPr>
              <w:t>2000≤Y＜40000</w:t>
            </w:r>
          </w:p>
        </w:tc>
        <w:tc>
          <w:tcPr>
            <w:tcW w:w="1570" w:type="dxa"/>
            <w:tcBorders>
              <w:top w:val="nil"/>
              <w:left w:val="nil"/>
              <w:bottom w:val="single" w:color="auto" w:sz="4" w:space="0"/>
              <w:right w:val="single" w:color="auto" w:sz="4" w:space="0"/>
            </w:tcBorders>
            <w:noWrap w:val="0"/>
            <w:vAlign w:val="center"/>
          </w:tcPr>
          <w:p w14:paraId="74E815EE">
            <w:pPr>
              <w:widowControl/>
              <w:jc w:val="left"/>
              <w:rPr>
                <w:color w:val="auto"/>
                <w:szCs w:val="21"/>
                <w:highlight w:val="none"/>
              </w:rPr>
            </w:pPr>
            <w:r>
              <w:rPr>
                <w:rFonts w:hint="eastAsia"/>
                <w:color w:val="auto"/>
                <w:szCs w:val="21"/>
                <w:highlight w:val="none"/>
              </w:rPr>
              <w:t>300≤Y＜2000</w:t>
            </w:r>
          </w:p>
        </w:tc>
        <w:tc>
          <w:tcPr>
            <w:tcW w:w="1009" w:type="dxa"/>
            <w:tcBorders>
              <w:top w:val="nil"/>
              <w:left w:val="nil"/>
              <w:bottom w:val="single" w:color="auto" w:sz="4" w:space="0"/>
              <w:right w:val="single" w:color="auto" w:sz="4" w:space="0"/>
            </w:tcBorders>
            <w:noWrap w:val="0"/>
            <w:vAlign w:val="center"/>
          </w:tcPr>
          <w:p w14:paraId="2F5B68A1">
            <w:pPr>
              <w:widowControl/>
              <w:jc w:val="left"/>
              <w:rPr>
                <w:color w:val="auto"/>
                <w:szCs w:val="21"/>
                <w:highlight w:val="none"/>
              </w:rPr>
            </w:pPr>
            <w:r>
              <w:rPr>
                <w:rFonts w:hint="eastAsia"/>
                <w:color w:val="auto"/>
                <w:szCs w:val="21"/>
                <w:highlight w:val="none"/>
              </w:rPr>
              <w:t>Y＜300</w:t>
            </w:r>
          </w:p>
        </w:tc>
      </w:tr>
      <w:tr w14:paraId="535F8D6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50D6D2F">
            <w:pPr>
              <w:widowControl/>
              <w:jc w:val="center"/>
              <w:rPr>
                <w:color w:val="auto"/>
                <w:szCs w:val="21"/>
                <w:highlight w:val="none"/>
              </w:rPr>
            </w:pPr>
            <w:r>
              <w:rPr>
                <w:rFonts w:hint="eastAsia"/>
                <w:color w:val="auto"/>
                <w:szCs w:val="21"/>
                <w:highlight w:val="none"/>
              </w:rPr>
              <w:t>建筑业</w:t>
            </w:r>
          </w:p>
        </w:tc>
        <w:tc>
          <w:tcPr>
            <w:tcW w:w="1701" w:type="dxa"/>
            <w:tcBorders>
              <w:top w:val="nil"/>
              <w:left w:val="nil"/>
              <w:bottom w:val="single" w:color="auto" w:sz="4" w:space="0"/>
              <w:right w:val="single" w:color="auto" w:sz="4" w:space="0"/>
            </w:tcBorders>
            <w:noWrap w:val="0"/>
            <w:vAlign w:val="center"/>
          </w:tcPr>
          <w:p w14:paraId="1E56E068">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7A86244">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2C427B5">
            <w:pPr>
              <w:widowControl/>
              <w:jc w:val="left"/>
              <w:rPr>
                <w:color w:val="auto"/>
                <w:szCs w:val="21"/>
                <w:highlight w:val="none"/>
              </w:rPr>
            </w:pPr>
            <w:r>
              <w:rPr>
                <w:rFonts w:hint="eastAsia"/>
                <w:color w:val="auto"/>
                <w:szCs w:val="21"/>
                <w:highlight w:val="none"/>
              </w:rPr>
              <w:t>6000≤Y＜80000</w:t>
            </w:r>
          </w:p>
        </w:tc>
        <w:tc>
          <w:tcPr>
            <w:tcW w:w="1570" w:type="dxa"/>
            <w:tcBorders>
              <w:top w:val="nil"/>
              <w:left w:val="nil"/>
              <w:bottom w:val="single" w:color="auto" w:sz="4" w:space="0"/>
              <w:right w:val="single" w:color="auto" w:sz="4" w:space="0"/>
            </w:tcBorders>
            <w:noWrap w:val="0"/>
            <w:vAlign w:val="center"/>
          </w:tcPr>
          <w:p w14:paraId="5B68C529">
            <w:pPr>
              <w:widowControl/>
              <w:jc w:val="left"/>
              <w:rPr>
                <w:color w:val="auto"/>
                <w:szCs w:val="21"/>
                <w:highlight w:val="none"/>
              </w:rPr>
            </w:pPr>
            <w:r>
              <w:rPr>
                <w:rFonts w:hint="eastAsia"/>
                <w:color w:val="auto"/>
                <w:szCs w:val="21"/>
                <w:highlight w:val="none"/>
              </w:rPr>
              <w:t>300≤Y＜6000</w:t>
            </w:r>
          </w:p>
        </w:tc>
        <w:tc>
          <w:tcPr>
            <w:tcW w:w="1009" w:type="dxa"/>
            <w:tcBorders>
              <w:top w:val="nil"/>
              <w:left w:val="nil"/>
              <w:bottom w:val="single" w:color="auto" w:sz="4" w:space="0"/>
              <w:right w:val="single" w:color="auto" w:sz="4" w:space="0"/>
            </w:tcBorders>
            <w:noWrap w:val="0"/>
            <w:vAlign w:val="center"/>
          </w:tcPr>
          <w:p w14:paraId="15B48D3E">
            <w:pPr>
              <w:widowControl/>
              <w:jc w:val="left"/>
              <w:rPr>
                <w:color w:val="auto"/>
                <w:szCs w:val="21"/>
                <w:highlight w:val="none"/>
              </w:rPr>
            </w:pPr>
            <w:r>
              <w:rPr>
                <w:rFonts w:hint="eastAsia"/>
                <w:color w:val="auto"/>
                <w:szCs w:val="21"/>
                <w:highlight w:val="none"/>
              </w:rPr>
              <w:t>Y＜300</w:t>
            </w:r>
          </w:p>
        </w:tc>
      </w:tr>
      <w:tr w14:paraId="4578DF7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13A3C02">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FB539FD">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79DE5215">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C9054B6">
            <w:pPr>
              <w:widowControl/>
              <w:jc w:val="left"/>
              <w:rPr>
                <w:color w:val="auto"/>
                <w:szCs w:val="21"/>
                <w:highlight w:val="none"/>
              </w:rPr>
            </w:pPr>
            <w:r>
              <w:rPr>
                <w:rFonts w:hint="eastAsia"/>
                <w:color w:val="auto"/>
                <w:szCs w:val="21"/>
                <w:highlight w:val="none"/>
              </w:rPr>
              <w:t>5000≤Z＜80000</w:t>
            </w:r>
          </w:p>
        </w:tc>
        <w:tc>
          <w:tcPr>
            <w:tcW w:w="1570" w:type="dxa"/>
            <w:tcBorders>
              <w:top w:val="nil"/>
              <w:left w:val="nil"/>
              <w:bottom w:val="single" w:color="auto" w:sz="4" w:space="0"/>
              <w:right w:val="single" w:color="auto" w:sz="4" w:space="0"/>
            </w:tcBorders>
            <w:noWrap w:val="0"/>
            <w:vAlign w:val="center"/>
          </w:tcPr>
          <w:p w14:paraId="420B5EC0">
            <w:pPr>
              <w:widowControl/>
              <w:jc w:val="left"/>
              <w:rPr>
                <w:color w:val="auto"/>
                <w:szCs w:val="21"/>
                <w:highlight w:val="none"/>
              </w:rPr>
            </w:pPr>
            <w:r>
              <w:rPr>
                <w:rFonts w:hint="eastAsia"/>
                <w:color w:val="auto"/>
                <w:szCs w:val="21"/>
                <w:highlight w:val="none"/>
              </w:rPr>
              <w:t>300≤Z＜5000</w:t>
            </w:r>
          </w:p>
        </w:tc>
        <w:tc>
          <w:tcPr>
            <w:tcW w:w="1009" w:type="dxa"/>
            <w:tcBorders>
              <w:top w:val="nil"/>
              <w:left w:val="nil"/>
              <w:bottom w:val="single" w:color="auto" w:sz="4" w:space="0"/>
              <w:right w:val="single" w:color="auto" w:sz="4" w:space="0"/>
            </w:tcBorders>
            <w:noWrap w:val="0"/>
            <w:vAlign w:val="center"/>
          </w:tcPr>
          <w:p w14:paraId="05793899">
            <w:pPr>
              <w:widowControl/>
              <w:jc w:val="left"/>
              <w:rPr>
                <w:color w:val="auto"/>
                <w:szCs w:val="21"/>
                <w:highlight w:val="none"/>
              </w:rPr>
            </w:pPr>
            <w:r>
              <w:rPr>
                <w:rFonts w:hint="eastAsia"/>
                <w:color w:val="auto"/>
                <w:szCs w:val="21"/>
                <w:highlight w:val="none"/>
              </w:rPr>
              <w:t>Z＜300</w:t>
            </w:r>
          </w:p>
        </w:tc>
      </w:tr>
      <w:tr w14:paraId="14E2A52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71ABA94">
            <w:pPr>
              <w:widowControl/>
              <w:ind w:firstLine="315" w:firstLineChars="150"/>
              <w:rPr>
                <w:color w:val="auto"/>
                <w:szCs w:val="21"/>
                <w:highlight w:val="none"/>
              </w:rPr>
            </w:pPr>
            <w:r>
              <w:rPr>
                <w:rFonts w:hint="eastAsia"/>
                <w:color w:val="auto"/>
                <w:szCs w:val="21"/>
                <w:highlight w:val="none"/>
              </w:rPr>
              <w:t>批发业</w:t>
            </w:r>
          </w:p>
        </w:tc>
        <w:tc>
          <w:tcPr>
            <w:tcW w:w="1701" w:type="dxa"/>
            <w:tcBorders>
              <w:top w:val="nil"/>
              <w:left w:val="nil"/>
              <w:bottom w:val="single" w:color="auto" w:sz="4" w:space="0"/>
              <w:right w:val="single" w:color="auto" w:sz="4" w:space="0"/>
            </w:tcBorders>
            <w:noWrap w:val="0"/>
            <w:vAlign w:val="center"/>
          </w:tcPr>
          <w:p w14:paraId="3C851F0A">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9DAAB59">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290A03A">
            <w:pPr>
              <w:widowControl/>
              <w:jc w:val="left"/>
              <w:rPr>
                <w:color w:val="auto"/>
                <w:szCs w:val="21"/>
                <w:highlight w:val="none"/>
              </w:rPr>
            </w:pPr>
            <w:r>
              <w:rPr>
                <w:rFonts w:hint="eastAsia"/>
                <w:color w:val="auto"/>
                <w:szCs w:val="21"/>
                <w:highlight w:val="none"/>
              </w:rPr>
              <w:t>20≤X＜200</w:t>
            </w:r>
          </w:p>
        </w:tc>
        <w:tc>
          <w:tcPr>
            <w:tcW w:w="1570" w:type="dxa"/>
            <w:tcBorders>
              <w:top w:val="nil"/>
              <w:left w:val="nil"/>
              <w:bottom w:val="single" w:color="auto" w:sz="4" w:space="0"/>
              <w:right w:val="single" w:color="auto" w:sz="4" w:space="0"/>
            </w:tcBorders>
            <w:noWrap w:val="0"/>
            <w:vAlign w:val="center"/>
          </w:tcPr>
          <w:p w14:paraId="2CC05323">
            <w:pPr>
              <w:widowControl/>
              <w:jc w:val="left"/>
              <w:rPr>
                <w:color w:val="auto"/>
                <w:szCs w:val="21"/>
                <w:highlight w:val="none"/>
              </w:rPr>
            </w:pPr>
            <w:r>
              <w:rPr>
                <w:rFonts w:hint="eastAsia"/>
                <w:color w:val="auto"/>
                <w:szCs w:val="21"/>
                <w:highlight w:val="none"/>
              </w:rPr>
              <w:t>5≤X＜20</w:t>
            </w:r>
          </w:p>
        </w:tc>
        <w:tc>
          <w:tcPr>
            <w:tcW w:w="1009" w:type="dxa"/>
            <w:tcBorders>
              <w:top w:val="nil"/>
              <w:left w:val="nil"/>
              <w:bottom w:val="single" w:color="auto" w:sz="4" w:space="0"/>
              <w:right w:val="single" w:color="auto" w:sz="4" w:space="0"/>
            </w:tcBorders>
            <w:noWrap w:val="0"/>
            <w:vAlign w:val="center"/>
          </w:tcPr>
          <w:p w14:paraId="1B60BCB5">
            <w:pPr>
              <w:widowControl/>
              <w:jc w:val="left"/>
              <w:rPr>
                <w:color w:val="auto"/>
                <w:szCs w:val="21"/>
                <w:highlight w:val="none"/>
              </w:rPr>
            </w:pPr>
            <w:r>
              <w:rPr>
                <w:rFonts w:hint="eastAsia"/>
                <w:color w:val="auto"/>
                <w:szCs w:val="21"/>
                <w:highlight w:val="none"/>
              </w:rPr>
              <w:t>X＜5</w:t>
            </w:r>
          </w:p>
        </w:tc>
      </w:tr>
      <w:tr w14:paraId="49EA3E7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545FB18">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E04129D">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555F396">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D136F32">
            <w:pPr>
              <w:widowControl/>
              <w:jc w:val="left"/>
              <w:rPr>
                <w:color w:val="auto"/>
                <w:szCs w:val="21"/>
                <w:highlight w:val="none"/>
              </w:rPr>
            </w:pPr>
            <w:r>
              <w:rPr>
                <w:rFonts w:hint="eastAsia"/>
                <w:color w:val="auto"/>
                <w:szCs w:val="21"/>
                <w:highlight w:val="none"/>
              </w:rPr>
              <w:t>5000≤Y＜40000</w:t>
            </w:r>
          </w:p>
        </w:tc>
        <w:tc>
          <w:tcPr>
            <w:tcW w:w="1570" w:type="dxa"/>
            <w:tcBorders>
              <w:top w:val="nil"/>
              <w:left w:val="nil"/>
              <w:bottom w:val="single" w:color="auto" w:sz="4" w:space="0"/>
              <w:right w:val="single" w:color="auto" w:sz="4" w:space="0"/>
            </w:tcBorders>
            <w:noWrap w:val="0"/>
            <w:vAlign w:val="center"/>
          </w:tcPr>
          <w:p w14:paraId="3180502E">
            <w:pPr>
              <w:widowControl/>
              <w:jc w:val="left"/>
              <w:rPr>
                <w:color w:val="auto"/>
                <w:szCs w:val="21"/>
                <w:highlight w:val="none"/>
              </w:rPr>
            </w:pPr>
            <w:r>
              <w:rPr>
                <w:rFonts w:hint="eastAsia"/>
                <w:color w:val="auto"/>
                <w:szCs w:val="21"/>
                <w:highlight w:val="none"/>
              </w:rPr>
              <w:t>1000≤Y＜5000</w:t>
            </w:r>
          </w:p>
        </w:tc>
        <w:tc>
          <w:tcPr>
            <w:tcW w:w="1009" w:type="dxa"/>
            <w:tcBorders>
              <w:top w:val="nil"/>
              <w:left w:val="nil"/>
              <w:bottom w:val="single" w:color="auto" w:sz="4" w:space="0"/>
              <w:right w:val="single" w:color="auto" w:sz="4" w:space="0"/>
            </w:tcBorders>
            <w:noWrap w:val="0"/>
            <w:vAlign w:val="center"/>
          </w:tcPr>
          <w:p w14:paraId="52A8B24E">
            <w:pPr>
              <w:widowControl/>
              <w:jc w:val="left"/>
              <w:rPr>
                <w:color w:val="auto"/>
                <w:szCs w:val="21"/>
                <w:highlight w:val="none"/>
              </w:rPr>
            </w:pPr>
            <w:r>
              <w:rPr>
                <w:rFonts w:hint="eastAsia"/>
                <w:color w:val="auto"/>
                <w:szCs w:val="21"/>
                <w:highlight w:val="none"/>
              </w:rPr>
              <w:t>Y＜1000</w:t>
            </w:r>
          </w:p>
        </w:tc>
      </w:tr>
      <w:tr w14:paraId="1CB6DAC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9615C08">
            <w:pPr>
              <w:widowControl/>
              <w:jc w:val="center"/>
              <w:rPr>
                <w:color w:val="auto"/>
                <w:szCs w:val="21"/>
                <w:highlight w:val="none"/>
              </w:rPr>
            </w:pPr>
            <w:r>
              <w:rPr>
                <w:rFonts w:hint="eastAsia"/>
                <w:color w:val="auto"/>
                <w:szCs w:val="21"/>
                <w:highlight w:val="none"/>
              </w:rPr>
              <w:t>零售业</w:t>
            </w:r>
          </w:p>
        </w:tc>
        <w:tc>
          <w:tcPr>
            <w:tcW w:w="1701" w:type="dxa"/>
            <w:tcBorders>
              <w:top w:val="nil"/>
              <w:left w:val="nil"/>
              <w:bottom w:val="single" w:color="auto" w:sz="4" w:space="0"/>
              <w:right w:val="single" w:color="auto" w:sz="4" w:space="0"/>
            </w:tcBorders>
            <w:noWrap w:val="0"/>
            <w:vAlign w:val="center"/>
          </w:tcPr>
          <w:p w14:paraId="788DA08E">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86299B1">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42F69FD">
            <w:pPr>
              <w:widowControl/>
              <w:jc w:val="left"/>
              <w:rPr>
                <w:color w:val="auto"/>
                <w:szCs w:val="21"/>
                <w:highlight w:val="none"/>
              </w:rPr>
            </w:pPr>
            <w:r>
              <w:rPr>
                <w:rFonts w:hint="eastAsia"/>
                <w:color w:val="auto"/>
                <w:szCs w:val="21"/>
                <w:highlight w:val="none"/>
              </w:rPr>
              <w:t>50≤X＜300</w:t>
            </w:r>
          </w:p>
        </w:tc>
        <w:tc>
          <w:tcPr>
            <w:tcW w:w="1570" w:type="dxa"/>
            <w:tcBorders>
              <w:top w:val="nil"/>
              <w:left w:val="nil"/>
              <w:bottom w:val="single" w:color="auto" w:sz="4" w:space="0"/>
              <w:right w:val="single" w:color="auto" w:sz="4" w:space="0"/>
            </w:tcBorders>
            <w:noWrap w:val="0"/>
            <w:vAlign w:val="center"/>
          </w:tcPr>
          <w:p w14:paraId="643E3867">
            <w:pPr>
              <w:widowControl/>
              <w:jc w:val="left"/>
              <w:rPr>
                <w:color w:val="auto"/>
                <w:szCs w:val="21"/>
                <w:highlight w:val="none"/>
              </w:rPr>
            </w:pPr>
            <w:r>
              <w:rPr>
                <w:rFonts w:hint="eastAsia"/>
                <w:color w:val="auto"/>
                <w:szCs w:val="21"/>
                <w:highlight w:val="none"/>
              </w:rPr>
              <w:t>10≤X＜50</w:t>
            </w:r>
          </w:p>
        </w:tc>
        <w:tc>
          <w:tcPr>
            <w:tcW w:w="1009" w:type="dxa"/>
            <w:tcBorders>
              <w:top w:val="nil"/>
              <w:left w:val="nil"/>
              <w:bottom w:val="single" w:color="auto" w:sz="4" w:space="0"/>
              <w:right w:val="single" w:color="auto" w:sz="4" w:space="0"/>
            </w:tcBorders>
            <w:noWrap w:val="0"/>
            <w:vAlign w:val="center"/>
          </w:tcPr>
          <w:p w14:paraId="40F40AB2">
            <w:pPr>
              <w:widowControl/>
              <w:jc w:val="left"/>
              <w:rPr>
                <w:color w:val="auto"/>
                <w:szCs w:val="21"/>
                <w:highlight w:val="none"/>
              </w:rPr>
            </w:pPr>
            <w:r>
              <w:rPr>
                <w:rFonts w:hint="eastAsia"/>
                <w:color w:val="auto"/>
                <w:szCs w:val="21"/>
                <w:highlight w:val="none"/>
              </w:rPr>
              <w:t>X＜10</w:t>
            </w:r>
          </w:p>
        </w:tc>
      </w:tr>
      <w:tr w14:paraId="678F6CA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C0EE54A">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C3A71A1">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102FBE4">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BDCB80D">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22588A65">
            <w:pPr>
              <w:widowControl/>
              <w:jc w:val="left"/>
              <w:rPr>
                <w:color w:val="auto"/>
                <w:szCs w:val="21"/>
                <w:highlight w:val="none"/>
              </w:rPr>
            </w:pPr>
            <w:r>
              <w:rPr>
                <w:rFonts w:hint="eastAsia"/>
                <w:color w:val="auto"/>
                <w:szCs w:val="21"/>
                <w:highlight w:val="none"/>
              </w:rPr>
              <w:t>100≤Y＜500</w:t>
            </w:r>
          </w:p>
        </w:tc>
        <w:tc>
          <w:tcPr>
            <w:tcW w:w="1009" w:type="dxa"/>
            <w:tcBorders>
              <w:top w:val="nil"/>
              <w:left w:val="nil"/>
              <w:bottom w:val="single" w:color="auto" w:sz="4" w:space="0"/>
              <w:right w:val="single" w:color="auto" w:sz="4" w:space="0"/>
            </w:tcBorders>
            <w:noWrap w:val="0"/>
            <w:vAlign w:val="center"/>
          </w:tcPr>
          <w:p w14:paraId="141DF254">
            <w:pPr>
              <w:widowControl/>
              <w:jc w:val="left"/>
              <w:rPr>
                <w:color w:val="auto"/>
                <w:szCs w:val="21"/>
                <w:highlight w:val="none"/>
              </w:rPr>
            </w:pPr>
            <w:r>
              <w:rPr>
                <w:rFonts w:hint="eastAsia"/>
                <w:color w:val="auto"/>
                <w:szCs w:val="21"/>
                <w:highlight w:val="none"/>
              </w:rPr>
              <w:t>Y＜100</w:t>
            </w:r>
          </w:p>
        </w:tc>
      </w:tr>
      <w:tr w14:paraId="49EC437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4D951C8">
            <w:pPr>
              <w:widowControl/>
              <w:jc w:val="center"/>
              <w:rPr>
                <w:color w:val="auto"/>
                <w:szCs w:val="21"/>
                <w:highlight w:val="none"/>
              </w:rPr>
            </w:pPr>
            <w:r>
              <w:rPr>
                <w:rFonts w:hint="eastAsia"/>
                <w:color w:val="auto"/>
                <w:szCs w:val="21"/>
                <w:highlight w:val="none"/>
              </w:rPr>
              <w:t>交通运输业</w:t>
            </w:r>
          </w:p>
        </w:tc>
        <w:tc>
          <w:tcPr>
            <w:tcW w:w="1701" w:type="dxa"/>
            <w:tcBorders>
              <w:top w:val="nil"/>
              <w:left w:val="nil"/>
              <w:bottom w:val="single" w:color="auto" w:sz="4" w:space="0"/>
              <w:right w:val="single" w:color="auto" w:sz="4" w:space="0"/>
            </w:tcBorders>
            <w:noWrap w:val="0"/>
            <w:vAlign w:val="center"/>
          </w:tcPr>
          <w:p w14:paraId="00000E45">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2B76A4F">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C69FB4E">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059CFDAE">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33C1B0C4">
            <w:pPr>
              <w:widowControl/>
              <w:jc w:val="left"/>
              <w:rPr>
                <w:color w:val="auto"/>
                <w:szCs w:val="21"/>
                <w:highlight w:val="none"/>
              </w:rPr>
            </w:pPr>
            <w:r>
              <w:rPr>
                <w:rFonts w:hint="eastAsia"/>
                <w:color w:val="auto"/>
                <w:szCs w:val="21"/>
                <w:highlight w:val="none"/>
              </w:rPr>
              <w:t>X＜20</w:t>
            </w:r>
          </w:p>
        </w:tc>
      </w:tr>
      <w:tr w14:paraId="5FFC7B6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D40F0E5">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5A34E3A">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C2C8377">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F8EA8B1">
            <w:pPr>
              <w:widowControl/>
              <w:jc w:val="left"/>
              <w:rPr>
                <w:color w:val="auto"/>
                <w:szCs w:val="21"/>
                <w:highlight w:val="none"/>
              </w:rPr>
            </w:pPr>
            <w:r>
              <w:rPr>
                <w:rFonts w:hint="eastAsia"/>
                <w:color w:val="auto"/>
                <w:szCs w:val="21"/>
                <w:highlight w:val="none"/>
              </w:rPr>
              <w:t>3000≤Y＜30000</w:t>
            </w:r>
          </w:p>
        </w:tc>
        <w:tc>
          <w:tcPr>
            <w:tcW w:w="1570" w:type="dxa"/>
            <w:tcBorders>
              <w:top w:val="nil"/>
              <w:left w:val="nil"/>
              <w:bottom w:val="single" w:color="auto" w:sz="4" w:space="0"/>
              <w:right w:val="single" w:color="auto" w:sz="4" w:space="0"/>
            </w:tcBorders>
            <w:noWrap w:val="0"/>
            <w:vAlign w:val="center"/>
          </w:tcPr>
          <w:p w14:paraId="1DB98106">
            <w:pPr>
              <w:widowControl/>
              <w:jc w:val="left"/>
              <w:rPr>
                <w:color w:val="auto"/>
                <w:szCs w:val="21"/>
                <w:highlight w:val="none"/>
              </w:rPr>
            </w:pPr>
            <w:r>
              <w:rPr>
                <w:rFonts w:hint="eastAsia"/>
                <w:color w:val="auto"/>
                <w:szCs w:val="21"/>
                <w:highlight w:val="none"/>
              </w:rPr>
              <w:t>200≤Y＜3000</w:t>
            </w:r>
          </w:p>
        </w:tc>
        <w:tc>
          <w:tcPr>
            <w:tcW w:w="1009" w:type="dxa"/>
            <w:tcBorders>
              <w:top w:val="nil"/>
              <w:left w:val="nil"/>
              <w:bottom w:val="single" w:color="auto" w:sz="4" w:space="0"/>
              <w:right w:val="single" w:color="auto" w:sz="4" w:space="0"/>
            </w:tcBorders>
            <w:noWrap w:val="0"/>
            <w:vAlign w:val="center"/>
          </w:tcPr>
          <w:p w14:paraId="38EF4D77">
            <w:pPr>
              <w:widowControl/>
              <w:jc w:val="left"/>
              <w:rPr>
                <w:color w:val="auto"/>
                <w:szCs w:val="21"/>
                <w:highlight w:val="none"/>
              </w:rPr>
            </w:pPr>
            <w:r>
              <w:rPr>
                <w:rFonts w:hint="eastAsia"/>
                <w:color w:val="auto"/>
                <w:szCs w:val="21"/>
                <w:highlight w:val="none"/>
              </w:rPr>
              <w:t>Y＜200</w:t>
            </w:r>
          </w:p>
        </w:tc>
      </w:tr>
      <w:tr w14:paraId="746F275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8AA6279">
            <w:pPr>
              <w:widowControl/>
              <w:jc w:val="center"/>
              <w:rPr>
                <w:color w:val="auto"/>
                <w:szCs w:val="21"/>
                <w:highlight w:val="none"/>
              </w:rPr>
            </w:pPr>
            <w:r>
              <w:rPr>
                <w:rFonts w:hint="eastAsia"/>
                <w:color w:val="auto"/>
                <w:szCs w:val="21"/>
                <w:highlight w:val="none"/>
              </w:rPr>
              <w:t>仓储业</w:t>
            </w:r>
          </w:p>
        </w:tc>
        <w:tc>
          <w:tcPr>
            <w:tcW w:w="1701" w:type="dxa"/>
            <w:tcBorders>
              <w:top w:val="nil"/>
              <w:left w:val="nil"/>
              <w:bottom w:val="single" w:color="auto" w:sz="4" w:space="0"/>
              <w:right w:val="single" w:color="auto" w:sz="4" w:space="0"/>
            </w:tcBorders>
            <w:noWrap w:val="0"/>
            <w:vAlign w:val="center"/>
          </w:tcPr>
          <w:p w14:paraId="0676824E">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704B572">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C60D754">
            <w:pPr>
              <w:widowControl/>
              <w:jc w:val="left"/>
              <w:rPr>
                <w:color w:val="auto"/>
                <w:szCs w:val="21"/>
                <w:highlight w:val="none"/>
              </w:rPr>
            </w:pPr>
            <w:r>
              <w:rPr>
                <w:rFonts w:hint="eastAsia"/>
                <w:color w:val="auto"/>
                <w:szCs w:val="21"/>
                <w:highlight w:val="none"/>
              </w:rPr>
              <w:t>100≤X＜200</w:t>
            </w:r>
          </w:p>
        </w:tc>
        <w:tc>
          <w:tcPr>
            <w:tcW w:w="1570" w:type="dxa"/>
            <w:tcBorders>
              <w:top w:val="nil"/>
              <w:left w:val="nil"/>
              <w:bottom w:val="single" w:color="auto" w:sz="4" w:space="0"/>
              <w:right w:val="single" w:color="auto" w:sz="4" w:space="0"/>
            </w:tcBorders>
            <w:noWrap w:val="0"/>
            <w:vAlign w:val="center"/>
          </w:tcPr>
          <w:p w14:paraId="5AD3C665">
            <w:pPr>
              <w:widowControl/>
              <w:jc w:val="left"/>
              <w:rPr>
                <w:color w:val="auto"/>
                <w:szCs w:val="21"/>
                <w:highlight w:val="none"/>
              </w:rPr>
            </w:pPr>
            <w:r>
              <w:rPr>
                <w:rFonts w:hint="eastAsia"/>
                <w:color w:val="auto"/>
                <w:szCs w:val="21"/>
                <w:highlight w:val="none"/>
              </w:rPr>
              <w:t>20≤X＜100</w:t>
            </w:r>
          </w:p>
        </w:tc>
        <w:tc>
          <w:tcPr>
            <w:tcW w:w="1009" w:type="dxa"/>
            <w:tcBorders>
              <w:top w:val="nil"/>
              <w:left w:val="nil"/>
              <w:bottom w:val="single" w:color="auto" w:sz="4" w:space="0"/>
              <w:right w:val="single" w:color="auto" w:sz="4" w:space="0"/>
            </w:tcBorders>
            <w:noWrap w:val="0"/>
            <w:vAlign w:val="center"/>
          </w:tcPr>
          <w:p w14:paraId="0798E58B">
            <w:pPr>
              <w:widowControl/>
              <w:jc w:val="left"/>
              <w:rPr>
                <w:color w:val="auto"/>
                <w:szCs w:val="21"/>
                <w:highlight w:val="none"/>
              </w:rPr>
            </w:pPr>
            <w:r>
              <w:rPr>
                <w:rFonts w:hint="eastAsia"/>
                <w:color w:val="auto"/>
                <w:szCs w:val="21"/>
                <w:highlight w:val="none"/>
              </w:rPr>
              <w:t>X＜20</w:t>
            </w:r>
          </w:p>
        </w:tc>
      </w:tr>
      <w:tr w14:paraId="6A7AB50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E9E2429">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C13ABC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D06CB00">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A26DD04">
            <w:pPr>
              <w:widowControl/>
              <w:jc w:val="left"/>
              <w:rPr>
                <w:color w:val="auto"/>
                <w:szCs w:val="21"/>
                <w:highlight w:val="none"/>
              </w:rPr>
            </w:pPr>
            <w:r>
              <w:rPr>
                <w:rFonts w:hint="eastAsia"/>
                <w:color w:val="auto"/>
                <w:szCs w:val="21"/>
                <w:highlight w:val="none"/>
              </w:rPr>
              <w:t>1000≤Y＜30000</w:t>
            </w:r>
          </w:p>
        </w:tc>
        <w:tc>
          <w:tcPr>
            <w:tcW w:w="1570" w:type="dxa"/>
            <w:tcBorders>
              <w:top w:val="nil"/>
              <w:left w:val="nil"/>
              <w:bottom w:val="single" w:color="auto" w:sz="4" w:space="0"/>
              <w:right w:val="single" w:color="auto" w:sz="4" w:space="0"/>
            </w:tcBorders>
            <w:noWrap w:val="0"/>
            <w:vAlign w:val="center"/>
          </w:tcPr>
          <w:p w14:paraId="723DDEE8">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0368B7C5">
            <w:pPr>
              <w:widowControl/>
              <w:jc w:val="left"/>
              <w:rPr>
                <w:color w:val="auto"/>
                <w:szCs w:val="21"/>
                <w:highlight w:val="none"/>
              </w:rPr>
            </w:pPr>
            <w:r>
              <w:rPr>
                <w:rFonts w:hint="eastAsia"/>
                <w:color w:val="auto"/>
                <w:szCs w:val="21"/>
                <w:highlight w:val="none"/>
              </w:rPr>
              <w:t>Y＜100</w:t>
            </w:r>
          </w:p>
        </w:tc>
      </w:tr>
      <w:tr w14:paraId="531B703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9A8455D">
            <w:pPr>
              <w:widowControl/>
              <w:jc w:val="center"/>
              <w:rPr>
                <w:color w:val="auto"/>
                <w:szCs w:val="21"/>
                <w:highlight w:val="none"/>
              </w:rPr>
            </w:pPr>
            <w:r>
              <w:rPr>
                <w:rFonts w:hint="eastAsia"/>
                <w:color w:val="auto"/>
                <w:szCs w:val="21"/>
                <w:highlight w:val="none"/>
              </w:rPr>
              <w:t>邮政业</w:t>
            </w:r>
          </w:p>
        </w:tc>
        <w:tc>
          <w:tcPr>
            <w:tcW w:w="1701" w:type="dxa"/>
            <w:tcBorders>
              <w:top w:val="nil"/>
              <w:left w:val="nil"/>
              <w:bottom w:val="single" w:color="auto" w:sz="4" w:space="0"/>
              <w:right w:val="single" w:color="auto" w:sz="4" w:space="0"/>
            </w:tcBorders>
            <w:noWrap w:val="0"/>
            <w:vAlign w:val="center"/>
          </w:tcPr>
          <w:p w14:paraId="6256B332">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7DFB9DC">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7304157">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4D95994B">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72662A79">
            <w:pPr>
              <w:widowControl/>
              <w:jc w:val="left"/>
              <w:rPr>
                <w:color w:val="auto"/>
                <w:szCs w:val="21"/>
                <w:highlight w:val="none"/>
              </w:rPr>
            </w:pPr>
            <w:r>
              <w:rPr>
                <w:rFonts w:hint="eastAsia"/>
                <w:color w:val="auto"/>
                <w:szCs w:val="21"/>
                <w:highlight w:val="none"/>
              </w:rPr>
              <w:t>X＜20</w:t>
            </w:r>
          </w:p>
        </w:tc>
      </w:tr>
      <w:tr w14:paraId="3814784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E9620AE">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EC1CC2A">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1DD2FC9">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4787E5E">
            <w:pPr>
              <w:widowControl/>
              <w:jc w:val="left"/>
              <w:rPr>
                <w:color w:val="auto"/>
                <w:szCs w:val="21"/>
                <w:highlight w:val="none"/>
              </w:rPr>
            </w:pPr>
            <w:r>
              <w:rPr>
                <w:rFonts w:hint="eastAsia"/>
                <w:color w:val="auto"/>
                <w:szCs w:val="21"/>
                <w:highlight w:val="none"/>
              </w:rPr>
              <w:t>2000≤Y＜30000</w:t>
            </w:r>
          </w:p>
        </w:tc>
        <w:tc>
          <w:tcPr>
            <w:tcW w:w="1570" w:type="dxa"/>
            <w:tcBorders>
              <w:top w:val="nil"/>
              <w:left w:val="nil"/>
              <w:bottom w:val="single" w:color="auto" w:sz="4" w:space="0"/>
              <w:right w:val="single" w:color="auto" w:sz="4" w:space="0"/>
            </w:tcBorders>
            <w:noWrap w:val="0"/>
            <w:vAlign w:val="center"/>
          </w:tcPr>
          <w:p w14:paraId="20E1B092">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3B6C34BB">
            <w:pPr>
              <w:widowControl/>
              <w:jc w:val="left"/>
              <w:rPr>
                <w:color w:val="auto"/>
                <w:szCs w:val="21"/>
                <w:highlight w:val="none"/>
              </w:rPr>
            </w:pPr>
            <w:r>
              <w:rPr>
                <w:rFonts w:hint="eastAsia"/>
                <w:color w:val="auto"/>
                <w:szCs w:val="21"/>
                <w:highlight w:val="none"/>
              </w:rPr>
              <w:t>Y＜100</w:t>
            </w:r>
          </w:p>
        </w:tc>
      </w:tr>
      <w:tr w14:paraId="1564B1F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3319A70">
            <w:pPr>
              <w:widowControl/>
              <w:jc w:val="center"/>
              <w:rPr>
                <w:color w:val="auto"/>
                <w:szCs w:val="21"/>
                <w:highlight w:val="none"/>
              </w:rPr>
            </w:pPr>
            <w:r>
              <w:rPr>
                <w:rFonts w:hint="eastAsia"/>
                <w:color w:val="auto"/>
                <w:szCs w:val="21"/>
                <w:highlight w:val="none"/>
              </w:rPr>
              <w:t>住宿业</w:t>
            </w:r>
          </w:p>
        </w:tc>
        <w:tc>
          <w:tcPr>
            <w:tcW w:w="1701" w:type="dxa"/>
            <w:tcBorders>
              <w:top w:val="nil"/>
              <w:left w:val="nil"/>
              <w:bottom w:val="single" w:color="auto" w:sz="4" w:space="0"/>
              <w:right w:val="single" w:color="auto" w:sz="4" w:space="0"/>
            </w:tcBorders>
            <w:noWrap w:val="0"/>
            <w:vAlign w:val="center"/>
          </w:tcPr>
          <w:p w14:paraId="6E76E90A">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E029785">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3D695BF">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7EC2024D">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3C9FE2CC">
            <w:pPr>
              <w:widowControl/>
              <w:jc w:val="left"/>
              <w:rPr>
                <w:color w:val="auto"/>
                <w:szCs w:val="21"/>
                <w:highlight w:val="none"/>
              </w:rPr>
            </w:pPr>
            <w:r>
              <w:rPr>
                <w:rFonts w:hint="eastAsia"/>
                <w:color w:val="auto"/>
                <w:szCs w:val="21"/>
                <w:highlight w:val="none"/>
              </w:rPr>
              <w:t>X＜10</w:t>
            </w:r>
          </w:p>
        </w:tc>
      </w:tr>
      <w:tr w14:paraId="47EB87C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CD3F0D3">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E7CEDEB">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DE55EF1">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4B1201F">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69378270">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70CEC8C1">
            <w:pPr>
              <w:widowControl/>
              <w:jc w:val="left"/>
              <w:rPr>
                <w:color w:val="auto"/>
                <w:szCs w:val="21"/>
                <w:highlight w:val="none"/>
              </w:rPr>
            </w:pPr>
            <w:r>
              <w:rPr>
                <w:rFonts w:hint="eastAsia"/>
                <w:color w:val="auto"/>
                <w:szCs w:val="21"/>
                <w:highlight w:val="none"/>
              </w:rPr>
              <w:t>Y＜100</w:t>
            </w:r>
          </w:p>
        </w:tc>
      </w:tr>
      <w:tr w14:paraId="12891A6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3667E11">
            <w:pPr>
              <w:widowControl/>
              <w:jc w:val="center"/>
              <w:rPr>
                <w:color w:val="auto"/>
                <w:szCs w:val="21"/>
                <w:highlight w:val="none"/>
              </w:rPr>
            </w:pPr>
            <w:r>
              <w:rPr>
                <w:rFonts w:hint="eastAsia"/>
                <w:color w:val="auto"/>
                <w:szCs w:val="21"/>
                <w:highlight w:val="none"/>
              </w:rPr>
              <w:t>餐饮业</w:t>
            </w:r>
          </w:p>
        </w:tc>
        <w:tc>
          <w:tcPr>
            <w:tcW w:w="1701" w:type="dxa"/>
            <w:tcBorders>
              <w:top w:val="nil"/>
              <w:left w:val="nil"/>
              <w:bottom w:val="single" w:color="auto" w:sz="4" w:space="0"/>
              <w:right w:val="single" w:color="auto" w:sz="4" w:space="0"/>
            </w:tcBorders>
            <w:noWrap w:val="0"/>
            <w:vAlign w:val="center"/>
          </w:tcPr>
          <w:p w14:paraId="1E6DCD43">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E2BF84A">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992417C">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1CAF7237">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2EB9F65C">
            <w:pPr>
              <w:widowControl/>
              <w:jc w:val="left"/>
              <w:rPr>
                <w:color w:val="auto"/>
                <w:szCs w:val="21"/>
                <w:highlight w:val="none"/>
              </w:rPr>
            </w:pPr>
            <w:r>
              <w:rPr>
                <w:rFonts w:hint="eastAsia"/>
                <w:color w:val="auto"/>
                <w:szCs w:val="21"/>
                <w:highlight w:val="none"/>
              </w:rPr>
              <w:t>X＜10</w:t>
            </w:r>
          </w:p>
        </w:tc>
      </w:tr>
      <w:tr w14:paraId="207FFF1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2EF6D5A">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27487D52">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B8502B5">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D430CB5">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22D18728">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64112596">
            <w:pPr>
              <w:widowControl/>
              <w:jc w:val="left"/>
              <w:rPr>
                <w:color w:val="auto"/>
                <w:szCs w:val="21"/>
                <w:highlight w:val="none"/>
              </w:rPr>
            </w:pPr>
            <w:r>
              <w:rPr>
                <w:rFonts w:hint="eastAsia"/>
                <w:color w:val="auto"/>
                <w:szCs w:val="21"/>
                <w:highlight w:val="none"/>
              </w:rPr>
              <w:t>Y＜100</w:t>
            </w:r>
          </w:p>
        </w:tc>
      </w:tr>
      <w:tr w14:paraId="09FDB12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40DEC34">
            <w:pPr>
              <w:widowControl/>
              <w:jc w:val="center"/>
              <w:rPr>
                <w:color w:val="auto"/>
                <w:szCs w:val="21"/>
                <w:highlight w:val="none"/>
              </w:rPr>
            </w:pPr>
            <w:r>
              <w:rPr>
                <w:rFonts w:hint="eastAsia"/>
                <w:color w:val="auto"/>
                <w:szCs w:val="21"/>
                <w:highlight w:val="none"/>
              </w:rPr>
              <w:t>信息传输业</w:t>
            </w:r>
          </w:p>
        </w:tc>
        <w:tc>
          <w:tcPr>
            <w:tcW w:w="1701" w:type="dxa"/>
            <w:tcBorders>
              <w:top w:val="nil"/>
              <w:left w:val="nil"/>
              <w:bottom w:val="single" w:color="auto" w:sz="4" w:space="0"/>
              <w:right w:val="single" w:color="auto" w:sz="4" w:space="0"/>
            </w:tcBorders>
            <w:noWrap w:val="0"/>
            <w:vAlign w:val="center"/>
          </w:tcPr>
          <w:p w14:paraId="0E749546">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F7A84E8">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17C1F1E">
            <w:pPr>
              <w:widowControl/>
              <w:jc w:val="left"/>
              <w:rPr>
                <w:color w:val="auto"/>
                <w:szCs w:val="21"/>
                <w:highlight w:val="none"/>
              </w:rPr>
            </w:pPr>
            <w:r>
              <w:rPr>
                <w:rFonts w:hint="eastAsia"/>
                <w:color w:val="auto"/>
                <w:szCs w:val="21"/>
                <w:highlight w:val="none"/>
              </w:rPr>
              <w:t>100≤X＜2000</w:t>
            </w:r>
          </w:p>
        </w:tc>
        <w:tc>
          <w:tcPr>
            <w:tcW w:w="1570" w:type="dxa"/>
            <w:tcBorders>
              <w:top w:val="nil"/>
              <w:left w:val="nil"/>
              <w:bottom w:val="single" w:color="auto" w:sz="4" w:space="0"/>
              <w:right w:val="single" w:color="auto" w:sz="4" w:space="0"/>
            </w:tcBorders>
            <w:noWrap w:val="0"/>
            <w:vAlign w:val="center"/>
          </w:tcPr>
          <w:p w14:paraId="52008DBD">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0AF99C3F">
            <w:pPr>
              <w:widowControl/>
              <w:jc w:val="left"/>
              <w:rPr>
                <w:color w:val="auto"/>
                <w:szCs w:val="21"/>
                <w:highlight w:val="none"/>
              </w:rPr>
            </w:pPr>
            <w:r>
              <w:rPr>
                <w:rFonts w:hint="eastAsia"/>
                <w:color w:val="auto"/>
                <w:szCs w:val="21"/>
                <w:highlight w:val="none"/>
              </w:rPr>
              <w:t>X＜10</w:t>
            </w:r>
          </w:p>
        </w:tc>
      </w:tr>
      <w:tr w14:paraId="36EF3DE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B86B894">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B9EC4E1">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E67E4B0">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6F12509">
            <w:pPr>
              <w:widowControl/>
              <w:jc w:val="left"/>
              <w:rPr>
                <w:color w:val="auto"/>
                <w:szCs w:val="21"/>
                <w:highlight w:val="none"/>
              </w:rPr>
            </w:pPr>
            <w:r>
              <w:rPr>
                <w:rFonts w:hint="eastAsia"/>
                <w:color w:val="auto"/>
                <w:szCs w:val="21"/>
                <w:highlight w:val="none"/>
              </w:rPr>
              <w:t>1000≤Y＜100000</w:t>
            </w:r>
          </w:p>
        </w:tc>
        <w:tc>
          <w:tcPr>
            <w:tcW w:w="1570" w:type="dxa"/>
            <w:tcBorders>
              <w:top w:val="nil"/>
              <w:left w:val="nil"/>
              <w:bottom w:val="single" w:color="auto" w:sz="4" w:space="0"/>
              <w:right w:val="single" w:color="auto" w:sz="4" w:space="0"/>
            </w:tcBorders>
            <w:noWrap w:val="0"/>
            <w:vAlign w:val="center"/>
          </w:tcPr>
          <w:p w14:paraId="6A9A5D9E">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088EE22C">
            <w:pPr>
              <w:widowControl/>
              <w:jc w:val="left"/>
              <w:rPr>
                <w:color w:val="auto"/>
                <w:szCs w:val="21"/>
                <w:highlight w:val="none"/>
              </w:rPr>
            </w:pPr>
            <w:r>
              <w:rPr>
                <w:rFonts w:hint="eastAsia"/>
                <w:color w:val="auto"/>
                <w:szCs w:val="21"/>
                <w:highlight w:val="none"/>
              </w:rPr>
              <w:t>Y＜100</w:t>
            </w:r>
          </w:p>
        </w:tc>
      </w:tr>
      <w:tr w14:paraId="15840E5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F350130">
            <w:pPr>
              <w:widowControl/>
              <w:jc w:val="center"/>
              <w:rPr>
                <w:color w:val="auto"/>
                <w:szCs w:val="21"/>
                <w:highlight w:val="none"/>
              </w:rPr>
            </w:pPr>
            <w:r>
              <w:rPr>
                <w:rFonts w:hint="eastAsia"/>
                <w:color w:val="auto"/>
                <w:szCs w:val="21"/>
                <w:highlight w:val="none"/>
              </w:rPr>
              <w:t>软件和信息技术服务业</w:t>
            </w:r>
          </w:p>
        </w:tc>
        <w:tc>
          <w:tcPr>
            <w:tcW w:w="1701" w:type="dxa"/>
            <w:tcBorders>
              <w:top w:val="nil"/>
              <w:left w:val="nil"/>
              <w:bottom w:val="single" w:color="auto" w:sz="4" w:space="0"/>
              <w:right w:val="single" w:color="auto" w:sz="4" w:space="0"/>
            </w:tcBorders>
            <w:noWrap w:val="0"/>
            <w:vAlign w:val="center"/>
          </w:tcPr>
          <w:p w14:paraId="4ED7CB94">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C1CE027">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9C57F84">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0B932483">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1647782C">
            <w:pPr>
              <w:widowControl/>
              <w:jc w:val="left"/>
              <w:rPr>
                <w:color w:val="auto"/>
                <w:szCs w:val="21"/>
                <w:highlight w:val="none"/>
              </w:rPr>
            </w:pPr>
            <w:r>
              <w:rPr>
                <w:rFonts w:hint="eastAsia"/>
                <w:color w:val="auto"/>
                <w:szCs w:val="21"/>
                <w:highlight w:val="none"/>
              </w:rPr>
              <w:t>X＜10</w:t>
            </w:r>
          </w:p>
        </w:tc>
      </w:tr>
      <w:tr w14:paraId="60E893A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B51F71B">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58D3DE0F">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23F4FAB">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4DB6728">
            <w:pPr>
              <w:widowControl/>
              <w:jc w:val="left"/>
              <w:rPr>
                <w:color w:val="auto"/>
                <w:szCs w:val="21"/>
                <w:highlight w:val="none"/>
              </w:rPr>
            </w:pPr>
            <w:r>
              <w:rPr>
                <w:rFonts w:hint="eastAsia"/>
                <w:color w:val="auto"/>
                <w:szCs w:val="21"/>
                <w:highlight w:val="none"/>
              </w:rPr>
              <w:t>1000≤Y＜10000</w:t>
            </w:r>
          </w:p>
        </w:tc>
        <w:tc>
          <w:tcPr>
            <w:tcW w:w="1570" w:type="dxa"/>
            <w:tcBorders>
              <w:top w:val="nil"/>
              <w:left w:val="nil"/>
              <w:bottom w:val="single" w:color="auto" w:sz="4" w:space="0"/>
              <w:right w:val="single" w:color="auto" w:sz="4" w:space="0"/>
            </w:tcBorders>
            <w:noWrap w:val="0"/>
            <w:vAlign w:val="center"/>
          </w:tcPr>
          <w:p w14:paraId="3D924DFC">
            <w:pPr>
              <w:widowControl/>
              <w:jc w:val="left"/>
              <w:rPr>
                <w:color w:val="auto"/>
                <w:szCs w:val="21"/>
                <w:highlight w:val="none"/>
              </w:rPr>
            </w:pPr>
            <w:r>
              <w:rPr>
                <w:rFonts w:hint="eastAsia"/>
                <w:color w:val="auto"/>
                <w:szCs w:val="21"/>
                <w:highlight w:val="none"/>
              </w:rPr>
              <w:t>50≤Y＜1000</w:t>
            </w:r>
          </w:p>
        </w:tc>
        <w:tc>
          <w:tcPr>
            <w:tcW w:w="1009" w:type="dxa"/>
            <w:tcBorders>
              <w:top w:val="nil"/>
              <w:left w:val="nil"/>
              <w:bottom w:val="single" w:color="auto" w:sz="4" w:space="0"/>
              <w:right w:val="single" w:color="auto" w:sz="4" w:space="0"/>
            </w:tcBorders>
            <w:noWrap w:val="0"/>
            <w:vAlign w:val="center"/>
          </w:tcPr>
          <w:p w14:paraId="5AB5C8C4">
            <w:pPr>
              <w:widowControl/>
              <w:jc w:val="left"/>
              <w:rPr>
                <w:color w:val="auto"/>
                <w:szCs w:val="21"/>
                <w:highlight w:val="none"/>
              </w:rPr>
            </w:pPr>
            <w:r>
              <w:rPr>
                <w:rFonts w:hint="eastAsia"/>
                <w:color w:val="auto"/>
                <w:szCs w:val="21"/>
                <w:highlight w:val="none"/>
              </w:rPr>
              <w:t>Y＜50</w:t>
            </w:r>
          </w:p>
        </w:tc>
      </w:tr>
      <w:tr w14:paraId="3F89FCE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936B0DC">
            <w:pPr>
              <w:widowControl/>
              <w:jc w:val="center"/>
              <w:rPr>
                <w:color w:val="auto"/>
                <w:szCs w:val="21"/>
                <w:highlight w:val="none"/>
              </w:rPr>
            </w:pPr>
            <w:r>
              <w:rPr>
                <w:rFonts w:hint="eastAsia"/>
                <w:color w:val="auto"/>
                <w:szCs w:val="21"/>
                <w:highlight w:val="none"/>
              </w:rPr>
              <w:t>房地产开发经营</w:t>
            </w:r>
          </w:p>
        </w:tc>
        <w:tc>
          <w:tcPr>
            <w:tcW w:w="1701" w:type="dxa"/>
            <w:tcBorders>
              <w:top w:val="nil"/>
              <w:left w:val="nil"/>
              <w:bottom w:val="single" w:color="auto" w:sz="4" w:space="0"/>
              <w:right w:val="single" w:color="auto" w:sz="4" w:space="0"/>
            </w:tcBorders>
            <w:noWrap w:val="0"/>
            <w:vAlign w:val="center"/>
          </w:tcPr>
          <w:p w14:paraId="3D1F80FF">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2412CC1">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7343787">
            <w:pPr>
              <w:widowControl/>
              <w:jc w:val="left"/>
              <w:rPr>
                <w:color w:val="auto"/>
                <w:szCs w:val="21"/>
                <w:highlight w:val="none"/>
              </w:rPr>
            </w:pPr>
            <w:r>
              <w:rPr>
                <w:rFonts w:hint="eastAsia"/>
                <w:color w:val="auto"/>
                <w:szCs w:val="21"/>
                <w:highlight w:val="none"/>
              </w:rPr>
              <w:t>1000≤Y＜200000</w:t>
            </w:r>
          </w:p>
        </w:tc>
        <w:tc>
          <w:tcPr>
            <w:tcW w:w="1570" w:type="dxa"/>
            <w:tcBorders>
              <w:top w:val="nil"/>
              <w:left w:val="nil"/>
              <w:bottom w:val="single" w:color="auto" w:sz="4" w:space="0"/>
              <w:right w:val="single" w:color="auto" w:sz="4" w:space="0"/>
            </w:tcBorders>
            <w:noWrap w:val="0"/>
            <w:vAlign w:val="center"/>
          </w:tcPr>
          <w:p w14:paraId="347F2D7E">
            <w:pPr>
              <w:widowControl/>
              <w:jc w:val="left"/>
              <w:rPr>
                <w:color w:val="auto"/>
                <w:szCs w:val="21"/>
                <w:highlight w:val="none"/>
              </w:rPr>
            </w:pPr>
            <w:r>
              <w:rPr>
                <w:rFonts w:hint="eastAsia"/>
                <w:color w:val="auto"/>
                <w:szCs w:val="21"/>
                <w:highlight w:val="none"/>
              </w:rPr>
              <w:t>100≤X＜1000</w:t>
            </w:r>
          </w:p>
        </w:tc>
        <w:tc>
          <w:tcPr>
            <w:tcW w:w="1009" w:type="dxa"/>
            <w:tcBorders>
              <w:top w:val="nil"/>
              <w:left w:val="nil"/>
              <w:bottom w:val="single" w:color="auto" w:sz="4" w:space="0"/>
              <w:right w:val="single" w:color="auto" w:sz="4" w:space="0"/>
            </w:tcBorders>
            <w:noWrap w:val="0"/>
            <w:vAlign w:val="center"/>
          </w:tcPr>
          <w:p w14:paraId="526C7204">
            <w:pPr>
              <w:widowControl/>
              <w:jc w:val="left"/>
              <w:rPr>
                <w:color w:val="auto"/>
                <w:szCs w:val="21"/>
                <w:highlight w:val="none"/>
              </w:rPr>
            </w:pPr>
            <w:r>
              <w:rPr>
                <w:rFonts w:hint="eastAsia"/>
                <w:color w:val="auto"/>
                <w:szCs w:val="21"/>
                <w:highlight w:val="none"/>
              </w:rPr>
              <w:t>X＜100</w:t>
            </w:r>
          </w:p>
        </w:tc>
      </w:tr>
      <w:tr w14:paraId="5048158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60E7982">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329E22C">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03B8F41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7E98990">
            <w:pPr>
              <w:widowControl/>
              <w:jc w:val="left"/>
              <w:rPr>
                <w:color w:val="auto"/>
                <w:szCs w:val="21"/>
                <w:highlight w:val="none"/>
              </w:rPr>
            </w:pPr>
            <w:r>
              <w:rPr>
                <w:rFonts w:hint="eastAsia"/>
                <w:color w:val="auto"/>
                <w:szCs w:val="21"/>
                <w:highlight w:val="none"/>
              </w:rPr>
              <w:t>5000≤Z＜10000</w:t>
            </w:r>
          </w:p>
        </w:tc>
        <w:tc>
          <w:tcPr>
            <w:tcW w:w="1570" w:type="dxa"/>
            <w:tcBorders>
              <w:top w:val="nil"/>
              <w:left w:val="nil"/>
              <w:bottom w:val="single" w:color="auto" w:sz="4" w:space="0"/>
              <w:right w:val="single" w:color="auto" w:sz="4" w:space="0"/>
            </w:tcBorders>
            <w:noWrap w:val="0"/>
            <w:vAlign w:val="center"/>
          </w:tcPr>
          <w:p w14:paraId="7E9F868D">
            <w:pPr>
              <w:widowControl/>
              <w:jc w:val="left"/>
              <w:rPr>
                <w:color w:val="auto"/>
                <w:szCs w:val="21"/>
                <w:highlight w:val="none"/>
              </w:rPr>
            </w:pPr>
            <w:r>
              <w:rPr>
                <w:rFonts w:hint="eastAsia"/>
                <w:color w:val="auto"/>
                <w:szCs w:val="21"/>
                <w:highlight w:val="none"/>
              </w:rPr>
              <w:t>2000≤Y＜5000</w:t>
            </w:r>
          </w:p>
        </w:tc>
        <w:tc>
          <w:tcPr>
            <w:tcW w:w="1009" w:type="dxa"/>
            <w:tcBorders>
              <w:top w:val="nil"/>
              <w:left w:val="nil"/>
              <w:bottom w:val="single" w:color="auto" w:sz="4" w:space="0"/>
              <w:right w:val="single" w:color="auto" w:sz="4" w:space="0"/>
            </w:tcBorders>
            <w:noWrap w:val="0"/>
            <w:vAlign w:val="center"/>
          </w:tcPr>
          <w:p w14:paraId="7A18C581">
            <w:pPr>
              <w:widowControl/>
              <w:jc w:val="left"/>
              <w:rPr>
                <w:color w:val="auto"/>
                <w:szCs w:val="21"/>
                <w:highlight w:val="none"/>
              </w:rPr>
            </w:pPr>
            <w:r>
              <w:rPr>
                <w:rFonts w:hint="eastAsia"/>
                <w:color w:val="auto"/>
                <w:szCs w:val="21"/>
                <w:highlight w:val="none"/>
              </w:rPr>
              <w:t>Y＜2000</w:t>
            </w:r>
          </w:p>
        </w:tc>
      </w:tr>
      <w:tr w14:paraId="5253A35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F122572">
            <w:pPr>
              <w:widowControl/>
              <w:jc w:val="center"/>
              <w:rPr>
                <w:color w:val="auto"/>
                <w:szCs w:val="21"/>
                <w:highlight w:val="none"/>
              </w:rPr>
            </w:pPr>
            <w:r>
              <w:rPr>
                <w:rFonts w:hint="eastAsia"/>
                <w:color w:val="auto"/>
                <w:szCs w:val="21"/>
                <w:highlight w:val="none"/>
              </w:rPr>
              <w:t>物业管理</w:t>
            </w:r>
          </w:p>
        </w:tc>
        <w:tc>
          <w:tcPr>
            <w:tcW w:w="1701" w:type="dxa"/>
            <w:tcBorders>
              <w:top w:val="nil"/>
              <w:left w:val="nil"/>
              <w:bottom w:val="single" w:color="auto" w:sz="4" w:space="0"/>
              <w:right w:val="single" w:color="auto" w:sz="4" w:space="0"/>
            </w:tcBorders>
            <w:noWrap w:val="0"/>
            <w:vAlign w:val="center"/>
          </w:tcPr>
          <w:p w14:paraId="60FA198F">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60B2BC4">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F33D04C">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74D59C39">
            <w:pPr>
              <w:widowControl/>
              <w:jc w:val="left"/>
              <w:rPr>
                <w:color w:val="auto"/>
                <w:szCs w:val="21"/>
                <w:highlight w:val="none"/>
              </w:rPr>
            </w:pPr>
            <w:r>
              <w:rPr>
                <w:rFonts w:hint="eastAsia"/>
                <w:color w:val="auto"/>
                <w:szCs w:val="21"/>
                <w:highlight w:val="none"/>
              </w:rPr>
              <w:t>100≤X＜300</w:t>
            </w:r>
          </w:p>
        </w:tc>
        <w:tc>
          <w:tcPr>
            <w:tcW w:w="1009" w:type="dxa"/>
            <w:tcBorders>
              <w:top w:val="nil"/>
              <w:left w:val="nil"/>
              <w:bottom w:val="single" w:color="auto" w:sz="4" w:space="0"/>
              <w:right w:val="single" w:color="auto" w:sz="4" w:space="0"/>
            </w:tcBorders>
            <w:noWrap w:val="0"/>
            <w:vAlign w:val="center"/>
          </w:tcPr>
          <w:p w14:paraId="13491D59">
            <w:pPr>
              <w:widowControl/>
              <w:jc w:val="left"/>
              <w:rPr>
                <w:color w:val="auto"/>
                <w:szCs w:val="21"/>
                <w:highlight w:val="none"/>
              </w:rPr>
            </w:pPr>
            <w:r>
              <w:rPr>
                <w:rFonts w:hint="eastAsia"/>
                <w:color w:val="auto"/>
                <w:szCs w:val="21"/>
                <w:highlight w:val="none"/>
              </w:rPr>
              <w:t>X＜100</w:t>
            </w:r>
          </w:p>
        </w:tc>
      </w:tr>
      <w:tr w14:paraId="5C5FACB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4DCB806">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DC4ED38">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F36B58C">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AD15100">
            <w:pPr>
              <w:widowControl/>
              <w:jc w:val="left"/>
              <w:rPr>
                <w:color w:val="auto"/>
                <w:szCs w:val="21"/>
                <w:highlight w:val="none"/>
              </w:rPr>
            </w:pPr>
            <w:r>
              <w:rPr>
                <w:rFonts w:hint="eastAsia"/>
                <w:color w:val="auto"/>
                <w:szCs w:val="21"/>
                <w:highlight w:val="none"/>
              </w:rPr>
              <w:t>1000≤Y＜5000</w:t>
            </w:r>
          </w:p>
        </w:tc>
        <w:tc>
          <w:tcPr>
            <w:tcW w:w="1570" w:type="dxa"/>
            <w:tcBorders>
              <w:top w:val="nil"/>
              <w:left w:val="nil"/>
              <w:bottom w:val="single" w:color="auto" w:sz="4" w:space="0"/>
              <w:right w:val="single" w:color="auto" w:sz="4" w:space="0"/>
            </w:tcBorders>
            <w:noWrap w:val="0"/>
            <w:vAlign w:val="center"/>
          </w:tcPr>
          <w:p w14:paraId="57740E17">
            <w:pPr>
              <w:widowControl/>
              <w:jc w:val="left"/>
              <w:rPr>
                <w:color w:val="auto"/>
                <w:szCs w:val="21"/>
                <w:highlight w:val="none"/>
              </w:rPr>
            </w:pPr>
            <w:r>
              <w:rPr>
                <w:rFonts w:hint="eastAsia"/>
                <w:color w:val="auto"/>
                <w:szCs w:val="21"/>
                <w:highlight w:val="none"/>
              </w:rPr>
              <w:t>500≤Y＜1000</w:t>
            </w:r>
          </w:p>
        </w:tc>
        <w:tc>
          <w:tcPr>
            <w:tcW w:w="1009" w:type="dxa"/>
            <w:tcBorders>
              <w:top w:val="nil"/>
              <w:left w:val="nil"/>
              <w:bottom w:val="single" w:color="auto" w:sz="4" w:space="0"/>
              <w:right w:val="single" w:color="auto" w:sz="4" w:space="0"/>
            </w:tcBorders>
            <w:noWrap w:val="0"/>
            <w:vAlign w:val="center"/>
          </w:tcPr>
          <w:p w14:paraId="4F583158">
            <w:pPr>
              <w:widowControl/>
              <w:jc w:val="left"/>
              <w:rPr>
                <w:color w:val="auto"/>
                <w:szCs w:val="21"/>
                <w:highlight w:val="none"/>
              </w:rPr>
            </w:pPr>
            <w:r>
              <w:rPr>
                <w:rFonts w:hint="eastAsia"/>
                <w:color w:val="auto"/>
                <w:szCs w:val="21"/>
                <w:highlight w:val="none"/>
              </w:rPr>
              <w:t>Y＜500</w:t>
            </w:r>
          </w:p>
        </w:tc>
      </w:tr>
      <w:tr w14:paraId="6BF9F81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874C2BA">
            <w:pPr>
              <w:widowControl/>
              <w:jc w:val="center"/>
              <w:rPr>
                <w:color w:val="auto"/>
                <w:szCs w:val="21"/>
                <w:highlight w:val="none"/>
              </w:rPr>
            </w:pPr>
            <w:r>
              <w:rPr>
                <w:rFonts w:hint="eastAsia"/>
                <w:color w:val="auto"/>
                <w:szCs w:val="21"/>
                <w:highlight w:val="none"/>
              </w:rPr>
              <w:t>租赁和商务服务业</w:t>
            </w:r>
          </w:p>
        </w:tc>
        <w:tc>
          <w:tcPr>
            <w:tcW w:w="1701" w:type="dxa"/>
            <w:tcBorders>
              <w:top w:val="nil"/>
              <w:left w:val="nil"/>
              <w:bottom w:val="single" w:color="auto" w:sz="4" w:space="0"/>
              <w:right w:val="single" w:color="auto" w:sz="4" w:space="0"/>
            </w:tcBorders>
            <w:noWrap w:val="0"/>
            <w:vAlign w:val="center"/>
          </w:tcPr>
          <w:p w14:paraId="4783935F">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DFCBB1E">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1250AC57">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0399184C">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49DC8B3F">
            <w:pPr>
              <w:widowControl/>
              <w:jc w:val="left"/>
              <w:rPr>
                <w:color w:val="auto"/>
                <w:szCs w:val="21"/>
                <w:highlight w:val="none"/>
              </w:rPr>
            </w:pPr>
            <w:r>
              <w:rPr>
                <w:rFonts w:hint="eastAsia"/>
                <w:color w:val="auto"/>
                <w:szCs w:val="21"/>
                <w:highlight w:val="none"/>
              </w:rPr>
              <w:t>X＜10</w:t>
            </w:r>
          </w:p>
        </w:tc>
      </w:tr>
      <w:tr w14:paraId="4E7AFFC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4CFC31F">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DA86C35">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17161D0C">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3F57995">
            <w:pPr>
              <w:widowControl/>
              <w:jc w:val="left"/>
              <w:rPr>
                <w:color w:val="auto"/>
                <w:szCs w:val="21"/>
                <w:highlight w:val="none"/>
              </w:rPr>
            </w:pPr>
            <w:r>
              <w:rPr>
                <w:rFonts w:hint="eastAsia"/>
                <w:color w:val="auto"/>
                <w:szCs w:val="21"/>
                <w:highlight w:val="none"/>
              </w:rPr>
              <w:t>8000≤Z＜120000</w:t>
            </w:r>
          </w:p>
        </w:tc>
        <w:tc>
          <w:tcPr>
            <w:tcW w:w="1570" w:type="dxa"/>
            <w:tcBorders>
              <w:top w:val="nil"/>
              <w:left w:val="nil"/>
              <w:bottom w:val="single" w:color="auto" w:sz="4" w:space="0"/>
              <w:right w:val="single" w:color="auto" w:sz="4" w:space="0"/>
            </w:tcBorders>
            <w:noWrap w:val="0"/>
            <w:vAlign w:val="center"/>
          </w:tcPr>
          <w:p w14:paraId="3404722B">
            <w:pPr>
              <w:widowControl/>
              <w:jc w:val="left"/>
              <w:rPr>
                <w:color w:val="auto"/>
                <w:szCs w:val="21"/>
                <w:highlight w:val="none"/>
              </w:rPr>
            </w:pPr>
            <w:r>
              <w:rPr>
                <w:rFonts w:hint="eastAsia"/>
                <w:color w:val="auto"/>
                <w:szCs w:val="21"/>
                <w:highlight w:val="none"/>
              </w:rPr>
              <w:t>100≤Z＜8000</w:t>
            </w:r>
          </w:p>
        </w:tc>
        <w:tc>
          <w:tcPr>
            <w:tcW w:w="1009" w:type="dxa"/>
            <w:tcBorders>
              <w:top w:val="nil"/>
              <w:left w:val="nil"/>
              <w:bottom w:val="single" w:color="auto" w:sz="4" w:space="0"/>
              <w:right w:val="single" w:color="auto" w:sz="4" w:space="0"/>
            </w:tcBorders>
            <w:noWrap w:val="0"/>
            <w:vAlign w:val="center"/>
          </w:tcPr>
          <w:p w14:paraId="4F34F858">
            <w:pPr>
              <w:widowControl/>
              <w:jc w:val="left"/>
              <w:rPr>
                <w:color w:val="auto"/>
                <w:szCs w:val="21"/>
                <w:highlight w:val="none"/>
              </w:rPr>
            </w:pPr>
            <w:r>
              <w:rPr>
                <w:rFonts w:hint="eastAsia"/>
                <w:color w:val="auto"/>
                <w:szCs w:val="21"/>
                <w:highlight w:val="none"/>
              </w:rPr>
              <w:t>Y＜100</w:t>
            </w:r>
          </w:p>
        </w:tc>
      </w:tr>
      <w:tr w14:paraId="784756A2">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757551ED">
            <w:pPr>
              <w:widowControl/>
              <w:jc w:val="center"/>
              <w:rPr>
                <w:color w:val="auto"/>
                <w:szCs w:val="21"/>
                <w:highlight w:val="none"/>
              </w:rPr>
            </w:pPr>
            <w:r>
              <w:rPr>
                <w:rFonts w:hint="eastAsia"/>
                <w:color w:val="auto"/>
                <w:szCs w:val="21"/>
                <w:highlight w:val="none"/>
              </w:rPr>
              <w:t>其他未列明行业</w:t>
            </w:r>
          </w:p>
        </w:tc>
        <w:tc>
          <w:tcPr>
            <w:tcW w:w="1701" w:type="dxa"/>
            <w:tcBorders>
              <w:top w:val="nil"/>
              <w:left w:val="nil"/>
              <w:bottom w:val="single" w:color="auto" w:sz="4" w:space="0"/>
              <w:right w:val="single" w:color="auto" w:sz="4" w:space="0"/>
            </w:tcBorders>
            <w:noWrap w:val="0"/>
            <w:vAlign w:val="center"/>
          </w:tcPr>
          <w:p w14:paraId="3E5EA88F">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78290C6">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2253DBD">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304DFEE8">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398E836E">
            <w:pPr>
              <w:widowControl/>
              <w:jc w:val="left"/>
              <w:rPr>
                <w:color w:val="auto"/>
                <w:szCs w:val="21"/>
                <w:highlight w:val="none"/>
              </w:rPr>
            </w:pPr>
            <w:r>
              <w:rPr>
                <w:rFonts w:hint="eastAsia"/>
                <w:color w:val="auto"/>
                <w:szCs w:val="21"/>
                <w:highlight w:val="none"/>
              </w:rPr>
              <w:t>X＜10</w:t>
            </w:r>
          </w:p>
        </w:tc>
      </w:tr>
    </w:tbl>
    <w:p w14:paraId="3BABE6E2">
      <w:pPr>
        <w:spacing w:line="360" w:lineRule="auto"/>
        <w:ind w:firstLine="525" w:firstLineChars="250"/>
        <w:rPr>
          <w:color w:val="auto"/>
          <w:szCs w:val="21"/>
          <w:highlight w:val="none"/>
        </w:rPr>
      </w:pPr>
      <w:r>
        <w:rPr>
          <w:rFonts w:hint="eastAsia"/>
          <w:color w:val="auto"/>
          <w:szCs w:val="21"/>
          <w:highlight w:val="none"/>
        </w:rPr>
        <w:t>说明：上述标准参照《关于印发中小企业划型标准规定的通知》（工信部联企业</w:t>
      </w:r>
      <w:r>
        <w:rPr>
          <w:rFonts w:hint="eastAsia"/>
          <w:color w:val="auto"/>
          <w:szCs w:val="21"/>
          <w:highlight w:val="none"/>
          <w:lang w:eastAsia="zh-CN"/>
        </w:rPr>
        <w:t>〔2011〕300号</w:t>
      </w:r>
      <w:r>
        <w:rPr>
          <w:rFonts w:hint="eastAsia"/>
          <w:color w:val="auto"/>
          <w:szCs w:val="21"/>
          <w:highlight w:val="none"/>
        </w:rPr>
        <w:t>），大型、中型和小型企业须同时满足所列指标的下限，否则下划一档；微型企业只须满足所列指标中的一项即可。</w:t>
      </w:r>
    </w:p>
    <w:p w14:paraId="1085B747">
      <w:pPr>
        <w:widowControl/>
        <w:jc w:val="left"/>
        <w:rPr>
          <w:color w:val="auto"/>
          <w:szCs w:val="21"/>
          <w:highlight w:val="none"/>
        </w:rPr>
      </w:pPr>
      <w:r>
        <w:rPr>
          <w:color w:val="auto"/>
          <w:szCs w:val="21"/>
          <w:highlight w:val="none"/>
        </w:rPr>
        <w:br w:type="page"/>
      </w:r>
    </w:p>
    <w:bookmarkEnd w:id="37"/>
    <w:p w14:paraId="35F60CB8">
      <w:pPr>
        <w:spacing w:line="360" w:lineRule="auto"/>
        <w:rPr>
          <w:color w:val="auto"/>
          <w:sz w:val="28"/>
          <w:szCs w:val="28"/>
          <w:highlight w:val="none"/>
        </w:rPr>
      </w:pPr>
      <w:bookmarkStart w:id="38" w:name="_Hlk132788258"/>
      <w:r>
        <w:rPr>
          <w:rFonts w:hint="eastAsia"/>
          <w:color w:val="auto"/>
          <w:sz w:val="28"/>
          <w:szCs w:val="28"/>
          <w:highlight w:val="none"/>
        </w:rPr>
        <w:t>附件2：</w:t>
      </w:r>
    </w:p>
    <w:p w14:paraId="4A26E2B7">
      <w:pPr>
        <w:spacing w:line="360" w:lineRule="auto"/>
        <w:rPr>
          <w:color w:val="auto"/>
          <w:sz w:val="28"/>
          <w:szCs w:val="28"/>
          <w:highlight w:val="none"/>
        </w:rPr>
      </w:pPr>
      <w:r>
        <w:rPr>
          <w:rFonts w:ascii="宋体" w:hAnsi="宋体" w:cs="宋体"/>
          <w:color w:val="auto"/>
          <w:position w:val="-335"/>
          <w:sz w:val="20"/>
          <w:szCs w:val="20"/>
          <w:highlight w:val="none"/>
        </w:rPr>
        <w:drawing>
          <wp:anchor distT="0" distB="0" distL="114300" distR="114300" simplePos="0" relativeHeight="251664384" behindDoc="0" locked="0" layoutInCell="1" allowOverlap="1">
            <wp:simplePos x="0" y="0"/>
            <wp:positionH relativeFrom="column">
              <wp:posOffset>1905</wp:posOffset>
            </wp:positionH>
            <wp:positionV relativeFrom="paragraph">
              <wp:posOffset>204470</wp:posOffset>
            </wp:positionV>
            <wp:extent cx="5573395" cy="8125460"/>
            <wp:effectExtent l="0" t="0" r="4445" b="1270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0"/>
                    <a:stretch>
                      <a:fillRect/>
                    </a:stretch>
                  </pic:blipFill>
                  <pic:spPr>
                    <a:xfrm>
                      <a:off x="0" y="0"/>
                      <a:ext cx="5573395" cy="8125460"/>
                    </a:xfrm>
                    <a:prstGeom prst="rect">
                      <a:avLst/>
                    </a:prstGeom>
                    <a:noFill/>
                    <a:ln>
                      <a:noFill/>
                    </a:ln>
                  </pic:spPr>
                </pic:pic>
              </a:graphicData>
            </a:graphic>
          </wp:anchor>
        </w:drawing>
      </w:r>
      <w:r>
        <w:rPr>
          <w:color w:val="auto"/>
          <w:szCs w:val="21"/>
          <w:highlight w:val="none"/>
        </w:rPr>
        <w:br w:type="page"/>
      </w:r>
      <w:r>
        <w:rPr>
          <w:rFonts w:hint="eastAsia"/>
          <w:color w:val="auto"/>
          <w:sz w:val="28"/>
          <w:szCs w:val="28"/>
          <w:highlight w:val="none"/>
        </w:rPr>
        <w:t>附件3：</w:t>
      </w:r>
    </w:p>
    <w:p w14:paraId="155E845C">
      <w:pPr>
        <w:spacing w:line="528" w:lineRule="exact"/>
        <w:ind w:firstLine="280" w:firstLineChars="100"/>
        <w:jc w:val="center"/>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节能产品政府采购品目清单</w:t>
      </w:r>
    </w:p>
    <w:p w14:paraId="524CDBDB">
      <w:pPr>
        <w:spacing w:line="151" w:lineRule="exact"/>
        <w:rPr>
          <w:color w:val="auto"/>
          <w:highlight w:val="none"/>
        </w:rPr>
      </w:pPr>
    </w:p>
    <w:tbl>
      <w:tblPr>
        <w:tblStyle w:val="213"/>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3CA8C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vAlign w:val="top"/>
          </w:tcPr>
          <w:p w14:paraId="0A315357">
            <w:pPr>
              <w:pStyle w:val="212"/>
              <w:spacing w:before="128" w:line="224" w:lineRule="auto"/>
              <w:ind w:left="91"/>
              <w:rPr>
                <w:color w:val="auto"/>
                <w:sz w:val="22"/>
                <w:szCs w:val="22"/>
                <w:highlight w:val="none"/>
              </w:rPr>
            </w:pPr>
            <w:r>
              <w:rPr>
                <w:b/>
                <w:bCs/>
                <w:color w:val="auto"/>
                <w:spacing w:val="-9"/>
                <w:sz w:val="22"/>
                <w:szCs w:val="22"/>
                <w:highlight w:val="none"/>
              </w:rPr>
              <w:t>品目</w:t>
            </w:r>
          </w:p>
          <w:p w14:paraId="598A6C7F">
            <w:pPr>
              <w:pStyle w:val="212"/>
              <w:spacing w:before="45" w:line="222" w:lineRule="auto"/>
              <w:ind w:left="72"/>
              <w:rPr>
                <w:color w:val="auto"/>
                <w:sz w:val="22"/>
                <w:szCs w:val="22"/>
                <w:highlight w:val="none"/>
              </w:rPr>
            </w:pPr>
            <w:r>
              <w:rPr>
                <w:b/>
                <w:bCs/>
                <w:color w:val="auto"/>
                <w:spacing w:val="-4"/>
                <w:sz w:val="22"/>
                <w:szCs w:val="22"/>
                <w:highlight w:val="none"/>
              </w:rPr>
              <w:t>序号</w:t>
            </w:r>
          </w:p>
        </w:tc>
        <w:tc>
          <w:tcPr>
            <w:tcW w:w="4879" w:type="dxa"/>
            <w:gridSpan w:val="3"/>
            <w:vAlign w:val="top"/>
          </w:tcPr>
          <w:p w14:paraId="66D4BAAC">
            <w:pPr>
              <w:pStyle w:val="212"/>
              <w:spacing w:before="285" w:line="223" w:lineRule="auto"/>
              <w:ind w:left="2226"/>
              <w:rPr>
                <w:color w:val="auto"/>
                <w:sz w:val="22"/>
                <w:szCs w:val="22"/>
                <w:highlight w:val="none"/>
              </w:rPr>
            </w:pPr>
            <w:r>
              <w:rPr>
                <w:b/>
                <w:bCs/>
                <w:color w:val="auto"/>
                <w:spacing w:val="-5"/>
                <w:sz w:val="22"/>
                <w:szCs w:val="22"/>
                <w:highlight w:val="none"/>
              </w:rPr>
              <w:t>名称</w:t>
            </w:r>
          </w:p>
        </w:tc>
        <w:tc>
          <w:tcPr>
            <w:tcW w:w="2969" w:type="dxa"/>
            <w:vAlign w:val="top"/>
          </w:tcPr>
          <w:p w14:paraId="3A2744A3">
            <w:pPr>
              <w:pStyle w:val="212"/>
              <w:spacing w:before="285" w:line="220" w:lineRule="auto"/>
              <w:ind w:left="939"/>
              <w:rPr>
                <w:color w:val="auto"/>
                <w:sz w:val="22"/>
                <w:szCs w:val="22"/>
                <w:highlight w:val="none"/>
              </w:rPr>
            </w:pPr>
            <w:r>
              <w:rPr>
                <w:b/>
                <w:bCs/>
                <w:color w:val="auto"/>
                <w:spacing w:val="-4"/>
                <w:sz w:val="22"/>
                <w:szCs w:val="22"/>
                <w:highlight w:val="none"/>
              </w:rPr>
              <w:t>依据的标准</w:t>
            </w:r>
          </w:p>
        </w:tc>
      </w:tr>
      <w:tr w14:paraId="690AD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578" w:type="dxa"/>
            <w:vMerge w:val="restart"/>
            <w:tcBorders>
              <w:bottom w:val="nil"/>
            </w:tcBorders>
            <w:vAlign w:val="top"/>
          </w:tcPr>
          <w:p w14:paraId="1228478B">
            <w:pPr>
              <w:spacing w:line="246" w:lineRule="auto"/>
              <w:rPr>
                <w:rFonts w:ascii="Arial"/>
                <w:color w:val="auto"/>
                <w:sz w:val="21"/>
                <w:highlight w:val="none"/>
              </w:rPr>
            </w:pPr>
          </w:p>
          <w:p w14:paraId="07C59DD1">
            <w:pPr>
              <w:spacing w:line="247" w:lineRule="auto"/>
              <w:rPr>
                <w:rFonts w:ascii="Arial"/>
                <w:color w:val="auto"/>
                <w:sz w:val="21"/>
                <w:highlight w:val="none"/>
              </w:rPr>
            </w:pPr>
          </w:p>
          <w:p w14:paraId="3A849AFF">
            <w:pPr>
              <w:spacing w:line="247" w:lineRule="auto"/>
              <w:rPr>
                <w:rFonts w:ascii="Arial"/>
                <w:color w:val="auto"/>
                <w:sz w:val="21"/>
                <w:highlight w:val="none"/>
              </w:rPr>
            </w:pPr>
          </w:p>
          <w:p w14:paraId="29D73DF7">
            <w:pPr>
              <w:spacing w:line="247" w:lineRule="auto"/>
              <w:rPr>
                <w:rFonts w:ascii="Arial"/>
                <w:color w:val="auto"/>
                <w:sz w:val="21"/>
                <w:highlight w:val="none"/>
              </w:rPr>
            </w:pPr>
          </w:p>
          <w:p w14:paraId="1C83C889">
            <w:pPr>
              <w:pStyle w:val="212"/>
              <w:spacing w:before="62" w:line="258" w:lineRule="exact"/>
              <w:ind w:left="257"/>
              <w:rPr>
                <w:color w:val="auto"/>
                <w:highlight w:val="none"/>
              </w:rPr>
            </w:pPr>
            <w:r>
              <w:rPr>
                <w:color w:val="auto"/>
                <w:position w:val="1"/>
                <w:highlight w:val="none"/>
              </w:rPr>
              <w:t>1</w:t>
            </w:r>
          </w:p>
        </w:tc>
        <w:tc>
          <w:tcPr>
            <w:tcW w:w="1166" w:type="dxa"/>
            <w:vMerge w:val="restart"/>
            <w:tcBorders>
              <w:bottom w:val="nil"/>
            </w:tcBorders>
            <w:vAlign w:val="top"/>
          </w:tcPr>
          <w:p w14:paraId="4C2387A2">
            <w:pPr>
              <w:spacing w:line="277" w:lineRule="auto"/>
              <w:rPr>
                <w:rFonts w:ascii="Arial"/>
                <w:color w:val="auto"/>
                <w:sz w:val="21"/>
                <w:highlight w:val="none"/>
              </w:rPr>
            </w:pPr>
          </w:p>
          <w:p w14:paraId="6CE6E9A5">
            <w:pPr>
              <w:spacing w:line="277" w:lineRule="auto"/>
              <w:rPr>
                <w:rFonts w:ascii="Arial"/>
                <w:color w:val="auto"/>
                <w:sz w:val="21"/>
                <w:highlight w:val="none"/>
              </w:rPr>
            </w:pPr>
          </w:p>
          <w:p w14:paraId="5F3A6CB2">
            <w:pPr>
              <w:spacing w:line="278" w:lineRule="auto"/>
              <w:rPr>
                <w:rFonts w:ascii="Arial"/>
                <w:color w:val="auto"/>
                <w:sz w:val="21"/>
                <w:highlight w:val="none"/>
              </w:rPr>
            </w:pPr>
          </w:p>
          <w:p w14:paraId="561B9496">
            <w:pPr>
              <w:pStyle w:val="212"/>
              <w:spacing w:before="62" w:line="304" w:lineRule="auto"/>
              <w:ind w:left="14" w:right="8" w:hanging="5"/>
              <w:rPr>
                <w:color w:val="auto"/>
                <w:highlight w:val="none"/>
              </w:rPr>
            </w:pPr>
            <w:r>
              <w:rPr>
                <w:color w:val="auto"/>
                <w:spacing w:val="5"/>
                <w:highlight w:val="none"/>
              </w:rPr>
              <w:t>A020101</w:t>
            </w:r>
            <w:r>
              <w:rPr>
                <w:color w:val="auto"/>
                <w:spacing w:val="-43"/>
                <w:highlight w:val="none"/>
              </w:rPr>
              <w:t xml:space="preserve"> </w:t>
            </w:r>
            <w:r>
              <w:rPr>
                <w:color w:val="auto"/>
                <w:spacing w:val="5"/>
                <w:highlight w:val="none"/>
              </w:rPr>
              <w:t>计算</w:t>
            </w:r>
            <w:r>
              <w:rPr>
                <w:color w:val="auto"/>
                <w:highlight w:val="none"/>
              </w:rPr>
              <w:t xml:space="preserve"> </w:t>
            </w:r>
            <w:r>
              <w:rPr>
                <w:color w:val="auto"/>
                <w:spacing w:val="6"/>
                <w:highlight w:val="none"/>
              </w:rPr>
              <w:t>机设备</w:t>
            </w:r>
          </w:p>
        </w:tc>
        <w:tc>
          <w:tcPr>
            <w:tcW w:w="1799" w:type="dxa"/>
            <w:vAlign w:val="top"/>
          </w:tcPr>
          <w:p w14:paraId="4ABE0E89">
            <w:pPr>
              <w:pStyle w:val="212"/>
              <w:spacing w:before="155" w:line="304" w:lineRule="auto"/>
              <w:ind w:left="17" w:right="10" w:firstLine="1"/>
              <w:rPr>
                <w:color w:val="auto"/>
                <w:highlight w:val="none"/>
              </w:rPr>
            </w:pPr>
            <w:r>
              <w:rPr>
                <w:color w:val="auto"/>
                <w:spacing w:val="3"/>
                <w:highlight w:val="none"/>
              </w:rPr>
              <w:t>★A02010104 台式计</w:t>
            </w:r>
            <w:r>
              <w:rPr>
                <w:color w:val="auto"/>
                <w:spacing w:val="12"/>
                <w:highlight w:val="none"/>
              </w:rPr>
              <w:t xml:space="preserve"> </w:t>
            </w:r>
            <w:r>
              <w:rPr>
                <w:color w:val="auto"/>
                <w:spacing w:val="4"/>
                <w:highlight w:val="none"/>
              </w:rPr>
              <w:t>算机</w:t>
            </w:r>
          </w:p>
        </w:tc>
        <w:tc>
          <w:tcPr>
            <w:tcW w:w="1914" w:type="dxa"/>
            <w:vAlign w:val="top"/>
          </w:tcPr>
          <w:p w14:paraId="22F9EE17">
            <w:pPr>
              <w:rPr>
                <w:rFonts w:ascii="Arial"/>
                <w:color w:val="auto"/>
                <w:sz w:val="21"/>
                <w:highlight w:val="none"/>
              </w:rPr>
            </w:pPr>
          </w:p>
        </w:tc>
        <w:tc>
          <w:tcPr>
            <w:tcW w:w="2969" w:type="dxa"/>
            <w:vAlign w:val="top"/>
          </w:tcPr>
          <w:p w14:paraId="184594AE">
            <w:pPr>
              <w:pStyle w:val="212"/>
              <w:spacing w:before="156" w:line="304" w:lineRule="auto"/>
              <w:ind w:left="19" w:right="11" w:firstLine="3"/>
              <w:rPr>
                <w:color w:val="auto"/>
                <w:highlight w:val="none"/>
              </w:rPr>
            </w:pPr>
            <w:r>
              <w:rPr>
                <w:color w:val="auto"/>
                <w:spacing w:val="19"/>
                <w:highlight w:val="none"/>
              </w:rPr>
              <w:t>《微型计算机能效限定值及能效</w:t>
            </w:r>
            <w:r>
              <w:rPr>
                <w:color w:val="auto"/>
                <w:spacing w:val="2"/>
                <w:highlight w:val="none"/>
              </w:rPr>
              <w:t xml:space="preserve"> </w:t>
            </w:r>
            <w:r>
              <w:rPr>
                <w:color w:val="auto"/>
                <w:spacing w:val="6"/>
                <w:highlight w:val="none"/>
              </w:rPr>
              <w:t>等级》（</w:t>
            </w:r>
            <w:r>
              <w:rPr>
                <w:color w:val="auto"/>
                <w:highlight w:val="none"/>
              </w:rPr>
              <w:t>GB</w:t>
            </w:r>
            <w:r>
              <w:rPr>
                <w:color w:val="auto"/>
                <w:spacing w:val="6"/>
                <w:highlight w:val="none"/>
              </w:rPr>
              <w:t xml:space="preserve"> 28380）</w:t>
            </w:r>
          </w:p>
        </w:tc>
      </w:tr>
      <w:tr w14:paraId="3F33F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578" w:type="dxa"/>
            <w:vMerge w:val="continue"/>
            <w:tcBorders>
              <w:top w:val="nil"/>
              <w:bottom w:val="nil"/>
            </w:tcBorders>
            <w:vAlign w:val="top"/>
          </w:tcPr>
          <w:p w14:paraId="0625F8B3">
            <w:pPr>
              <w:rPr>
                <w:rFonts w:ascii="Arial"/>
                <w:color w:val="auto"/>
                <w:sz w:val="21"/>
                <w:highlight w:val="none"/>
              </w:rPr>
            </w:pPr>
          </w:p>
        </w:tc>
        <w:tc>
          <w:tcPr>
            <w:tcW w:w="1166" w:type="dxa"/>
            <w:vMerge w:val="continue"/>
            <w:tcBorders>
              <w:top w:val="nil"/>
              <w:bottom w:val="nil"/>
            </w:tcBorders>
            <w:vAlign w:val="top"/>
          </w:tcPr>
          <w:p w14:paraId="40B80048">
            <w:pPr>
              <w:rPr>
                <w:rFonts w:ascii="Arial"/>
                <w:color w:val="auto"/>
                <w:sz w:val="21"/>
                <w:highlight w:val="none"/>
              </w:rPr>
            </w:pPr>
          </w:p>
        </w:tc>
        <w:tc>
          <w:tcPr>
            <w:tcW w:w="1799" w:type="dxa"/>
            <w:vAlign w:val="top"/>
          </w:tcPr>
          <w:p w14:paraId="6B92F9DE">
            <w:pPr>
              <w:pStyle w:val="212"/>
              <w:spacing w:before="108" w:line="293" w:lineRule="auto"/>
              <w:ind w:left="15" w:right="10" w:firstLine="3"/>
              <w:rPr>
                <w:color w:val="auto"/>
                <w:highlight w:val="none"/>
              </w:rPr>
            </w:pPr>
            <w:r>
              <w:rPr>
                <w:color w:val="auto"/>
                <w:spacing w:val="3"/>
                <w:highlight w:val="none"/>
              </w:rPr>
              <w:t>★A02010105 便携式</w:t>
            </w:r>
            <w:r>
              <w:rPr>
                <w:color w:val="auto"/>
                <w:spacing w:val="12"/>
                <w:highlight w:val="none"/>
              </w:rPr>
              <w:t xml:space="preserve"> </w:t>
            </w:r>
            <w:r>
              <w:rPr>
                <w:color w:val="auto"/>
                <w:spacing w:val="6"/>
                <w:highlight w:val="none"/>
              </w:rPr>
              <w:t>计算机</w:t>
            </w:r>
          </w:p>
        </w:tc>
        <w:tc>
          <w:tcPr>
            <w:tcW w:w="1914" w:type="dxa"/>
            <w:vAlign w:val="top"/>
          </w:tcPr>
          <w:p w14:paraId="14E453B6">
            <w:pPr>
              <w:rPr>
                <w:rFonts w:ascii="Arial"/>
                <w:color w:val="auto"/>
                <w:sz w:val="21"/>
                <w:highlight w:val="none"/>
              </w:rPr>
            </w:pPr>
          </w:p>
        </w:tc>
        <w:tc>
          <w:tcPr>
            <w:tcW w:w="2969" w:type="dxa"/>
            <w:vAlign w:val="top"/>
          </w:tcPr>
          <w:p w14:paraId="194ACF51">
            <w:pPr>
              <w:pStyle w:val="212"/>
              <w:spacing w:before="108" w:line="293" w:lineRule="auto"/>
              <w:ind w:left="19" w:right="11" w:firstLine="3"/>
              <w:rPr>
                <w:color w:val="auto"/>
                <w:highlight w:val="none"/>
              </w:rPr>
            </w:pPr>
            <w:r>
              <w:rPr>
                <w:color w:val="auto"/>
                <w:spacing w:val="19"/>
                <w:highlight w:val="none"/>
              </w:rPr>
              <w:t>《微型计算机能效限定值及能效</w:t>
            </w:r>
            <w:r>
              <w:rPr>
                <w:color w:val="auto"/>
                <w:spacing w:val="2"/>
                <w:highlight w:val="none"/>
              </w:rPr>
              <w:t xml:space="preserve"> </w:t>
            </w:r>
            <w:r>
              <w:rPr>
                <w:color w:val="auto"/>
                <w:spacing w:val="6"/>
                <w:highlight w:val="none"/>
              </w:rPr>
              <w:t>等级》（</w:t>
            </w:r>
            <w:r>
              <w:rPr>
                <w:color w:val="auto"/>
                <w:highlight w:val="none"/>
              </w:rPr>
              <w:t>GB</w:t>
            </w:r>
            <w:r>
              <w:rPr>
                <w:color w:val="auto"/>
                <w:spacing w:val="6"/>
                <w:highlight w:val="none"/>
              </w:rPr>
              <w:t xml:space="preserve"> 28380）</w:t>
            </w:r>
          </w:p>
        </w:tc>
      </w:tr>
      <w:tr w14:paraId="5F48F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578" w:type="dxa"/>
            <w:vMerge w:val="continue"/>
            <w:tcBorders>
              <w:top w:val="nil"/>
            </w:tcBorders>
            <w:vAlign w:val="top"/>
          </w:tcPr>
          <w:p w14:paraId="5AD3B477">
            <w:pPr>
              <w:rPr>
                <w:rFonts w:ascii="Arial"/>
                <w:color w:val="auto"/>
                <w:sz w:val="21"/>
                <w:highlight w:val="none"/>
              </w:rPr>
            </w:pPr>
          </w:p>
        </w:tc>
        <w:tc>
          <w:tcPr>
            <w:tcW w:w="1166" w:type="dxa"/>
            <w:vMerge w:val="continue"/>
            <w:tcBorders>
              <w:top w:val="nil"/>
            </w:tcBorders>
            <w:vAlign w:val="top"/>
          </w:tcPr>
          <w:p w14:paraId="0C5EF5BF">
            <w:pPr>
              <w:rPr>
                <w:rFonts w:ascii="Arial"/>
                <w:color w:val="auto"/>
                <w:sz w:val="21"/>
                <w:highlight w:val="none"/>
              </w:rPr>
            </w:pPr>
          </w:p>
        </w:tc>
        <w:tc>
          <w:tcPr>
            <w:tcW w:w="1799" w:type="dxa"/>
            <w:vAlign w:val="top"/>
          </w:tcPr>
          <w:p w14:paraId="0E8D6FD6">
            <w:pPr>
              <w:pStyle w:val="212"/>
              <w:spacing w:before="128" w:line="301" w:lineRule="auto"/>
              <w:ind w:left="15" w:right="10" w:firstLine="3"/>
              <w:rPr>
                <w:color w:val="auto"/>
                <w:highlight w:val="none"/>
              </w:rPr>
            </w:pPr>
            <w:r>
              <w:rPr>
                <w:color w:val="auto"/>
                <w:spacing w:val="3"/>
                <w:highlight w:val="none"/>
              </w:rPr>
              <w:t>★A02010107 平板式</w:t>
            </w:r>
            <w:r>
              <w:rPr>
                <w:color w:val="auto"/>
                <w:spacing w:val="12"/>
                <w:highlight w:val="none"/>
              </w:rPr>
              <w:t xml:space="preserve"> </w:t>
            </w:r>
            <w:r>
              <w:rPr>
                <w:color w:val="auto"/>
                <w:spacing w:val="8"/>
                <w:highlight w:val="none"/>
              </w:rPr>
              <w:t>微型计算机</w:t>
            </w:r>
          </w:p>
        </w:tc>
        <w:tc>
          <w:tcPr>
            <w:tcW w:w="1914" w:type="dxa"/>
            <w:vAlign w:val="top"/>
          </w:tcPr>
          <w:p w14:paraId="1D7B8C81">
            <w:pPr>
              <w:rPr>
                <w:rFonts w:ascii="Arial"/>
                <w:color w:val="auto"/>
                <w:sz w:val="21"/>
                <w:highlight w:val="none"/>
              </w:rPr>
            </w:pPr>
          </w:p>
        </w:tc>
        <w:tc>
          <w:tcPr>
            <w:tcW w:w="2969" w:type="dxa"/>
            <w:vAlign w:val="top"/>
          </w:tcPr>
          <w:p w14:paraId="7C74F5E3">
            <w:pPr>
              <w:pStyle w:val="212"/>
              <w:spacing w:before="128" w:line="301" w:lineRule="auto"/>
              <w:ind w:left="19" w:right="11" w:firstLine="3"/>
              <w:rPr>
                <w:color w:val="auto"/>
                <w:highlight w:val="none"/>
              </w:rPr>
            </w:pPr>
            <w:r>
              <w:rPr>
                <w:color w:val="auto"/>
                <w:spacing w:val="19"/>
                <w:highlight w:val="none"/>
              </w:rPr>
              <w:t>《微型计算机能效限定值及能效</w:t>
            </w:r>
            <w:r>
              <w:rPr>
                <w:color w:val="auto"/>
                <w:spacing w:val="2"/>
                <w:highlight w:val="none"/>
              </w:rPr>
              <w:t xml:space="preserve"> </w:t>
            </w:r>
            <w:r>
              <w:rPr>
                <w:color w:val="auto"/>
                <w:spacing w:val="6"/>
                <w:highlight w:val="none"/>
              </w:rPr>
              <w:t>等级》（</w:t>
            </w:r>
            <w:r>
              <w:rPr>
                <w:color w:val="auto"/>
                <w:highlight w:val="none"/>
              </w:rPr>
              <w:t>GB</w:t>
            </w:r>
            <w:r>
              <w:rPr>
                <w:color w:val="auto"/>
                <w:spacing w:val="6"/>
                <w:highlight w:val="none"/>
              </w:rPr>
              <w:t xml:space="preserve"> 28380）</w:t>
            </w:r>
          </w:p>
        </w:tc>
      </w:tr>
      <w:tr w14:paraId="53F2F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restart"/>
            <w:tcBorders>
              <w:bottom w:val="nil"/>
            </w:tcBorders>
            <w:vAlign w:val="top"/>
          </w:tcPr>
          <w:p w14:paraId="42DEF06C">
            <w:pPr>
              <w:spacing w:line="250" w:lineRule="auto"/>
              <w:rPr>
                <w:rFonts w:ascii="Arial"/>
                <w:color w:val="auto"/>
                <w:sz w:val="21"/>
                <w:highlight w:val="none"/>
              </w:rPr>
            </w:pPr>
          </w:p>
          <w:p w14:paraId="2DF3F2B3">
            <w:pPr>
              <w:spacing w:line="251" w:lineRule="auto"/>
              <w:rPr>
                <w:rFonts w:ascii="Arial"/>
                <w:color w:val="auto"/>
                <w:sz w:val="21"/>
                <w:highlight w:val="none"/>
              </w:rPr>
            </w:pPr>
          </w:p>
          <w:p w14:paraId="13EAE6DA">
            <w:pPr>
              <w:spacing w:line="251" w:lineRule="auto"/>
              <w:rPr>
                <w:rFonts w:ascii="Arial"/>
                <w:color w:val="auto"/>
                <w:sz w:val="21"/>
                <w:highlight w:val="none"/>
              </w:rPr>
            </w:pPr>
          </w:p>
          <w:p w14:paraId="4DBFEF75">
            <w:pPr>
              <w:spacing w:line="251" w:lineRule="auto"/>
              <w:rPr>
                <w:rFonts w:ascii="Arial"/>
                <w:color w:val="auto"/>
                <w:sz w:val="21"/>
                <w:highlight w:val="none"/>
              </w:rPr>
            </w:pPr>
          </w:p>
          <w:p w14:paraId="6709EF03">
            <w:pPr>
              <w:spacing w:line="251" w:lineRule="auto"/>
              <w:rPr>
                <w:rFonts w:ascii="Arial"/>
                <w:color w:val="auto"/>
                <w:sz w:val="21"/>
                <w:highlight w:val="none"/>
              </w:rPr>
            </w:pPr>
          </w:p>
          <w:p w14:paraId="66613EC7">
            <w:pPr>
              <w:spacing w:line="251" w:lineRule="auto"/>
              <w:rPr>
                <w:rFonts w:ascii="Arial"/>
                <w:color w:val="auto"/>
                <w:sz w:val="21"/>
                <w:highlight w:val="none"/>
              </w:rPr>
            </w:pPr>
          </w:p>
          <w:p w14:paraId="4946EADF">
            <w:pPr>
              <w:spacing w:line="251" w:lineRule="auto"/>
              <w:rPr>
                <w:rFonts w:ascii="Arial"/>
                <w:color w:val="auto"/>
                <w:sz w:val="21"/>
                <w:highlight w:val="none"/>
              </w:rPr>
            </w:pPr>
          </w:p>
          <w:p w14:paraId="07C8A2A9">
            <w:pPr>
              <w:spacing w:line="251" w:lineRule="auto"/>
              <w:rPr>
                <w:rFonts w:ascii="Arial"/>
                <w:color w:val="auto"/>
                <w:sz w:val="21"/>
                <w:highlight w:val="none"/>
              </w:rPr>
            </w:pPr>
          </w:p>
          <w:p w14:paraId="554BC166">
            <w:pPr>
              <w:pStyle w:val="212"/>
              <w:spacing w:before="61" w:line="258" w:lineRule="exact"/>
              <w:ind w:left="245"/>
              <w:rPr>
                <w:color w:val="auto"/>
                <w:highlight w:val="none"/>
              </w:rPr>
            </w:pPr>
            <w:r>
              <w:rPr>
                <w:color w:val="auto"/>
                <w:position w:val="1"/>
                <w:highlight w:val="none"/>
              </w:rPr>
              <w:t>2</w:t>
            </w:r>
          </w:p>
        </w:tc>
        <w:tc>
          <w:tcPr>
            <w:tcW w:w="1166" w:type="dxa"/>
            <w:vMerge w:val="restart"/>
            <w:tcBorders>
              <w:bottom w:val="nil"/>
            </w:tcBorders>
            <w:vAlign w:val="top"/>
          </w:tcPr>
          <w:p w14:paraId="57CB3C0F">
            <w:pPr>
              <w:spacing w:line="264" w:lineRule="auto"/>
              <w:rPr>
                <w:rFonts w:ascii="Arial"/>
                <w:color w:val="auto"/>
                <w:sz w:val="21"/>
                <w:highlight w:val="none"/>
              </w:rPr>
            </w:pPr>
          </w:p>
          <w:p w14:paraId="3F33C448">
            <w:pPr>
              <w:spacing w:line="264" w:lineRule="auto"/>
              <w:rPr>
                <w:rFonts w:ascii="Arial"/>
                <w:color w:val="auto"/>
                <w:sz w:val="21"/>
                <w:highlight w:val="none"/>
              </w:rPr>
            </w:pPr>
          </w:p>
          <w:p w14:paraId="6C6EE0C6">
            <w:pPr>
              <w:spacing w:line="264" w:lineRule="auto"/>
              <w:rPr>
                <w:rFonts w:ascii="Arial"/>
                <w:color w:val="auto"/>
                <w:sz w:val="21"/>
                <w:highlight w:val="none"/>
              </w:rPr>
            </w:pPr>
          </w:p>
          <w:p w14:paraId="01ADF2A1">
            <w:pPr>
              <w:spacing w:line="265" w:lineRule="auto"/>
              <w:rPr>
                <w:rFonts w:ascii="Arial"/>
                <w:color w:val="auto"/>
                <w:sz w:val="21"/>
                <w:highlight w:val="none"/>
              </w:rPr>
            </w:pPr>
          </w:p>
          <w:p w14:paraId="428C943E">
            <w:pPr>
              <w:spacing w:line="265" w:lineRule="auto"/>
              <w:rPr>
                <w:rFonts w:ascii="Arial"/>
                <w:color w:val="auto"/>
                <w:sz w:val="21"/>
                <w:highlight w:val="none"/>
              </w:rPr>
            </w:pPr>
          </w:p>
          <w:p w14:paraId="03F5F8D9">
            <w:pPr>
              <w:spacing w:line="265" w:lineRule="auto"/>
              <w:rPr>
                <w:rFonts w:ascii="Arial"/>
                <w:color w:val="auto"/>
                <w:sz w:val="21"/>
                <w:highlight w:val="none"/>
              </w:rPr>
            </w:pPr>
          </w:p>
          <w:p w14:paraId="66753446">
            <w:pPr>
              <w:spacing w:line="265" w:lineRule="auto"/>
              <w:rPr>
                <w:rFonts w:ascii="Arial"/>
                <w:color w:val="auto"/>
                <w:sz w:val="21"/>
                <w:highlight w:val="none"/>
              </w:rPr>
            </w:pPr>
          </w:p>
          <w:p w14:paraId="5CDCB347">
            <w:pPr>
              <w:pStyle w:val="212"/>
              <w:spacing w:before="62" w:line="304" w:lineRule="auto"/>
              <w:ind w:left="14" w:right="8" w:hanging="5"/>
              <w:rPr>
                <w:color w:val="auto"/>
                <w:highlight w:val="none"/>
              </w:rPr>
            </w:pPr>
            <w:r>
              <w:rPr>
                <w:color w:val="auto"/>
                <w:spacing w:val="5"/>
                <w:highlight w:val="none"/>
              </w:rPr>
              <w:t>A020106</w:t>
            </w:r>
            <w:r>
              <w:rPr>
                <w:color w:val="auto"/>
                <w:spacing w:val="-43"/>
                <w:highlight w:val="none"/>
              </w:rPr>
              <w:t xml:space="preserve"> </w:t>
            </w:r>
            <w:r>
              <w:rPr>
                <w:color w:val="auto"/>
                <w:spacing w:val="5"/>
                <w:highlight w:val="none"/>
              </w:rPr>
              <w:t>输入</w:t>
            </w:r>
            <w:r>
              <w:rPr>
                <w:color w:val="auto"/>
                <w:highlight w:val="none"/>
              </w:rPr>
              <w:t xml:space="preserve"> </w:t>
            </w:r>
            <w:r>
              <w:rPr>
                <w:color w:val="auto"/>
                <w:spacing w:val="7"/>
                <w:highlight w:val="none"/>
              </w:rPr>
              <w:t>输出设备</w:t>
            </w:r>
          </w:p>
        </w:tc>
        <w:tc>
          <w:tcPr>
            <w:tcW w:w="1799" w:type="dxa"/>
            <w:vMerge w:val="restart"/>
            <w:tcBorders>
              <w:bottom w:val="nil"/>
            </w:tcBorders>
            <w:vAlign w:val="top"/>
          </w:tcPr>
          <w:p w14:paraId="6337D827">
            <w:pPr>
              <w:spacing w:line="315" w:lineRule="auto"/>
              <w:rPr>
                <w:rFonts w:ascii="Arial"/>
                <w:color w:val="auto"/>
                <w:sz w:val="21"/>
                <w:highlight w:val="none"/>
              </w:rPr>
            </w:pPr>
          </w:p>
          <w:p w14:paraId="7A823806">
            <w:pPr>
              <w:spacing w:line="315" w:lineRule="auto"/>
              <w:rPr>
                <w:rFonts w:ascii="Arial"/>
                <w:color w:val="auto"/>
                <w:sz w:val="21"/>
                <w:highlight w:val="none"/>
              </w:rPr>
            </w:pPr>
          </w:p>
          <w:p w14:paraId="3D3BFA49">
            <w:pPr>
              <w:spacing w:line="315" w:lineRule="auto"/>
              <w:rPr>
                <w:rFonts w:ascii="Arial"/>
                <w:color w:val="auto"/>
                <w:sz w:val="21"/>
                <w:highlight w:val="none"/>
              </w:rPr>
            </w:pPr>
          </w:p>
          <w:p w14:paraId="25EE30A5">
            <w:pPr>
              <w:pStyle w:val="212"/>
              <w:spacing w:before="62" w:line="229" w:lineRule="auto"/>
              <w:ind w:left="9"/>
              <w:rPr>
                <w:color w:val="auto"/>
                <w:highlight w:val="none"/>
              </w:rPr>
            </w:pPr>
            <w:r>
              <w:rPr>
                <w:color w:val="auto"/>
                <w:spacing w:val="5"/>
                <w:highlight w:val="none"/>
              </w:rPr>
              <w:t>A02010601</w:t>
            </w:r>
            <w:r>
              <w:rPr>
                <w:color w:val="auto"/>
                <w:spacing w:val="-28"/>
                <w:highlight w:val="none"/>
              </w:rPr>
              <w:t xml:space="preserve"> </w:t>
            </w:r>
            <w:r>
              <w:rPr>
                <w:color w:val="auto"/>
                <w:spacing w:val="5"/>
                <w:highlight w:val="none"/>
              </w:rPr>
              <w:t>打印设备</w:t>
            </w:r>
          </w:p>
        </w:tc>
        <w:tc>
          <w:tcPr>
            <w:tcW w:w="1914" w:type="dxa"/>
            <w:vAlign w:val="top"/>
          </w:tcPr>
          <w:p w14:paraId="7F31F808">
            <w:pPr>
              <w:pStyle w:val="212"/>
              <w:spacing w:before="114" w:line="297" w:lineRule="auto"/>
              <w:ind w:left="31" w:right="8" w:hanging="21"/>
              <w:rPr>
                <w:color w:val="auto"/>
                <w:highlight w:val="none"/>
              </w:rPr>
            </w:pPr>
            <w:r>
              <w:rPr>
                <w:color w:val="auto"/>
                <w:spacing w:val="3"/>
                <w:highlight w:val="none"/>
              </w:rPr>
              <w:t>A0201060101</w:t>
            </w:r>
            <w:r>
              <w:rPr>
                <w:color w:val="auto"/>
                <w:spacing w:val="50"/>
                <w:highlight w:val="none"/>
              </w:rPr>
              <w:t xml:space="preserve"> </w:t>
            </w:r>
            <w:r>
              <w:rPr>
                <w:color w:val="auto"/>
                <w:spacing w:val="3"/>
                <w:highlight w:val="none"/>
              </w:rPr>
              <w:t>喷</w:t>
            </w:r>
            <w:r>
              <w:rPr>
                <w:color w:val="auto"/>
                <w:spacing w:val="-51"/>
                <w:highlight w:val="none"/>
              </w:rPr>
              <w:t xml:space="preserve"> </w:t>
            </w:r>
            <w:r>
              <w:rPr>
                <w:color w:val="auto"/>
                <w:spacing w:val="3"/>
                <w:highlight w:val="none"/>
              </w:rPr>
              <w:t>墨</w:t>
            </w:r>
            <w:r>
              <w:rPr>
                <w:color w:val="auto"/>
                <w:spacing w:val="-53"/>
                <w:highlight w:val="none"/>
              </w:rPr>
              <w:t xml:space="preserve"> </w:t>
            </w:r>
            <w:r>
              <w:rPr>
                <w:color w:val="auto"/>
                <w:spacing w:val="3"/>
                <w:highlight w:val="none"/>
              </w:rPr>
              <w:t>打</w:t>
            </w:r>
            <w:r>
              <w:rPr>
                <w:color w:val="auto"/>
                <w:highlight w:val="none"/>
              </w:rPr>
              <w:t xml:space="preserve"> </w:t>
            </w:r>
            <w:r>
              <w:rPr>
                <w:color w:val="auto"/>
                <w:spacing w:val="-2"/>
                <w:highlight w:val="none"/>
              </w:rPr>
              <w:t>印机</w:t>
            </w:r>
          </w:p>
        </w:tc>
        <w:tc>
          <w:tcPr>
            <w:tcW w:w="2969" w:type="dxa"/>
            <w:vAlign w:val="top"/>
          </w:tcPr>
          <w:p w14:paraId="77135BFF">
            <w:pPr>
              <w:pStyle w:val="212"/>
              <w:spacing w:before="114" w:line="297" w:lineRule="auto"/>
              <w:ind w:left="22" w:right="13"/>
              <w:rPr>
                <w:color w:val="auto"/>
                <w:highlight w:val="none"/>
              </w:rPr>
            </w:pPr>
            <w:r>
              <w:rPr>
                <w:color w:val="auto"/>
                <w:spacing w:val="5"/>
                <w:highlight w:val="none"/>
              </w:rPr>
              <w:t>《复印机、打印机和传真机能效限</w:t>
            </w:r>
            <w:r>
              <w:rPr>
                <w:color w:val="auto"/>
                <w:highlight w:val="none"/>
              </w:rPr>
              <w:t xml:space="preserve"> </w:t>
            </w:r>
            <w:r>
              <w:rPr>
                <w:color w:val="auto"/>
                <w:spacing w:val="7"/>
                <w:highlight w:val="none"/>
              </w:rPr>
              <w:t>定值及能效等级》（</w:t>
            </w:r>
            <w:r>
              <w:rPr>
                <w:color w:val="auto"/>
                <w:highlight w:val="none"/>
              </w:rPr>
              <w:t>GB</w:t>
            </w:r>
            <w:r>
              <w:rPr>
                <w:color w:val="auto"/>
                <w:spacing w:val="7"/>
                <w:highlight w:val="none"/>
              </w:rPr>
              <w:t xml:space="preserve"> 21521）</w:t>
            </w:r>
          </w:p>
        </w:tc>
      </w:tr>
      <w:tr w14:paraId="161A8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bottom w:val="nil"/>
            </w:tcBorders>
            <w:vAlign w:val="top"/>
          </w:tcPr>
          <w:p w14:paraId="113919B2">
            <w:pPr>
              <w:rPr>
                <w:rFonts w:ascii="Arial"/>
                <w:color w:val="auto"/>
                <w:sz w:val="21"/>
                <w:highlight w:val="none"/>
              </w:rPr>
            </w:pPr>
          </w:p>
        </w:tc>
        <w:tc>
          <w:tcPr>
            <w:tcW w:w="1166" w:type="dxa"/>
            <w:vMerge w:val="continue"/>
            <w:tcBorders>
              <w:top w:val="nil"/>
              <w:bottom w:val="nil"/>
            </w:tcBorders>
            <w:vAlign w:val="top"/>
          </w:tcPr>
          <w:p w14:paraId="5A8B70EA">
            <w:pPr>
              <w:rPr>
                <w:rFonts w:ascii="Arial"/>
                <w:color w:val="auto"/>
                <w:sz w:val="21"/>
                <w:highlight w:val="none"/>
              </w:rPr>
            </w:pPr>
          </w:p>
        </w:tc>
        <w:tc>
          <w:tcPr>
            <w:tcW w:w="1799" w:type="dxa"/>
            <w:vMerge w:val="continue"/>
            <w:tcBorders>
              <w:top w:val="nil"/>
              <w:bottom w:val="nil"/>
            </w:tcBorders>
            <w:vAlign w:val="top"/>
          </w:tcPr>
          <w:p w14:paraId="1BABABE3">
            <w:pPr>
              <w:rPr>
                <w:rFonts w:ascii="Arial"/>
                <w:color w:val="auto"/>
                <w:sz w:val="21"/>
                <w:highlight w:val="none"/>
              </w:rPr>
            </w:pPr>
          </w:p>
        </w:tc>
        <w:tc>
          <w:tcPr>
            <w:tcW w:w="1914" w:type="dxa"/>
            <w:vAlign w:val="top"/>
          </w:tcPr>
          <w:p w14:paraId="1829A827">
            <w:pPr>
              <w:pStyle w:val="212"/>
              <w:spacing w:before="116" w:line="296" w:lineRule="auto"/>
              <w:ind w:left="19" w:right="8"/>
              <w:rPr>
                <w:color w:val="auto"/>
                <w:highlight w:val="none"/>
              </w:rPr>
            </w:pPr>
            <w:r>
              <w:rPr>
                <w:color w:val="auto"/>
                <w:spacing w:val="3"/>
                <w:highlight w:val="none"/>
              </w:rPr>
              <w:t>★</w:t>
            </w:r>
            <w:r>
              <w:rPr>
                <w:color w:val="auto"/>
                <w:spacing w:val="-50"/>
                <w:highlight w:val="none"/>
              </w:rPr>
              <w:t xml:space="preserve"> </w:t>
            </w:r>
            <w:r>
              <w:rPr>
                <w:color w:val="auto"/>
                <w:spacing w:val="3"/>
                <w:highlight w:val="none"/>
              </w:rPr>
              <w:t>A0201060102</w:t>
            </w:r>
            <w:r>
              <w:rPr>
                <w:color w:val="auto"/>
                <w:spacing w:val="41"/>
                <w:highlight w:val="none"/>
              </w:rPr>
              <w:t xml:space="preserve"> </w:t>
            </w:r>
            <w:r>
              <w:rPr>
                <w:color w:val="auto"/>
                <w:spacing w:val="3"/>
                <w:highlight w:val="none"/>
              </w:rPr>
              <w:t>激</w:t>
            </w:r>
            <w:r>
              <w:rPr>
                <w:color w:val="auto"/>
                <w:spacing w:val="-54"/>
                <w:highlight w:val="none"/>
              </w:rPr>
              <w:t xml:space="preserve"> </w:t>
            </w:r>
            <w:r>
              <w:rPr>
                <w:color w:val="auto"/>
                <w:spacing w:val="3"/>
                <w:highlight w:val="none"/>
              </w:rPr>
              <w:t>光</w:t>
            </w:r>
            <w:r>
              <w:rPr>
                <w:color w:val="auto"/>
                <w:highlight w:val="none"/>
              </w:rPr>
              <w:t xml:space="preserve"> </w:t>
            </w:r>
            <w:r>
              <w:rPr>
                <w:color w:val="auto"/>
                <w:spacing w:val="5"/>
                <w:highlight w:val="none"/>
              </w:rPr>
              <w:t>打印机</w:t>
            </w:r>
          </w:p>
        </w:tc>
        <w:tc>
          <w:tcPr>
            <w:tcW w:w="2969" w:type="dxa"/>
            <w:vAlign w:val="top"/>
          </w:tcPr>
          <w:p w14:paraId="7EC2AD05">
            <w:pPr>
              <w:pStyle w:val="212"/>
              <w:spacing w:before="116" w:line="296" w:lineRule="auto"/>
              <w:ind w:left="22" w:right="13"/>
              <w:rPr>
                <w:color w:val="auto"/>
                <w:highlight w:val="none"/>
              </w:rPr>
            </w:pPr>
            <w:r>
              <w:rPr>
                <w:color w:val="auto"/>
                <w:spacing w:val="5"/>
                <w:highlight w:val="none"/>
              </w:rPr>
              <w:t>《复印机、打印机和传真机能效限</w:t>
            </w:r>
            <w:r>
              <w:rPr>
                <w:color w:val="auto"/>
                <w:highlight w:val="none"/>
              </w:rPr>
              <w:t xml:space="preserve"> </w:t>
            </w:r>
            <w:r>
              <w:rPr>
                <w:color w:val="auto"/>
                <w:spacing w:val="7"/>
                <w:highlight w:val="none"/>
              </w:rPr>
              <w:t>定值及能效等级》（</w:t>
            </w:r>
            <w:r>
              <w:rPr>
                <w:color w:val="auto"/>
                <w:highlight w:val="none"/>
              </w:rPr>
              <w:t>GB</w:t>
            </w:r>
            <w:r>
              <w:rPr>
                <w:color w:val="auto"/>
                <w:spacing w:val="7"/>
                <w:highlight w:val="none"/>
              </w:rPr>
              <w:t xml:space="preserve"> 21521）</w:t>
            </w:r>
          </w:p>
        </w:tc>
      </w:tr>
      <w:tr w14:paraId="64666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bottom w:val="nil"/>
            </w:tcBorders>
            <w:vAlign w:val="top"/>
          </w:tcPr>
          <w:p w14:paraId="58C0881B">
            <w:pPr>
              <w:rPr>
                <w:rFonts w:ascii="Arial"/>
                <w:color w:val="auto"/>
                <w:sz w:val="21"/>
                <w:highlight w:val="none"/>
              </w:rPr>
            </w:pPr>
          </w:p>
        </w:tc>
        <w:tc>
          <w:tcPr>
            <w:tcW w:w="1166" w:type="dxa"/>
            <w:vMerge w:val="continue"/>
            <w:tcBorders>
              <w:top w:val="nil"/>
              <w:bottom w:val="nil"/>
            </w:tcBorders>
            <w:vAlign w:val="top"/>
          </w:tcPr>
          <w:p w14:paraId="2084B94C">
            <w:pPr>
              <w:rPr>
                <w:rFonts w:ascii="Arial"/>
                <w:color w:val="auto"/>
                <w:sz w:val="21"/>
                <w:highlight w:val="none"/>
              </w:rPr>
            </w:pPr>
          </w:p>
        </w:tc>
        <w:tc>
          <w:tcPr>
            <w:tcW w:w="1799" w:type="dxa"/>
            <w:vMerge w:val="continue"/>
            <w:tcBorders>
              <w:top w:val="nil"/>
            </w:tcBorders>
            <w:vAlign w:val="top"/>
          </w:tcPr>
          <w:p w14:paraId="59040E5C">
            <w:pPr>
              <w:rPr>
                <w:rFonts w:ascii="Arial"/>
                <w:color w:val="auto"/>
                <w:sz w:val="21"/>
                <w:highlight w:val="none"/>
              </w:rPr>
            </w:pPr>
          </w:p>
        </w:tc>
        <w:tc>
          <w:tcPr>
            <w:tcW w:w="1914" w:type="dxa"/>
            <w:vAlign w:val="top"/>
          </w:tcPr>
          <w:p w14:paraId="23C697E9">
            <w:pPr>
              <w:pStyle w:val="212"/>
              <w:spacing w:before="116" w:line="296" w:lineRule="auto"/>
              <w:ind w:left="19" w:right="8"/>
              <w:rPr>
                <w:color w:val="auto"/>
                <w:highlight w:val="none"/>
              </w:rPr>
            </w:pPr>
            <w:r>
              <w:rPr>
                <w:color w:val="auto"/>
                <w:spacing w:val="3"/>
                <w:highlight w:val="none"/>
              </w:rPr>
              <w:t>★</w:t>
            </w:r>
            <w:r>
              <w:rPr>
                <w:color w:val="auto"/>
                <w:spacing w:val="-54"/>
                <w:highlight w:val="none"/>
              </w:rPr>
              <w:t xml:space="preserve"> </w:t>
            </w:r>
            <w:r>
              <w:rPr>
                <w:color w:val="auto"/>
                <w:spacing w:val="3"/>
                <w:highlight w:val="none"/>
              </w:rPr>
              <w:t>A0201060104</w:t>
            </w:r>
            <w:r>
              <w:rPr>
                <w:color w:val="auto"/>
                <w:spacing w:val="43"/>
                <w:highlight w:val="none"/>
              </w:rPr>
              <w:t xml:space="preserve"> </w:t>
            </w:r>
            <w:r>
              <w:rPr>
                <w:color w:val="auto"/>
                <w:spacing w:val="3"/>
                <w:highlight w:val="none"/>
              </w:rPr>
              <w:t>针</w:t>
            </w:r>
            <w:r>
              <w:rPr>
                <w:color w:val="auto"/>
                <w:spacing w:val="-52"/>
                <w:highlight w:val="none"/>
              </w:rPr>
              <w:t xml:space="preserve"> </w:t>
            </w:r>
            <w:r>
              <w:rPr>
                <w:color w:val="auto"/>
                <w:spacing w:val="3"/>
                <w:highlight w:val="none"/>
              </w:rPr>
              <w:t>式</w:t>
            </w:r>
            <w:r>
              <w:rPr>
                <w:color w:val="auto"/>
                <w:highlight w:val="none"/>
              </w:rPr>
              <w:t xml:space="preserve"> </w:t>
            </w:r>
            <w:r>
              <w:rPr>
                <w:color w:val="auto"/>
                <w:spacing w:val="5"/>
                <w:highlight w:val="none"/>
              </w:rPr>
              <w:t>打印机</w:t>
            </w:r>
          </w:p>
        </w:tc>
        <w:tc>
          <w:tcPr>
            <w:tcW w:w="2969" w:type="dxa"/>
            <w:vAlign w:val="top"/>
          </w:tcPr>
          <w:p w14:paraId="729BCEFE">
            <w:pPr>
              <w:pStyle w:val="212"/>
              <w:spacing w:before="116" w:line="296" w:lineRule="auto"/>
              <w:ind w:left="22" w:right="13"/>
              <w:rPr>
                <w:color w:val="auto"/>
                <w:highlight w:val="none"/>
              </w:rPr>
            </w:pPr>
            <w:r>
              <w:rPr>
                <w:color w:val="auto"/>
                <w:spacing w:val="5"/>
                <w:highlight w:val="none"/>
              </w:rPr>
              <w:t>《复印机、打印机和传真机能效限</w:t>
            </w:r>
            <w:r>
              <w:rPr>
                <w:color w:val="auto"/>
                <w:highlight w:val="none"/>
              </w:rPr>
              <w:t xml:space="preserve"> </w:t>
            </w:r>
            <w:r>
              <w:rPr>
                <w:color w:val="auto"/>
                <w:spacing w:val="7"/>
                <w:highlight w:val="none"/>
              </w:rPr>
              <w:t>定值及能效等级》（</w:t>
            </w:r>
            <w:r>
              <w:rPr>
                <w:color w:val="auto"/>
                <w:highlight w:val="none"/>
              </w:rPr>
              <w:t>GB</w:t>
            </w:r>
            <w:r>
              <w:rPr>
                <w:color w:val="auto"/>
                <w:spacing w:val="7"/>
                <w:highlight w:val="none"/>
              </w:rPr>
              <w:t xml:space="preserve"> 21521）</w:t>
            </w:r>
          </w:p>
        </w:tc>
      </w:tr>
      <w:tr w14:paraId="67C0E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578" w:type="dxa"/>
            <w:vMerge w:val="continue"/>
            <w:tcBorders>
              <w:top w:val="nil"/>
              <w:bottom w:val="nil"/>
            </w:tcBorders>
            <w:vAlign w:val="top"/>
          </w:tcPr>
          <w:p w14:paraId="6E8A581E">
            <w:pPr>
              <w:rPr>
                <w:rFonts w:ascii="Arial"/>
                <w:color w:val="auto"/>
                <w:sz w:val="21"/>
                <w:highlight w:val="none"/>
              </w:rPr>
            </w:pPr>
          </w:p>
        </w:tc>
        <w:tc>
          <w:tcPr>
            <w:tcW w:w="1166" w:type="dxa"/>
            <w:vMerge w:val="continue"/>
            <w:tcBorders>
              <w:top w:val="nil"/>
              <w:bottom w:val="nil"/>
            </w:tcBorders>
            <w:vAlign w:val="top"/>
          </w:tcPr>
          <w:p w14:paraId="48AD7B59">
            <w:pPr>
              <w:rPr>
                <w:rFonts w:ascii="Arial"/>
                <w:color w:val="auto"/>
                <w:sz w:val="21"/>
                <w:highlight w:val="none"/>
              </w:rPr>
            </w:pPr>
          </w:p>
        </w:tc>
        <w:tc>
          <w:tcPr>
            <w:tcW w:w="1799" w:type="dxa"/>
            <w:vAlign w:val="top"/>
          </w:tcPr>
          <w:p w14:paraId="012842CB">
            <w:pPr>
              <w:pStyle w:val="212"/>
              <w:spacing w:before="290" w:line="230" w:lineRule="auto"/>
              <w:ind w:left="9"/>
              <w:rPr>
                <w:color w:val="auto"/>
                <w:highlight w:val="none"/>
              </w:rPr>
            </w:pPr>
            <w:r>
              <w:rPr>
                <w:color w:val="auto"/>
                <w:spacing w:val="5"/>
                <w:highlight w:val="none"/>
              </w:rPr>
              <w:t>A02010604</w:t>
            </w:r>
            <w:r>
              <w:rPr>
                <w:color w:val="auto"/>
                <w:spacing w:val="-28"/>
                <w:highlight w:val="none"/>
              </w:rPr>
              <w:t xml:space="preserve"> </w:t>
            </w:r>
            <w:r>
              <w:rPr>
                <w:color w:val="auto"/>
                <w:spacing w:val="5"/>
                <w:highlight w:val="none"/>
              </w:rPr>
              <w:t>显示设备</w:t>
            </w:r>
          </w:p>
        </w:tc>
        <w:tc>
          <w:tcPr>
            <w:tcW w:w="1914" w:type="dxa"/>
            <w:vAlign w:val="top"/>
          </w:tcPr>
          <w:p w14:paraId="5C12ACEB">
            <w:pPr>
              <w:pStyle w:val="212"/>
              <w:spacing w:before="133" w:line="303" w:lineRule="auto"/>
              <w:ind w:left="20" w:right="8" w:hanging="1"/>
              <w:rPr>
                <w:color w:val="auto"/>
                <w:highlight w:val="none"/>
              </w:rPr>
            </w:pPr>
            <w:r>
              <w:rPr>
                <w:color w:val="auto"/>
                <w:spacing w:val="2"/>
                <w:highlight w:val="none"/>
              </w:rPr>
              <w:t>★</w:t>
            </w:r>
            <w:r>
              <w:rPr>
                <w:color w:val="auto"/>
                <w:spacing w:val="-54"/>
                <w:highlight w:val="none"/>
              </w:rPr>
              <w:t xml:space="preserve"> </w:t>
            </w:r>
            <w:r>
              <w:rPr>
                <w:color w:val="auto"/>
                <w:spacing w:val="2"/>
                <w:highlight w:val="none"/>
              </w:rPr>
              <w:t>A0201060401</w:t>
            </w:r>
            <w:r>
              <w:rPr>
                <w:color w:val="auto"/>
                <w:spacing w:val="44"/>
                <w:highlight w:val="none"/>
              </w:rPr>
              <w:t xml:space="preserve"> </w:t>
            </w:r>
            <w:r>
              <w:rPr>
                <w:color w:val="auto"/>
                <w:spacing w:val="2"/>
                <w:highlight w:val="none"/>
              </w:rPr>
              <w:t>液</w:t>
            </w:r>
            <w:r>
              <w:rPr>
                <w:color w:val="auto"/>
                <w:spacing w:val="-39"/>
                <w:highlight w:val="none"/>
              </w:rPr>
              <w:t xml:space="preserve"> </w:t>
            </w:r>
            <w:r>
              <w:rPr>
                <w:color w:val="auto"/>
                <w:spacing w:val="2"/>
                <w:highlight w:val="none"/>
              </w:rPr>
              <w:t>晶</w:t>
            </w:r>
            <w:r>
              <w:rPr>
                <w:color w:val="auto"/>
                <w:highlight w:val="none"/>
              </w:rPr>
              <w:t xml:space="preserve"> </w:t>
            </w:r>
            <w:r>
              <w:rPr>
                <w:color w:val="auto"/>
                <w:spacing w:val="5"/>
                <w:highlight w:val="none"/>
              </w:rPr>
              <w:t>显示器</w:t>
            </w:r>
          </w:p>
        </w:tc>
        <w:tc>
          <w:tcPr>
            <w:tcW w:w="2969" w:type="dxa"/>
            <w:vAlign w:val="top"/>
          </w:tcPr>
          <w:p w14:paraId="18494CB7">
            <w:pPr>
              <w:pStyle w:val="212"/>
              <w:spacing w:before="133" w:line="303" w:lineRule="auto"/>
              <w:ind w:left="22" w:right="11"/>
              <w:rPr>
                <w:color w:val="auto"/>
                <w:highlight w:val="none"/>
              </w:rPr>
            </w:pPr>
            <w:r>
              <w:rPr>
                <w:color w:val="auto"/>
                <w:spacing w:val="19"/>
                <w:highlight w:val="none"/>
              </w:rPr>
              <w:t>《计算机显示器能效限定值及能</w:t>
            </w:r>
            <w:r>
              <w:rPr>
                <w:color w:val="auto"/>
                <w:spacing w:val="2"/>
                <w:highlight w:val="none"/>
              </w:rPr>
              <w:t xml:space="preserve"> </w:t>
            </w:r>
            <w:r>
              <w:rPr>
                <w:color w:val="auto"/>
                <w:spacing w:val="6"/>
                <w:highlight w:val="none"/>
              </w:rPr>
              <w:t>效等级》（</w:t>
            </w:r>
            <w:r>
              <w:rPr>
                <w:color w:val="auto"/>
                <w:highlight w:val="none"/>
              </w:rPr>
              <w:t>GB</w:t>
            </w:r>
            <w:r>
              <w:rPr>
                <w:color w:val="auto"/>
                <w:spacing w:val="6"/>
                <w:highlight w:val="none"/>
              </w:rPr>
              <w:t xml:space="preserve"> 21520）</w:t>
            </w:r>
          </w:p>
        </w:tc>
      </w:tr>
      <w:tr w14:paraId="227E7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578" w:type="dxa"/>
            <w:vMerge w:val="continue"/>
            <w:tcBorders>
              <w:top w:val="nil"/>
            </w:tcBorders>
            <w:vAlign w:val="top"/>
          </w:tcPr>
          <w:p w14:paraId="2D2B5A45">
            <w:pPr>
              <w:rPr>
                <w:rFonts w:ascii="Arial"/>
                <w:color w:val="auto"/>
                <w:sz w:val="21"/>
                <w:highlight w:val="none"/>
              </w:rPr>
            </w:pPr>
          </w:p>
        </w:tc>
        <w:tc>
          <w:tcPr>
            <w:tcW w:w="1166" w:type="dxa"/>
            <w:vMerge w:val="continue"/>
            <w:tcBorders>
              <w:top w:val="nil"/>
            </w:tcBorders>
            <w:vAlign w:val="top"/>
          </w:tcPr>
          <w:p w14:paraId="6B725E32">
            <w:pPr>
              <w:rPr>
                <w:rFonts w:ascii="Arial"/>
                <w:color w:val="auto"/>
                <w:sz w:val="21"/>
                <w:highlight w:val="none"/>
              </w:rPr>
            </w:pPr>
          </w:p>
        </w:tc>
        <w:tc>
          <w:tcPr>
            <w:tcW w:w="1799" w:type="dxa"/>
            <w:vAlign w:val="top"/>
          </w:tcPr>
          <w:p w14:paraId="6DAC4AEF">
            <w:pPr>
              <w:spacing w:line="364" w:lineRule="auto"/>
              <w:rPr>
                <w:rFonts w:ascii="Arial"/>
                <w:color w:val="auto"/>
                <w:sz w:val="21"/>
                <w:highlight w:val="none"/>
              </w:rPr>
            </w:pPr>
          </w:p>
          <w:p w14:paraId="113F2740">
            <w:pPr>
              <w:pStyle w:val="212"/>
              <w:spacing w:before="62" w:line="304" w:lineRule="auto"/>
              <w:ind w:left="14" w:right="10" w:hanging="5"/>
              <w:rPr>
                <w:color w:val="auto"/>
                <w:highlight w:val="none"/>
              </w:rPr>
            </w:pPr>
            <w:r>
              <w:rPr>
                <w:color w:val="auto"/>
                <w:spacing w:val="4"/>
                <w:highlight w:val="none"/>
              </w:rPr>
              <w:t>A02010609 图形图像</w:t>
            </w:r>
            <w:r>
              <w:rPr>
                <w:color w:val="auto"/>
                <w:spacing w:val="7"/>
                <w:highlight w:val="none"/>
              </w:rPr>
              <w:t xml:space="preserve"> 输入设备</w:t>
            </w:r>
          </w:p>
        </w:tc>
        <w:tc>
          <w:tcPr>
            <w:tcW w:w="1914" w:type="dxa"/>
            <w:vAlign w:val="top"/>
          </w:tcPr>
          <w:p w14:paraId="6805AE99">
            <w:pPr>
              <w:spacing w:line="259" w:lineRule="auto"/>
              <w:rPr>
                <w:rFonts w:ascii="Arial"/>
                <w:color w:val="auto"/>
                <w:sz w:val="21"/>
                <w:highlight w:val="none"/>
              </w:rPr>
            </w:pPr>
          </w:p>
          <w:p w14:paraId="4DA0013E">
            <w:pPr>
              <w:spacing w:line="260" w:lineRule="auto"/>
              <w:rPr>
                <w:rFonts w:ascii="Arial"/>
                <w:color w:val="auto"/>
                <w:sz w:val="21"/>
                <w:highlight w:val="none"/>
              </w:rPr>
            </w:pPr>
          </w:p>
          <w:p w14:paraId="68978D05">
            <w:pPr>
              <w:pStyle w:val="212"/>
              <w:spacing w:before="61" w:line="229" w:lineRule="auto"/>
              <w:ind w:left="10"/>
              <w:rPr>
                <w:color w:val="auto"/>
                <w:highlight w:val="none"/>
              </w:rPr>
            </w:pPr>
            <w:r>
              <w:rPr>
                <w:color w:val="auto"/>
                <w:spacing w:val="5"/>
                <w:highlight w:val="none"/>
              </w:rPr>
              <w:t>A0201060901</w:t>
            </w:r>
            <w:r>
              <w:rPr>
                <w:color w:val="auto"/>
                <w:spacing w:val="-34"/>
                <w:highlight w:val="none"/>
              </w:rPr>
              <w:t xml:space="preserve"> </w:t>
            </w:r>
            <w:r>
              <w:rPr>
                <w:color w:val="auto"/>
                <w:spacing w:val="5"/>
                <w:highlight w:val="none"/>
              </w:rPr>
              <w:t>扫描仪</w:t>
            </w:r>
          </w:p>
        </w:tc>
        <w:tc>
          <w:tcPr>
            <w:tcW w:w="2969" w:type="dxa"/>
            <w:vAlign w:val="top"/>
          </w:tcPr>
          <w:p w14:paraId="74E2A656">
            <w:pPr>
              <w:pStyle w:val="212"/>
              <w:spacing w:before="114" w:line="299" w:lineRule="auto"/>
              <w:ind w:left="22" w:hanging="3"/>
              <w:jc w:val="both"/>
              <w:rPr>
                <w:color w:val="auto"/>
                <w:highlight w:val="none"/>
              </w:rPr>
            </w:pPr>
            <w:r>
              <w:rPr>
                <w:color w:val="auto"/>
                <w:highlight w:val="none"/>
              </w:rPr>
              <w:t>参照《复印机、打印机和传真机能</w:t>
            </w:r>
            <w:r>
              <w:rPr>
                <w:color w:val="auto"/>
                <w:spacing w:val="3"/>
                <w:highlight w:val="none"/>
              </w:rPr>
              <w:t xml:space="preserve">  </w:t>
            </w:r>
            <w:r>
              <w:rPr>
                <w:color w:val="auto"/>
                <w:spacing w:val="-4"/>
                <w:highlight w:val="none"/>
              </w:rPr>
              <w:t>效限定值及能效等级》（GB</w:t>
            </w:r>
            <w:r>
              <w:rPr>
                <w:color w:val="auto"/>
                <w:spacing w:val="-24"/>
                <w:highlight w:val="none"/>
              </w:rPr>
              <w:t xml:space="preserve"> </w:t>
            </w:r>
            <w:r>
              <w:rPr>
                <w:color w:val="auto"/>
                <w:spacing w:val="-4"/>
                <w:highlight w:val="none"/>
              </w:rPr>
              <w:t>21521）</w:t>
            </w:r>
            <w:r>
              <w:rPr>
                <w:color w:val="auto"/>
                <w:highlight w:val="none"/>
              </w:rPr>
              <w:t xml:space="preserve"> </w:t>
            </w:r>
            <w:r>
              <w:rPr>
                <w:color w:val="auto"/>
                <w:spacing w:val="4"/>
                <w:highlight w:val="none"/>
              </w:rPr>
              <w:t>中打印速度为</w:t>
            </w:r>
            <w:r>
              <w:rPr>
                <w:color w:val="auto"/>
                <w:spacing w:val="38"/>
                <w:highlight w:val="none"/>
              </w:rPr>
              <w:t xml:space="preserve"> </w:t>
            </w:r>
            <w:r>
              <w:rPr>
                <w:color w:val="auto"/>
                <w:spacing w:val="4"/>
                <w:highlight w:val="none"/>
              </w:rPr>
              <w:t>15 页/分的针式打</w:t>
            </w:r>
            <w:r>
              <w:rPr>
                <w:color w:val="auto"/>
                <w:highlight w:val="none"/>
              </w:rPr>
              <w:t xml:space="preserve">  </w:t>
            </w:r>
            <w:r>
              <w:rPr>
                <w:color w:val="auto"/>
                <w:spacing w:val="2"/>
                <w:highlight w:val="none"/>
              </w:rPr>
              <w:t>印机相关要求</w:t>
            </w:r>
          </w:p>
        </w:tc>
      </w:tr>
      <w:tr w14:paraId="4363F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578" w:type="dxa"/>
            <w:vAlign w:val="top"/>
          </w:tcPr>
          <w:p w14:paraId="7DEEA9BA">
            <w:pPr>
              <w:pStyle w:val="212"/>
              <w:spacing w:before="246" w:line="256" w:lineRule="exact"/>
              <w:ind w:left="246"/>
              <w:rPr>
                <w:color w:val="auto"/>
                <w:highlight w:val="none"/>
              </w:rPr>
            </w:pPr>
            <w:r>
              <w:rPr>
                <w:color w:val="auto"/>
                <w:position w:val="1"/>
                <w:highlight w:val="none"/>
              </w:rPr>
              <w:t>3</w:t>
            </w:r>
          </w:p>
        </w:tc>
        <w:tc>
          <w:tcPr>
            <w:tcW w:w="1166" w:type="dxa"/>
            <w:vAlign w:val="top"/>
          </w:tcPr>
          <w:p w14:paraId="5A4B440B">
            <w:pPr>
              <w:pStyle w:val="212"/>
              <w:spacing w:before="90" w:line="281" w:lineRule="auto"/>
              <w:ind w:left="15" w:right="8" w:hanging="6"/>
              <w:rPr>
                <w:color w:val="auto"/>
                <w:highlight w:val="none"/>
              </w:rPr>
            </w:pPr>
            <w:r>
              <w:rPr>
                <w:color w:val="auto"/>
                <w:spacing w:val="4"/>
                <w:highlight w:val="none"/>
              </w:rPr>
              <w:t>A020202</w:t>
            </w:r>
            <w:r>
              <w:rPr>
                <w:color w:val="auto"/>
                <w:spacing w:val="-34"/>
                <w:highlight w:val="none"/>
              </w:rPr>
              <w:t xml:space="preserve"> </w:t>
            </w:r>
            <w:r>
              <w:rPr>
                <w:color w:val="auto"/>
                <w:spacing w:val="4"/>
                <w:highlight w:val="none"/>
              </w:rPr>
              <w:t>投影</w:t>
            </w:r>
            <w:r>
              <w:rPr>
                <w:color w:val="auto"/>
                <w:highlight w:val="none"/>
              </w:rPr>
              <w:t xml:space="preserve"> 仪</w:t>
            </w:r>
          </w:p>
        </w:tc>
        <w:tc>
          <w:tcPr>
            <w:tcW w:w="1799" w:type="dxa"/>
            <w:vAlign w:val="top"/>
          </w:tcPr>
          <w:p w14:paraId="0D5D17E9">
            <w:pPr>
              <w:rPr>
                <w:rFonts w:ascii="Arial"/>
                <w:color w:val="auto"/>
                <w:sz w:val="21"/>
                <w:highlight w:val="none"/>
              </w:rPr>
            </w:pPr>
          </w:p>
        </w:tc>
        <w:tc>
          <w:tcPr>
            <w:tcW w:w="1914" w:type="dxa"/>
            <w:vAlign w:val="top"/>
          </w:tcPr>
          <w:p w14:paraId="3227F6BA">
            <w:pPr>
              <w:rPr>
                <w:rFonts w:ascii="Arial"/>
                <w:color w:val="auto"/>
                <w:sz w:val="21"/>
                <w:highlight w:val="none"/>
              </w:rPr>
            </w:pPr>
          </w:p>
        </w:tc>
        <w:tc>
          <w:tcPr>
            <w:tcW w:w="2969" w:type="dxa"/>
            <w:vAlign w:val="top"/>
          </w:tcPr>
          <w:p w14:paraId="5CE677B4">
            <w:pPr>
              <w:pStyle w:val="212"/>
              <w:spacing w:before="90" w:line="281" w:lineRule="auto"/>
              <w:ind w:left="27" w:hanging="4"/>
              <w:rPr>
                <w:color w:val="auto"/>
                <w:highlight w:val="none"/>
              </w:rPr>
            </w:pPr>
            <w:r>
              <w:rPr>
                <w:color w:val="auto"/>
                <w:spacing w:val="6"/>
                <w:highlight w:val="none"/>
              </w:rPr>
              <w:t>《投影机能效限定值及能效等级》</w:t>
            </w:r>
            <w:r>
              <w:rPr>
                <w:color w:val="auto"/>
                <w:highlight w:val="none"/>
              </w:rPr>
              <w:t xml:space="preserve"> （GB</w:t>
            </w:r>
            <w:r>
              <w:rPr>
                <w:color w:val="auto"/>
                <w:spacing w:val="22"/>
                <w:highlight w:val="none"/>
              </w:rPr>
              <w:t xml:space="preserve"> </w:t>
            </w:r>
            <w:r>
              <w:rPr>
                <w:color w:val="auto"/>
                <w:highlight w:val="none"/>
              </w:rPr>
              <w:t>32028）</w:t>
            </w:r>
          </w:p>
        </w:tc>
      </w:tr>
      <w:tr w14:paraId="16063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578" w:type="dxa"/>
            <w:vAlign w:val="top"/>
          </w:tcPr>
          <w:p w14:paraId="3518E151">
            <w:pPr>
              <w:pStyle w:val="212"/>
              <w:spacing w:before="289" w:line="258" w:lineRule="exact"/>
              <w:ind w:left="242"/>
              <w:rPr>
                <w:color w:val="auto"/>
                <w:highlight w:val="none"/>
              </w:rPr>
            </w:pPr>
            <w:r>
              <w:rPr>
                <w:color w:val="auto"/>
                <w:position w:val="1"/>
                <w:highlight w:val="none"/>
              </w:rPr>
              <w:t>4</w:t>
            </w:r>
          </w:p>
        </w:tc>
        <w:tc>
          <w:tcPr>
            <w:tcW w:w="1166" w:type="dxa"/>
            <w:vAlign w:val="top"/>
          </w:tcPr>
          <w:p w14:paraId="5A536960">
            <w:pPr>
              <w:pStyle w:val="212"/>
              <w:spacing w:before="134" w:line="230" w:lineRule="auto"/>
              <w:ind w:left="9"/>
              <w:rPr>
                <w:color w:val="auto"/>
                <w:highlight w:val="none"/>
              </w:rPr>
            </w:pPr>
            <w:r>
              <w:rPr>
                <w:color w:val="auto"/>
                <w:spacing w:val="4"/>
                <w:highlight w:val="none"/>
              </w:rPr>
              <w:t>A020204</w:t>
            </w:r>
            <w:r>
              <w:rPr>
                <w:color w:val="auto"/>
                <w:spacing w:val="-34"/>
                <w:highlight w:val="none"/>
              </w:rPr>
              <w:t xml:space="preserve"> </w:t>
            </w:r>
            <w:r>
              <w:rPr>
                <w:color w:val="auto"/>
                <w:spacing w:val="4"/>
                <w:highlight w:val="none"/>
              </w:rPr>
              <w:t>多功</w:t>
            </w:r>
          </w:p>
          <w:p w14:paraId="64B209AC">
            <w:pPr>
              <w:pStyle w:val="212"/>
              <w:spacing w:before="75" w:line="228" w:lineRule="auto"/>
              <w:ind w:left="23"/>
              <w:rPr>
                <w:color w:val="auto"/>
                <w:highlight w:val="none"/>
              </w:rPr>
            </w:pPr>
            <w:r>
              <w:rPr>
                <w:color w:val="auto"/>
                <w:spacing w:val="5"/>
                <w:highlight w:val="none"/>
              </w:rPr>
              <w:t>能一体机</w:t>
            </w:r>
          </w:p>
        </w:tc>
        <w:tc>
          <w:tcPr>
            <w:tcW w:w="1799" w:type="dxa"/>
            <w:vAlign w:val="top"/>
          </w:tcPr>
          <w:p w14:paraId="798B9457">
            <w:pPr>
              <w:rPr>
                <w:rFonts w:ascii="Arial"/>
                <w:color w:val="auto"/>
                <w:sz w:val="21"/>
                <w:highlight w:val="none"/>
              </w:rPr>
            </w:pPr>
          </w:p>
        </w:tc>
        <w:tc>
          <w:tcPr>
            <w:tcW w:w="1914" w:type="dxa"/>
            <w:vAlign w:val="top"/>
          </w:tcPr>
          <w:p w14:paraId="5AA17216">
            <w:pPr>
              <w:rPr>
                <w:rFonts w:ascii="Arial"/>
                <w:color w:val="auto"/>
                <w:sz w:val="21"/>
                <w:highlight w:val="none"/>
              </w:rPr>
            </w:pPr>
          </w:p>
        </w:tc>
        <w:tc>
          <w:tcPr>
            <w:tcW w:w="2969" w:type="dxa"/>
            <w:vAlign w:val="top"/>
          </w:tcPr>
          <w:p w14:paraId="17A8257C">
            <w:pPr>
              <w:pStyle w:val="212"/>
              <w:spacing w:before="133" w:line="302" w:lineRule="auto"/>
              <w:ind w:left="22" w:right="13"/>
              <w:rPr>
                <w:color w:val="auto"/>
                <w:highlight w:val="none"/>
              </w:rPr>
            </w:pPr>
            <w:r>
              <w:rPr>
                <w:color w:val="auto"/>
                <w:spacing w:val="5"/>
                <w:highlight w:val="none"/>
              </w:rPr>
              <w:t>《复印机、打印机和传真机能效限</w:t>
            </w:r>
            <w:r>
              <w:rPr>
                <w:color w:val="auto"/>
                <w:highlight w:val="none"/>
              </w:rPr>
              <w:t xml:space="preserve"> </w:t>
            </w:r>
            <w:r>
              <w:rPr>
                <w:color w:val="auto"/>
                <w:spacing w:val="7"/>
                <w:highlight w:val="none"/>
              </w:rPr>
              <w:t>定值及能效等级》（</w:t>
            </w:r>
            <w:r>
              <w:rPr>
                <w:color w:val="auto"/>
                <w:highlight w:val="none"/>
              </w:rPr>
              <w:t>GB</w:t>
            </w:r>
            <w:r>
              <w:rPr>
                <w:color w:val="auto"/>
                <w:spacing w:val="7"/>
                <w:highlight w:val="none"/>
              </w:rPr>
              <w:t xml:space="preserve"> 21521）</w:t>
            </w:r>
          </w:p>
        </w:tc>
      </w:tr>
      <w:tr w14:paraId="21E9C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78" w:type="dxa"/>
            <w:vAlign w:val="top"/>
          </w:tcPr>
          <w:p w14:paraId="23F67604">
            <w:pPr>
              <w:pStyle w:val="212"/>
              <w:spacing w:before="227" w:line="256" w:lineRule="exact"/>
              <w:ind w:left="246"/>
              <w:rPr>
                <w:color w:val="auto"/>
                <w:highlight w:val="none"/>
              </w:rPr>
            </w:pPr>
            <w:r>
              <w:rPr>
                <w:color w:val="auto"/>
                <w:position w:val="1"/>
                <w:highlight w:val="none"/>
              </w:rPr>
              <w:t>5</w:t>
            </w:r>
          </w:p>
        </w:tc>
        <w:tc>
          <w:tcPr>
            <w:tcW w:w="1166" w:type="dxa"/>
            <w:vAlign w:val="top"/>
          </w:tcPr>
          <w:p w14:paraId="55CB746F">
            <w:pPr>
              <w:pStyle w:val="212"/>
              <w:spacing w:before="227" w:line="229" w:lineRule="auto"/>
              <w:ind w:left="9"/>
              <w:rPr>
                <w:color w:val="auto"/>
                <w:highlight w:val="none"/>
              </w:rPr>
            </w:pPr>
            <w:r>
              <w:rPr>
                <w:color w:val="auto"/>
                <w:spacing w:val="4"/>
                <w:highlight w:val="none"/>
              </w:rPr>
              <w:t>A020519</w:t>
            </w:r>
            <w:r>
              <w:rPr>
                <w:color w:val="auto"/>
                <w:spacing w:val="-32"/>
                <w:highlight w:val="none"/>
              </w:rPr>
              <w:t xml:space="preserve"> </w:t>
            </w:r>
            <w:r>
              <w:rPr>
                <w:color w:val="auto"/>
                <w:spacing w:val="4"/>
                <w:highlight w:val="none"/>
              </w:rPr>
              <w:t>泵</w:t>
            </w:r>
          </w:p>
        </w:tc>
        <w:tc>
          <w:tcPr>
            <w:tcW w:w="1799" w:type="dxa"/>
            <w:vAlign w:val="top"/>
          </w:tcPr>
          <w:p w14:paraId="32D1D5D1">
            <w:pPr>
              <w:pStyle w:val="212"/>
              <w:spacing w:before="227" w:line="229" w:lineRule="auto"/>
              <w:ind w:left="9"/>
              <w:rPr>
                <w:color w:val="auto"/>
                <w:highlight w:val="none"/>
              </w:rPr>
            </w:pPr>
            <w:r>
              <w:rPr>
                <w:color w:val="auto"/>
                <w:spacing w:val="5"/>
                <w:highlight w:val="none"/>
              </w:rPr>
              <w:t>A02051901</w:t>
            </w:r>
            <w:r>
              <w:rPr>
                <w:color w:val="auto"/>
                <w:spacing w:val="-33"/>
                <w:highlight w:val="none"/>
              </w:rPr>
              <w:t xml:space="preserve"> </w:t>
            </w:r>
            <w:r>
              <w:rPr>
                <w:color w:val="auto"/>
                <w:spacing w:val="5"/>
                <w:highlight w:val="none"/>
              </w:rPr>
              <w:t>离心泵</w:t>
            </w:r>
          </w:p>
        </w:tc>
        <w:tc>
          <w:tcPr>
            <w:tcW w:w="1914" w:type="dxa"/>
            <w:vAlign w:val="top"/>
          </w:tcPr>
          <w:p w14:paraId="25F44149">
            <w:pPr>
              <w:rPr>
                <w:rFonts w:ascii="Arial"/>
                <w:color w:val="auto"/>
                <w:sz w:val="21"/>
                <w:highlight w:val="none"/>
              </w:rPr>
            </w:pPr>
          </w:p>
        </w:tc>
        <w:tc>
          <w:tcPr>
            <w:tcW w:w="2969" w:type="dxa"/>
            <w:vAlign w:val="top"/>
          </w:tcPr>
          <w:p w14:paraId="5DE31904">
            <w:pPr>
              <w:pStyle w:val="212"/>
              <w:spacing w:before="72" w:line="271" w:lineRule="auto"/>
              <w:ind w:left="17" w:right="11" w:firstLine="6"/>
              <w:rPr>
                <w:color w:val="auto"/>
                <w:highlight w:val="none"/>
              </w:rPr>
            </w:pPr>
            <w:r>
              <w:rPr>
                <w:color w:val="auto"/>
                <w:spacing w:val="19"/>
                <w:highlight w:val="none"/>
              </w:rPr>
              <w:t>《清水离心泵能效限定值及节能</w:t>
            </w:r>
            <w:r>
              <w:rPr>
                <w:color w:val="auto"/>
                <w:spacing w:val="2"/>
                <w:highlight w:val="none"/>
              </w:rPr>
              <w:t xml:space="preserve"> </w:t>
            </w:r>
            <w:r>
              <w:rPr>
                <w:color w:val="auto"/>
                <w:spacing w:val="4"/>
                <w:highlight w:val="none"/>
              </w:rPr>
              <w:t>评价值》（</w:t>
            </w:r>
            <w:r>
              <w:rPr>
                <w:color w:val="auto"/>
                <w:highlight w:val="none"/>
              </w:rPr>
              <w:t>GB</w:t>
            </w:r>
            <w:r>
              <w:rPr>
                <w:color w:val="auto"/>
                <w:spacing w:val="39"/>
                <w:highlight w:val="none"/>
              </w:rPr>
              <w:t xml:space="preserve"> </w:t>
            </w:r>
            <w:r>
              <w:rPr>
                <w:color w:val="auto"/>
                <w:spacing w:val="4"/>
                <w:highlight w:val="none"/>
              </w:rPr>
              <w:t>19762）</w:t>
            </w:r>
          </w:p>
        </w:tc>
      </w:tr>
      <w:tr w14:paraId="31386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trPr>
        <w:tc>
          <w:tcPr>
            <w:tcW w:w="578" w:type="dxa"/>
            <w:vMerge w:val="restart"/>
            <w:tcBorders>
              <w:bottom w:val="nil"/>
            </w:tcBorders>
            <w:vAlign w:val="top"/>
          </w:tcPr>
          <w:p w14:paraId="7F5F898F">
            <w:pPr>
              <w:spacing w:line="290" w:lineRule="auto"/>
              <w:rPr>
                <w:rFonts w:ascii="Arial"/>
                <w:color w:val="auto"/>
                <w:sz w:val="21"/>
                <w:highlight w:val="none"/>
              </w:rPr>
            </w:pPr>
          </w:p>
          <w:p w14:paraId="6004FD54">
            <w:pPr>
              <w:spacing w:line="290" w:lineRule="auto"/>
              <w:rPr>
                <w:rFonts w:ascii="Arial"/>
                <w:color w:val="auto"/>
                <w:sz w:val="21"/>
                <w:highlight w:val="none"/>
              </w:rPr>
            </w:pPr>
          </w:p>
          <w:p w14:paraId="0D1B5A54">
            <w:pPr>
              <w:spacing w:line="291" w:lineRule="auto"/>
              <w:rPr>
                <w:rFonts w:ascii="Arial"/>
                <w:color w:val="auto"/>
                <w:sz w:val="21"/>
                <w:highlight w:val="none"/>
              </w:rPr>
            </w:pPr>
          </w:p>
          <w:p w14:paraId="2F9C1294">
            <w:pPr>
              <w:pStyle w:val="212"/>
              <w:spacing w:before="62" w:line="256" w:lineRule="exact"/>
              <w:ind w:left="244"/>
              <w:rPr>
                <w:color w:val="auto"/>
                <w:highlight w:val="none"/>
              </w:rPr>
            </w:pPr>
            <w:r>
              <w:rPr>
                <w:color w:val="auto"/>
                <w:position w:val="1"/>
                <w:highlight w:val="none"/>
              </w:rPr>
              <w:t>6</w:t>
            </w:r>
          </w:p>
        </w:tc>
        <w:tc>
          <w:tcPr>
            <w:tcW w:w="1166" w:type="dxa"/>
            <w:vMerge w:val="restart"/>
            <w:tcBorders>
              <w:bottom w:val="nil"/>
            </w:tcBorders>
            <w:vAlign w:val="top"/>
          </w:tcPr>
          <w:p w14:paraId="7C6C1221">
            <w:pPr>
              <w:spacing w:line="358" w:lineRule="auto"/>
              <w:rPr>
                <w:rFonts w:ascii="Arial"/>
                <w:color w:val="auto"/>
                <w:sz w:val="21"/>
                <w:highlight w:val="none"/>
              </w:rPr>
            </w:pPr>
          </w:p>
          <w:p w14:paraId="1080EB1C">
            <w:pPr>
              <w:spacing w:line="358" w:lineRule="auto"/>
              <w:rPr>
                <w:rFonts w:ascii="Arial"/>
                <w:color w:val="auto"/>
                <w:sz w:val="21"/>
                <w:highlight w:val="none"/>
              </w:rPr>
            </w:pPr>
          </w:p>
          <w:p w14:paraId="109E7F2F">
            <w:pPr>
              <w:pStyle w:val="212"/>
              <w:spacing w:before="61" w:line="230" w:lineRule="auto"/>
              <w:ind w:left="9"/>
              <w:rPr>
                <w:color w:val="auto"/>
                <w:highlight w:val="none"/>
              </w:rPr>
            </w:pPr>
            <w:r>
              <w:rPr>
                <w:color w:val="auto"/>
                <w:spacing w:val="5"/>
                <w:highlight w:val="none"/>
              </w:rPr>
              <w:t>A020523</w:t>
            </w:r>
            <w:r>
              <w:rPr>
                <w:color w:val="auto"/>
                <w:spacing w:val="-43"/>
                <w:highlight w:val="none"/>
              </w:rPr>
              <w:t xml:space="preserve"> </w:t>
            </w:r>
            <w:r>
              <w:rPr>
                <w:color w:val="auto"/>
                <w:spacing w:val="5"/>
                <w:highlight w:val="none"/>
              </w:rPr>
              <w:t>制冷</w:t>
            </w:r>
          </w:p>
          <w:p w14:paraId="743302EF">
            <w:pPr>
              <w:pStyle w:val="212"/>
              <w:spacing w:before="75" w:line="230" w:lineRule="auto"/>
              <w:ind w:left="21"/>
              <w:rPr>
                <w:color w:val="auto"/>
                <w:highlight w:val="none"/>
              </w:rPr>
            </w:pPr>
            <w:r>
              <w:rPr>
                <w:color w:val="auto"/>
                <w:spacing w:val="5"/>
                <w:highlight w:val="none"/>
              </w:rPr>
              <w:t>空调设备</w:t>
            </w:r>
          </w:p>
        </w:tc>
        <w:tc>
          <w:tcPr>
            <w:tcW w:w="1799" w:type="dxa"/>
            <w:vMerge w:val="restart"/>
            <w:tcBorders>
              <w:bottom w:val="nil"/>
            </w:tcBorders>
            <w:vAlign w:val="top"/>
          </w:tcPr>
          <w:p w14:paraId="0C9D3459">
            <w:pPr>
              <w:spacing w:line="358" w:lineRule="auto"/>
              <w:rPr>
                <w:rFonts w:ascii="Arial"/>
                <w:color w:val="auto"/>
                <w:sz w:val="21"/>
                <w:highlight w:val="none"/>
              </w:rPr>
            </w:pPr>
          </w:p>
          <w:p w14:paraId="4136821A">
            <w:pPr>
              <w:spacing w:line="358" w:lineRule="auto"/>
              <w:rPr>
                <w:rFonts w:ascii="Arial"/>
                <w:color w:val="auto"/>
                <w:sz w:val="21"/>
                <w:highlight w:val="none"/>
              </w:rPr>
            </w:pPr>
          </w:p>
          <w:p w14:paraId="0329F5B6">
            <w:pPr>
              <w:pStyle w:val="212"/>
              <w:spacing w:before="62" w:line="304" w:lineRule="auto"/>
              <w:ind w:left="15" w:right="10" w:firstLine="3"/>
              <w:rPr>
                <w:color w:val="auto"/>
                <w:highlight w:val="none"/>
              </w:rPr>
            </w:pPr>
            <w:r>
              <w:rPr>
                <w:color w:val="auto"/>
                <w:spacing w:val="3"/>
                <w:highlight w:val="none"/>
              </w:rPr>
              <w:t>★A02052301 制冷压</w:t>
            </w:r>
            <w:r>
              <w:rPr>
                <w:color w:val="auto"/>
                <w:spacing w:val="12"/>
                <w:highlight w:val="none"/>
              </w:rPr>
              <w:t xml:space="preserve"> </w:t>
            </w:r>
            <w:r>
              <w:rPr>
                <w:color w:val="auto"/>
                <w:spacing w:val="5"/>
                <w:highlight w:val="none"/>
              </w:rPr>
              <w:t>缩机</w:t>
            </w:r>
          </w:p>
        </w:tc>
        <w:tc>
          <w:tcPr>
            <w:tcW w:w="1914" w:type="dxa"/>
            <w:vAlign w:val="top"/>
          </w:tcPr>
          <w:p w14:paraId="25AD69B8">
            <w:pPr>
              <w:spacing w:line="251" w:lineRule="auto"/>
              <w:rPr>
                <w:rFonts w:ascii="Arial"/>
                <w:color w:val="auto"/>
                <w:sz w:val="21"/>
                <w:highlight w:val="none"/>
              </w:rPr>
            </w:pPr>
          </w:p>
          <w:p w14:paraId="18D52263">
            <w:pPr>
              <w:spacing w:line="251" w:lineRule="auto"/>
              <w:rPr>
                <w:rFonts w:ascii="Arial"/>
                <w:color w:val="auto"/>
                <w:sz w:val="21"/>
                <w:highlight w:val="none"/>
              </w:rPr>
            </w:pPr>
          </w:p>
          <w:p w14:paraId="273C3DD7">
            <w:pPr>
              <w:pStyle w:val="212"/>
              <w:spacing w:before="61" w:line="228" w:lineRule="auto"/>
              <w:ind w:left="18"/>
              <w:rPr>
                <w:color w:val="auto"/>
                <w:highlight w:val="none"/>
              </w:rPr>
            </w:pPr>
            <w:r>
              <w:rPr>
                <w:color w:val="auto"/>
                <w:spacing w:val="6"/>
                <w:highlight w:val="none"/>
              </w:rPr>
              <w:t>冷水机组</w:t>
            </w:r>
          </w:p>
        </w:tc>
        <w:tc>
          <w:tcPr>
            <w:tcW w:w="2969" w:type="dxa"/>
            <w:vAlign w:val="top"/>
          </w:tcPr>
          <w:p w14:paraId="4FEBE0EA">
            <w:pPr>
              <w:pStyle w:val="212"/>
              <w:spacing w:before="96" w:line="294" w:lineRule="auto"/>
              <w:ind w:left="17" w:right="11" w:firstLine="5"/>
              <w:jc w:val="both"/>
              <w:rPr>
                <w:color w:val="auto"/>
                <w:highlight w:val="none"/>
              </w:rPr>
            </w:pPr>
            <w:r>
              <w:rPr>
                <w:color w:val="auto"/>
                <w:spacing w:val="19"/>
                <w:highlight w:val="none"/>
              </w:rPr>
              <w:t>《冷水机组能效限定值及能效等</w:t>
            </w:r>
            <w:r>
              <w:rPr>
                <w:color w:val="auto"/>
                <w:spacing w:val="2"/>
                <w:highlight w:val="none"/>
              </w:rPr>
              <w:t xml:space="preserve"> </w:t>
            </w:r>
            <w:r>
              <w:rPr>
                <w:color w:val="auto"/>
                <w:spacing w:val="6"/>
                <w:highlight w:val="none"/>
              </w:rPr>
              <w:t>级》（</w:t>
            </w:r>
            <w:r>
              <w:rPr>
                <w:color w:val="auto"/>
                <w:highlight w:val="none"/>
              </w:rPr>
              <w:t>GB</w:t>
            </w:r>
            <w:r>
              <w:rPr>
                <w:color w:val="auto"/>
                <w:spacing w:val="-21"/>
                <w:highlight w:val="none"/>
              </w:rPr>
              <w:t xml:space="preserve"> </w:t>
            </w:r>
            <w:r>
              <w:rPr>
                <w:color w:val="auto"/>
                <w:spacing w:val="6"/>
                <w:highlight w:val="none"/>
              </w:rPr>
              <w:t>19577</w:t>
            </w:r>
            <w:r>
              <w:rPr>
                <w:color w:val="auto"/>
                <w:spacing w:val="9"/>
                <w:highlight w:val="none"/>
              </w:rPr>
              <w:t>），</w:t>
            </w:r>
            <w:r>
              <w:rPr>
                <w:color w:val="auto"/>
                <w:spacing w:val="6"/>
                <w:highlight w:val="none"/>
              </w:rPr>
              <w:t>《低环境温度</w:t>
            </w:r>
            <w:r>
              <w:rPr>
                <w:color w:val="auto"/>
                <w:highlight w:val="none"/>
              </w:rPr>
              <w:t xml:space="preserve"> </w:t>
            </w:r>
            <w:r>
              <w:rPr>
                <w:color w:val="auto"/>
                <w:spacing w:val="5"/>
                <w:highlight w:val="none"/>
              </w:rPr>
              <w:t>空气源热泵（冷水）机组能效限定</w:t>
            </w:r>
            <w:r>
              <w:rPr>
                <w:color w:val="auto"/>
                <w:spacing w:val="6"/>
                <w:highlight w:val="none"/>
              </w:rPr>
              <w:t xml:space="preserve"> </w:t>
            </w:r>
            <w:r>
              <w:rPr>
                <w:color w:val="auto"/>
                <w:spacing w:val="7"/>
                <w:highlight w:val="none"/>
              </w:rPr>
              <w:t>值及能效等级》（</w:t>
            </w:r>
            <w:r>
              <w:rPr>
                <w:color w:val="auto"/>
                <w:highlight w:val="none"/>
              </w:rPr>
              <w:t>GB</w:t>
            </w:r>
            <w:r>
              <w:rPr>
                <w:color w:val="auto"/>
                <w:spacing w:val="7"/>
                <w:highlight w:val="none"/>
              </w:rPr>
              <w:t xml:space="preserve"> 37480）</w:t>
            </w:r>
          </w:p>
        </w:tc>
      </w:tr>
      <w:tr w14:paraId="67049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578" w:type="dxa"/>
            <w:vMerge w:val="continue"/>
            <w:tcBorders>
              <w:top w:val="nil"/>
            </w:tcBorders>
            <w:vAlign w:val="top"/>
          </w:tcPr>
          <w:p w14:paraId="23906384">
            <w:pPr>
              <w:rPr>
                <w:rFonts w:ascii="Arial"/>
                <w:color w:val="auto"/>
                <w:sz w:val="21"/>
                <w:highlight w:val="none"/>
              </w:rPr>
            </w:pPr>
          </w:p>
        </w:tc>
        <w:tc>
          <w:tcPr>
            <w:tcW w:w="1166" w:type="dxa"/>
            <w:vMerge w:val="continue"/>
            <w:tcBorders>
              <w:top w:val="nil"/>
            </w:tcBorders>
            <w:vAlign w:val="top"/>
          </w:tcPr>
          <w:p w14:paraId="7A0BAD70">
            <w:pPr>
              <w:rPr>
                <w:rFonts w:ascii="Arial"/>
                <w:color w:val="auto"/>
                <w:sz w:val="21"/>
                <w:highlight w:val="none"/>
              </w:rPr>
            </w:pPr>
          </w:p>
        </w:tc>
        <w:tc>
          <w:tcPr>
            <w:tcW w:w="1799" w:type="dxa"/>
            <w:vMerge w:val="continue"/>
            <w:tcBorders>
              <w:top w:val="nil"/>
            </w:tcBorders>
            <w:vAlign w:val="top"/>
          </w:tcPr>
          <w:p w14:paraId="6E0EE609">
            <w:pPr>
              <w:rPr>
                <w:rFonts w:ascii="Arial"/>
                <w:color w:val="auto"/>
                <w:sz w:val="21"/>
                <w:highlight w:val="none"/>
              </w:rPr>
            </w:pPr>
          </w:p>
        </w:tc>
        <w:tc>
          <w:tcPr>
            <w:tcW w:w="1914" w:type="dxa"/>
            <w:vAlign w:val="top"/>
          </w:tcPr>
          <w:p w14:paraId="2E1FBFD3">
            <w:pPr>
              <w:pStyle w:val="212"/>
              <w:spacing w:before="276" w:line="228" w:lineRule="auto"/>
              <w:ind w:left="19"/>
              <w:rPr>
                <w:color w:val="auto"/>
                <w:highlight w:val="none"/>
              </w:rPr>
            </w:pPr>
            <w:r>
              <w:rPr>
                <w:color w:val="auto"/>
                <w:spacing w:val="7"/>
                <w:highlight w:val="none"/>
              </w:rPr>
              <w:t>水源热泵机组</w:t>
            </w:r>
          </w:p>
        </w:tc>
        <w:tc>
          <w:tcPr>
            <w:tcW w:w="2969" w:type="dxa"/>
            <w:vAlign w:val="top"/>
          </w:tcPr>
          <w:p w14:paraId="6B09B45B">
            <w:pPr>
              <w:pStyle w:val="212"/>
              <w:spacing w:before="120" w:line="298" w:lineRule="auto"/>
              <w:ind w:left="17" w:right="13" w:firstLine="6"/>
              <w:rPr>
                <w:color w:val="auto"/>
                <w:highlight w:val="none"/>
              </w:rPr>
            </w:pPr>
            <w:r>
              <w:rPr>
                <w:color w:val="auto"/>
                <w:spacing w:val="5"/>
                <w:highlight w:val="none"/>
              </w:rPr>
              <w:t>《水（地）源热泵机组能效限定值</w:t>
            </w:r>
            <w:r>
              <w:rPr>
                <w:color w:val="auto"/>
                <w:highlight w:val="none"/>
              </w:rPr>
              <w:t xml:space="preserve"> </w:t>
            </w:r>
            <w:r>
              <w:rPr>
                <w:color w:val="auto"/>
                <w:spacing w:val="7"/>
                <w:highlight w:val="none"/>
              </w:rPr>
              <w:t>及能效等级》（</w:t>
            </w:r>
            <w:r>
              <w:rPr>
                <w:color w:val="auto"/>
                <w:highlight w:val="none"/>
              </w:rPr>
              <w:t>GB</w:t>
            </w:r>
            <w:r>
              <w:rPr>
                <w:color w:val="auto"/>
                <w:spacing w:val="7"/>
                <w:highlight w:val="none"/>
              </w:rPr>
              <w:t xml:space="preserve"> 30721）</w:t>
            </w:r>
          </w:p>
        </w:tc>
      </w:tr>
    </w:tbl>
    <w:p w14:paraId="4E0066F2">
      <w:pPr>
        <w:rPr>
          <w:rFonts w:ascii="Arial"/>
          <w:color w:val="auto"/>
          <w:sz w:val="21"/>
          <w:highlight w:val="none"/>
        </w:rPr>
      </w:pPr>
    </w:p>
    <w:p w14:paraId="47423BD4">
      <w:pPr>
        <w:rPr>
          <w:rFonts w:ascii="Arial" w:hAnsi="Arial" w:eastAsia="Arial" w:cs="Arial"/>
          <w:color w:val="auto"/>
          <w:sz w:val="21"/>
          <w:szCs w:val="21"/>
          <w:highlight w:val="none"/>
        </w:rPr>
        <w:sectPr>
          <w:pgSz w:w="11906" w:h="16838"/>
          <w:pgMar w:top="992" w:right="1134" w:bottom="1247" w:left="1417" w:header="850" w:footer="992" w:gutter="0"/>
          <w:pgBorders>
            <w:top w:val="none" w:sz="0" w:space="0"/>
            <w:left w:val="none" w:sz="0" w:space="0"/>
            <w:bottom w:val="none" w:sz="0" w:space="0"/>
            <w:right w:val="none" w:sz="0" w:space="0"/>
          </w:pgBorders>
          <w:cols w:space="720" w:num="1"/>
        </w:sectPr>
      </w:pPr>
    </w:p>
    <w:p w14:paraId="6F0C3D02">
      <w:pPr>
        <w:spacing w:line="91" w:lineRule="auto"/>
        <w:rPr>
          <w:rFonts w:ascii="Arial"/>
          <w:color w:val="auto"/>
          <w:sz w:val="2"/>
          <w:highlight w:val="none"/>
        </w:rPr>
      </w:pPr>
    </w:p>
    <w:tbl>
      <w:tblPr>
        <w:tblStyle w:val="213"/>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108F3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578" w:type="dxa"/>
            <w:vMerge w:val="restart"/>
            <w:tcBorders>
              <w:bottom w:val="nil"/>
            </w:tcBorders>
            <w:vAlign w:val="top"/>
          </w:tcPr>
          <w:p w14:paraId="34DDC35A">
            <w:pPr>
              <w:rPr>
                <w:rFonts w:ascii="Arial"/>
                <w:color w:val="auto"/>
                <w:sz w:val="21"/>
                <w:highlight w:val="none"/>
              </w:rPr>
            </w:pPr>
          </w:p>
        </w:tc>
        <w:tc>
          <w:tcPr>
            <w:tcW w:w="1166" w:type="dxa"/>
            <w:vMerge w:val="restart"/>
            <w:tcBorders>
              <w:bottom w:val="nil"/>
            </w:tcBorders>
            <w:vAlign w:val="top"/>
          </w:tcPr>
          <w:p w14:paraId="1295C6B7">
            <w:pPr>
              <w:rPr>
                <w:rFonts w:ascii="Arial"/>
                <w:color w:val="auto"/>
                <w:sz w:val="21"/>
                <w:highlight w:val="none"/>
              </w:rPr>
            </w:pPr>
          </w:p>
        </w:tc>
        <w:tc>
          <w:tcPr>
            <w:tcW w:w="1799" w:type="dxa"/>
            <w:vAlign w:val="top"/>
          </w:tcPr>
          <w:p w14:paraId="051857CC">
            <w:pPr>
              <w:rPr>
                <w:rFonts w:ascii="Arial"/>
                <w:color w:val="auto"/>
                <w:sz w:val="21"/>
                <w:highlight w:val="none"/>
              </w:rPr>
            </w:pPr>
          </w:p>
        </w:tc>
        <w:tc>
          <w:tcPr>
            <w:tcW w:w="1914" w:type="dxa"/>
            <w:vAlign w:val="top"/>
          </w:tcPr>
          <w:p w14:paraId="549510A5">
            <w:pPr>
              <w:pStyle w:val="212"/>
              <w:spacing w:before="159" w:line="310" w:lineRule="auto"/>
              <w:ind w:left="19" w:right="11" w:firstLine="1"/>
              <w:rPr>
                <w:color w:val="auto"/>
                <w:highlight w:val="none"/>
              </w:rPr>
            </w:pPr>
            <w:r>
              <w:rPr>
                <w:color w:val="auto"/>
                <w:spacing w:val="18"/>
                <w:highlight w:val="none"/>
              </w:rPr>
              <w:t>溴化锂吸收式冷水机</w:t>
            </w:r>
            <w:r>
              <w:rPr>
                <w:color w:val="auto"/>
                <w:spacing w:val="4"/>
                <w:highlight w:val="none"/>
              </w:rPr>
              <w:t xml:space="preserve"> </w:t>
            </w:r>
            <w:r>
              <w:rPr>
                <w:color w:val="auto"/>
                <w:highlight w:val="none"/>
              </w:rPr>
              <w:t>组</w:t>
            </w:r>
          </w:p>
        </w:tc>
        <w:tc>
          <w:tcPr>
            <w:tcW w:w="2969" w:type="dxa"/>
            <w:vAlign w:val="top"/>
          </w:tcPr>
          <w:p w14:paraId="75C2DCD0">
            <w:pPr>
              <w:pStyle w:val="212"/>
              <w:spacing w:before="160" w:line="304" w:lineRule="auto"/>
              <w:ind w:left="22" w:right="11"/>
              <w:rPr>
                <w:color w:val="auto"/>
                <w:highlight w:val="none"/>
              </w:rPr>
            </w:pPr>
            <w:r>
              <w:rPr>
                <w:color w:val="auto"/>
                <w:spacing w:val="19"/>
                <w:highlight w:val="none"/>
              </w:rPr>
              <w:t>《溴化锂吸收式冷水机组能效限</w:t>
            </w:r>
            <w:r>
              <w:rPr>
                <w:color w:val="auto"/>
                <w:spacing w:val="2"/>
                <w:highlight w:val="none"/>
              </w:rPr>
              <w:t xml:space="preserve"> </w:t>
            </w:r>
            <w:r>
              <w:rPr>
                <w:color w:val="auto"/>
                <w:spacing w:val="7"/>
                <w:highlight w:val="none"/>
              </w:rPr>
              <w:t>定值及能效等级》（</w:t>
            </w:r>
            <w:r>
              <w:rPr>
                <w:color w:val="auto"/>
                <w:highlight w:val="none"/>
              </w:rPr>
              <w:t>GB</w:t>
            </w:r>
            <w:r>
              <w:rPr>
                <w:color w:val="auto"/>
                <w:spacing w:val="7"/>
                <w:highlight w:val="none"/>
              </w:rPr>
              <w:t xml:space="preserve"> 29540）</w:t>
            </w:r>
          </w:p>
        </w:tc>
      </w:tr>
      <w:tr w14:paraId="0C6F3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vAlign w:val="top"/>
          </w:tcPr>
          <w:p w14:paraId="1E712B95">
            <w:pPr>
              <w:rPr>
                <w:rFonts w:ascii="Arial"/>
                <w:color w:val="auto"/>
                <w:sz w:val="21"/>
                <w:highlight w:val="none"/>
              </w:rPr>
            </w:pPr>
          </w:p>
        </w:tc>
        <w:tc>
          <w:tcPr>
            <w:tcW w:w="1166" w:type="dxa"/>
            <w:vMerge w:val="continue"/>
            <w:tcBorders>
              <w:top w:val="nil"/>
              <w:bottom w:val="nil"/>
            </w:tcBorders>
            <w:vAlign w:val="top"/>
          </w:tcPr>
          <w:p w14:paraId="13D0E73E">
            <w:pPr>
              <w:rPr>
                <w:rFonts w:ascii="Arial"/>
                <w:color w:val="auto"/>
                <w:sz w:val="21"/>
                <w:highlight w:val="none"/>
              </w:rPr>
            </w:pPr>
          </w:p>
        </w:tc>
        <w:tc>
          <w:tcPr>
            <w:tcW w:w="1799" w:type="dxa"/>
            <w:vMerge w:val="restart"/>
            <w:tcBorders>
              <w:bottom w:val="nil"/>
            </w:tcBorders>
            <w:vAlign w:val="top"/>
          </w:tcPr>
          <w:p w14:paraId="29D9A29D">
            <w:pPr>
              <w:spacing w:line="265" w:lineRule="auto"/>
              <w:rPr>
                <w:rFonts w:ascii="Arial"/>
                <w:color w:val="auto"/>
                <w:sz w:val="21"/>
                <w:highlight w:val="none"/>
              </w:rPr>
            </w:pPr>
          </w:p>
          <w:p w14:paraId="4D8D1BB0">
            <w:pPr>
              <w:spacing w:line="265" w:lineRule="auto"/>
              <w:rPr>
                <w:rFonts w:ascii="Arial"/>
                <w:color w:val="auto"/>
                <w:sz w:val="21"/>
                <w:highlight w:val="none"/>
              </w:rPr>
            </w:pPr>
          </w:p>
          <w:p w14:paraId="339DFC02">
            <w:pPr>
              <w:spacing w:line="266" w:lineRule="auto"/>
              <w:rPr>
                <w:rFonts w:ascii="Arial"/>
                <w:color w:val="auto"/>
                <w:sz w:val="21"/>
                <w:highlight w:val="none"/>
              </w:rPr>
            </w:pPr>
          </w:p>
          <w:p w14:paraId="7696CF3E">
            <w:pPr>
              <w:pStyle w:val="212"/>
              <w:spacing w:before="62" w:line="310" w:lineRule="auto"/>
              <w:ind w:left="17" w:right="10"/>
              <w:rPr>
                <w:color w:val="auto"/>
                <w:highlight w:val="none"/>
              </w:rPr>
            </w:pPr>
            <w:r>
              <w:rPr>
                <w:color w:val="auto"/>
                <w:spacing w:val="3"/>
                <w:highlight w:val="none"/>
              </w:rPr>
              <w:t>★A02052305 空调机</w:t>
            </w:r>
            <w:r>
              <w:rPr>
                <w:color w:val="auto"/>
                <w:spacing w:val="12"/>
                <w:highlight w:val="none"/>
              </w:rPr>
              <w:t xml:space="preserve"> </w:t>
            </w:r>
            <w:r>
              <w:rPr>
                <w:color w:val="auto"/>
                <w:highlight w:val="none"/>
              </w:rPr>
              <w:t>组</w:t>
            </w:r>
          </w:p>
        </w:tc>
        <w:tc>
          <w:tcPr>
            <w:tcW w:w="1914" w:type="dxa"/>
            <w:vAlign w:val="top"/>
          </w:tcPr>
          <w:p w14:paraId="67D043F6">
            <w:pPr>
              <w:pStyle w:val="212"/>
              <w:spacing w:before="65" w:line="284" w:lineRule="auto"/>
              <w:ind w:left="15" w:right="11" w:firstLine="10"/>
              <w:jc w:val="both"/>
              <w:rPr>
                <w:color w:val="auto"/>
                <w:highlight w:val="none"/>
              </w:rPr>
            </w:pPr>
            <w:r>
              <w:rPr>
                <w:color w:val="auto"/>
                <w:spacing w:val="15"/>
                <w:highlight w:val="none"/>
              </w:rPr>
              <w:t>多联式空调（热泵）</w:t>
            </w:r>
            <w:r>
              <w:rPr>
                <w:color w:val="auto"/>
                <w:spacing w:val="7"/>
                <w:highlight w:val="none"/>
              </w:rPr>
              <w:t xml:space="preserve"> </w:t>
            </w:r>
            <w:r>
              <w:rPr>
                <w:color w:val="auto"/>
                <w:spacing w:val="-8"/>
                <w:highlight w:val="none"/>
              </w:rPr>
              <w:t>机</w:t>
            </w:r>
            <w:r>
              <w:rPr>
                <w:color w:val="auto"/>
                <w:spacing w:val="34"/>
                <w:highlight w:val="none"/>
              </w:rPr>
              <w:t xml:space="preserve">  </w:t>
            </w:r>
            <w:r>
              <w:rPr>
                <w:color w:val="auto"/>
                <w:spacing w:val="-8"/>
                <w:highlight w:val="none"/>
              </w:rPr>
              <w:t>组</w:t>
            </w:r>
            <w:r>
              <w:rPr>
                <w:color w:val="auto"/>
                <w:spacing w:val="2"/>
                <w:highlight w:val="none"/>
              </w:rPr>
              <w:t xml:space="preserve">   </w:t>
            </w:r>
            <w:r>
              <w:rPr>
                <w:color w:val="auto"/>
                <w:spacing w:val="-8"/>
                <w:highlight w:val="none"/>
              </w:rPr>
              <w:t>(</w:t>
            </w:r>
            <w:r>
              <w:rPr>
                <w:color w:val="auto"/>
                <w:spacing w:val="33"/>
                <w:highlight w:val="none"/>
              </w:rPr>
              <w:t xml:space="preserve">  </w:t>
            </w:r>
            <w:r>
              <w:rPr>
                <w:color w:val="auto"/>
                <w:spacing w:val="-8"/>
                <w:highlight w:val="none"/>
              </w:rPr>
              <w:t>制</w:t>
            </w:r>
            <w:r>
              <w:rPr>
                <w:color w:val="auto"/>
                <w:spacing w:val="35"/>
                <w:highlight w:val="none"/>
              </w:rPr>
              <w:t xml:space="preserve">  </w:t>
            </w:r>
            <w:r>
              <w:rPr>
                <w:color w:val="auto"/>
                <w:spacing w:val="-8"/>
                <w:highlight w:val="none"/>
              </w:rPr>
              <w:t>冷</w:t>
            </w:r>
            <w:r>
              <w:rPr>
                <w:color w:val="auto"/>
                <w:highlight w:val="none"/>
              </w:rPr>
              <w:t xml:space="preserve"> </w:t>
            </w:r>
            <w:r>
              <w:rPr>
                <w:color w:val="auto"/>
                <w:spacing w:val="5"/>
                <w:highlight w:val="none"/>
              </w:rPr>
              <w:t>量&gt;14000W)</w:t>
            </w:r>
          </w:p>
        </w:tc>
        <w:tc>
          <w:tcPr>
            <w:tcW w:w="2969" w:type="dxa"/>
            <w:vAlign w:val="top"/>
          </w:tcPr>
          <w:p w14:paraId="52513D91">
            <w:pPr>
              <w:pStyle w:val="212"/>
              <w:spacing w:before="221" w:line="305" w:lineRule="auto"/>
              <w:ind w:left="22"/>
              <w:rPr>
                <w:color w:val="auto"/>
                <w:highlight w:val="none"/>
              </w:rPr>
            </w:pPr>
            <w:r>
              <w:rPr>
                <w:color w:val="auto"/>
                <w:highlight w:val="none"/>
              </w:rPr>
              <w:t>《多联式空调（热泵）机组能效限</w:t>
            </w:r>
            <w:r>
              <w:rPr>
                <w:color w:val="auto"/>
                <w:spacing w:val="2"/>
                <w:highlight w:val="none"/>
              </w:rPr>
              <w:t xml:space="preserve">  </w:t>
            </w:r>
            <w:r>
              <w:rPr>
                <w:color w:val="auto"/>
                <w:spacing w:val="-4"/>
                <w:highlight w:val="none"/>
              </w:rPr>
              <w:t>定值及能源效率等级》（GB</w:t>
            </w:r>
            <w:r>
              <w:rPr>
                <w:color w:val="auto"/>
                <w:spacing w:val="-24"/>
                <w:highlight w:val="none"/>
              </w:rPr>
              <w:t xml:space="preserve"> </w:t>
            </w:r>
            <w:r>
              <w:rPr>
                <w:color w:val="auto"/>
                <w:spacing w:val="-4"/>
                <w:highlight w:val="none"/>
              </w:rPr>
              <w:t>21454）</w:t>
            </w:r>
          </w:p>
        </w:tc>
      </w:tr>
      <w:tr w14:paraId="292FD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578" w:type="dxa"/>
            <w:vMerge w:val="continue"/>
            <w:tcBorders>
              <w:top w:val="nil"/>
              <w:bottom w:val="nil"/>
            </w:tcBorders>
            <w:vAlign w:val="top"/>
          </w:tcPr>
          <w:p w14:paraId="1DB28F93">
            <w:pPr>
              <w:rPr>
                <w:rFonts w:ascii="Arial"/>
                <w:color w:val="auto"/>
                <w:sz w:val="21"/>
                <w:highlight w:val="none"/>
              </w:rPr>
            </w:pPr>
          </w:p>
        </w:tc>
        <w:tc>
          <w:tcPr>
            <w:tcW w:w="1166" w:type="dxa"/>
            <w:vMerge w:val="continue"/>
            <w:tcBorders>
              <w:top w:val="nil"/>
              <w:bottom w:val="nil"/>
            </w:tcBorders>
            <w:vAlign w:val="top"/>
          </w:tcPr>
          <w:p w14:paraId="34C6D3BD">
            <w:pPr>
              <w:rPr>
                <w:rFonts w:ascii="Arial"/>
                <w:color w:val="auto"/>
                <w:sz w:val="21"/>
                <w:highlight w:val="none"/>
              </w:rPr>
            </w:pPr>
          </w:p>
        </w:tc>
        <w:tc>
          <w:tcPr>
            <w:tcW w:w="1799" w:type="dxa"/>
            <w:vMerge w:val="continue"/>
            <w:tcBorders>
              <w:top w:val="nil"/>
            </w:tcBorders>
            <w:vAlign w:val="top"/>
          </w:tcPr>
          <w:p w14:paraId="36405C00">
            <w:pPr>
              <w:rPr>
                <w:rFonts w:ascii="Arial"/>
                <w:color w:val="auto"/>
                <w:sz w:val="21"/>
                <w:highlight w:val="none"/>
              </w:rPr>
            </w:pPr>
          </w:p>
        </w:tc>
        <w:tc>
          <w:tcPr>
            <w:tcW w:w="1914" w:type="dxa"/>
            <w:vAlign w:val="top"/>
          </w:tcPr>
          <w:p w14:paraId="7B028113">
            <w:pPr>
              <w:spacing w:line="319" w:lineRule="auto"/>
              <w:rPr>
                <w:rFonts w:ascii="Arial"/>
                <w:color w:val="auto"/>
                <w:sz w:val="21"/>
                <w:highlight w:val="none"/>
              </w:rPr>
            </w:pPr>
          </w:p>
          <w:p w14:paraId="36C0C62A">
            <w:pPr>
              <w:pStyle w:val="212"/>
              <w:spacing w:before="62" w:line="305" w:lineRule="auto"/>
              <w:ind w:left="51" w:right="11" w:hanging="33"/>
              <w:rPr>
                <w:color w:val="auto"/>
                <w:highlight w:val="none"/>
              </w:rPr>
            </w:pPr>
            <w:r>
              <w:rPr>
                <w:color w:val="auto"/>
                <w:spacing w:val="44"/>
                <w:highlight w:val="none"/>
              </w:rPr>
              <w:t>单元式空气调节机</w:t>
            </w:r>
            <w:r>
              <w:rPr>
                <w:color w:val="auto"/>
                <w:spacing w:val="6"/>
                <w:highlight w:val="none"/>
              </w:rPr>
              <w:t xml:space="preserve"> </w:t>
            </w:r>
            <w:r>
              <w:rPr>
                <w:color w:val="auto"/>
                <w:spacing w:val="2"/>
                <w:highlight w:val="none"/>
              </w:rPr>
              <w:t>(制冷量&gt;14000W)</w:t>
            </w:r>
          </w:p>
        </w:tc>
        <w:tc>
          <w:tcPr>
            <w:tcW w:w="2969" w:type="dxa"/>
            <w:vAlign w:val="top"/>
          </w:tcPr>
          <w:p w14:paraId="3E6731E4">
            <w:pPr>
              <w:pStyle w:val="212"/>
              <w:spacing w:before="72" w:line="290" w:lineRule="auto"/>
              <w:ind w:left="16" w:right="11" w:firstLine="6"/>
              <w:jc w:val="both"/>
              <w:rPr>
                <w:color w:val="auto"/>
                <w:highlight w:val="none"/>
              </w:rPr>
            </w:pPr>
            <w:r>
              <w:rPr>
                <w:color w:val="auto"/>
                <w:spacing w:val="19"/>
                <w:highlight w:val="none"/>
              </w:rPr>
              <w:t>《单元式空气调节机能效限定值</w:t>
            </w:r>
            <w:r>
              <w:rPr>
                <w:color w:val="auto"/>
                <w:spacing w:val="2"/>
                <w:highlight w:val="none"/>
              </w:rPr>
              <w:t xml:space="preserve"> </w:t>
            </w:r>
            <w:r>
              <w:rPr>
                <w:color w:val="auto"/>
                <w:spacing w:val="6"/>
                <w:highlight w:val="none"/>
              </w:rPr>
              <w:t>及能效等级》（</w:t>
            </w:r>
            <w:r>
              <w:rPr>
                <w:color w:val="auto"/>
                <w:highlight w:val="none"/>
              </w:rPr>
              <w:t>GB</w:t>
            </w:r>
            <w:r>
              <w:rPr>
                <w:color w:val="auto"/>
                <w:spacing w:val="-13"/>
                <w:highlight w:val="none"/>
              </w:rPr>
              <w:t xml:space="preserve"> </w:t>
            </w:r>
            <w:r>
              <w:rPr>
                <w:color w:val="auto"/>
                <w:spacing w:val="6"/>
                <w:highlight w:val="none"/>
              </w:rPr>
              <w:t>19576）《风管</w:t>
            </w:r>
            <w:r>
              <w:rPr>
                <w:color w:val="auto"/>
                <w:highlight w:val="none"/>
              </w:rPr>
              <w:t xml:space="preserve"> </w:t>
            </w:r>
            <w:r>
              <w:rPr>
                <w:color w:val="auto"/>
                <w:spacing w:val="19"/>
                <w:highlight w:val="none"/>
              </w:rPr>
              <w:t>送风式空调机组能效限定值及能</w:t>
            </w:r>
            <w:r>
              <w:rPr>
                <w:color w:val="auto"/>
                <w:spacing w:val="9"/>
                <w:highlight w:val="none"/>
              </w:rPr>
              <w:t xml:space="preserve"> </w:t>
            </w:r>
            <w:r>
              <w:rPr>
                <w:color w:val="auto"/>
                <w:spacing w:val="7"/>
                <w:highlight w:val="none"/>
              </w:rPr>
              <w:t>效等级》（</w:t>
            </w:r>
            <w:r>
              <w:rPr>
                <w:color w:val="auto"/>
                <w:highlight w:val="none"/>
              </w:rPr>
              <w:t>GB</w:t>
            </w:r>
            <w:r>
              <w:rPr>
                <w:color w:val="auto"/>
                <w:spacing w:val="7"/>
                <w:highlight w:val="none"/>
              </w:rPr>
              <w:t xml:space="preserve"> 37479）</w:t>
            </w:r>
          </w:p>
        </w:tc>
      </w:tr>
      <w:tr w14:paraId="55E26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vMerge w:val="continue"/>
            <w:tcBorders>
              <w:top w:val="nil"/>
              <w:bottom w:val="nil"/>
            </w:tcBorders>
            <w:vAlign w:val="top"/>
          </w:tcPr>
          <w:p w14:paraId="6D522909">
            <w:pPr>
              <w:rPr>
                <w:rFonts w:ascii="Arial"/>
                <w:color w:val="auto"/>
                <w:sz w:val="21"/>
                <w:highlight w:val="none"/>
              </w:rPr>
            </w:pPr>
          </w:p>
        </w:tc>
        <w:tc>
          <w:tcPr>
            <w:tcW w:w="1166" w:type="dxa"/>
            <w:vMerge w:val="continue"/>
            <w:tcBorders>
              <w:top w:val="nil"/>
              <w:bottom w:val="nil"/>
            </w:tcBorders>
            <w:vAlign w:val="top"/>
          </w:tcPr>
          <w:p w14:paraId="0A99859A">
            <w:pPr>
              <w:rPr>
                <w:rFonts w:ascii="Arial"/>
                <w:color w:val="auto"/>
                <w:sz w:val="21"/>
                <w:highlight w:val="none"/>
              </w:rPr>
            </w:pPr>
          </w:p>
        </w:tc>
        <w:tc>
          <w:tcPr>
            <w:tcW w:w="1799" w:type="dxa"/>
            <w:vAlign w:val="top"/>
          </w:tcPr>
          <w:p w14:paraId="7EF887A3">
            <w:pPr>
              <w:pStyle w:val="212"/>
              <w:spacing w:before="146" w:line="303" w:lineRule="auto"/>
              <w:ind w:left="17" w:right="10" w:firstLine="1"/>
              <w:rPr>
                <w:color w:val="auto"/>
                <w:highlight w:val="none"/>
              </w:rPr>
            </w:pPr>
            <w:r>
              <w:rPr>
                <w:color w:val="auto"/>
                <w:spacing w:val="3"/>
                <w:highlight w:val="none"/>
              </w:rPr>
              <w:t>★A02052309 专用制</w:t>
            </w:r>
            <w:r>
              <w:rPr>
                <w:color w:val="auto"/>
                <w:spacing w:val="12"/>
                <w:highlight w:val="none"/>
              </w:rPr>
              <w:t xml:space="preserve"> </w:t>
            </w:r>
            <w:r>
              <w:rPr>
                <w:color w:val="auto"/>
                <w:spacing w:val="8"/>
                <w:highlight w:val="none"/>
              </w:rPr>
              <w:t>冷、空调设备</w:t>
            </w:r>
          </w:p>
        </w:tc>
        <w:tc>
          <w:tcPr>
            <w:tcW w:w="1914" w:type="dxa"/>
            <w:vAlign w:val="top"/>
          </w:tcPr>
          <w:p w14:paraId="3BB04D24">
            <w:pPr>
              <w:pStyle w:val="212"/>
              <w:spacing w:before="300" w:line="228" w:lineRule="auto"/>
              <w:ind w:left="15"/>
              <w:rPr>
                <w:color w:val="auto"/>
                <w:highlight w:val="none"/>
              </w:rPr>
            </w:pPr>
            <w:r>
              <w:rPr>
                <w:color w:val="auto"/>
                <w:spacing w:val="7"/>
                <w:highlight w:val="none"/>
              </w:rPr>
              <w:t>机房空调</w:t>
            </w:r>
          </w:p>
        </w:tc>
        <w:tc>
          <w:tcPr>
            <w:tcW w:w="2969" w:type="dxa"/>
            <w:vAlign w:val="top"/>
          </w:tcPr>
          <w:p w14:paraId="14505153">
            <w:pPr>
              <w:pStyle w:val="212"/>
              <w:spacing w:before="146" w:line="302" w:lineRule="auto"/>
              <w:ind w:left="17" w:right="11" w:firstLine="6"/>
              <w:rPr>
                <w:color w:val="auto"/>
                <w:highlight w:val="none"/>
              </w:rPr>
            </w:pPr>
            <w:r>
              <w:rPr>
                <w:color w:val="auto"/>
                <w:spacing w:val="19"/>
                <w:highlight w:val="none"/>
              </w:rPr>
              <w:t>《单元式空气调节机能效限定值</w:t>
            </w:r>
            <w:r>
              <w:rPr>
                <w:color w:val="auto"/>
                <w:spacing w:val="2"/>
                <w:highlight w:val="none"/>
              </w:rPr>
              <w:t xml:space="preserve"> </w:t>
            </w:r>
            <w:r>
              <w:rPr>
                <w:color w:val="auto"/>
                <w:spacing w:val="5"/>
                <w:highlight w:val="none"/>
              </w:rPr>
              <w:t>及能效等级》（</w:t>
            </w:r>
            <w:r>
              <w:rPr>
                <w:color w:val="auto"/>
                <w:highlight w:val="none"/>
              </w:rPr>
              <w:t>GB</w:t>
            </w:r>
            <w:r>
              <w:rPr>
                <w:color w:val="auto"/>
                <w:spacing w:val="39"/>
                <w:highlight w:val="none"/>
              </w:rPr>
              <w:t xml:space="preserve"> </w:t>
            </w:r>
            <w:r>
              <w:rPr>
                <w:color w:val="auto"/>
                <w:spacing w:val="5"/>
                <w:highlight w:val="none"/>
              </w:rPr>
              <w:t>19576）</w:t>
            </w:r>
          </w:p>
        </w:tc>
      </w:tr>
      <w:tr w14:paraId="5A7D0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trPr>
        <w:tc>
          <w:tcPr>
            <w:tcW w:w="578" w:type="dxa"/>
            <w:vMerge w:val="continue"/>
            <w:tcBorders>
              <w:top w:val="nil"/>
            </w:tcBorders>
            <w:vAlign w:val="top"/>
          </w:tcPr>
          <w:p w14:paraId="4E4FA394">
            <w:pPr>
              <w:rPr>
                <w:rFonts w:ascii="Arial"/>
                <w:color w:val="auto"/>
                <w:sz w:val="21"/>
                <w:highlight w:val="none"/>
              </w:rPr>
            </w:pPr>
          </w:p>
        </w:tc>
        <w:tc>
          <w:tcPr>
            <w:tcW w:w="1166" w:type="dxa"/>
            <w:vMerge w:val="continue"/>
            <w:tcBorders>
              <w:top w:val="nil"/>
            </w:tcBorders>
            <w:vAlign w:val="top"/>
          </w:tcPr>
          <w:p w14:paraId="7FF8E5AD">
            <w:pPr>
              <w:rPr>
                <w:rFonts w:ascii="Arial"/>
                <w:color w:val="auto"/>
                <w:sz w:val="21"/>
                <w:highlight w:val="none"/>
              </w:rPr>
            </w:pPr>
          </w:p>
        </w:tc>
        <w:tc>
          <w:tcPr>
            <w:tcW w:w="1799" w:type="dxa"/>
            <w:vAlign w:val="top"/>
          </w:tcPr>
          <w:p w14:paraId="43BD647D">
            <w:pPr>
              <w:spacing w:line="265" w:lineRule="auto"/>
              <w:rPr>
                <w:rFonts w:ascii="Arial"/>
                <w:color w:val="auto"/>
                <w:sz w:val="21"/>
                <w:highlight w:val="none"/>
              </w:rPr>
            </w:pPr>
          </w:p>
          <w:p w14:paraId="0E290F5F">
            <w:pPr>
              <w:spacing w:line="265" w:lineRule="auto"/>
              <w:rPr>
                <w:rFonts w:ascii="Arial"/>
                <w:color w:val="auto"/>
                <w:sz w:val="21"/>
                <w:highlight w:val="none"/>
              </w:rPr>
            </w:pPr>
          </w:p>
          <w:p w14:paraId="3C4963DD">
            <w:pPr>
              <w:pStyle w:val="212"/>
              <w:spacing w:before="62" w:line="230" w:lineRule="auto"/>
              <w:ind w:left="9"/>
              <w:rPr>
                <w:color w:val="auto"/>
                <w:highlight w:val="none"/>
              </w:rPr>
            </w:pPr>
            <w:r>
              <w:rPr>
                <w:color w:val="auto"/>
                <w:spacing w:val="4"/>
                <w:highlight w:val="none"/>
              </w:rPr>
              <w:t>A02052399 其他制冷</w:t>
            </w:r>
          </w:p>
          <w:p w14:paraId="082E8639">
            <w:pPr>
              <w:pStyle w:val="212"/>
              <w:spacing w:before="75" w:line="230" w:lineRule="auto"/>
              <w:ind w:left="21"/>
              <w:rPr>
                <w:color w:val="auto"/>
                <w:highlight w:val="none"/>
              </w:rPr>
            </w:pPr>
            <w:r>
              <w:rPr>
                <w:color w:val="auto"/>
                <w:spacing w:val="5"/>
                <w:highlight w:val="none"/>
              </w:rPr>
              <w:t>空调设备</w:t>
            </w:r>
          </w:p>
        </w:tc>
        <w:tc>
          <w:tcPr>
            <w:tcW w:w="1914" w:type="dxa"/>
            <w:vAlign w:val="top"/>
          </w:tcPr>
          <w:p w14:paraId="31FEB5CC">
            <w:pPr>
              <w:spacing w:line="343" w:lineRule="auto"/>
              <w:rPr>
                <w:rFonts w:ascii="Arial"/>
                <w:color w:val="auto"/>
                <w:sz w:val="21"/>
                <w:highlight w:val="none"/>
              </w:rPr>
            </w:pPr>
          </w:p>
          <w:p w14:paraId="24C75AAC">
            <w:pPr>
              <w:spacing w:line="343" w:lineRule="auto"/>
              <w:rPr>
                <w:rFonts w:ascii="Arial"/>
                <w:color w:val="auto"/>
                <w:sz w:val="21"/>
                <w:highlight w:val="none"/>
              </w:rPr>
            </w:pPr>
          </w:p>
          <w:p w14:paraId="07034F75">
            <w:pPr>
              <w:pStyle w:val="212"/>
              <w:spacing w:before="62" w:line="231" w:lineRule="auto"/>
              <w:ind w:left="18"/>
              <w:rPr>
                <w:color w:val="auto"/>
                <w:highlight w:val="none"/>
              </w:rPr>
            </w:pPr>
            <w:r>
              <w:rPr>
                <w:color w:val="auto"/>
                <w:spacing w:val="6"/>
                <w:highlight w:val="none"/>
              </w:rPr>
              <w:t>冷却塔</w:t>
            </w:r>
          </w:p>
        </w:tc>
        <w:tc>
          <w:tcPr>
            <w:tcW w:w="2969" w:type="dxa"/>
            <w:vAlign w:val="top"/>
          </w:tcPr>
          <w:p w14:paraId="376AF64F">
            <w:pPr>
              <w:pStyle w:val="212"/>
              <w:spacing w:before="284" w:line="304" w:lineRule="auto"/>
              <w:ind w:left="23"/>
              <w:jc w:val="both"/>
              <w:rPr>
                <w:color w:val="auto"/>
                <w:highlight w:val="none"/>
              </w:rPr>
            </w:pPr>
            <w:r>
              <w:rPr>
                <w:color w:val="auto"/>
                <w:spacing w:val="2"/>
                <w:highlight w:val="none"/>
              </w:rPr>
              <w:t>《机械通风冷却塔 第 1 部分：中</w:t>
            </w:r>
            <w:r>
              <w:rPr>
                <w:color w:val="auto"/>
                <w:spacing w:val="3"/>
                <w:highlight w:val="none"/>
              </w:rPr>
              <w:t xml:space="preserve"> </w:t>
            </w:r>
            <w:r>
              <w:rPr>
                <w:color w:val="auto"/>
                <w:spacing w:val="-6"/>
                <w:highlight w:val="none"/>
              </w:rPr>
              <w:t>小型开式冷却塔》（GB</w:t>
            </w:r>
            <w:r>
              <w:rPr>
                <w:color w:val="auto"/>
                <w:spacing w:val="-36"/>
                <w:highlight w:val="none"/>
              </w:rPr>
              <w:t xml:space="preserve"> </w:t>
            </w:r>
            <w:r>
              <w:rPr>
                <w:color w:val="auto"/>
                <w:spacing w:val="-6"/>
                <w:highlight w:val="none"/>
              </w:rPr>
              <w:t>/T</w:t>
            </w:r>
            <w:r>
              <w:rPr>
                <w:color w:val="auto"/>
                <w:spacing w:val="-31"/>
                <w:highlight w:val="none"/>
              </w:rPr>
              <w:t xml:space="preserve"> </w:t>
            </w:r>
            <w:r>
              <w:rPr>
                <w:color w:val="auto"/>
                <w:spacing w:val="-6"/>
                <w:highlight w:val="none"/>
              </w:rPr>
              <w:t>7190.1</w:t>
            </w:r>
            <w:r>
              <w:rPr>
                <w:color w:val="auto"/>
                <w:spacing w:val="-49"/>
                <w:w w:val="97"/>
                <w:highlight w:val="none"/>
              </w:rPr>
              <w:t>）；</w:t>
            </w:r>
            <w:r>
              <w:rPr>
                <w:color w:val="auto"/>
                <w:highlight w:val="none"/>
              </w:rPr>
              <w:t xml:space="preserve"> </w:t>
            </w:r>
            <w:r>
              <w:rPr>
                <w:color w:val="auto"/>
                <w:spacing w:val="2"/>
                <w:highlight w:val="none"/>
              </w:rPr>
              <w:t>《机械通风冷却塔 第 2 部分：大</w:t>
            </w:r>
            <w:r>
              <w:rPr>
                <w:color w:val="auto"/>
                <w:spacing w:val="3"/>
                <w:highlight w:val="none"/>
              </w:rPr>
              <w:t xml:space="preserve"> </w:t>
            </w:r>
            <w:r>
              <w:rPr>
                <w:color w:val="auto"/>
                <w:spacing w:val="4"/>
                <w:highlight w:val="none"/>
              </w:rPr>
              <w:t>型开式冷却塔》（</w:t>
            </w:r>
            <w:r>
              <w:rPr>
                <w:color w:val="auto"/>
                <w:highlight w:val="none"/>
              </w:rPr>
              <w:t>GB</w:t>
            </w:r>
            <w:r>
              <w:rPr>
                <w:color w:val="auto"/>
                <w:spacing w:val="4"/>
                <w:highlight w:val="none"/>
              </w:rPr>
              <w:t xml:space="preserve"> /T 7190.2）</w:t>
            </w:r>
          </w:p>
        </w:tc>
      </w:tr>
      <w:tr w14:paraId="59B00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Align w:val="top"/>
          </w:tcPr>
          <w:p w14:paraId="5E95CF61">
            <w:pPr>
              <w:pStyle w:val="212"/>
              <w:spacing w:before="272" w:line="257" w:lineRule="exact"/>
              <w:ind w:left="247"/>
              <w:rPr>
                <w:color w:val="auto"/>
                <w:highlight w:val="none"/>
              </w:rPr>
            </w:pPr>
            <w:r>
              <w:rPr>
                <w:color w:val="auto"/>
                <w:position w:val="1"/>
                <w:highlight w:val="none"/>
              </w:rPr>
              <w:t>7</w:t>
            </w:r>
          </w:p>
        </w:tc>
        <w:tc>
          <w:tcPr>
            <w:tcW w:w="1166" w:type="dxa"/>
            <w:vAlign w:val="top"/>
          </w:tcPr>
          <w:p w14:paraId="6A682227">
            <w:pPr>
              <w:pStyle w:val="212"/>
              <w:spacing w:before="273" w:line="228" w:lineRule="auto"/>
              <w:ind w:left="9"/>
              <w:rPr>
                <w:color w:val="auto"/>
                <w:highlight w:val="none"/>
              </w:rPr>
            </w:pPr>
            <w:r>
              <w:rPr>
                <w:color w:val="auto"/>
                <w:spacing w:val="3"/>
                <w:highlight w:val="none"/>
              </w:rPr>
              <w:t>A020601</w:t>
            </w:r>
            <w:r>
              <w:rPr>
                <w:color w:val="auto"/>
                <w:spacing w:val="-19"/>
                <w:highlight w:val="none"/>
              </w:rPr>
              <w:t xml:space="preserve"> </w:t>
            </w:r>
            <w:r>
              <w:rPr>
                <w:color w:val="auto"/>
                <w:spacing w:val="3"/>
                <w:highlight w:val="none"/>
              </w:rPr>
              <w:t>电机</w:t>
            </w:r>
          </w:p>
        </w:tc>
        <w:tc>
          <w:tcPr>
            <w:tcW w:w="1799" w:type="dxa"/>
            <w:vAlign w:val="top"/>
          </w:tcPr>
          <w:p w14:paraId="73D04498">
            <w:pPr>
              <w:rPr>
                <w:rFonts w:ascii="Arial"/>
                <w:color w:val="auto"/>
                <w:sz w:val="21"/>
                <w:highlight w:val="none"/>
              </w:rPr>
            </w:pPr>
          </w:p>
        </w:tc>
        <w:tc>
          <w:tcPr>
            <w:tcW w:w="1914" w:type="dxa"/>
            <w:vAlign w:val="top"/>
          </w:tcPr>
          <w:p w14:paraId="74565906">
            <w:pPr>
              <w:rPr>
                <w:rFonts w:ascii="Arial"/>
                <w:color w:val="auto"/>
                <w:sz w:val="21"/>
                <w:highlight w:val="none"/>
              </w:rPr>
            </w:pPr>
          </w:p>
        </w:tc>
        <w:tc>
          <w:tcPr>
            <w:tcW w:w="2969" w:type="dxa"/>
            <w:vAlign w:val="top"/>
          </w:tcPr>
          <w:p w14:paraId="02034A5E">
            <w:pPr>
              <w:pStyle w:val="212"/>
              <w:spacing w:before="116" w:line="296" w:lineRule="auto"/>
              <w:ind w:left="22" w:right="11"/>
              <w:rPr>
                <w:color w:val="auto"/>
                <w:highlight w:val="none"/>
              </w:rPr>
            </w:pPr>
            <w:r>
              <w:rPr>
                <w:color w:val="auto"/>
                <w:spacing w:val="19"/>
                <w:highlight w:val="none"/>
              </w:rPr>
              <w:t>《中小型三相异步电动机能效限</w:t>
            </w:r>
            <w:r>
              <w:rPr>
                <w:color w:val="auto"/>
                <w:spacing w:val="2"/>
                <w:highlight w:val="none"/>
              </w:rPr>
              <w:t xml:space="preserve"> </w:t>
            </w:r>
            <w:r>
              <w:rPr>
                <w:color w:val="auto"/>
                <w:spacing w:val="5"/>
                <w:highlight w:val="none"/>
              </w:rPr>
              <w:t>定值及能效等级》（</w:t>
            </w:r>
            <w:r>
              <w:rPr>
                <w:color w:val="auto"/>
                <w:highlight w:val="none"/>
              </w:rPr>
              <w:t>GB</w:t>
            </w:r>
            <w:r>
              <w:rPr>
                <w:color w:val="auto"/>
                <w:spacing w:val="42"/>
                <w:highlight w:val="none"/>
              </w:rPr>
              <w:t xml:space="preserve"> </w:t>
            </w:r>
            <w:r>
              <w:rPr>
                <w:color w:val="auto"/>
                <w:spacing w:val="5"/>
                <w:highlight w:val="none"/>
              </w:rPr>
              <w:t>18613）</w:t>
            </w:r>
          </w:p>
        </w:tc>
      </w:tr>
      <w:tr w14:paraId="7A596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578" w:type="dxa"/>
            <w:vAlign w:val="top"/>
          </w:tcPr>
          <w:p w14:paraId="43BD90CE">
            <w:pPr>
              <w:pStyle w:val="212"/>
              <w:spacing w:before="251" w:line="257" w:lineRule="exact"/>
              <w:ind w:left="243"/>
              <w:rPr>
                <w:color w:val="auto"/>
                <w:highlight w:val="none"/>
              </w:rPr>
            </w:pPr>
            <w:r>
              <w:rPr>
                <w:color w:val="auto"/>
                <w:position w:val="1"/>
                <w:highlight w:val="none"/>
              </w:rPr>
              <w:t>8</w:t>
            </w:r>
          </w:p>
        </w:tc>
        <w:tc>
          <w:tcPr>
            <w:tcW w:w="1166" w:type="dxa"/>
            <w:vAlign w:val="top"/>
          </w:tcPr>
          <w:p w14:paraId="16699CB6">
            <w:pPr>
              <w:pStyle w:val="212"/>
              <w:spacing w:before="96" w:line="285" w:lineRule="auto"/>
              <w:ind w:left="15" w:right="8" w:hanging="6"/>
              <w:rPr>
                <w:color w:val="auto"/>
                <w:highlight w:val="none"/>
              </w:rPr>
            </w:pPr>
            <w:r>
              <w:rPr>
                <w:color w:val="auto"/>
                <w:spacing w:val="5"/>
                <w:highlight w:val="none"/>
              </w:rPr>
              <w:t>A020602</w:t>
            </w:r>
            <w:r>
              <w:rPr>
                <w:color w:val="auto"/>
                <w:spacing w:val="-43"/>
                <w:highlight w:val="none"/>
              </w:rPr>
              <w:t xml:space="preserve"> </w:t>
            </w:r>
            <w:r>
              <w:rPr>
                <w:color w:val="auto"/>
                <w:spacing w:val="5"/>
                <w:highlight w:val="none"/>
              </w:rPr>
              <w:t>变压</w:t>
            </w:r>
            <w:r>
              <w:rPr>
                <w:color w:val="auto"/>
                <w:highlight w:val="none"/>
              </w:rPr>
              <w:t xml:space="preserve"> </w:t>
            </w:r>
            <w:r>
              <w:rPr>
                <w:color w:val="auto"/>
                <w:spacing w:val="1"/>
                <w:highlight w:val="none"/>
              </w:rPr>
              <w:t>器</w:t>
            </w:r>
          </w:p>
        </w:tc>
        <w:tc>
          <w:tcPr>
            <w:tcW w:w="1799" w:type="dxa"/>
            <w:vAlign w:val="top"/>
          </w:tcPr>
          <w:p w14:paraId="60C2819E">
            <w:pPr>
              <w:pStyle w:val="212"/>
              <w:spacing w:before="252" w:line="230" w:lineRule="auto"/>
              <w:ind w:left="15"/>
              <w:rPr>
                <w:color w:val="auto"/>
                <w:highlight w:val="none"/>
              </w:rPr>
            </w:pPr>
            <w:r>
              <w:rPr>
                <w:color w:val="auto"/>
                <w:spacing w:val="8"/>
                <w:highlight w:val="none"/>
              </w:rPr>
              <w:t>配电变压器</w:t>
            </w:r>
          </w:p>
        </w:tc>
        <w:tc>
          <w:tcPr>
            <w:tcW w:w="1914" w:type="dxa"/>
            <w:vAlign w:val="top"/>
          </w:tcPr>
          <w:p w14:paraId="36F1C913">
            <w:pPr>
              <w:rPr>
                <w:rFonts w:ascii="Arial"/>
                <w:color w:val="auto"/>
                <w:sz w:val="21"/>
                <w:highlight w:val="none"/>
              </w:rPr>
            </w:pPr>
          </w:p>
        </w:tc>
        <w:tc>
          <w:tcPr>
            <w:tcW w:w="2969" w:type="dxa"/>
            <w:vAlign w:val="top"/>
          </w:tcPr>
          <w:p w14:paraId="2A601436">
            <w:pPr>
              <w:pStyle w:val="212"/>
              <w:spacing w:before="96" w:line="285" w:lineRule="auto"/>
              <w:ind w:left="25" w:right="11" w:hanging="2"/>
              <w:rPr>
                <w:color w:val="auto"/>
                <w:highlight w:val="none"/>
              </w:rPr>
            </w:pPr>
            <w:r>
              <w:rPr>
                <w:color w:val="auto"/>
                <w:spacing w:val="19"/>
                <w:highlight w:val="none"/>
              </w:rPr>
              <w:t>《三相配电变压器能效限定值及</w:t>
            </w:r>
            <w:r>
              <w:rPr>
                <w:color w:val="auto"/>
                <w:spacing w:val="2"/>
                <w:highlight w:val="none"/>
              </w:rPr>
              <w:t xml:space="preserve"> </w:t>
            </w:r>
            <w:r>
              <w:rPr>
                <w:color w:val="auto"/>
                <w:spacing w:val="6"/>
                <w:highlight w:val="none"/>
              </w:rPr>
              <w:t>能效等级》（</w:t>
            </w:r>
            <w:r>
              <w:rPr>
                <w:color w:val="auto"/>
                <w:highlight w:val="none"/>
              </w:rPr>
              <w:t>GB</w:t>
            </w:r>
            <w:r>
              <w:rPr>
                <w:color w:val="auto"/>
                <w:spacing w:val="6"/>
                <w:highlight w:val="none"/>
              </w:rPr>
              <w:t xml:space="preserve"> 20052）</w:t>
            </w:r>
          </w:p>
        </w:tc>
      </w:tr>
      <w:tr w14:paraId="73FC2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78" w:type="dxa"/>
            <w:vAlign w:val="top"/>
          </w:tcPr>
          <w:p w14:paraId="203491C1">
            <w:pPr>
              <w:spacing w:line="284" w:lineRule="auto"/>
              <w:rPr>
                <w:rFonts w:ascii="Arial"/>
                <w:color w:val="auto"/>
                <w:sz w:val="21"/>
                <w:highlight w:val="none"/>
              </w:rPr>
            </w:pPr>
          </w:p>
          <w:p w14:paraId="7D7C1423">
            <w:pPr>
              <w:pStyle w:val="212"/>
              <w:spacing w:before="62" w:line="256" w:lineRule="exact"/>
              <w:ind w:left="243"/>
              <w:rPr>
                <w:color w:val="auto"/>
                <w:highlight w:val="none"/>
              </w:rPr>
            </w:pPr>
            <w:r>
              <w:rPr>
                <w:color w:val="auto"/>
                <w:position w:val="1"/>
                <w:highlight w:val="none"/>
              </w:rPr>
              <w:t>9</w:t>
            </w:r>
          </w:p>
        </w:tc>
        <w:tc>
          <w:tcPr>
            <w:tcW w:w="1166" w:type="dxa"/>
            <w:vAlign w:val="top"/>
          </w:tcPr>
          <w:p w14:paraId="693D96EB">
            <w:pPr>
              <w:pStyle w:val="212"/>
              <w:spacing w:before="192" w:line="306" w:lineRule="auto"/>
              <w:ind w:left="16" w:right="8" w:firstLine="2"/>
              <w:rPr>
                <w:color w:val="auto"/>
                <w:highlight w:val="none"/>
              </w:rPr>
            </w:pPr>
            <w:r>
              <w:rPr>
                <w:color w:val="auto"/>
                <w:spacing w:val="4"/>
                <w:highlight w:val="none"/>
              </w:rPr>
              <w:t>★A020609</w:t>
            </w:r>
            <w:r>
              <w:rPr>
                <w:color w:val="auto"/>
                <w:spacing w:val="-43"/>
                <w:highlight w:val="none"/>
              </w:rPr>
              <w:t xml:space="preserve"> </w:t>
            </w:r>
            <w:r>
              <w:rPr>
                <w:color w:val="auto"/>
                <w:spacing w:val="4"/>
                <w:highlight w:val="none"/>
              </w:rPr>
              <w:t>镇</w:t>
            </w:r>
            <w:r>
              <w:rPr>
                <w:color w:val="auto"/>
                <w:highlight w:val="none"/>
              </w:rPr>
              <w:t xml:space="preserve"> </w:t>
            </w:r>
            <w:r>
              <w:rPr>
                <w:color w:val="auto"/>
                <w:spacing w:val="4"/>
                <w:highlight w:val="none"/>
              </w:rPr>
              <w:t>流器</w:t>
            </w:r>
          </w:p>
        </w:tc>
        <w:tc>
          <w:tcPr>
            <w:tcW w:w="1799" w:type="dxa"/>
            <w:vAlign w:val="top"/>
          </w:tcPr>
          <w:p w14:paraId="7BD00772">
            <w:pPr>
              <w:spacing w:line="284" w:lineRule="auto"/>
              <w:rPr>
                <w:rFonts w:ascii="Arial"/>
                <w:color w:val="auto"/>
                <w:sz w:val="21"/>
                <w:highlight w:val="none"/>
              </w:rPr>
            </w:pPr>
          </w:p>
          <w:p w14:paraId="36BCBE7C">
            <w:pPr>
              <w:pStyle w:val="212"/>
              <w:spacing w:before="62" w:line="229" w:lineRule="auto"/>
              <w:ind w:left="19"/>
              <w:rPr>
                <w:color w:val="auto"/>
                <w:highlight w:val="none"/>
              </w:rPr>
            </w:pPr>
            <w:r>
              <w:rPr>
                <w:color w:val="auto"/>
                <w:spacing w:val="8"/>
                <w:highlight w:val="none"/>
              </w:rPr>
              <w:t>管型荧光灯镇流器</w:t>
            </w:r>
          </w:p>
        </w:tc>
        <w:tc>
          <w:tcPr>
            <w:tcW w:w="1914" w:type="dxa"/>
            <w:vAlign w:val="top"/>
          </w:tcPr>
          <w:p w14:paraId="0E1F29EA">
            <w:pPr>
              <w:rPr>
                <w:rFonts w:ascii="Arial"/>
                <w:color w:val="auto"/>
                <w:sz w:val="21"/>
                <w:highlight w:val="none"/>
              </w:rPr>
            </w:pPr>
          </w:p>
        </w:tc>
        <w:tc>
          <w:tcPr>
            <w:tcW w:w="2969" w:type="dxa"/>
            <w:vAlign w:val="top"/>
          </w:tcPr>
          <w:p w14:paraId="5C17DF92">
            <w:pPr>
              <w:pStyle w:val="212"/>
              <w:spacing w:before="192" w:line="304" w:lineRule="auto"/>
              <w:ind w:left="17" w:right="11" w:firstLine="6"/>
              <w:rPr>
                <w:color w:val="auto"/>
                <w:highlight w:val="none"/>
              </w:rPr>
            </w:pPr>
            <w:r>
              <w:rPr>
                <w:color w:val="auto"/>
                <w:spacing w:val="19"/>
                <w:highlight w:val="none"/>
              </w:rPr>
              <w:t>《管形荧光灯镇流器能效限定值</w:t>
            </w:r>
            <w:r>
              <w:rPr>
                <w:color w:val="auto"/>
                <w:spacing w:val="2"/>
                <w:highlight w:val="none"/>
              </w:rPr>
              <w:t xml:space="preserve"> </w:t>
            </w:r>
            <w:r>
              <w:rPr>
                <w:color w:val="auto"/>
                <w:spacing w:val="5"/>
                <w:highlight w:val="none"/>
              </w:rPr>
              <w:t>及能效等级》（</w:t>
            </w:r>
            <w:r>
              <w:rPr>
                <w:color w:val="auto"/>
                <w:highlight w:val="none"/>
              </w:rPr>
              <w:t>GB</w:t>
            </w:r>
            <w:r>
              <w:rPr>
                <w:color w:val="auto"/>
                <w:spacing w:val="39"/>
                <w:highlight w:val="none"/>
              </w:rPr>
              <w:t xml:space="preserve"> </w:t>
            </w:r>
            <w:r>
              <w:rPr>
                <w:color w:val="auto"/>
                <w:spacing w:val="5"/>
                <w:highlight w:val="none"/>
              </w:rPr>
              <w:t>17896）</w:t>
            </w:r>
          </w:p>
        </w:tc>
      </w:tr>
      <w:tr w14:paraId="4875D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578" w:type="dxa"/>
            <w:vMerge w:val="restart"/>
            <w:tcBorders>
              <w:bottom w:val="nil"/>
            </w:tcBorders>
            <w:vAlign w:val="top"/>
          </w:tcPr>
          <w:p w14:paraId="2FFC9C0D">
            <w:pPr>
              <w:spacing w:line="258" w:lineRule="auto"/>
              <w:rPr>
                <w:rFonts w:ascii="Arial"/>
                <w:color w:val="auto"/>
                <w:sz w:val="21"/>
                <w:highlight w:val="none"/>
              </w:rPr>
            </w:pPr>
          </w:p>
          <w:p w14:paraId="4BC34DFB">
            <w:pPr>
              <w:spacing w:line="258" w:lineRule="auto"/>
              <w:rPr>
                <w:rFonts w:ascii="Arial"/>
                <w:color w:val="auto"/>
                <w:sz w:val="21"/>
                <w:highlight w:val="none"/>
              </w:rPr>
            </w:pPr>
          </w:p>
          <w:p w14:paraId="27F0CA2E">
            <w:pPr>
              <w:spacing w:line="258" w:lineRule="auto"/>
              <w:rPr>
                <w:rFonts w:ascii="Arial"/>
                <w:color w:val="auto"/>
                <w:sz w:val="21"/>
                <w:highlight w:val="none"/>
              </w:rPr>
            </w:pPr>
          </w:p>
          <w:p w14:paraId="4174F754">
            <w:pPr>
              <w:spacing w:line="258" w:lineRule="auto"/>
              <w:rPr>
                <w:rFonts w:ascii="Arial"/>
                <w:color w:val="auto"/>
                <w:sz w:val="21"/>
                <w:highlight w:val="none"/>
              </w:rPr>
            </w:pPr>
          </w:p>
          <w:p w14:paraId="4C2AE276">
            <w:pPr>
              <w:spacing w:line="258" w:lineRule="auto"/>
              <w:rPr>
                <w:rFonts w:ascii="Arial"/>
                <w:color w:val="auto"/>
                <w:sz w:val="21"/>
                <w:highlight w:val="none"/>
              </w:rPr>
            </w:pPr>
          </w:p>
          <w:p w14:paraId="05756276">
            <w:pPr>
              <w:spacing w:line="258" w:lineRule="auto"/>
              <w:rPr>
                <w:rFonts w:ascii="Arial"/>
                <w:color w:val="auto"/>
                <w:sz w:val="21"/>
                <w:highlight w:val="none"/>
              </w:rPr>
            </w:pPr>
          </w:p>
          <w:p w14:paraId="25BA9C53">
            <w:pPr>
              <w:spacing w:line="259" w:lineRule="auto"/>
              <w:rPr>
                <w:rFonts w:ascii="Arial"/>
                <w:color w:val="auto"/>
                <w:sz w:val="21"/>
                <w:highlight w:val="none"/>
              </w:rPr>
            </w:pPr>
          </w:p>
          <w:p w14:paraId="27E1AD97">
            <w:pPr>
              <w:spacing w:line="259" w:lineRule="auto"/>
              <w:rPr>
                <w:rFonts w:ascii="Arial"/>
                <w:color w:val="auto"/>
                <w:sz w:val="21"/>
                <w:highlight w:val="none"/>
              </w:rPr>
            </w:pPr>
          </w:p>
          <w:p w14:paraId="2E175F8D">
            <w:pPr>
              <w:spacing w:line="259" w:lineRule="auto"/>
              <w:rPr>
                <w:rFonts w:ascii="Arial"/>
                <w:color w:val="auto"/>
                <w:sz w:val="21"/>
                <w:highlight w:val="none"/>
              </w:rPr>
            </w:pPr>
          </w:p>
          <w:p w14:paraId="2DF15992">
            <w:pPr>
              <w:spacing w:line="259" w:lineRule="auto"/>
              <w:rPr>
                <w:rFonts w:ascii="Arial"/>
                <w:color w:val="auto"/>
                <w:sz w:val="21"/>
                <w:highlight w:val="none"/>
              </w:rPr>
            </w:pPr>
          </w:p>
          <w:p w14:paraId="347391D1">
            <w:pPr>
              <w:pStyle w:val="212"/>
              <w:spacing w:before="62" w:line="256" w:lineRule="exact"/>
              <w:ind w:left="209"/>
              <w:rPr>
                <w:color w:val="auto"/>
                <w:highlight w:val="none"/>
              </w:rPr>
            </w:pPr>
            <w:r>
              <w:rPr>
                <w:color w:val="auto"/>
                <w:spacing w:val="-7"/>
                <w:position w:val="1"/>
                <w:highlight w:val="none"/>
              </w:rPr>
              <w:t>10</w:t>
            </w:r>
          </w:p>
        </w:tc>
        <w:tc>
          <w:tcPr>
            <w:tcW w:w="1166" w:type="dxa"/>
            <w:vMerge w:val="restart"/>
            <w:tcBorders>
              <w:bottom w:val="nil"/>
            </w:tcBorders>
            <w:vAlign w:val="top"/>
          </w:tcPr>
          <w:p w14:paraId="4E90FA5B">
            <w:pPr>
              <w:spacing w:line="242" w:lineRule="auto"/>
              <w:rPr>
                <w:rFonts w:ascii="Arial"/>
                <w:color w:val="auto"/>
                <w:sz w:val="21"/>
                <w:highlight w:val="none"/>
              </w:rPr>
            </w:pPr>
          </w:p>
          <w:p w14:paraId="51278A5E">
            <w:pPr>
              <w:spacing w:line="243" w:lineRule="auto"/>
              <w:rPr>
                <w:rFonts w:ascii="Arial"/>
                <w:color w:val="auto"/>
                <w:sz w:val="21"/>
                <w:highlight w:val="none"/>
              </w:rPr>
            </w:pPr>
          </w:p>
          <w:p w14:paraId="48CC9D44">
            <w:pPr>
              <w:spacing w:line="243" w:lineRule="auto"/>
              <w:rPr>
                <w:rFonts w:ascii="Arial"/>
                <w:color w:val="auto"/>
                <w:sz w:val="21"/>
                <w:highlight w:val="none"/>
              </w:rPr>
            </w:pPr>
          </w:p>
          <w:p w14:paraId="79C67AEE">
            <w:pPr>
              <w:spacing w:line="243" w:lineRule="auto"/>
              <w:rPr>
                <w:rFonts w:ascii="Arial"/>
                <w:color w:val="auto"/>
                <w:sz w:val="21"/>
                <w:highlight w:val="none"/>
              </w:rPr>
            </w:pPr>
          </w:p>
          <w:p w14:paraId="647FD45B">
            <w:pPr>
              <w:spacing w:line="243" w:lineRule="auto"/>
              <w:rPr>
                <w:rFonts w:ascii="Arial"/>
                <w:color w:val="auto"/>
                <w:sz w:val="21"/>
                <w:highlight w:val="none"/>
              </w:rPr>
            </w:pPr>
          </w:p>
          <w:p w14:paraId="35B62772">
            <w:pPr>
              <w:spacing w:line="243" w:lineRule="auto"/>
              <w:rPr>
                <w:rFonts w:ascii="Arial"/>
                <w:color w:val="auto"/>
                <w:sz w:val="21"/>
                <w:highlight w:val="none"/>
              </w:rPr>
            </w:pPr>
          </w:p>
          <w:p w14:paraId="27C82EB7">
            <w:pPr>
              <w:spacing w:line="243" w:lineRule="auto"/>
              <w:rPr>
                <w:rFonts w:ascii="Arial"/>
                <w:color w:val="auto"/>
                <w:sz w:val="21"/>
                <w:highlight w:val="none"/>
              </w:rPr>
            </w:pPr>
          </w:p>
          <w:p w14:paraId="051F9F2D">
            <w:pPr>
              <w:spacing w:line="243" w:lineRule="auto"/>
              <w:rPr>
                <w:rFonts w:ascii="Arial"/>
                <w:color w:val="auto"/>
                <w:sz w:val="21"/>
                <w:highlight w:val="none"/>
              </w:rPr>
            </w:pPr>
          </w:p>
          <w:p w14:paraId="43DF196A">
            <w:pPr>
              <w:spacing w:line="243" w:lineRule="auto"/>
              <w:rPr>
                <w:rFonts w:ascii="Arial"/>
                <w:color w:val="auto"/>
                <w:sz w:val="21"/>
                <w:highlight w:val="none"/>
              </w:rPr>
            </w:pPr>
          </w:p>
          <w:p w14:paraId="567805F2">
            <w:pPr>
              <w:spacing w:line="243" w:lineRule="auto"/>
              <w:rPr>
                <w:rFonts w:ascii="Arial"/>
                <w:color w:val="auto"/>
                <w:sz w:val="21"/>
                <w:highlight w:val="none"/>
              </w:rPr>
            </w:pPr>
          </w:p>
          <w:p w14:paraId="7D11DCB6">
            <w:pPr>
              <w:pStyle w:val="212"/>
              <w:spacing w:before="62" w:line="305" w:lineRule="auto"/>
              <w:ind w:left="16" w:right="8" w:hanging="7"/>
              <w:rPr>
                <w:color w:val="auto"/>
                <w:highlight w:val="none"/>
              </w:rPr>
            </w:pPr>
            <w:r>
              <w:rPr>
                <w:color w:val="auto"/>
                <w:spacing w:val="4"/>
                <w:highlight w:val="none"/>
              </w:rPr>
              <w:t>A020618</w:t>
            </w:r>
            <w:r>
              <w:rPr>
                <w:color w:val="auto"/>
                <w:spacing w:val="-34"/>
                <w:highlight w:val="none"/>
              </w:rPr>
              <w:t xml:space="preserve"> </w:t>
            </w:r>
            <w:r>
              <w:rPr>
                <w:color w:val="auto"/>
                <w:spacing w:val="4"/>
                <w:highlight w:val="none"/>
              </w:rPr>
              <w:t>生活</w:t>
            </w:r>
            <w:r>
              <w:rPr>
                <w:color w:val="auto"/>
                <w:highlight w:val="none"/>
              </w:rPr>
              <w:t xml:space="preserve"> </w:t>
            </w:r>
            <w:r>
              <w:rPr>
                <w:color w:val="auto"/>
                <w:spacing w:val="6"/>
                <w:highlight w:val="none"/>
              </w:rPr>
              <w:t>用电器</w:t>
            </w:r>
          </w:p>
        </w:tc>
        <w:tc>
          <w:tcPr>
            <w:tcW w:w="1799" w:type="dxa"/>
            <w:vAlign w:val="top"/>
          </w:tcPr>
          <w:p w14:paraId="7B0373FD">
            <w:pPr>
              <w:pStyle w:val="212"/>
              <w:spacing w:before="276" w:line="230" w:lineRule="auto"/>
              <w:ind w:left="9"/>
              <w:rPr>
                <w:color w:val="auto"/>
                <w:highlight w:val="none"/>
              </w:rPr>
            </w:pPr>
            <w:r>
              <w:rPr>
                <w:color w:val="auto"/>
                <w:spacing w:val="3"/>
                <w:highlight w:val="none"/>
              </w:rPr>
              <w:t>A0206180101</w:t>
            </w:r>
            <w:r>
              <w:rPr>
                <w:color w:val="auto"/>
                <w:spacing w:val="-4"/>
                <w:highlight w:val="none"/>
              </w:rPr>
              <w:t xml:space="preserve"> </w:t>
            </w:r>
            <w:r>
              <w:rPr>
                <w:color w:val="auto"/>
                <w:spacing w:val="3"/>
                <w:highlight w:val="none"/>
              </w:rPr>
              <w:t>电冰箱</w:t>
            </w:r>
          </w:p>
        </w:tc>
        <w:tc>
          <w:tcPr>
            <w:tcW w:w="1914" w:type="dxa"/>
            <w:vAlign w:val="top"/>
          </w:tcPr>
          <w:p w14:paraId="1A47534D">
            <w:pPr>
              <w:rPr>
                <w:rFonts w:ascii="Arial"/>
                <w:color w:val="auto"/>
                <w:sz w:val="21"/>
                <w:highlight w:val="none"/>
              </w:rPr>
            </w:pPr>
          </w:p>
        </w:tc>
        <w:tc>
          <w:tcPr>
            <w:tcW w:w="2969" w:type="dxa"/>
            <w:vAlign w:val="top"/>
          </w:tcPr>
          <w:p w14:paraId="2016FBFD">
            <w:pPr>
              <w:pStyle w:val="212"/>
              <w:spacing w:before="119" w:line="296" w:lineRule="auto"/>
              <w:ind w:left="22" w:right="11"/>
              <w:rPr>
                <w:color w:val="auto"/>
                <w:highlight w:val="none"/>
              </w:rPr>
            </w:pPr>
            <w:r>
              <w:rPr>
                <w:color w:val="auto"/>
                <w:spacing w:val="19"/>
                <w:highlight w:val="none"/>
              </w:rPr>
              <w:t>《家用电冰箱耗电量限定值及能</w:t>
            </w:r>
            <w:r>
              <w:rPr>
                <w:color w:val="auto"/>
                <w:spacing w:val="2"/>
                <w:highlight w:val="none"/>
              </w:rPr>
              <w:t xml:space="preserve"> </w:t>
            </w:r>
            <w:r>
              <w:rPr>
                <w:color w:val="auto"/>
                <w:spacing w:val="4"/>
                <w:highlight w:val="none"/>
              </w:rPr>
              <w:t>效等级》（</w:t>
            </w:r>
            <w:r>
              <w:rPr>
                <w:color w:val="auto"/>
                <w:highlight w:val="none"/>
              </w:rPr>
              <w:t>GB</w:t>
            </w:r>
            <w:r>
              <w:rPr>
                <w:color w:val="auto"/>
                <w:spacing w:val="20"/>
                <w:highlight w:val="none"/>
              </w:rPr>
              <w:t xml:space="preserve">  </w:t>
            </w:r>
            <w:r>
              <w:rPr>
                <w:color w:val="auto"/>
                <w:spacing w:val="4"/>
                <w:highlight w:val="none"/>
              </w:rPr>
              <w:t>12021.2）</w:t>
            </w:r>
          </w:p>
        </w:tc>
      </w:tr>
      <w:tr w14:paraId="4C957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trPr>
        <w:tc>
          <w:tcPr>
            <w:tcW w:w="578" w:type="dxa"/>
            <w:vMerge w:val="continue"/>
            <w:tcBorders>
              <w:top w:val="nil"/>
              <w:bottom w:val="nil"/>
            </w:tcBorders>
            <w:vAlign w:val="top"/>
          </w:tcPr>
          <w:p w14:paraId="5272FC17">
            <w:pPr>
              <w:rPr>
                <w:rFonts w:ascii="Arial"/>
                <w:color w:val="auto"/>
                <w:sz w:val="21"/>
                <w:highlight w:val="none"/>
              </w:rPr>
            </w:pPr>
          </w:p>
        </w:tc>
        <w:tc>
          <w:tcPr>
            <w:tcW w:w="1166" w:type="dxa"/>
            <w:vMerge w:val="continue"/>
            <w:tcBorders>
              <w:top w:val="nil"/>
              <w:bottom w:val="nil"/>
            </w:tcBorders>
            <w:vAlign w:val="top"/>
          </w:tcPr>
          <w:p w14:paraId="5327A86C">
            <w:pPr>
              <w:rPr>
                <w:rFonts w:ascii="Arial"/>
                <w:color w:val="auto"/>
                <w:sz w:val="21"/>
                <w:highlight w:val="none"/>
              </w:rPr>
            </w:pPr>
          </w:p>
        </w:tc>
        <w:tc>
          <w:tcPr>
            <w:tcW w:w="1799" w:type="dxa"/>
            <w:vMerge w:val="restart"/>
            <w:tcBorders>
              <w:bottom w:val="nil"/>
            </w:tcBorders>
            <w:vAlign w:val="top"/>
          </w:tcPr>
          <w:p w14:paraId="46954BC3">
            <w:pPr>
              <w:spacing w:line="247" w:lineRule="auto"/>
              <w:rPr>
                <w:rFonts w:ascii="Arial"/>
                <w:color w:val="auto"/>
                <w:sz w:val="21"/>
                <w:highlight w:val="none"/>
              </w:rPr>
            </w:pPr>
          </w:p>
          <w:p w14:paraId="71155D9A">
            <w:pPr>
              <w:spacing w:line="248" w:lineRule="auto"/>
              <w:rPr>
                <w:rFonts w:ascii="Arial"/>
                <w:color w:val="auto"/>
                <w:sz w:val="21"/>
                <w:highlight w:val="none"/>
              </w:rPr>
            </w:pPr>
          </w:p>
          <w:p w14:paraId="3AEF88A9">
            <w:pPr>
              <w:spacing w:line="248" w:lineRule="auto"/>
              <w:rPr>
                <w:rFonts w:ascii="Arial"/>
                <w:color w:val="auto"/>
                <w:sz w:val="21"/>
                <w:highlight w:val="none"/>
              </w:rPr>
            </w:pPr>
          </w:p>
          <w:p w14:paraId="373676A3">
            <w:pPr>
              <w:spacing w:line="248" w:lineRule="auto"/>
              <w:rPr>
                <w:rFonts w:ascii="Arial"/>
                <w:color w:val="auto"/>
                <w:sz w:val="21"/>
                <w:highlight w:val="none"/>
              </w:rPr>
            </w:pPr>
          </w:p>
          <w:p w14:paraId="4E79B147">
            <w:pPr>
              <w:spacing w:line="248" w:lineRule="auto"/>
              <w:rPr>
                <w:rFonts w:ascii="Arial"/>
                <w:color w:val="auto"/>
                <w:sz w:val="21"/>
                <w:highlight w:val="none"/>
              </w:rPr>
            </w:pPr>
          </w:p>
          <w:p w14:paraId="3C7692B9">
            <w:pPr>
              <w:spacing w:line="248" w:lineRule="auto"/>
              <w:rPr>
                <w:rFonts w:ascii="Arial"/>
                <w:color w:val="auto"/>
                <w:sz w:val="21"/>
                <w:highlight w:val="none"/>
              </w:rPr>
            </w:pPr>
          </w:p>
          <w:p w14:paraId="3B713381">
            <w:pPr>
              <w:spacing w:line="248" w:lineRule="auto"/>
              <w:rPr>
                <w:rFonts w:ascii="Arial"/>
                <w:color w:val="auto"/>
                <w:sz w:val="21"/>
                <w:highlight w:val="none"/>
              </w:rPr>
            </w:pPr>
          </w:p>
          <w:p w14:paraId="29736577">
            <w:pPr>
              <w:pStyle w:val="212"/>
              <w:spacing w:before="62" w:line="304" w:lineRule="auto"/>
              <w:ind w:left="14" w:right="10" w:firstLine="3"/>
              <w:rPr>
                <w:color w:val="auto"/>
                <w:highlight w:val="none"/>
              </w:rPr>
            </w:pPr>
            <w:r>
              <w:rPr>
                <w:color w:val="auto"/>
                <w:spacing w:val="3"/>
                <w:highlight w:val="none"/>
              </w:rPr>
              <w:t>★A0206180203 空调</w:t>
            </w:r>
            <w:r>
              <w:rPr>
                <w:color w:val="auto"/>
                <w:spacing w:val="9"/>
                <w:highlight w:val="none"/>
              </w:rPr>
              <w:t xml:space="preserve"> </w:t>
            </w:r>
            <w:r>
              <w:rPr>
                <w:color w:val="auto"/>
                <w:spacing w:val="2"/>
                <w:highlight w:val="none"/>
              </w:rPr>
              <w:t>机</w:t>
            </w:r>
          </w:p>
        </w:tc>
        <w:tc>
          <w:tcPr>
            <w:tcW w:w="1914" w:type="dxa"/>
            <w:vAlign w:val="top"/>
          </w:tcPr>
          <w:p w14:paraId="2B115098">
            <w:pPr>
              <w:spacing w:line="261" w:lineRule="auto"/>
              <w:rPr>
                <w:rFonts w:ascii="Arial"/>
                <w:color w:val="auto"/>
                <w:sz w:val="21"/>
                <w:highlight w:val="none"/>
              </w:rPr>
            </w:pPr>
          </w:p>
          <w:p w14:paraId="0E26B55E">
            <w:pPr>
              <w:spacing w:line="261" w:lineRule="auto"/>
              <w:rPr>
                <w:rFonts w:ascii="Arial"/>
                <w:color w:val="auto"/>
                <w:sz w:val="21"/>
                <w:highlight w:val="none"/>
              </w:rPr>
            </w:pPr>
          </w:p>
          <w:p w14:paraId="21AB1BA2">
            <w:pPr>
              <w:spacing w:line="261" w:lineRule="auto"/>
              <w:rPr>
                <w:rFonts w:ascii="Arial"/>
                <w:color w:val="auto"/>
                <w:sz w:val="21"/>
                <w:highlight w:val="none"/>
              </w:rPr>
            </w:pPr>
          </w:p>
          <w:p w14:paraId="6CB759CA">
            <w:pPr>
              <w:pStyle w:val="212"/>
              <w:spacing w:before="62" w:line="230" w:lineRule="auto"/>
              <w:ind w:left="17"/>
              <w:rPr>
                <w:color w:val="auto"/>
                <w:highlight w:val="none"/>
              </w:rPr>
            </w:pPr>
            <w:r>
              <w:rPr>
                <w:color w:val="auto"/>
                <w:spacing w:val="8"/>
                <w:highlight w:val="none"/>
              </w:rPr>
              <w:t>房间空气调节器</w:t>
            </w:r>
          </w:p>
        </w:tc>
        <w:tc>
          <w:tcPr>
            <w:tcW w:w="2969" w:type="dxa"/>
            <w:vAlign w:val="top"/>
          </w:tcPr>
          <w:p w14:paraId="5EFC417D">
            <w:pPr>
              <w:pStyle w:val="212"/>
              <w:spacing w:before="68" w:line="293" w:lineRule="auto"/>
              <w:ind w:left="17" w:firstLine="5"/>
              <w:jc w:val="both"/>
              <w:rPr>
                <w:color w:val="auto"/>
                <w:highlight w:val="none"/>
              </w:rPr>
            </w:pPr>
            <w:r>
              <w:rPr>
                <w:color w:val="auto"/>
                <w:spacing w:val="14"/>
                <w:highlight w:val="none"/>
              </w:rPr>
              <w:t>《转速可控型房间空气调节器能</w:t>
            </w:r>
            <w:r>
              <w:rPr>
                <w:color w:val="auto"/>
                <w:highlight w:val="none"/>
              </w:rPr>
              <w:t xml:space="preserve">  </w:t>
            </w:r>
            <w:r>
              <w:rPr>
                <w:color w:val="auto"/>
                <w:spacing w:val="-9"/>
                <w:highlight w:val="none"/>
              </w:rPr>
              <w:t>效</w:t>
            </w:r>
            <w:r>
              <w:rPr>
                <w:color w:val="auto"/>
                <w:spacing w:val="-19"/>
                <w:highlight w:val="none"/>
              </w:rPr>
              <w:t xml:space="preserve"> </w:t>
            </w:r>
            <w:r>
              <w:rPr>
                <w:color w:val="auto"/>
                <w:spacing w:val="-9"/>
                <w:highlight w:val="none"/>
              </w:rPr>
              <w:t>限</w:t>
            </w:r>
            <w:r>
              <w:rPr>
                <w:color w:val="auto"/>
                <w:spacing w:val="-33"/>
                <w:highlight w:val="none"/>
              </w:rPr>
              <w:t xml:space="preserve"> </w:t>
            </w:r>
            <w:r>
              <w:rPr>
                <w:color w:val="auto"/>
                <w:spacing w:val="-9"/>
                <w:highlight w:val="none"/>
              </w:rPr>
              <w:t>定</w:t>
            </w:r>
            <w:r>
              <w:rPr>
                <w:color w:val="auto"/>
                <w:spacing w:val="-38"/>
                <w:highlight w:val="none"/>
              </w:rPr>
              <w:t xml:space="preserve"> </w:t>
            </w:r>
            <w:r>
              <w:rPr>
                <w:color w:val="auto"/>
                <w:spacing w:val="-9"/>
                <w:highlight w:val="none"/>
              </w:rPr>
              <w:t>值</w:t>
            </w:r>
            <w:r>
              <w:rPr>
                <w:color w:val="auto"/>
                <w:spacing w:val="-39"/>
                <w:highlight w:val="none"/>
              </w:rPr>
              <w:t xml:space="preserve"> </w:t>
            </w:r>
            <w:r>
              <w:rPr>
                <w:color w:val="auto"/>
                <w:spacing w:val="-9"/>
                <w:highlight w:val="none"/>
              </w:rPr>
              <w:t>及</w:t>
            </w:r>
            <w:r>
              <w:rPr>
                <w:color w:val="auto"/>
                <w:spacing w:val="-31"/>
                <w:highlight w:val="none"/>
              </w:rPr>
              <w:t xml:space="preserve"> </w:t>
            </w:r>
            <w:r>
              <w:rPr>
                <w:color w:val="auto"/>
                <w:spacing w:val="-9"/>
                <w:highlight w:val="none"/>
              </w:rPr>
              <w:t>能</w:t>
            </w:r>
            <w:r>
              <w:rPr>
                <w:color w:val="auto"/>
                <w:spacing w:val="-34"/>
                <w:highlight w:val="none"/>
              </w:rPr>
              <w:t xml:space="preserve"> </w:t>
            </w:r>
            <w:r>
              <w:rPr>
                <w:color w:val="auto"/>
                <w:spacing w:val="-9"/>
                <w:highlight w:val="none"/>
              </w:rPr>
              <w:t>效</w:t>
            </w:r>
            <w:r>
              <w:rPr>
                <w:color w:val="auto"/>
                <w:spacing w:val="-36"/>
                <w:highlight w:val="none"/>
              </w:rPr>
              <w:t xml:space="preserve"> </w:t>
            </w:r>
            <w:r>
              <w:rPr>
                <w:color w:val="auto"/>
                <w:spacing w:val="-9"/>
                <w:highlight w:val="none"/>
              </w:rPr>
              <w:t>等</w:t>
            </w:r>
            <w:r>
              <w:rPr>
                <w:color w:val="auto"/>
                <w:spacing w:val="-36"/>
                <w:highlight w:val="none"/>
              </w:rPr>
              <w:t xml:space="preserve"> </w:t>
            </w:r>
            <w:r>
              <w:rPr>
                <w:color w:val="auto"/>
                <w:spacing w:val="-9"/>
                <w:highlight w:val="none"/>
              </w:rPr>
              <w:t>级</w:t>
            </w:r>
            <w:r>
              <w:rPr>
                <w:color w:val="auto"/>
                <w:spacing w:val="-29"/>
                <w:highlight w:val="none"/>
              </w:rPr>
              <w:t xml:space="preserve"> </w:t>
            </w:r>
            <w:r>
              <w:rPr>
                <w:color w:val="auto"/>
                <w:spacing w:val="-9"/>
                <w:highlight w:val="none"/>
              </w:rPr>
              <w:t>》</w:t>
            </w:r>
            <w:r>
              <w:rPr>
                <w:color w:val="auto"/>
                <w:spacing w:val="-41"/>
                <w:highlight w:val="none"/>
              </w:rPr>
              <w:t xml:space="preserve"> </w:t>
            </w:r>
            <w:r>
              <w:rPr>
                <w:color w:val="auto"/>
                <w:spacing w:val="-9"/>
                <w:highlight w:val="none"/>
              </w:rPr>
              <w:t>（ GB</w:t>
            </w:r>
            <w:r>
              <w:rPr>
                <w:color w:val="auto"/>
                <w:highlight w:val="none"/>
              </w:rPr>
              <w:t xml:space="preserve">  21455-2013</w:t>
            </w:r>
            <w:r>
              <w:rPr>
                <w:color w:val="auto"/>
                <w:spacing w:val="12"/>
                <w:highlight w:val="none"/>
              </w:rPr>
              <w:t>），</w:t>
            </w:r>
            <w:r>
              <w:rPr>
                <w:color w:val="auto"/>
                <w:highlight w:val="none"/>
              </w:rPr>
              <w:t>待 2019</w:t>
            </w:r>
            <w:r>
              <w:rPr>
                <w:color w:val="auto"/>
                <w:spacing w:val="-15"/>
                <w:highlight w:val="none"/>
              </w:rPr>
              <w:t xml:space="preserve"> </w:t>
            </w:r>
            <w:r>
              <w:rPr>
                <w:color w:val="auto"/>
                <w:highlight w:val="none"/>
              </w:rPr>
              <w:t>年修订发  布后，按《房间空气调节器能效限</w:t>
            </w:r>
            <w:r>
              <w:rPr>
                <w:color w:val="auto"/>
                <w:spacing w:val="4"/>
                <w:highlight w:val="none"/>
              </w:rPr>
              <w:t xml:space="preserve">  </w:t>
            </w:r>
            <w:r>
              <w:rPr>
                <w:color w:val="auto"/>
                <w:spacing w:val="-5"/>
                <w:highlight w:val="none"/>
              </w:rPr>
              <w:t>定值及能效等级》（GB21455-2019）</w:t>
            </w:r>
            <w:r>
              <w:rPr>
                <w:color w:val="auto"/>
                <w:spacing w:val="15"/>
                <w:highlight w:val="none"/>
              </w:rPr>
              <w:t xml:space="preserve"> </w:t>
            </w:r>
            <w:r>
              <w:rPr>
                <w:color w:val="auto"/>
                <w:highlight w:val="none"/>
              </w:rPr>
              <w:t>实施。</w:t>
            </w:r>
          </w:p>
        </w:tc>
      </w:tr>
      <w:tr w14:paraId="79A64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vAlign w:val="top"/>
          </w:tcPr>
          <w:p w14:paraId="1E5F1BAD">
            <w:pPr>
              <w:rPr>
                <w:rFonts w:ascii="Arial"/>
                <w:color w:val="auto"/>
                <w:sz w:val="21"/>
                <w:highlight w:val="none"/>
              </w:rPr>
            </w:pPr>
          </w:p>
        </w:tc>
        <w:tc>
          <w:tcPr>
            <w:tcW w:w="1166" w:type="dxa"/>
            <w:vMerge w:val="continue"/>
            <w:tcBorders>
              <w:top w:val="nil"/>
              <w:bottom w:val="nil"/>
            </w:tcBorders>
            <w:vAlign w:val="top"/>
          </w:tcPr>
          <w:p w14:paraId="5CF65E0E">
            <w:pPr>
              <w:rPr>
                <w:rFonts w:ascii="Arial"/>
                <w:color w:val="auto"/>
                <w:sz w:val="21"/>
                <w:highlight w:val="none"/>
              </w:rPr>
            </w:pPr>
          </w:p>
        </w:tc>
        <w:tc>
          <w:tcPr>
            <w:tcW w:w="1799" w:type="dxa"/>
            <w:vMerge w:val="continue"/>
            <w:tcBorders>
              <w:top w:val="nil"/>
              <w:bottom w:val="nil"/>
            </w:tcBorders>
            <w:vAlign w:val="top"/>
          </w:tcPr>
          <w:p w14:paraId="67979D17">
            <w:pPr>
              <w:rPr>
                <w:rFonts w:ascii="Arial"/>
                <w:color w:val="auto"/>
                <w:sz w:val="21"/>
                <w:highlight w:val="none"/>
              </w:rPr>
            </w:pPr>
          </w:p>
        </w:tc>
        <w:tc>
          <w:tcPr>
            <w:tcW w:w="1914" w:type="dxa"/>
            <w:vAlign w:val="top"/>
          </w:tcPr>
          <w:p w14:paraId="5563FE61">
            <w:pPr>
              <w:pStyle w:val="212"/>
              <w:spacing w:before="71" w:line="282" w:lineRule="auto"/>
              <w:ind w:left="15" w:right="11" w:firstLine="10"/>
              <w:jc w:val="both"/>
              <w:rPr>
                <w:color w:val="auto"/>
                <w:highlight w:val="none"/>
              </w:rPr>
            </w:pPr>
            <w:r>
              <w:rPr>
                <w:color w:val="auto"/>
                <w:spacing w:val="15"/>
                <w:highlight w:val="none"/>
              </w:rPr>
              <w:t>多联式空调（热泵）</w:t>
            </w:r>
            <w:r>
              <w:rPr>
                <w:color w:val="auto"/>
                <w:spacing w:val="7"/>
                <w:highlight w:val="none"/>
              </w:rPr>
              <w:t xml:space="preserve"> </w:t>
            </w:r>
            <w:r>
              <w:rPr>
                <w:color w:val="auto"/>
                <w:spacing w:val="-4"/>
                <w:highlight w:val="none"/>
              </w:rPr>
              <w:t>机 组 （</w:t>
            </w:r>
            <w:r>
              <w:rPr>
                <w:color w:val="auto"/>
                <w:spacing w:val="28"/>
                <w:highlight w:val="none"/>
              </w:rPr>
              <w:t xml:space="preserve"> </w:t>
            </w:r>
            <w:r>
              <w:rPr>
                <w:color w:val="auto"/>
                <w:spacing w:val="-4"/>
                <w:highlight w:val="none"/>
              </w:rPr>
              <w:t>制 冷 量 ≤</w:t>
            </w:r>
            <w:r>
              <w:rPr>
                <w:color w:val="auto"/>
                <w:highlight w:val="none"/>
              </w:rPr>
              <w:t xml:space="preserve"> </w:t>
            </w:r>
            <w:r>
              <w:rPr>
                <w:color w:val="auto"/>
                <w:spacing w:val="3"/>
                <w:highlight w:val="none"/>
              </w:rPr>
              <w:t>14000W）</w:t>
            </w:r>
          </w:p>
        </w:tc>
        <w:tc>
          <w:tcPr>
            <w:tcW w:w="2969" w:type="dxa"/>
            <w:vAlign w:val="top"/>
          </w:tcPr>
          <w:p w14:paraId="4097116E">
            <w:pPr>
              <w:pStyle w:val="212"/>
              <w:spacing w:before="225" w:line="305" w:lineRule="auto"/>
              <w:ind w:left="22"/>
              <w:rPr>
                <w:color w:val="auto"/>
                <w:highlight w:val="none"/>
              </w:rPr>
            </w:pPr>
            <w:r>
              <w:rPr>
                <w:color w:val="auto"/>
                <w:highlight w:val="none"/>
              </w:rPr>
              <w:t>《多联式空调（热泵）机组能效限</w:t>
            </w:r>
            <w:r>
              <w:rPr>
                <w:color w:val="auto"/>
                <w:spacing w:val="2"/>
                <w:highlight w:val="none"/>
              </w:rPr>
              <w:t xml:space="preserve">  </w:t>
            </w:r>
            <w:r>
              <w:rPr>
                <w:color w:val="auto"/>
                <w:spacing w:val="-4"/>
                <w:highlight w:val="none"/>
              </w:rPr>
              <w:t>定值及能源效率等级》（GB</w:t>
            </w:r>
            <w:r>
              <w:rPr>
                <w:color w:val="auto"/>
                <w:spacing w:val="-24"/>
                <w:highlight w:val="none"/>
              </w:rPr>
              <w:t xml:space="preserve"> </w:t>
            </w:r>
            <w:r>
              <w:rPr>
                <w:color w:val="auto"/>
                <w:spacing w:val="-4"/>
                <w:highlight w:val="none"/>
              </w:rPr>
              <w:t>21454）</w:t>
            </w:r>
          </w:p>
        </w:tc>
      </w:tr>
      <w:tr w14:paraId="2BABA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578" w:type="dxa"/>
            <w:vMerge w:val="continue"/>
            <w:tcBorders>
              <w:top w:val="nil"/>
              <w:bottom w:val="nil"/>
            </w:tcBorders>
            <w:vAlign w:val="top"/>
          </w:tcPr>
          <w:p w14:paraId="48AFFED1">
            <w:pPr>
              <w:rPr>
                <w:rFonts w:ascii="Arial"/>
                <w:color w:val="auto"/>
                <w:sz w:val="21"/>
                <w:highlight w:val="none"/>
              </w:rPr>
            </w:pPr>
          </w:p>
        </w:tc>
        <w:tc>
          <w:tcPr>
            <w:tcW w:w="1166" w:type="dxa"/>
            <w:vMerge w:val="continue"/>
            <w:tcBorders>
              <w:top w:val="nil"/>
              <w:bottom w:val="nil"/>
            </w:tcBorders>
            <w:vAlign w:val="top"/>
          </w:tcPr>
          <w:p w14:paraId="10E71562">
            <w:pPr>
              <w:rPr>
                <w:rFonts w:ascii="Arial"/>
                <w:color w:val="auto"/>
                <w:sz w:val="21"/>
                <w:highlight w:val="none"/>
              </w:rPr>
            </w:pPr>
          </w:p>
        </w:tc>
        <w:tc>
          <w:tcPr>
            <w:tcW w:w="1799" w:type="dxa"/>
            <w:vMerge w:val="continue"/>
            <w:tcBorders>
              <w:top w:val="nil"/>
            </w:tcBorders>
            <w:vAlign w:val="top"/>
          </w:tcPr>
          <w:p w14:paraId="51628529">
            <w:pPr>
              <w:rPr>
                <w:rFonts w:ascii="Arial"/>
                <w:color w:val="auto"/>
                <w:sz w:val="21"/>
                <w:highlight w:val="none"/>
              </w:rPr>
            </w:pPr>
          </w:p>
        </w:tc>
        <w:tc>
          <w:tcPr>
            <w:tcW w:w="1914" w:type="dxa"/>
            <w:vAlign w:val="top"/>
          </w:tcPr>
          <w:p w14:paraId="745A02AE">
            <w:pPr>
              <w:spacing w:line="319" w:lineRule="auto"/>
              <w:rPr>
                <w:rFonts w:ascii="Arial"/>
                <w:color w:val="auto"/>
                <w:sz w:val="21"/>
                <w:highlight w:val="none"/>
              </w:rPr>
            </w:pPr>
          </w:p>
          <w:p w14:paraId="1C83C537">
            <w:pPr>
              <w:pStyle w:val="212"/>
              <w:spacing w:before="61" w:line="305" w:lineRule="auto"/>
              <w:ind w:left="51" w:right="11" w:hanging="33"/>
              <w:rPr>
                <w:color w:val="auto"/>
                <w:highlight w:val="none"/>
              </w:rPr>
            </w:pPr>
            <w:r>
              <w:rPr>
                <w:color w:val="auto"/>
                <w:spacing w:val="44"/>
                <w:highlight w:val="none"/>
              </w:rPr>
              <w:t>单元式空气调节机</w:t>
            </w:r>
            <w:r>
              <w:rPr>
                <w:color w:val="auto"/>
                <w:spacing w:val="6"/>
                <w:highlight w:val="none"/>
              </w:rPr>
              <w:t xml:space="preserve"> </w:t>
            </w:r>
            <w:r>
              <w:rPr>
                <w:color w:val="auto"/>
                <w:spacing w:val="3"/>
                <w:highlight w:val="none"/>
              </w:rPr>
              <w:t>(制冷量≤14000W)</w:t>
            </w:r>
          </w:p>
        </w:tc>
        <w:tc>
          <w:tcPr>
            <w:tcW w:w="2969" w:type="dxa"/>
            <w:vAlign w:val="top"/>
          </w:tcPr>
          <w:p w14:paraId="05145D7A">
            <w:pPr>
              <w:pStyle w:val="212"/>
              <w:spacing w:before="72" w:line="287" w:lineRule="auto"/>
              <w:ind w:left="17" w:right="11" w:firstLine="6"/>
              <w:jc w:val="both"/>
              <w:rPr>
                <w:color w:val="auto"/>
                <w:highlight w:val="none"/>
              </w:rPr>
            </w:pPr>
            <w:r>
              <w:rPr>
                <w:color w:val="auto"/>
                <w:spacing w:val="19"/>
                <w:highlight w:val="none"/>
              </w:rPr>
              <w:t>《单元式空气调节机能效限定值</w:t>
            </w:r>
            <w:r>
              <w:rPr>
                <w:color w:val="auto"/>
                <w:spacing w:val="2"/>
                <w:highlight w:val="none"/>
              </w:rPr>
              <w:t xml:space="preserve"> </w:t>
            </w:r>
            <w:r>
              <w:rPr>
                <w:color w:val="auto"/>
                <w:spacing w:val="-5"/>
                <w:highlight w:val="none"/>
              </w:rPr>
              <w:t>及能源效率等级》（GB</w:t>
            </w:r>
            <w:r>
              <w:rPr>
                <w:color w:val="auto"/>
                <w:spacing w:val="-13"/>
                <w:highlight w:val="none"/>
              </w:rPr>
              <w:t xml:space="preserve"> </w:t>
            </w:r>
            <w:r>
              <w:rPr>
                <w:color w:val="auto"/>
                <w:spacing w:val="-5"/>
                <w:highlight w:val="none"/>
              </w:rPr>
              <w:t>19576）《风</w:t>
            </w:r>
            <w:r>
              <w:rPr>
                <w:color w:val="auto"/>
                <w:highlight w:val="none"/>
              </w:rPr>
              <w:t xml:space="preserve"> </w:t>
            </w:r>
            <w:r>
              <w:rPr>
                <w:color w:val="auto"/>
                <w:spacing w:val="19"/>
                <w:highlight w:val="none"/>
              </w:rPr>
              <w:t>管送风式空调机组能效限定值及</w:t>
            </w:r>
            <w:r>
              <w:rPr>
                <w:color w:val="auto"/>
                <w:spacing w:val="8"/>
                <w:highlight w:val="none"/>
              </w:rPr>
              <w:t xml:space="preserve"> </w:t>
            </w:r>
            <w:r>
              <w:rPr>
                <w:color w:val="auto"/>
                <w:spacing w:val="7"/>
                <w:highlight w:val="none"/>
              </w:rPr>
              <w:t>能效等级》（</w:t>
            </w:r>
            <w:r>
              <w:rPr>
                <w:color w:val="auto"/>
                <w:highlight w:val="none"/>
              </w:rPr>
              <w:t>GB</w:t>
            </w:r>
            <w:r>
              <w:rPr>
                <w:color w:val="auto"/>
                <w:spacing w:val="7"/>
                <w:highlight w:val="none"/>
              </w:rPr>
              <w:t xml:space="preserve"> 37479）</w:t>
            </w:r>
          </w:p>
        </w:tc>
      </w:tr>
      <w:tr w14:paraId="793D8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578" w:type="dxa"/>
            <w:vMerge w:val="continue"/>
            <w:tcBorders>
              <w:top w:val="nil"/>
            </w:tcBorders>
            <w:vAlign w:val="top"/>
          </w:tcPr>
          <w:p w14:paraId="25D9BA33">
            <w:pPr>
              <w:rPr>
                <w:rFonts w:ascii="Arial"/>
                <w:color w:val="auto"/>
                <w:sz w:val="21"/>
                <w:highlight w:val="none"/>
              </w:rPr>
            </w:pPr>
          </w:p>
        </w:tc>
        <w:tc>
          <w:tcPr>
            <w:tcW w:w="1166" w:type="dxa"/>
            <w:vMerge w:val="continue"/>
            <w:tcBorders>
              <w:top w:val="nil"/>
            </w:tcBorders>
            <w:vAlign w:val="top"/>
          </w:tcPr>
          <w:p w14:paraId="7DD1EC21">
            <w:pPr>
              <w:rPr>
                <w:rFonts w:ascii="Arial"/>
                <w:color w:val="auto"/>
                <w:sz w:val="21"/>
                <w:highlight w:val="none"/>
              </w:rPr>
            </w:pPr>
          </w:p>
        </w:tc>
        <w:tc>
          <w:tcPr>
            <w:tcW w:w="1799" w:type="dxa"/>
            <w:vAlign w:val="top"/>
          </w:tcPr>
          <w:p w14:paraId="2105E109">
            <w:pPr>
              <w:pStyle w:val="212"/>
              <w:spacing w:before="230" w:line="228" w:lineRule="auto"/>
              <w:ind w:left="9"/>
              <w:rPr>
                <w:color w:val="auto"/>
                <w:highlight w:val="none"/>
              </w:rPr>
            </w:pPr>
            <w:r>
              <w:rPr>
                <w:color w:val="auto"/>
                <w:spacing w:val="5"/>
                <w:highlight w:val="none"/>
              </w:rPr>
              <w:t>A0206180301</w:t>
            </w:r>
            <w:r>
              <w:rPr>
                <w:color w:val="auto"/>
                <w:spacing w:val="-33"/>
                <w:highlight w:val="none"/>
              </w:rPr>
              <w:t xml:space="preserve"> </w:t>
            </w:r>
            <w:r>
              <w:rPr>
                <w:color w:val="auto"/>
                <w:spacing w:val="5"/>
                <w:highlight w:val="none"/>
              </w:rPr>
              <w:t>洗衣机</w:t>
            </w:r>
          </w:p>
        </w:tc>
        <w:tc>
          <w:tcPr>
            <w:tcW w:w="1914" w:type="dxa"/>
            <w:vAlign w:val="top"/>
          </w:tcPr>
          <w:p w14:paraId="7A382A83">
            <w:pPr>
              <w:rPr>
                <w:rFonts w:ascii="Arial"/>
                <w:color w:val="auto"/>
                <w:sz w:val="21"/>
                <w:highlight w:val="none"/>
              </w:rPr>
            </w:pPr>
          </w:p>
        </w:tc>
        <w:tc>
          <w:tcPr>
            <w:tcW w:w="2969" w:type="dxa"/>
            <w:vAlign w:val="top"/>
          </w:tcPr>
          <w:p w14:paraId="17E09339">
            <w:pPr>
              <w:pStyle w:val="212"/>
              <w:spacing w:before="74" w:line="276" w:lineRule="auto"/>
              <w:ind w:left="19" w:right="11" w:firstLine="3"/>
              <w:rPr>
                <w:color w:val="auto"/>
                <w:highlight w:val="none"/>
              </w:rPr>
            </w:pPr>
            <w:r>
              <w:rPr>
                <w:color w:val="auto"/>
                <w:spacing w:val="19"/>
                <w:highlight w:val="none"/>
              </w:rPr>
              <w:t>《电动洗衣机能效水效限定值及</w:t>
            </w:r>
            <w:r>
              <w:rPr>
                <w:color w:val="auto"/>
                <w:spacing w:val="2"/>
                <w:highlight w:val="none"/>
              </w:rPr>
              <w:t xml:space="preserve"> </w:t>
            </w:r>
            <w:r>
              <w:rPr>
                <w:color w:val="auto"/>
                <w:spacing w:val="4"/>
                <w:highlight w:val="none"/>
              </w:rPr>
              <w:t>等级》（</w:t>
            </w:r>
            <w:r>
              <w:rPr>
                <w:color w:val="auto"/>
                <w:highlight w:val="none"/>
              </w:rPr>
              <w:t>GB</w:t>
            </w:r>
            <w:r>
              <w:rPr>
                <w:color w:val="auto"/>
                <w:spacing w:val="33"/>
                <w:highlight w:val="none"/>
              </w:rPr>
              <w:t xml:space="preserve"> </w:t>
            </w:r>
            <w:r>
              <w:rPr>
                <w:color w:val="auto"/>
                <w:spacing w:val="4"/>
                <w:highlight w:val="none"/>
              </w:rPr>
              <w:t>12021.4）</w:t>
            </w:r>
          </w:p>
        </w:tc>
      </w:tr>
    </w:tbl>
    <w:p w14:paraId="44622A36">
      <w:pPr>
        <w:rPr>
          <w:rFonts w:ascii="Arial"/>
          <w:color w:val="auto"/>
          <w:sz w:val="21"/>
          <w:highlight w:val="none"/>
        </w:rPr>
      </w:pPr>
    </w:p>
    <w:p w14:paraId="49F23B4C">
      <w:pPr>
        <w:rPr>
          <w:rFonts w:ascii="Arial" w:hAnsi="Arial" w:eastAsia="Arial" w:cs="Arial"/>
          <w:color w:val="auto"/>
          <w:sz w:val="21"/>
          <w:szCs w:val="21"/>
          <w:highlight w:val="none"/>
        </w:rPr>
        <w:sectPr>
          <w:pgSz w:w="11906" w:h="16838"/>
          <w:pgMar w:top="1431" w:right="1691" w:bottom="1134" w:left="1783" w:header="850" w:footer="992" w:gutter="0"/>
          <w:pgBorders>
            <w:top w:val="none" w:sz="0" w:space="0"/>
            <w:left w:val="none" w:sz="0" w:space="0"/>
            <w:bottom w:val="none" w:sz="0" w:space="0"/>
            <w:right w:val="none" w:sz="0" w:space="0"/>
          </w:pgBorders>
          <w:cols w:space="720" w:num="1"/>
        </w:sectPr>
      </w:pPr>
    </w:p>
    <w:p w14:paraId="397E8DA5">
      <w:pPr>
        <w:spacing w:line="91" w:lineRule="auto"/>
        <w:rPr>
          <w:rFonts w:ascii="Arial"/>
          <w:color w:val="auto"/>
          <w:sz w:val="2"/>
          <w:highlight w:val="none"/>
        </w:rPr>
      </w:pPr>
    </w:p>
    <w:tbl>
      <w:tblPr>
        <w:tblStyle w:val="213"/>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19CE1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578" w:type="dxa"/>
            <w:vMerge w:val="restart"/>
            <w:tcBorders>
              <w:bottom w:val="nil"/>
            </w:tcBorders>
            <w:vAlign w:val="top"/>
          </w:tcPr>
          <w:p w14:paraId="68DF05E0">
            <w:pPr>
              <w:rPr>
                <w:rFonts w:ascii="Arial"/>
                <w:color w:val="auto"/>
                <w:sz w:val="21"/>
                <w:highlight w:val="none"/>
              </w:rPr>
            </w:pPr>
          </w:p>
        </w:tc>
        <w:tc>
          <w:tcPr>
            <w:tcW w:w="1166" w:type="dxa"/>
            <w:vMerge w:val="restart"/>
            <w:tcBorders>
              <w:bottom w:val="nil"/>
            </w:tcBorders>
            <w:vAlign w:val="top"/>
          </w:tcPr>
          <w:p w14:paraId="232F69D4">
            <w:pPr>
              <w:rPr>
                <w:rFonts w:ascii="Arial"/>
                <w:color w:val="auto"/>
                <w:sz w:val="21"/>
                <w:highlight w:val="none"/>
              </w:rPr>
            </w:pPr>
          </w:p>
        </w:tc>
        <w:tc>
          <w:tcPr>
            <w:tcW w:w="1799" w:type="dxa"/>
            <w:vMerge w:val="restart"/>
            <w:tcBorders>
              <w:bottom w:val="nil"/>
            </w:tcBorders>
            <w:vAlign w:val="top"/>
          </w:tcPr>
          <w:p w14:paraId="5255A109">
            <w:pPr>
              <w:spacing w:line="244" w:lineRule="auto"/>
              <w:rPr>
                <w:rFonts w:ascii="Arial"/>
                <w:color w:val="auto"/>
                <w:sz w:val="21"/>
                <w:highlight w:val="none"/>
              </w:rPr>
            </w:pPr>
          </w:p>
          <w:p w14:paraId="5F21F882">
            <w:pPr>
              <w:spacing w:line="244" w:lineRule="auto"/>
              <w:rPr>
                <w:rFonts w:ascii="Arial"/>
                <w:color w:val="auto"/>
                <w:sz w:val="21"/>
                <w:highlight w:val="none"/>
              </w:rPr>
            </w:pPr>
          </w:p>
          <w:p w14:paraId="769077C0">
            <w:pPr>
              <w:spacing w:line="244" w:lineRule="auto"/>
              <w:rPr>
                <w:rFonts w:ascii="Arial"/>
                <w:color w:val="auto"/>
                <w:sz w:val="21"/>
                <w:highlight w:val="none"/>
              </w:rPr>
            </w:pPr>
          </w:p>
          <w:p w14:paraId="485A0B09">
            <w:pPr>
              <w:spacing w:line="244" w:lineRule="auto"/>
              <w:rPr>
                <w:rFonts w:ascii="Arial"/>
                <w:color w:val="auto"/>
                <w:sz w:val="21"/>
                <w:highlight w:val="none"/>
              </w:rPr>
            </w:pPr>
          </w:p>
          <w:p w14:paraId="67F7C1E6">
            <w:pPr>
              <w:spacing w:line="245" w:lineRule="auto"/>
              <w:rPr>
                <w:rFonts w:ascii="Arial"/>
                <w:color w:val="auto"/>
                <w:sz w:val="21"/>
                <w:highlight w:val="none"/>
              </w:rPr>
            </w:pPr>
          </w:p>
          <w:p w14:paraId="1E6CC489">
            <w:pPr>
              <w:spacing w:line="245" w:lineRule="auto"/>
              <w:rPr>
                <w:rFonts w:ascii="Arial"/>
                <w:color w:val="auto"/>
                <w:sz w:val="21"/>
                <w:highlight w:val="none"/>
              </w:rPr>
            </w:pPr>
          </w:p>
          <w:p w14:paraId="11F845B0">
            <w:pPr>
              <w:pStyle w:val="212"/>
              <w:spacing w:before="62" w:line="229" w:lineRule="auto"/>
              <w:ind w:left="9"/>
              <w:rPr>
                <w:color w:val="auto"/>
                <w:highlight w:val="none"/>
              </w:rPr>
            </w:pPr>
            <w:r>
              <w:rPr>
                <w:color w:val="auto"/>
                <w:spacing w:val="5"/>
                <w:highlight w:val="none"/>
              </w:rPr>
              <w:t>A02061808</w:t>
            </w:r>
            <w:r>
              <w:rPr>
                <w:color w:val="auto"/>
                <w:spacing w:val="-32"/>
                <w:highlight w:val="none"/>
              </w:rPr>
              <w:t xml:space="preserve"> </w:t>
            </w:r>
            <w:r>
              <w:rPr>
                <w:color w:val="auto"/>
                <w:spacing w:val="5"/>
                <w:highlight w:val="none"/>
              </w:rPr>
              <w:t>热水器</w:t>
            </w:r>
          </w:p>
        </w:tc>
        <w:tc>
          <w:tcPr>
            <w:tcW w:w="1914" w:type="dxa"/>
            <w:vAlign w:val="top"/>
          </w:tcPr>
          <w:p w14:paraId="3DBE7627">
            <w:pPr>
              <w:pStyle w:val="212"/>
              <w:spacing w:before="275" w:line="229" w:lineRule="auto"/>
              <w:ind w:left="19"/>
              <w:rPr>
                <w:color w:val="auto"/>
                <w:highlight w:val="none"/>
              </w:rPr>
            </w:pPr>
            <w:r>
              <w:rPr>
                <w:color w:val="auto"/>
                <w:spacing w:val="7"/>
                <w:highlight w:val="none"/>
              </w:rPr>
              <w:t>★电热水器</w:t>
            </w:r>
          </w:p>
        </w:tc>
        <w:tc>
          <w:tcPr>
            <w:tcW w:w="2969" w:type="dxa"/>
            <w:vAlign w:val="top"/>
          </w:tcPr>
          <w:p w14:paraId="40986011">
            <w:pPr>
              <w:pStyle w:val="212"/>
              <w:spacing w:before="119" w:line="297" w:lineRule="auto"/>
              <w:ind w:left="25" w:right="11" w:hanging="2"/>
              <w:rPr>
                <w:color w:val="auto"/>
                <w:highlight w:val="none"/>
              </w:rPr>
            </w:pPr>
            <w:r>
              <w:rPr>
                <w:color w:val="auto"/>
                <w:spacing w:val="19"/>
                <w:highlight w:val="none"/>
              </w:rPr>
              <w:t>《储水式电热水器能效限定值及</w:t>
            </w:r>
            <w:r>
              <w:rPr>
                <w:color w:val="auto"/>
                <w:spacing w:val="2"/>
                <w:highlight w:val="none"/>
              </w:rPr>
              <w:t xml:space="preserve"> </w:t>
            </w:r>
            <w:r>
              <w:rPr>
                <w:color w:val="auto"/>
                <w:spacing w:val="6"/>
                <w:highlight w:val="none"/>
              </w:rPr>
              <w:t>能效等级》（</w:t>
            </w:r>
            <w:r>
              <w:rPr>
                <w:color w:val="auto"/>
                <w:highlight w:val="none"/>
              </w:rPr>
              <w:t>GB</w:t>
            </w:r>
            <w:r>
              <w:rPr>
                <w:color w:val="auto"/>
                <w:spacing w:val="6"/>
                <w:highlight w:val="none"/>
              </w:rPr>
              <w:t xml:space="preserve">  21519）</w:t>
            </w:r>
          </w:p>
        </w:tc>
      </w:tr>
      <w:tr w14:paraId="0BD14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vAlign w:val="top"/>
          </w:tcPr>
          <w:p w14:paraId="6005965A">
            <w:pPr>
              <w:rPr>
                <w:rFonts w:ascii="Arial"/>
                <w:color w:val="auto"/>
                <w:sz w:val="21"/>
                <w:highlight w:val="none"/>
              </w:rPr>
            </w:pPr>
          </w:p>
        </w:tc>
        <w:tc>
          <w:tcPr>
            <w:tcW w:w="1166" w:type="dxa"/>
            <w:vMerge w:val="continue"/>
            <w:tcBorders>
              <w:top w:val="nil"/>
              <w:bottom w:val="nil"/>
            </w:tcBorders>
            <w:vAlign w:val="top"/>
          </w:tcPr>
          <w:p w14:paraId="3D56B3AD">
            <w:pPr>
              <w:rPr>
                <w:rFonts w:ascii="Arial"/>
                <w:color w:val="auto"/>
                <w:sz w:val="21"/>
                <w:highlight w:val="none"/>
              </w:rPr>
            </w:pPr>
          </w:p>
        </w:tc>
        <w:tc>
          <w:tcPr>
            <w:tcW w:w="1799" w:type="dxa"/>
            <w:vMerge w:val="continue"/>
            <w:tcBorders>
              <w:top w:val="nil"/>
              <w:bottom w:val="nil"/>
            </w:tcBorders>
            <w:vAlign w:val="top"/>
          </w:tcPr>
          <w:p w14:paraId="43E781D7">
            <w:pPr>
              <w:rPr>
                <w:rFonts w:ascii="Arial"/>
                <w:color w:val="auto"/>
                <w:sz w:val="21"/>
                <w:highlight w:val="none"/>
              </w:rPr>
            </w:pPr>
          </w:p>
        </w:tc>
        <w:tc>
          <w:tcPr>
            <w:tcW w:w="1914" w:type="dxa"/>
            <w:vAlign w:val="top"/>
          </w:tcPr>
          <w:p w14:paraId="647A98FC">
            <w:pPr>
              <w:spacing w:line="315" w:lineRule="auto"/>
              <w:rPr>
                <w:rFonts w:ascii="Arial"/>
                <w:color w:val="auto"/>
                <w:sz w:val="21"/>
                <w:highlight w:val="none"/>
              </w:rPr>
            </w:pPr>
          </w:p>
          <w:p w14:paraId="70738594">
            <w:pPr>
              <w:pStyle w:val="212"/>
              <w:spacing w:before="61" w:line="229" w:lineRule="auto"/>
              <w:ind w:left="15"/>
              <w:rPr>
                <w:color w:val="auto"/>
                <w:highlight w:val="none"/>
              </w:rPr>
            </w:pPr>
            <w:r>
              <w:rPr>
                <w:color w:val="auto"/>
                <w:spacing w:val="8"/>
                <w:highlight w:val="none"/>
              </w:rPr>
              <w:t>燃气热水器</w:t>
            </w:r>
          </w:p>
        </w:tc>
        <w:tc>
          <w:tcPr>
            <w:tcW w:w="2969" w:type="dxa"/>
            <w:vAlign w:val="top"/>
          </w:tcPr>
          <w:p w14:paraId="4A0B5633">
            <w:pPr>
              <w:pStyle w:val="212"/>
              <w:spacing w:before="68" w:line="283" w:lineRule="auto"/>
              <w:ind w:left="25" w:hanging="2"/>
              <w:jc w:val="both"/>
              <w:rPr>
                <w:color w:val="auto"/>
                <w:highlight w:val="none"/>
              </w:rPr>
            </w:pPr>
            <w:r>
              <w:rPr>
                <w:color w:val="auto"/>
                <w:spacing w:val="17"/>
                <w:highlight w:val="none"/>
              </w:rPr>
              <w:t>《家用燃气快速热水器和燃气采</w:t>
            </w:r>
            <w:r>
              <w:rPr>
                <w:color w:val="auto"/>
                <w:highlight w:val="none"/>
              </w:rPr>
              <w:t xml:space="preserve"> </w:t>
            </w:r>
            <w:r>
              <w:rPr>
                <w:color w:val="auto"/>
                <w:spacing w:val="5"/>
                <w:highlight w:val="none"/>
              </w:rPr>
              <w:t>暖热水炉能效限定值及能效等级》</w:t>
            </w:r>
            <w:r>
              <w:rPr>
                <w:color w:val="auto"/>
                <w:spacing w:val="12"/>
                <w:highlight w:val="none"/>
              </w:rPr>
              <w:t xml:space="preserve"> </w:t>
            </w:r>
            <w:r>
              <w:rPr>
                <w:color w:val="auto"/>
                <w:spacing w:val="1"/>
                <w:highlight w:val="none"/>
              </w:rPr>
              <w:t>（</w:t>
            </w:r>
            <w:r>
              <w:rPr>
                <w:color w:val="auto"/>
                <w:highlight w:val="none"/>
              </w:rPr>
              <w:t>GB</w:t>
            </w:r>
            <w:r>
              <w:rPr>
                <w:color w:val="auto"/>
                <w:spacing w:val="18"/>
                <w:highlight w:val="none"/>
              </w:rPr>
              <w:t xml:space="preserve"> </w:t>
            </w:r>
            <w:r>
              <w:rPr>
                <w:color w:val="auto"/>
                <w:spacing w:val="1"/>
                <w:highlight w:val="none"/>
              </w:rPr>
              <w:t>20665）</w:t>
            </w:r>
          </w:p>
        </w:tc>
      </w:tr>
      <w:tr w14:paraId="7C243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578" w:type="dxa"/>
            <w:vMerge w:val="continue"/>
            <w:tcBorders>
              <w:top w:val="nil"/>
              <w:bottom w:val="nil"/>
            </w:tcBorders>
            <w:vAlign w:val="top"/>
          </w:tcPr>
          <w:p w14:paraId="2B5A8A2A">
            <w:pPr>
              <w:rPr>
                <w:rFonts w:ascii="Arial"/>
                <w:color w:val="auto"/>
                <w:sz w:val="21"/>
                <w:highlight w:val="none"/>
              </w:rPr>
            </w:pPr>
          </w:p>
        </w:tc>
        <w:tc>
          <w:tcPr>
            <w:tcW w:w="1166" w:type="dxa"/>
            <w:vMerge w:val="continue"/>
            <w:tcBorders>
              <w:top w:val="nil"/>
              <w:bottom w:val="nil"/>
            </w:tcBorders>
            <w:vAlign w:val="top"/>
          </w:tcPr>
          <w:p w14:paraId="0B3E6B5E">
            <w:pPr>
              <w:rPr>
                <w:rFonts w:ascii="Arial"/>
                <w:color w:val="auto"/>
                <w:sz w:val="21"/>
                <w:highlight w:val="none"/>
              </w:rPr>
            </w:pPr>
          </w:p>
        </w:tc>
        <w:tc>
          <w:tcPr>
            <w:tcW w:w="1799" w:type="dxa"/>
            <w:vMerge w:val="continue"/>
            <w:tcBorders>
              <w:top w:val="nil"/>
              <w:bottom w:val="nil"/>
            </w:tcBorders>
            <w:vAlign w:val="top"/>
          </w:tcPr>
          <w:p w14:paraId="31AE8D92">
            <w:pPr>
              <w:rPr>
                <w:rFonts w:ascii="Arial"/>
                <w:color w:val="auto"/>
                <w:sz w:val="21"/>
                <w:highlight w:val="none"/>
              </w:rPr>
            </w:pPr>
          </w:p>
        </w:tc>
        <w:tc>
          <w:tcPr>
            <w:tcW w:w="1914" w:type="dxa"/>
            <w:vAlign w:val="top"/>
          </w:tcPr>
          <w:p w14:paraId="6FD46B1C">
            <w:pPr>
              <w:spacing w:line="248" w:lineRule="auto"/>
              <w:rPr>
                <w:rFonts w:ascii="Arial"/>
                <w:color w:val="auto"/>
                <w:sz w:val="21"/>
                <w:highlight w:val="none"/>
              </w:rPr>
            </w:pPr>
          </w:p>
          <w:p w14:paraId="0CA164E9">
            <w:pPr>
              <w:pStyle w:val="212"/>
              <w:spacing w:before="62" w:line="229" w:lineRule="auto"/>
              <w:ind w:left="20"/>
              <w:rPr>
                <w:color w:val="auto"/>
                <w:highlight w:val="none"/>
              </w:rPr>
            </w:pPr>
            <w:r>
              <w:rPr>
                <w:color w:val="auto"/>
                <w:spacing w:val="7"/>
                <w:highlight w:val="none"/>
              </w:rPr>
              <w:t>热泵热水器</w:t>
            </w:r>
          </w:p>
        </w:tc>
        <w:tc>
          <w:tcPr>
            <w:tcW w:w="2969" w:type="dxa"/>
            <w:vAlign w:val="top"/>
          </w:tcPr>
          <w:p w14:paraId="73FE9B8A">
            <w:pPr>
              <w:pStyle w:val="212"/>
              <w:spacing w:before="156" w:line="304" w:lineRule="auto"/>
              <w:ind w:left="25" w:right="13" w:hanging="2"/>
              <w:rPr>
                <w:color w:val="auto"/>
                <w:highlight w:val="none"/>
              </w:rPr>
            </w:pPr>
            <w:r>
              <w:rPr>
                <w:color w:val="auto"/>
                <w:spacing w:val="5"/>
                <w:highlight w:val="none"/>
              </w:rPr>
              <w:t>《热泵热水机（器）能效限定值及</w:t>
            </w:r>
            <w:r>
              <w:rPr>
                <w:color w:val="auto"/>
                <w:spacing w:val="1"/>
                <w:highlight w:val="none"/>
              </w:rPr>
              <w:t xml:space="preserve"> </w:t>
            </w:r>
            <w:r>
              <w:rPr>
                <w:color w:val="auto"/>
                <w:spacing w:val="6"/>
                <w:highlight w:val="none"/>
              </w:rPr>
              <w:t>能效等级》（</w:t>
            </w:r>
            <w:r>
              <w:rPr>
                <w:color w:val="auto"/>
                <w:highlight w:val="none"/>
              </w:rPr>
              <w:t>GB</w:t>
            </w:r>
            <w:r>
              <w:rPr>
                <w:color w:val="auto"/>
                <w:spacing w:val="6"/>
                <w:highlight w:val="none"/>
              </w:rPr>
              <w:t xml:space="preserve"> 29541）</w:t>
            </w:r>
          </w:p>
        </w:tc>
      </w:tr>
      <w:tr w14:paraId="3CE22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tcBorders>
            <w:vAlign w:val="top"/>
          </w:tcPr>
          <w:p w14:paraId="748CE7B1">
            <w:pPr>
              <w:rPr>
                <w:rFonts w:ascii="Arial"/>
                <w:color w:val="auto"/>
                <w:sz w:val="21"/>
                <w:highlight w:val="none"/>
              </w:rPr>
            </w:pPr>
          </w:p>
        </w:tc>
        <w:tc>
          <w:tcPr>
            <w:tcW w:w="1166" w:type="dxa"/>
            <w:vMerge w:val="continue"/>
            <w:tcBorders>
              <w:top w:val="nil"/>
            </w:tcBorders>
            <w:vAlign w:val="top"/>
          </w:tcPr>
          <w:p w14:paraId="2AA3A1D4">
            <w:pPr>
              <w:rPr>
                <w:rFonts w:ascii="Arial"/>
                <w:color w:val="auto"/>
                <w:sz w:val="21"/>
                <w:highlight w:val="none"/>
              </w:rPr>
            </w:pPr>
          </w:p>
        </w:tc>
        <w:tc>
          <w:tcPr>
            <w:tcW w:w="1799" w:type="dxa"/>
            <w:vMerge w:val="continue"/>
            <w:tcBorders>
              <w:top w:val="nil"/>
            </w:tcBorders>
            <w:vAlign w:val="top"/>
          </w:tcPr>
          <w:p w14:paraId="6895AE21">
            <w:pPr>
              <w:rPr>
                <w:rFonts w:ascii="Arial"/>
                <w:color w:val="auto"/>
                <w:sz w:val="21"/>
                <w:highlight w:val="none"/>
              </w:rPr>
            </w:pPr>
          </w:p>
        </w:tc>
        <w:tc>
          <w:tcPr>
            <w:tcW w:w="1914" w:type="dxa"/>
            <w:vAlign w:val="top"/>
          </w:tcPr>
          <w:p w14:paraId="774FBF49">
            <w:pPr>
              <w:pStyle w:val="212"/>
              <w:spacing w:before="271" w:line="229" w:lineRule="auto"/>
              <w:ind w:left="16"/>
              <w:rPr>
                <w:color w:val="auto"/>
                <w:highlight w:val="none"/>
              </w:rPr>
            </w:pPr>
            <w:r>
              <w:rPr>
                <w:color w:val="auto"/>
                <w:spacing w:val="8"/>
                <w:highlight w:val="none"/>
              </w:rPr>
              <w:t>太阳能热水系统</w:t>
            </w:r>
          </w:p>
        </w:tc>
        <w:tc>
          <w:tcPr>
            <w:tcW w:w="2969" w:type="dxa"/>
            <w:vAlign w:val="top"/>
          </w:tcPr>
          <w:p w14:paraId="5EDA258B">
            <w:pPr>
              <w:pStyle w:val="212"/>
              <w:spacing w:before="114" w:line="297" w:lineRule="auto"/>
              <w:ind w:left="17" w:right="11" w:firstLine="5"/>
              <w:rPr>
                <w:color w:val="auto"/>
                <w:highlight w:val="none"/>
              </w:rPr>
            </w:pPr>
            <w:r>
              <w:rPr>
                <w:color w:val="auto"/>
                <w:spacing w:val="19"/>
                <w:highlight w:val="none"/>
              </w:rPr>
              <w:t>《家用太阳能热水系统能效限定</w:t>
            </w:r>
            <w:r>
              <w:rPr>
                <w:color w:val="auto"/>
                <w:spacing w:val="2"/>
                <w:highlight w:val="none"/>
              </w:rPr>
              <w:t xml:space="preserve"> </w:t>
            </w:r>
            <w:r>
              <w:rPr>
                <w:color w:val="auto"/>
                <w:spacing w:val="7"/>
                <w:highlight w:val="none"/>
              </w:rPr>
              <w:t>值及能效等级》（</w:t>
            </w:r>
            <w:r>
              <w:rPr>
                <w:color w:val="auto"/>
                <w:highlight w:val="none"/>
              </w:rPr>
              <w:t>GB</w:t>
            </w:r>
            <w:r>
              <w:rPr>
                <w:color w:val="auto"/>
                <w:spacing w:val="7"/>
                <w:highlight w:val="none"/>
              </w:rPr>
              <w:t xml:space="preserve"> 26969）</w:t>
            </w:r>
          </w:p>
        </w:tc>
      </w:tr>
      <w:tr w14:paraId="1B03C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578" w:type="dxa"/>
            <w:vMerge w:val="restart"/>
            <w:tcBorders>
              <w:bottom w:val="nil"/>
            </w:tcBorders>
            <w:vAlign w:val="top"/>
          </w:tcPr>
          <w:p w14:paraId="5EB53C24">
            <w:pPr>
              <w:spacing w:line="269" w:lineRule="auto"/>
              <w:rPr>
                <w:rFonts w:ascii="Arial"/>
                <w:color w:val="auto"/>
                <w:sz w:val="21"/>
                <w:highlight w:val="none"/>
              </w:rPr>
            </w:pPr>
          </w:p>
          <w:p w14:paraId="74E7D8B3">
            <w:pPr>
              <w:spacing w:line="269" w:lineRule="auto"/>
              <w:rPr>
                <w:rFonts w:ascii="Arial"/>
                <w:color w:val="auto"/>
                <w:sz w:val="21"/>
                <w:highlight w:val="none"/>
              </w:rPr>
            </w:pPr>
          </w:p>
          <w:p w14:paraId="3925A389">
            <w:pPr>
              <w:spacing w:line="269" w:lineRule="auto"/>
              <w:rPr>
                <w:rFonts w:ascii="Arial"/>
                <w:color w:val="auto"/>
                <w:sz w:val="21"/>
                <w:highlight w:val="none"/>
              </w:rPr>
            </w:pPr>
          </w:p>
          <w:p w14:paraId="64684425">
            <w:pPr>
              <w:spacing w:line="269" w:lineRule="auto"/>
              <w:rPr>
                <w:rFonts w:ascii="Arial"/>
                <w:color w:val="auto"/>
                <w:sz w:val="21"/>
                <w:highlight w:val="none"/>
              </w:rPr>
            </w:pPr>
          </w:p>
          <w:p w14:paraId="37BDCB2E">
            <w:pPr>
              <w:spacing w:line="269" w:lineRule="auto"/>
              <w:rPr>
                <w:rFonts w:ascii="Arial"/>
                <w:color w:val="auto"/>
                <w:sz w:val="21"/>
                <w:highlight w:val="none"/>
              </w:rPr>
            </w:pPr>
          </w:p>
          <w:p w14:paraId="1D5F833E">
            <w:pPr>
              <w:spacing w:line="269" w:lineRule="auto"/>
              <w:rPr>
                <w:rFonts w:ascii="Arial"/>
                <w:color w:val="auto"/>
                <w:sz w:val="21"/>
                <w:highlight w:val="none"/>
              </w:rPr>
            </w:pPr>
          </w:p>
          <w:p w14:paraId="2E1A2EBE">
            <w:pPr>
              <w:pStyle w:val="212"/>
              <w:spacing w:before="61" w:line="258" w:lineRule="exact"/>
              <w:ind w:left="209"/>
              <w:rPr>
                <w:color w:val="auto"/>
                <w:highlight w:val="none"/>
              </w:rPr>
            </w:pPr>
            <w:r>
              <w:rPr>
                <w:color w:val="auto"/>
                <w:spacing w:val="-7"/>
                <w:position w:val="1"/>
                <w:highlight w:val="none"/>
              </w:rPr>
              <w:t>11</w:t>
            </w:r>
          </w:p>
        </w:tc>
        <w:tc>
          <w:tcPr>
            <w:tcW w:w="1166" w:type="dxa"/>
            <w:vMerge w:val="restart"/>
            <w:tcBorders>
              <w:bottom w:val="nil"/>
            </w:tcBorders>
            <w:vAlign w:val="top"/>
          </w:tcPr>
          <w:p w14:paraId="56A14D05">
            <w:pPr>
              <w:spacing w:line="243" w:lineRule="auto"/>
              <w:rPr>
                <w:rFonts w:ascii="Arial"/>
                <w:color w:val="auto"/>
                <w:sz w:val="21"/>
                <w:highlight w:val="none"/>
              </w:rPr>
            </w:pPr>
          </w:p>
          <w:p w14:paraId="0BCC3ABE">
            <w:pPr>
              <w:spacing w:line="243" w:lineRule="auto"/>
              <w:rPr>
                <w:rFonts w:ascii="Arial"/>
                <w:color w:val="auto"/>
                <w:sz w:val="21"/>
                <w:highlight w:val="none"/>
              </w:rPr>
            </w:pPr>
          </w:p>
          <w:p w14:paraId="32242E13">
            <w:pPr>
              <w:spacing w:line="243" w:lineRule="auto"/>
              <w:rPr>
                <w:rFonts w:ascii="Arial"/>
                <w:color w:val="auto"/>
                <w:sz w:val="21"/>
                <w:highlight w:val="none"/>
              </w:rPr>
            </w:pPr>
          </w:p>
          <w:p w14:paraId="711CB489">
            <w:pPr>
              <w:spacing w:line="243" w:lineRule="auto"/>
              <w:rPr>
                <w:rFonts w:ascii="Arial"/>
                <w:color w:val="auto"/>
                <w:sz w:val="21"/>
                <w:highlight w:val="none"/>
              </w:rPr>
            </w:pPr>
          </w:p>
          <w:p w14:paraId="0E854077">
            <w:pPr>
              <w:spacing w:line="243" w:lineRule="auto"/>
              <w:rPr>
                <w:rFonts w:ascii="Arial"/>
                <w:color w:val="auto"/>
                <w:sz w:val="21"/>
                <w:highlight w:val="none"/>
              </w:rPr>
            </w:pPr>
          </w:p>
          <w:p w14:paraId="0969A93B">
            <w:pPr>
              <w:spacing w:line="244" w:lineRule="auto"/>
              <w:rPr>
                <w:rFonts w:ascii="Arial"/>
                <w:color w:val="auto"/>
                <w:sz w:val="21"/>
                <w:highlight w:val="none"/>
              </w:rPr>
            </w:pPr>
          </w:p>
          <w:p w14:paraId="2D3F9A27">
            <w:pPr>
              <w:pStyle w:val="212"/>
              <w:spacing w:before="61" w:line="305" w:lineRule="auto"/>
              <w:ind w:left="18" w:right="8" w:hanging="9"/>
              <w:rPr>
                <w:color w:val="auto"/>
                <w:highlight w:val="none"/>
              </w:rPr>
            </w:pPr>
            <w:r>
              <w:rPr>
                <w:color w:val="auto"/>
                <w:spacing w:val="5"/>
                <w:highlight w:val="none"/>
              </w:rPr>
              <w:t>A020619</w:t>
            </w:r>
            <w:r>
              <w:rPr>
                <w:color w:val="auto"/>
                <w:spacing w:val="-43"/>
                <w:highlight w:val="none"/>
              </w:rPr>
              <w:t xml:space="preserve"> </w:t>
            </w:r>
            <w:r>
              <w:rPr>
                <w:color w:val="auto"/>
                <w:spacing w:val="5"/>
                <w:highlight w:val="none"/>
              </w:rPr>
              <w:t>照明</w:t>
            </w:r>
            <w:r>
              <w:rPr>
                <w:color w:val="auto"/>
                <w:highlight w:val="none"/>
              </w:rPr>
              <w:t xml:space="preserve"> </w:t>
            </w:r>
            <w:r>
              <w:rPr>
                <w:color w:val="auto"/>
                <w:spacing w:val="3"/>
                <w:highlight w:val="none"/>
              </w:rPr>
              <w:t>设备</w:t>
            </w:r>
          </w:p>
        </w:tc>
        <w:tc>
          <w:tcPr>
            <w:tcW w:w="1799" w:type="dxa"/>
            <w:vAlign w:val="top"/>
          </w:tcPr>
          <w:p w14:paraId="2B28A870">
            <w:pPr>
              <w:pStyle w:val="212"/>
              <w:spacing w:before="198" w:line="304" w:lineRule="auto"/>
              <w:ind w:left="20" w:right="12" w:hanging="2"/>
              <w:rPr>
                <w:color w:val="auto"/>
                <w:highlight w:val="none"/>
              </w:rPr>
            </w:pPr>
            <w:r>
              <w:rPr>
                <w:color w:val="auto"/>
                <w:spacing w:val="19"/>
                <w:highlight w:val="none"/>
              </w:rPr>
              <w:t>★</w:t>
            </w:r>
            <w:r>
              <w:rPr>
                <w:color w:val="auto"/>
                <w:spacing w:val="-59"/>
                <w:highlight w:val="none"/>
              </w:rPr>
              <w:t xml:space="preserve"> </w:t>
            </w:r>
            <w:r>
              <w:rPr>
                <w:color w:val="auto"/>
                <w:spacing w:val="19"/>
                <w:highlight w:val="none"/>
              </w:rPr>
              <w:t>普通照</w:t>
            </w:r>
            <w:r>
              <w:rPr>
                <w:color w:val="auto"/>
                <w:spacing w:val="-42"/>
                <w:highlight w:val="none"/>
              </w:rPr>
              <w:t xml:space="preserve"> </w:t>
            </w:r>
            <w:r>
              <w:rPr>
                <w:color w:val="auto"/>
                <w:spacing w:val="19"/>
                <w:highlight w:val="none"/>
              </w:rPr>
              <w:t>明用双端</w:t>
            </w:r>
            <w:r>
              <w:rPr>
                <w:color w:val="auto"/>
                <w:highlight w:val="none"/>
              </w:rPr>
              <w:t xml:space="preserve"> </w:t>
            </w:r>
            <w:r>
              <w:rPr>
                <w:color w:val="auto"/>
                <w:spacing w:val="4"/>
                <w:highlight w:val="none"/>
              </w:rPr>
              <w:t>荧光灯</w:t>
            </w:r>
          </w:p>
        </w:tc>
        <w:tc>
          <w:tcPr>
            <w:tcW w:w="1914" w:type="dxa"/>
            <w:vAlign w:val="top"/>
          </w:tcPr>
          <w:p w14:paraId="2ED8761F">
            <w:pPr>
              <w:rPr>
                <w:rFonts w:ascii="Arial"/>
                <w:color w:val="auto"/>
                <w:sz w:val="21"/>
                <w:highlight w:val="none"/>
              </w:rPr>
            </w:pPr>
          </w:p>
        </w:tc>
        <w:tc>
          <w:tcPr>
            <w:tcW w:w="2969" w:type="dxa"/>
            <w:vAlign w:val="top"/>
          </w:tcPr>
          <w:p w14:paraId="08486711">
            <w:pPr>
              <w:pStyle w:val="212"/>
              <w:spacing w:before="198" w:line="304" w:lineRule="auto"/>
              <w:ind w:left="22" w:right="11"/>
              <w:rPr>
                <w:color w:val="auto"/>
                <w:highlight w:val="none"/>
              </w:rPr>
            </w:pPr>
            <w:r>
              <w:rPr>
                <w:color w:val="auto"/>
                <w:spacing w:val="19"/>
                <w:highlight w:val="none"/>
              </w:rPr>
              <w:t>《普通照明用双端荧光灯能效限</w:t>
            </w:r>
            <w:r>
              <w:rPr>
                <w:color w:val="auto"/>
                <w:spacing w:val="2"/>
                <w:highlight w:val="none"/>
              </w:rPr>
              <w:t xml:space="preserve"> </w:t>
            </w:r>
            <w:r>
              <w:rPr>
                <w:color w:val="auto"/>
                <w:spacing w:val="5"/>
                <w:highlight w:val="none"/>
              </w:rPr>
              <w:t>定值及能效等级》（</w:t>
            </w:r>
            <w:r>
              <w:rPr>
                <w:color w:val="auto"/>
                <w:highlight w:val="none"/>
              </w:rPr>
              <w:t>GB</w:t>
            </w:r>
            <w:r>
              <w:rPr>
                <w:color w:val="auto"/>
                <w:spacing w:val="42"/>
                <w:highlight w:val="none"/>
              </w:rPr>
              <w:t xml:space="preserve"> </w:t>
            </w:r>
            <w:r>
              <w:rPr>
                <w:color w:val="auto"/>
                <w:spacing w:val="5"/>
                <w:highlight w:val="none"/>
              </w:rPr>
              <w:t>19043）</w:t>
            </w:r>
          </w:p>
        </w:tc>
      </w:tr>
      <w:tr w14:paraId="7BA47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578" w:type="dxa"/>
            <w:vMerge w:val="continue"/>
            <w:tcBorders>
              <w:top w:val="nil"/>
              <w:bottom w:val="nil"/>
            </w:tcBorders>
            <w:vAlign w:val="top"/>
          </w:tcPr>
          <w:p w14:paraId="78B9F2AA">
            <w:pPr>
              <w:rPr>
                <w:rFonts w:ascii="Arial"/>
                <w:color w:val="auto"/>
                <w:sz w:val="21"/>
                <w:highlight w:val="none"/>
              </w:rPr>
            </w:pPr>
          </w:p>
        </w:tc>
        <w:tc>
          <w:tcPr>
            <w:tcW w:w="1166" w:type="dxa"/>
            <w:vMerge w:val="continue"/>
            <w:tcBorders>
              <w:top w:val="nil"/>
              <w:bottom w:val="nil"/>
            </w:tcBorders>
            <w:vAlign w:val="top"/>
          </w:tcPr>
          <w:p w14:paraId="20FF4058">
            <w:pPr>
              <w:rPr>
                <w:rFonts w:ascii="Arial"/>
                <w:color w:val="auto"/>
                <w:sz w:val="21"/>
                <w:highlight w:val="none"/>
              </w:rPr>
            </w:pPr>
          </w:p>
        </w:tc>
        <w:tc>
          <w:tcPr>
            <w:tcW w:w="1799" w:type="dxa"/>
            <w:vAlign w:val="top"/>
          </w:tcPr>
          <w:p w14:paraId="5D6B13E4">
            <w:pPr>
              <w:pStyle w:val="212"/>
              <w:spacing w:before="156" w:line="305" w:lineRule="auto"/>
              <w:ind w:left="14" w:right="7" w:hanging="1"/>
              <w:rPr>
                <w:color w:val="auto"/>
                <w:highlight w:val="none"/>
              </w:rPr>
            </w:pPr>
            <w:r>
              <w:rPr>
                <w:color w:val="auto"/>
                <w:highlight w:val="none"/>
              </w:rPr>
              <w:t>LED</w:t>
            </w:r>
            <w:r>
              <w:rPr>
                <w:color w:val="auto"/>
                <w:spacing w:val="23"/>
                <w:highlight w:val="none"/>
              </w:rPr>
              <w:t xml:space="preserve"> </w:t>
            </w:r>
            <w:r>
              <w:rPr>
                <w:color w:val="auto"/>
                <w:spacing w:val="19"/>
                <w:highlight w:val="none"/>
              </w:rPr>
              <w:t>道路/隧道照明</w:t>
            </w:r>
            <w:r>
              <w:rPr>
                <w:color w:val="auto"/>
                <w:highlight w:val="none"/>
              </w:rPr>
              <w:t xml:space="preserve"> </w:t>
            </w:r>
            <w:r>
              <w:rPr>
                <w:color w:val="auto"/>
                <w:spacing w:val="5"/>
                <w:highlight w:val="none"/>
              </w:rPr>
              <w:t>产品</w:t>
            </w:r>
          </w:p>
        </w:tc>
        <w:tc>
          <w:tcPr>
            <w:tcW w:w="1914" w:type="dxa"/>
            <w:vAlign w:val="top"/>
          </w:tcPr>
          <w:p w14:paraId="3CE345D1">
            <w:pPr>
              <w:rPr>
                <w:rFonts w:ascii="Arial"/>
                <w:color w:val="auto"/>
                <w:sz w:val="21"/>
                <w:highlight w:val="none"/>
              </w:rPr>
            </w:pPr>
          </w:p>
        </w:tc>
        <w:tc>
          <w:tcPr>
            <w:tcW w:w="2969" w:type="dxa"/>
            <w:vAlign w:val="top"/>
          </w:tcPr>
          <w:p w14:paraId="241D4861">
            <w:pPr>
              <w:pStyle w:val="212"/>
              <w:spacing w:before="156" w:line="305" w:lineRule="auto"/>
              <w:ind w:left="22"/>
              <w:rPr>
                <w:color w:val="auto"/>
                <w:highlight w:val="none"/>
              </w:rPr>
            </w:pPr>
            <w:r>
              <w:rPr>
                <w:color w:val="auto"/>
                <w:spacing w:val="7"/>
                <w:highlight w:val="none"/>
              </w:rPr>
              <w:t xml:space="preserve">《道路和隧道照明用 </w:t>
            </w:r>
            <w:r>
              <w:rPr>
                <w:color w:val="auto"/>
                <w:highlight w:val="none"/>
              </w:rPr>
              <w:t>LED</w:t>
            </w:r>
            <w:r>
              <w:rPr>
                <w:color w:val="auto"/>
                <w:spacing w:val="7"/>
                <w:highlight w:val="none"/>
              </w:rPr>
              <w:t xml:space="preserve"> 灯具能</w:t>
            </w:r>
            <w:r>
              <w:rPr>
                <w:color w:val="auto"/>
                <w:highlight w:val="none"/>
              </w:rPr>
              <w:t xml:space="preserve">  </w:t>
            </w:r>
            <w:r>
              <w:rPr>
                <w:color w:val="auto"/>
                <w:spacing w:val="-4"/>
                <w:highlight w:val="none"/>
              </w:rPr>
              <w:t>效限定值及能效等级》（GB</w:t>
            </w:r>
            <w:r>
              <w:rPr>
                <w:color w:val="auto"/>
                <w:spacing w:val="-24"/>
                <w:highlight w:val="none"/>
              </w:rPr>
              <w:t xml:space="preserve"> </w:t>
            </w:r>
            <w:r>
              <w:rPr>
                <w:color w:val="auto"/>
                <w:spacing w:val="-4"/>
                <w:highlight w:val="none"/>
              </w:rPr>
              <w:t>37478）</w:t>
            </w:r>
          </w:p>
        </w:tc>
      </w:tr>
      <w:tr w14:paraId="6B5ED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578" w:type="dxa"/>
            <w:vMerge w:val="continue"/>
            <w:tcBorders>
              <w:top w:val="nil"/>
              <w:bottom w:val="nil"/>
            </w:tcBorders>
            <w:vAlign w:val="top"/>
          </w:tcPr>
          <w:p w14:paraId="038DD605">
            <w:pPr>
              <w:rPr>
                <w:rFonts w:ascii="Arial"/>
                <w:color w:val="auto"/>
                <w:sz w:val="21"/>
                <w:highlight w:val="none"/>
              </w:rPr>
            </w:pPr>
          </w:p>
        </w:tc>
        <w:tc>
          <w:tcPr>
            <w:tcW w:w="1166" w:type="dxa"/>
            <w:vMerge w:val="continue"/>
            <w:tcBorders>
              <w:top w:val="nil"/>
              <w:bottom w:val="nil"/>
            </w:tcBorders>
            <w:vAlign w:val="top"/>
          </w:tcPr>
          <w:p w14:paraId="7ECD9DDA">
            <w:pPr>
              <w:rPr>
                <w:rFonts w:ascii="Arial"/>
                <w:color w:val="auto"/>
                <w:sz w:val="21"/>
                <w:highlight w:val="none"/>
              </w:rPr>
            </w:pPr>
          </w:p>
        </w:tc>
        <w:tc>
          <w:tcPr>
            <w:tcW w:w="1799" w:type="dxa"/>
            <w:vAlign w:val="top"/>
          </w:tcPr>
          <w:p w14:paraId="43633CFA">
            <w:pPr>
              <w:rPr>
                <w:rFonts w:ascii="Arial"/>
                <w:color w:val="auto"/>
                <w:sz w:val="21"/>
                <w:highlight w:val="none"/>
              </w:rPr>
            </w:pPr>
          </w:p>
          <w:p w14:paraId="493C90A2">
            <w:pPr>
              <w:pStyle w:val="212"/>
              <w:spacing w:before="62" w:line="229" w:lineRule="auto"/>
              <w:ind w:left="13"/>
              <w:rPr>
                <w:color w:val="auto"/>
                <w:highlight w:val="none"/>
              </w:rPr>
            </w:pPr>
            <w:r>
              <w:rPr>
                <w:color w:val="auto"/>
                <w:highlight w:val="none"/>
              </w:rPr>
              <w:t>LED</w:t>
            </w:r>
            <w:r>
              <w:rPr>
                <w:color w:val="auto"/>
                <w:spacing w:val="-32"/>
                <w:highlight w:val="none"/>
              </w:rPr>
              <w:t xml:space="preserve"> </w:t>
            </w:r>
            <w:r>
              <w:rPr>
                <w:color w:val="auto"/>
                <w:spacing w:val="8"/>
                <w:highlight w:val="none"/>
              </w:rPr>
              <w:t>筒灯</w:t>
            </w:r>
          </w:p>
        </w:tc>
        <w:tc>
          <w:tcPr>
            <w:tcW w:w="1914" w:type="dxa"/>
            <w:vAlign w:val="top"/>
          </w:tcPr>
          <w:p w14:paraId="3B0070CD">
            <w:pPr>
              <w:rPr>
                <w:rFonts w:ascii="Arial"/>
                <w:color w:val="auto"/>
                <w:sz w:val="21"/>
                <w:highlight w:val="none"/>
              </w:rPr>
            </w:pPr>
          </w:p>
        </w:tc>
        <w:tc>
          <w:tcPr>
            <w:tcW w:w="2969" w:type="dxa"/>
            <w:vAlign w:val="top"/>
          </w:tcPr>
          <w:p w14:paraId="41F25484">
            <w:pPr>
              <w:pStyle w:val="212"/>
              <w:spacing w:before="148" w:line="304" w:lineRule="auto"/>
              <w:ind w:left="17" w:right="13" w:firstLine="5"/>
              <w:rPr>
                <w:color w:val="auto"/>
                <w:highlight w:val="none"/>
              </w:rPr>
            </w:pPr>
            <w:r>
              <w:rPr>
                <w:color w:val="auto"/>
                <w:spacing w:val="12"/>
                <w:highlight w:val="none"/>
              </w:rPr>
              <w:t xml:space="preserve">《室内照明用 </w:t>
            </w:r>
            <w:r>
              <w:rPr>
                <w:color w:val="auto"/>
                <w:highlight w:val="none"/>
              </w:rPr>
              <w:t>LED</w:t>
            </w:r>
            <w:r>
              <w:rPr>
                <w:color w:val="auto"/>
                <w:spacing w:val="12"/>
                <w:highlight w:val="none"/>
              </w:rPr>
              <w:t xml:space="preserve"> 产品能效限定</w:t>
            </w:r>
            <w:r>
              <w:rPr>
                <w:color w:val="auto"/>
                <w:spacing w:val="2"/>
                <w:highlight w:val="none"/>
              </w:rPr>
              <w:t xml:space="preserve"> </w:t>
            </w:r>
            <w:r>
              <w:rPr>
                <w:color w:val="auto"/>
                <w:spacing w:val="7"/>
                <w:highlight w:val="none"/>
              </w:rPr>
              <w:t>值及能效等级》（</w:t>
            </w:r>
            <w:r>
              <w:rPr>
                <w:color w:val="auto"/>
                <w:highlight w:val="none"/>
              </w:rPr>
              <w:t>GB</w:t>
            </w:r>
            <w:r>
              <w:rPr>
                <w:color w:val="auto"/>
                <w:spacing w:val="7"/>
                <w:highlight w:val="none"/>
              </w:rPr>
              <w:t xml:space="preserve"> 30255）</w:t>
            </w:r>
          </w:p>
        </w:tc>
      </w:tr>
      <w:tr w14:paraId="1DE4C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578" w:type="dxa"/>
            <w:vMerge w:val="continue"/>
            <w:tcBorders>
              <w:top w:val="nil"/>
            </w:tcBorders>
            <w:vAlign w:val="top"/>
          </w:tcPr>
          <w:p w14:paraId="724F1B39">
            <w:pPr>
              <w:rPr>
                <w:rFonts w:ascii="Arial"/>
                <w:color w:val="auto"/>
                <w:sz w:val="21"/>
                <w:highlight w:val="none"/>
              </w:rPr>
            </w:pPr>
          </w:p>
        </w:tc>
        <w:tc>
          <w:tcPr>
            <w:tcW w:w="1166" w:type="dxa"/>
            <w:vMerge w:val="continue"/>
            <w:tcBorders>
              <w:top w:val="nil"/>
            </w:tcBorders>
            <w:vAlign w:val="top"/>
          </w:tcPr>
          <w:p w14:paraId="1C182A65">
            <w:pPr>
              <w:rPr>
                <w:rFonts w:ascii="Arial"/>
                <w:color w:val="auto"/>
                <w:sz w:val="21"/>
                <w:highlight w:val="none"/>
              </w:rPr>
            </w:pPr>
          </w:p>
        </w:tc>
        <w:tc>
          <w:tcPr>
            <w:tcW w:w="1799" w:type="dxa"/>
            <w:vAlign w:val="top"/>
          </w:tcPr>
          <w:p w14:paraId="350DC787">
            <w:pPr>
              <w:pStyle w:val="212"/>
              <w:spacing w:before="265" w:line="304" w:lineRule="auto"/>
              <w:ind w:left="47" w:right="12" w:hanging="33"/>
              <w:rPr>
                <w:color w:val="auto"/>
                <w:highlight w:val="none"/>
              </w:rPr>
            </w:pPr>
            <w:r>
              <w:rPr>
                <w:color w:val="auto"/>
                <w:spacing w:val="30"/>
                <w:highlight w:val="none"/>
              </w:rPr>
              <w:t>普通照明用非定向</w:t>
            </w:r>
            <w:r>
              <w:rPr>
                <w:color w:val="auto"/>
                <w:spacing w:val="5"/>
                <w:highlight w:val="none"/>
              </w:rPr>
              <w:t xml:space="preserve"> </w:t>
            </w:r>
            <w:r>
              <w:rPr>
                <w:color w:val="auto"/>
                <w:spacing w:val="-1"/>
                <w:highlight w:val="none"/>
              </w:rPr>
              <w:t>自镇流</w:t>
            </w:r>
            <w:r>
              <w:rPr>
                <w:color w:val="auto"/>
                <w:spacing w:val="-33"/>
                <w:highlight w:val="none"/>
              </w:rPr>
              <w:t xml:space="preserve"> </w:t>
            </w:r>
            <w:r>
              <w:rPr>
                <w:color w:val="auto"/>
                <w:spacing w:val="-1"/>
                <w:highlight w:val="none"/>
              </w:rPr>
              <w:t>LED</w:t>
            </w:r>
            <w:r>
              <w:rPr>
                <w:color w:val="auto"/>
                <w:spacing w:val="-37"/>
                <w:highlight w:val="none"/>
              </w:rPr>
              <w:t xml:space="preserve"> </w:t>
            </w:r>
            <w:r>
              <w:rPr>
                <w:color w:val="auto"/>
                <w:spacing w:val="-1"/>
                <w:highlight w:val="none"/>
              </w:rPr>
              <w:t>灯</w:t>
            </w:r>
          </w:p>
        </w:tc>
        <w:tc>
          <w:tcPr>
            <w:tcW w:w="1914" w:type="dxa"/>
            <w:vAlign w:val="top"/>
          </w:tcPr>
          <w:p w14:paraId="660D9771">
            <w:pPr>
              <w:rPr>
                <w:rFonts w:ascii="Arial"/>
                <w:color w:val="auto"/>
                <w:sz w:val="21"/>
                <w:highlight w:val="none"/>
              </w:rPr>
            </w:pPr>
          </w:p>
        </w:tc>
        <w:tc>
          <w:tcPr>
            <w:tcW w:w="2969" w:type="dxa"/>
            <w:vAlign w:val="top"/>
          </w:tcPr>
          <w:p w14:paraId="218E746A">
            <w:pPr>
              <w:pStyle w:val="212"/>
              <w:spacing w:before="265" w:line="304" w:lineRule="auto"/>
              <w:ind w:left="17" w:right="13" w:firstLine="5"/>
              <w:rPr>
                <w:color w:val="auto"/>
                <w:highlight w:val="none"/>
              </w:rPr>
            </w:pPr>
            <w:r>
              <w:rPr>
                <w:color w:val="auto"/>
                <w:spacing w:val="12"/>
                <w:highlight w:val="none"/>
              </w:rPr>
              <w:t xml:space="preserve">《室内照明用 </w:t>
            </w:r>
            <w:r>
              <w:rPr>
                <w:color w:val="auto"/>
                <w:highlight w:val="none"/>
              </w:rPr>
              <w:t>LED</w:t>
            </w:r>
            <w:r>
              <w:rPr>
                <w:color w:val="auto"/>
                <w:spacing w:val="12"/>
                <w:highlight w:val="none"/>
              </w:rPr>
              <w:t xml:space="preserve"> 产品能效限定</w:t>
            </w:r>
            <w:r>
              <w:rPr>
                <w:color w:val="auto"/>
                <w:spacing w:val="2"/>
                <w:highlight w:val="none"/>
              </w:rPr>
              <w:t xml:space="preserve"> </w:t>
            </w:r>
            <w:r>
              <w:rPr>
                <w:color w:val="auto"/>
                <w:spacing w:val="7"/>
                <w:highlight w:val="none"/>
              </w:rPr>
              <w:t>值及能效等级》（</w:t>
            </w:r>
            <w:r>
              <w:rPr>
                <w:color w:val="auto"/>
                <w:highlight w:val="none"/>
              </w:rPr>
              <w:t>GB</w:t>
            </w:r>
            <w:r>
              <w:rPr>
                <w:color w:val="auto"/>
                <w:spacing w:val="7"/>
                <w:highlight w:val="none"/>
              </w:rPr>
              <w:t xml:space="preserve"> 30255）</w:t>
            </w:r>
          </w:p>
        </w:tc>
      </w:tr>
      <w:tr w14:paraId="4C749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vAlign w:val="top"/>
          </w:tcPr>
          <w:p w14:paraId="1A5D257B">
            <w:pPr>
              <w:pStyle w:val="212"/>
              <w:spacing w:before="301" w:line="258" w:lineRule="exact"/>
              <w:ind w:left="209"/>
              <w:rPr>
                <w:color w:val="auto"/>
                <w:highlight w:val="none"/>
              </w:rPr>
            </w:pPr>
            <w:r>
              <w:rPr>
                <w:color w:val="auto"/>
                <w:spacing w:val="-7"/>
                <w:position w:val="1"/>
                <w:highlight w:val="none"/>
              </w:rPr>
              <w:t>12</w:t>
            </w:r>
          </w:p>
        </w:tc>
        <w:tc>
          <w:tcPr>
            <w:tcW w:w="1166" w:type="dxa"/>
            <w:vAlign w:val="top"/>
          </w:tcPr>
          <w:p w14:paraId="23DC9EF0">
            <w:pPr>
              <w:pStyle w:val="212"/>
              <w:spacing w:before="145" w:line="305" w:lineRule="auto"/>
              <w:ind w:left="14" w:right="8" w:firstLine="3"/>
              <w:rPr>
                <w:color w:val="auto"/>
                <w:highlight w:val="none"/>
              </w:rPr>
            </w:pPr>
            <w:r>
              <w:rPr>
                <w:color w:val="auto"/>
                <w:spacing w:val="1"/>
                <w:highlight w:val="none"/>
              </w:rPr>
              <w:t>★A020910</w:t>
            </w:r>
            <w:r>
              <w:rPr>
                <w:color w:val="auto"/>
                <w:spacing w:val="-17"/>
                <w:highlight w:val="none"/>
              </w:rPr>
              <w:t xml:space="preserve"> </w:t>
            </w:r>
            <w:r>
              <w:rPr>
                <w:color w:val="auto"/>
                <w:spacing w:val="1"/>
                <w:highlight w:val="none"/>
              </w:rPr>
              <w:t>电</w:t>
            </w:r>
            <w:r>
              <w:rPr>
                <w:color w:val="auto"/>
                <w:highlight w:val="none"/>
              </w:rPr>
              <w:t xml:space="preserve"> </w:t>
            </w:r>
            <w:r>
              <w:rPr>
                <w:color w:val="auto"/>
                <w:spacing w:val="6"/>
                <w:highlight w:val="none"/>
              </w:rPr>
              <w:t>视设备</w:t>
            </w:r>
          </w:p>
        </w:tc>
        <w:tc>
          <w:tcPr>
            <w:tcW w:w="1799" w:type="dxa"/>
            <w:vAlign w:val="top"/>
          </w:tcPr>
          <w:p w14:paraId="602A962D">
            <w:pPr>
              <w:pStyle w:val="212"/>
              <w:spacing w:before="145" w:line="304" w:lineRule="auto"/>
              <w:ind w:left="18" w:right="10" w:hanging="9"/>
              <w:rPr>
                <w:color w:val="auto"/>
                <w:highlight w:val="none"/>
              </w:rPr>
            </w:pPr>
            <w:r>
              <w:rPr>
                <w:color w:val="auto"/>
                <w:spacing w:val="4"/>
                <w:highlight w:val="none"/>
              </w:rPr>
              <w:t>A02091001 普通电视</w:t>
            </w:r>
            <w:r>
              <w:rPr>
                <w:color w:val="auto"/>
                <w:spacing w:val="7"/>
                <w:highlight w:val="none"/>
              </w:rPr>
              <w:t xml:space="preserve"> </w:t>
            </w:r>
            <w:r>
              <w:rPr>
                <w:color w:val="auto"/>
                <w:spacing w:val="6"/>
                <w:highlight w:val="none"/>
              </w:rPr>
              <w:t>设备（电视机）</w:t>
            </w:r>
          </w:p>
        </w:tc>
        <w:tc>
          <w:tcPr>
            <w:tcW w:w="1914" w:type="dxa"/>
            <w:vAlign w:val="top"/>
          </w:tcPr>
          <w:p w14:paraId="687D4C5B">
            <w:pPr>
              <w:rPr>
                <w:rFonts w:ascii="Arial"/>
                <w:color w:val="auto"/>
                <w:sz w:val="21"/>
                <w:highlight w:val="none"/>
              </w:rPr>
            </w:pPr>
          </w:p>
        </w:tc>
        <w:tc>
          <w:tcPr>
            <w:tcW w:w="2969" w:type="dxa"/>
            <w:vAlign w:val="top"/>
          </w:tcPr>
          <w:p w14:paraId="6D852FF4">
            <w:pPr>
              <w:pStyle w:val="212"/>
              <w:spacing w:before="146" w:line="305" w:lineRule="auto"/>
              <w:ind w:left="21" w:right="11" w:firstLine="2"/>
              <w:rPr>
                <w:color w:val="auto"/>
                <w:highlight w:val="none"/>
              </w:rPr>
            </w:pPr>
            <w:r>
              <w:rPr>
                <w:color w:val="auto"/>
                <w:spacing w:val="19"/>
                <w:highlight w:val="none"/>
              </w:rPr>
              <w:t>《平板电视能效限定值及能效等</w:t>
            </w:r>
            <w:r>
              <w:rPr>
                <w:color w:val="auto"/>
                <w:spacing w:val="2"/>
                <w:highlight w:val="none"/>
              </w:rPr>
              <w:t xml:space="preserve"> </w:t>
            </w:r>
            <w:r>
              <w:rPr>
                <w:color w:val="auto"/>
                <w:spacing w:val="4"/>
                <w:highlight w:val="none"/>
              </w:rPr>
              <w:t>级》（</w:t>
            </w:r>
            <w:r>
              <w:rPr>
                <w:color w:val="auto"/>
                <w:highlight w:val="none"/>
              </w:rPr>
              <w:t>GB</w:t>
            </w:r>
            <w:r>
              <w:rPr>
                <w:color w:val="auto"/>
                <w:spacing w:val="23"/>
                <w:highlight w:val="none"/>
              </w:rPr>
              <w:t xml:space="preserve"> </w:t>
            </w:r>
            <w:r>
              <w:rPr>
                <w:color w:val="auto"/>
                <w:spacing w:val="4"/>
                <w:highlight w:val="none"/>
              </w:rPr>
              <w:t>24850）</w:t>
            </w:r>
          </w:p>
        </w:tc>
      </w:tr>
      <w:tr w14:paraId="17B47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trPr>
        <w:tc>
          <w:tcPr>
            <w:tcW w:w="578" w:type="dxa"/>
            <w:vAlign w:val="top"/>
          </w:tcPr>
          <w:p w14:paraId="0B7C1DC1">
            <w:pPr>
              <w:spacing w:line="268" w:lineRule="auto"/>
              <w:rPr>
                <w:rFonts w:ascii="Arial"/>
                <w:color w:val="auto"/>
                <w:sz w:val="21"/>
                <w:highlight w:val="none"/>
              </w:rPr>
            </w:pPr>
          </w:p>
          <w:p w14:paraId="4937BACC">
            <w:pPr>
              <w:spacing w:line="269" w:lineRule="auto"/>
              <w:rPr>
                <w:rFonts w:ascii="Arial"/>
                <w:color w:val="auto"/>
                <w:sz w:val="21"/>
                <w:highlight w:val="none"/>
              </w:rPr>
            </w:pPr>
          </w:p>
          <w:p w14:paraId="35A6CC62">
            <w:pPr>
              <w:spacing w:line="269" w:lineRule="auto"/>
              <w:rPr>
                <w:rFonts w:ascii="Arial"/>
                <w:color w:val="auto"/>
                <w:sz w:val="21"/>
                <w:highlight w:val="none"/>
              </w:rPr>
            </w:pPr>
          </w:p>
          <w:p w14:paraId="48B9F6FC">
            <w:pPr>
              <w:pStyle w:val="212"/>
              <w:spacing w:before="62" w:line="256" w:lineRule="exact"/>
              <w:ind w:left="209"/>
              <w:rPr>
                <w:color w:val="auto"/>
                <w:highlight w:val="none"/>
              </w:rPr>
            </w:pPr>
            <w:r>
              <w:rPr>
                <w:color w:val="auto"/>
                <w:spacing w:val="-7"/>
                <w:position w:val="1"/>
                <w:highlight w:val="none"/>
              </w:rPr>
              <w:t>13</w:t>
            </w:r>
          </w:p>
        </w:tc>
        <w:tc>
          <w:tcPr>
            <w:tcW w:w="1166" w:type="dxa"/>
            <w:vAlign w:val="top"/>
          </w:tcPr>
          <w:p w14:paraId="6A2C27E7">
            <w:pPr>
              <w:spacing w:line="325" w:lineRule="auto"/>
              <w:rPr>
                <w:rFonts w:ascii="Arial"/>
                <w:color w:val="auto"/>
                <w:sz w:val="21"/>
                <w:highlight w:val="none"/>
              </w:rPr>
            </w:pPr>
          </w:p>
          <w:p w14:paraId="1B1074DF">
            <w:pPr>
              <w:spacing w:line="326" w:lineRule="auto"/>
              <w:rPr>
                <w:rFonts w:ascii="Arial"/>
                <w:color w:val="auto"/>
                <w:sz w:val="21"/>
                <w:highlight w:val="none"/>
              </w:rPr>
            </w:pPr>
          </w:p>
          <w:p w14:paraId="162AA68E">
            <w:pPr>
              <w:pStyle w:val="212"/>
              <w:spacing w:before="62" w:line="305" w:lineRule="auto"/>
              <w:ind w:left="16" w:right="8" w:firstLine="2"/>
              <w:rPr>
                <w:color w:val="auto"/>
                <w:highlight w:val="none"/>
              </w:rPr>
            </w:pPr>
            <w:r>
              <w:rPr>
                <w:color w:val="auto"/>
                <w:spacing w:val="4"/>
                <w:highlight w:val="none"/>
              </w:rPr>
              <w:t>★A020911</w:t>
            </w:r>
            <w:r>
              <w:rPr>
                <w:color w:val="auto"/>
                <w:spacing w:val="-44"/>
                <w:highlight w:val="none"/>
              </w:rPr>
              <w:t xml:space="preserve"> </w:t>
            </w:r>
            <w:r>
              <w:rPr>
                <w:color w:val="auto"/>
                <w:spacing w:val="4"/>
                <w:highlight w:val="none"/>
              </w:rPr>
              <w:t>视</w:t>
            </w:r>
            <w:r>
              <w:rPr>
                <w:color w:val="auto"/>
                <w:highlight w:val="none"/>
              </w:rPr>
              <w:t xml:space="preserve"> </w:t>
            </w:r>
            <w:r>
              <w:rPr>
                <w:color w:val="auto"/>
                <w:spacing w:val="6"/>
                <w:highlight w:val="none"/>
              </w:rPr>
              <w:t>频设备</w:t>
            </w:r>
          </w:p>
        </w:tc>
        <w:tc>
          <w:tcPr>
            <w:tcW w:w="1799" w:type="dxa"/>
            <w:vAlign w:val="top"/>
          </w:tcPr>
          <w:p w14:paraId="40E984F6">
            <w:pPr>
              <w:spacing w:line="325" w:lineRule="auto"/>
              <w:rPr>
                <w:rFonts w:ascii="Arial"/>
                <w:color w:val="auto"/>
                <w:sz w:val="21"/>
                <w:highlight w:val="none"/>
              </w:rPr>
            </w:pPr>
          </w:p>
          <w:p w14:paraId="0E87A601">
            <w:pPr>
              <w:spacing w:line="326" w:lineRule="auto"/>
              <w:rPr>
                <w:rFonts w:ascii="Arial"/>
                <w:color w:val="auto"/>
                <w:sz w:val="21"/>
                <w:highlight w:val="none"/>
              </w:rPr>
            </w:pPr>
          </w:p>
          <w:p w14:paraId="5E79B368">
            <w:pPr>
              <w:pStyle w:val="212"/>
              <w:spacing w:before="62" w:line="305" w:lineRule="auto"/>
              <w:ind w:left="18" w:right="10" w:hanging="9"/>
              <w:rPr>
                <w:color w:val="auto"/>
                <w:highlight w:val="none"/>
              </w:rPr>
            </w:pPr>
            <w:r>
              <w:rPr>
                <w:color w:val="auto"/>
                <w:spacing w:val="4"/>
                <w:highlight w:val="none"/>
              </w:rPr>
              <w:t>A02091107 视频监控</w:t>
            </w:r>
            <w:r>
              <w:rPr>
                <w:color w:val="auto"/>
                <w:spacing w:val="7"/>
                <w:highlight w:val="none"/>
              </w:rPr>
              <w:t xml:space="preserve"> </w:t>
            </w:r>
            <w:r>
              <w:rPr>
                <w:color w:val="auto"/>
                <w:spacing w:val="3"/>
                <w:highlight w:val="none"/>
              </w:rPr>
              <w:t>设备</w:t>
            </w:r>
          </w:p>
        </w:tc>
        <w:tc>
          <w:tcPr>
            <w:tcW w:w="1914" w:type="dxa"/>
            <w:vAlign w:val="top"/>
          </w:tcPr>
          <w:p w14:paraId="7E981341">
            <w:pPr>
              <w:spacing w:line="268" w:lineRule="auto"/>
              <w:rPr>
                <w:rFonts w:ascii="Arial"/>
                <w:color w:val="auto"/>
                <w:sz w:val="21"/>
                <w:highlight w:val="none"/>
              </w:rPr>
            </w:pPr>
          </w:p>
          <w:p w14:paraId="6FB42634">
            <w:pPr>
              <w:spacing w:line="269" w:lineRule="auto"/>
              <w:rPr>
                <w:rFonts w:ascii="Arial"/>
                <w:color w:val="auto"/>
                <w:sz w:val="21"/>
                <w:highlight w:val="none"/>
              </w:rPr>
            </w:pPr>
          </w:p>
          <w:p w14:paraId="6B6291C4">
            <w:pPr>
              <w:spacing w:line="269" w:lineRule="auto"/>
              <w:rPr>
                <w:rFonts w:ascii="Arial"/>
                <w:color w:val="auto"/>
                <w:sz w:val="21"/>
                <w:highlight w:val="none"/>
              </w:rPr>
            </w:pPr>
          </w:p>
          <w:p w14:paraId="144E9D4D">
            <w:pPr>
              <w:pStyle w:val="212"/>
              <w:spacing w:before="62" w:line="230" w:lineRule="auto"/>
              <w:ind w:left="17"/>
              <w:rPr>
                <w:color w:val="auto"/>
                <w:highlight w:val="none"/>
              </w:rPr>
            </w:pPr>
            <w:r>
              <w:rPr>
                <w:color w:val="auto"/>
                <w:spacing w:val="6"/>
                <w:highlight w:val="none"/>
              </w:rPr>
              <w:t>监视器</w:t>
            </w:r>
          </w:p>
        </w:tc>
        <w:tc>
          <w:tcPr>
            <w:tcW w:w="2969" w:type="dxa"/>
            <w:vAlign w:val="top"/>
          </w:tcPr>
          <w:p w14:paraId="29162634">
            <w:pPr>
              <w:pStyle w:val="212"/>
              <w:spacing w:before="93" w:line="303" w:lineRule="auto"/>
              <w:ind w:left="17" w:right="11" w:firstLine="23"/>
              <w:rPr>
                <w:color w:val="auto"/>
                <w:highlight w:val="none"/>
              </w:rPr>
            </w:pPr>
            <w:r>
              <w:rPr>
                <w:color w:val="auto"/>
                <w:spacing w:val="18"/>
                <w:highlight w:val="none"/>
              </w:rPr>
              <w:t>以射频信号为主要信号输入的监</w:t>
            </w:r>
            <w:r>
              <w:rPr>
                <w:color w:val="auto"/>
                <w:highlight w:val="none"/>
              </w:rPr>
              <w:t xml:space="preserve"> </w:t>
            </w:r>
            <w:r>
              <w:rPr>
                <w:color w:val="auto"/>
                <w:spacing w:val="5"/>
                <w:highlight w:val="none"/>
              </w:rPr>
              <w:t>视器应符合《平板电视能效限定值</w:t>
            </w:r>
            <w:r>
              <w:rPr>
                <w:color w:val="auto"/>
                <w:spacing w:val="7"/>
                <w:highlight w:val="none"/>
              </w:rPr>
              <w:t xml:space="preserve"> </w:t>
            </w:r>
            <w:r>
              <w:rPr>
                <w:color w:val="auto"/>
                <w:spacing w:val="8"/>
                <w:highlight w:val="none"/>
              </w:rPr>
              <w:t>及能效等级》（</w:t>
            </w:r>
            <w:r>
              <w:rPr>
                <w:color w:val="auto"/>
                <w:highlight w:val="none"/>
              </w:rPr>
              <w:t>GB</w:t>
            </w:r>
            <w:r>
              <w:rPr>
                <w:color w:val="auto"/>
                <w:spacing w:val="8"/>
                <w:highlight w:val="none"/>
              </w:rPr>
              <w:t xml:space="preserve"> 24850</w:t>
            </w:r>
            <w:r>
              <w:rPr>
                <w:color w:val="auto"/>
                <w:highlight w:val="none"/>
              </w:rPr>
              <w:t>），</w:t>
            </w:r>
          </w:p>
          <w:p w14:paraId="78C3DB6A">
            <w:pPr>
              <w:pStyle w:val="212"/>
              <w:spacing w:before="1" w:line="290" w:lineRule="auto"/>
              <w:ind w:left="17" w:right="11" w:firstLine="23"/>
              <w:rPr>
                <w:color w:val="auto"/>
                <w:highlight w:val="none"/>
              </w:rPr>
            </w:pPr>
            <w:r>
              <w:rPr>
                <w:color w:val="auto"/>
                <w:spacing w:val="18"/>
                <w:highlight w:val="none"/>
              </w:rPr>
              <w:t>以数字信号为主要信号输入的监</w:t>
            </w:r>
            <w:r>
              <w:rPr>
                <w:color w:val="auto"/>
                <w:highlight w:val="none"/>
              </w:rPr>
              <w:t xml:space="preserve"> </w:t>
            </w:r>
            <w:r>
              <w:rPr>
                <w:color w:val="auto"/>
                <w:spacing w:val="5"/>
                <w:highlight w:val="none"/>
              </w:rPr>
              <w:t>视器应符合《计算机显示器能效限</w:t>
            </w:r>
            <w:r>
              <w:rPr>
                <w:color w:val="auto"/>
                <w:spacing w:val="7"/>
                <w:highlight w:val="none"/>
              </w:rPr>
              <w:t xml:space="preserve"> 定值及能效等级》（</w:t>
            </w:r>
            <w:r>
              <w:rPr>
                <w:color w:val="auto"/>
                <w:highlight w:val="none"/>
              </w:rPr>
              <w:t>GB</w:t>
            </w:r>
            <w:r>
              <w:rPr>
                <w:color w:val="auto"/>
                <w:spacing w:val="7"/>
                <w:highlight w:val="none"/>
              </w:rPr>
              <w:t xml:space="preserve"> 21520）</w:t>
            </w:r>
          </w:p>
        </w:tc>
      </w:tr>
      <w:tr w14:paraId="43CAF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vAlign w:val="top"/>
          </w:tcPr>
          <w:p w14:paraId="1A735296">
            <w:pPr>
              <w:pStyle w:val="212"/>
              <w:spacing w:before="298" w:line="258" w:lineRule="exact"/>
              <w:ind w:left="209"/>
              <w:rPr>
                <w:color w:val="auto"/>
                <w:highlight w:val="none"/>
              </w:rPr>
            </w:pPr>
            <w:r>
              <w:rPr>
                <w:color w:val="auto"/>
                <w:spacing w:val="-7"/>
                <w:position w:val="1"/>
                <w:highlight w:val="none"/>
              </w:rPr>
              <w:t>14</w:t>
            </w:r>
          </w:p>
        </w:tc>
        <w:tc>
          <w:tcPr>
            <w:tcW w:w="1166" w:type="dxa"/>
            <w:vAlign w:val="top"/>
          </w:tcPr>
          <w:p w14:paraId="0BA5D3DF">
            <w:pPr>
              <w:pStyle w:val="212"/>
              <w:spacing w:before="142" w:line="304" w:lineRule="auto"/>
              <w:ind w:left="15" w:right="8" w:hanging="6"/>
              <w:rPr>
                <w:color w:val="auto"/>
                <w:highlight w:val="none"/>
              </w:rPr>
            </w:pPr>
            <w:r>
              <w:rPr>
                <w:color w:val="auto"/>
                <w:spacing w:val="5"/>
                <w:highlight w:val="none"/>
              </w:rPr>
              <w:t>A031210</w:t>
            </w:r>
            <w:r>
              <w:rPr>
                <w:color w:val="auto"/>
                <w:spacing w:val="-43"/>
                <w:highlight w:val="none"/>
              </w:rPr>
              <w:t xml:space="preserve"> </w:t>
            </w:r>
            <w:r>
              <w:rPr>
                <w:color w:val="auto"/>
                <w:spacing w:val="5"/>
                <w:highlight w:val="none"/>
              </w:rPr>
              <w:t>饮食</w:t>
            </w:r>
            <w:r>
              <w:rPr>
                <w:color w:val="auto"/>
                <w:highlight w:val="none"/>
              </w:rPr>
              <w:t xml:space="preserve"> </w:t>
            </w:r>
            <w:r>
              <w:rPr>
                <w:color w:val="auto"/>
                <w:spacing w:val="7"/>
                <w:highlight w:val="none"/>
              </w:rPr>
              <w:t>炊事机械</w:t>
            </w:r>
          </w:p>
        </w:tc>
        <w:tc>
          <w:tcPr>
            <w:tcW w:w="1799" w:type="dxa"/>
            <w:vAlign w:val="top"/>
          </w:tcPr>
          <w:p w14:paraId="78B39F26">
            <w:pPr>
              <w:pStyle w:val="212"/>
              <w:spacing w:before="297" w:line="230" w:lineRule="auto"/>
              <w:ind w:left="19"/>
              <w:rPr>
                <w:color w:val="auto"/>
                <w:highlight w:val="none"/>
              </w:rPr>
            </w:pPr>
            <w:r>
              <w:rPr>
                <w:color w:val="auto"/>
                <w:spacing w:val="7"/>
                <w:highlight w:val="none"/>
              </w:rPr>
              <w:t>商用燃气灶具</w:t>
            </w:r>
          </w:p>
        </w:tc>
        <w:tc>
          <w:tcPr>
            <w:tcW w:w="1914" w:type="dxa"/>
            <w:vAlign w:val="top"/>
          </w:tcPr>
          <w:p w14:paraId="39261D56">
            <w:pPr>
              <w:rPr>
                <w:rFonts w:ascii="Arial"/>
                <w:color w:val="auto"/>
                <w:sz w:val="21"/>
                <w:highlight w:val="none"/>
              </w:rPr>
            </w:pPr>
          </w:p>
        </w:tc>
        <w:tc>
          <w:tcPr>
            <w:tcW w:w="2969" w:type="dxa"/>
            <w:vAlign w:val="top"/>
          </w:tcPr>
          <w:p w14:paraId="0A69EBF9">
            <w:pPr>
              <w:pStyle w:val="212"/>
              <w:spacing w:before="142" w:line="304" w:lineRule="auto"/>
              <w:ind w:left="22" w:right="11"/>
              <w:rPr>
                <w:color w:val="auto"/>
                <w:highlight w:val="none"/>
              </w:rPr>
            </w:pPr>
            <w:r>
              <w:rPr>
                <w:color w:val="auto"/>
                <w:spacing w:val="19"/>
                <w:highlight w:val="none"/>
              </w:rPr>
              <w:t>《商用燃气灶具能效限定值及能</w:t>
            </w:r>
            <w:r>
              <w:rPr>
                <w:color w:val="auto"/>
                <w:spacing w:val="2"/>
                <w:highlight w:val="none"/>
              </w:rPr>
              <w:t xml:space="preserve"> </w:t>
            </w:r>
            <w:r>
              <w:rPr>
                <w:color w:val="auto"/>
                <w:spacing w:val="6"/>
                <w:highlight w:val="none"/>
              </w:rPr>
              <w:t>效等级》（</w:t>
            </w:r>
            <w:r>
              <w:rPr>
                <w:color w:val="auto"/>
                <w:highlight w:val="none"/>
              </w:rPr>
              <w:t>GB</w:t>
            </w:r>
            <w:r>
              <w:rPr>
                <w:color w:val="auto"/>
                <w:spacing w:val="6"/>
                <w:highlight w:val="none"/>
              </w:rPr>
              <w:t xml:space="preserve"> 30531）</w:t>
            </w:r>
          </w:p>
        </w:tc>
      </w:tr>
      <w:tr w14:paraId="1F4A8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restart"/>
            <w:tcBorders>
              <w:bottom w:val="nil"/>
            </w:tcBorders>
            <w:vAlign w:val="top"/>
          </w:tcPr>
          <w:p w14:paraId="379A88BA">
            <w:pPr>
              <w:spacing w:line="290" w:lineRule="auto"/>
              <w:rPr>
                <w:rFonts w:ascii="Arial"/>
                <w:color w:val="auto"/>
                <w:sz w:val="21"/>
                <w:highlight w:val="none"/>
              </w:rPr>
            </w:pPr>
          </w:p>
          <w:p w14:paraId="415710B0">
            <w:pPr>
              <w:spacing w:line="290" w:lineRule="auto"/>
              <w:rPr>
                <w:rFonts w:ascii="Arial"/>
                <w:color w:val="auto"/>
                <w:sz w:val="21"/>
                <w:highlight w:val="none"/>
              </w:rPr>
            </w:pPr>
          </w:p>
          <w:p w14:paraId="1DF74F26">
            <w:pPr>
              <w:spacing w:line="291" w:lineRule="auto"/>
              <w:rPr>
                <w:rFonts w:ascii="Arial"/>
                <w:color w:val="auto"/>
                <w:sz w:val="21"/>
                <w:highlight w:val="none"/>
              </w:rPr>
            </w:pPr>
          </w:p>
          <w:p w14:paraId="73A08F93">
            <w:pPr>
              <w:spacing w:line="291" w:lineRule="auto"/>
              <w:rPr>
                <w:rFonts w:ascii="Arial"/>
                <w:color w:val="auto"/>
                <w:sz w:val="21"/>
                <w:highlight w:val="none"/>
              </w:rPr>
            </w:pPr>
          </w:p>
          <w:p w14:paraId="6679BED7">
            <w:pPr>
              <w:pStyle w:val="212"/>
              <w:spacing w:before="62" w:line="257" w:lineRule="exact"/>
              <w:ind w:left="209"/>
              <w:rPr>
                <w:color w:val="auto"/>
                <w:highlight w:val="none"/>
              </w:rPr>
            </w:pPr>
            <w:r>
              <w:rPr>
                <w:color w:val="auto"/>
                <w:spacing w:val="-7"/>
                <w:position w:val="1"/>
                <w:highlight w:val="none"/>
              </w:rPr>
              <w:t>15</w:t>
            </w:r>
          </w:p>
        </w:tc>
        <w:tc>
          <w:tcPr>
            <w:tcW w:w="1166" w:type="dxa"/>
            <w:vMerge w:val="restart"/>
            <w:tcBorders>
              <w:bottom w:val="nil"/>
            </w:tcBorders>
            <w:vAlign w:val="top"/>
          </w:tcPr>
          <w:p w14:paraId="3C83F983">
            <w:pPr>
              <w:spacing w:line="251" w:lineRule="auto"/>
              <w:rPr>
                <w:rFonts w:ascii="Arial"/>
                <w:color w:val="auto"/>
                <w:sz w:val="21"/>
                <w:highlight w:val="none"/>
              </w:rPr>
            </w:pPr>
          </w:p>
          <w:p w14:paraId="33D15EF4">
            <w:pPr>
              <w:spacing w:line="251" w:lineRule="auto"/>
              <w:rPr>
                <w:rFonts w:ascii="Arial"/>
                <w:color w:val="auto"/>
                <w:sz w:val="21"/>
                <w:highlight w:val="none"/>
              </w:rPr>
            </w:pPr>
          </w:p>
          <w:p w14:paraId="556E7C59">
            <w:pPr>
              <w:spacing w:line="252" w:lineRule="auto"/>
              <w:rPr>
                <w:rFonts w:ascii="Arial"/>
                <w:color w:val="auto"/>
                <w:sz w:val="21"/>
                <w:highlight w:val="none"/>
              </w:rPr>
            </w:pPr>
          </w:p>
          <w:p w14:paraId="2C86B078">
            <w:pPr>
              <w:pStyle w:val="212"/>
              <w:spacing w:before="62" w:line="307" w:lineRule="auto"/>
              <w:ind w:left="15" w:right="8" w:firstLine="3"/>
              <w:rPr>
                <w:color w:val="auto"/>
                <w:highlight w:val="none"/>
              </w:rPr>
            </w:pPr>
            <w:r>
              <w:rPr>
                <w:color w:val="auto"/>
                <w:spacing w:val="3"/>
                <w:highlight w:val="none"/>
              </w:rPr>
              <w:t>★A060805</w:t>
            </w:r>
            <w:r>
              <w:rPr>
                <w:color w:val="auto"/>
                <w:spacing w:val="-35"/>
                <w:highlight w:val="none"/>
              </w:rPr>
              <w:t xml:space="preserve"> </w:t>
            </w:r>
            <w:r>
              <w:rPr>
                <w:color w:val="auto"/>
                <w:spacing w:val="3"/>
                <w:highlight w:val="none"/>
              </w:rPr>
              <w:t>便</w:t>
            </w:r>
            <w:r>
              <w:rPr>
                <w:color w:val="auto"/>
                <w:highlight w:val="none"/>
              </w:rPr>
              <w:t xml:space="preserve"> </w:t>
            </w:r>
            <w:r>
              <w:rPr>
                <w:color w:val="auto"/>
                <w:spacing w:val="1"/>
                <w:highlight w:val="none"/>
              </w:rPr>
              <w:t>器</w:t>
            </w:r>
          </w:p>
        </w:tc>
        <w:tc>
          <w:tcPr>
            <w:tcW w:w="1799" w:type="dxa"/>
            <w:vAlign w:val="top"/>
          </w:tcPr>
          <w:p w14:paraId="69264CCD">
            <w:pPr>
              <w:spacing w:line="282" w:lineRule="auto"/>
              <w:rPr>
                <w:rFonts w:ascii="Arial"/>
                <w:color w:val="auto"/>
                <w:sz w:val="21"/>
                <w:highlight w:val="none"/>
              </w:rPr>
            </w:pPr>
          </w:p>
          <w:p w14:paraId="75C4A866">
            <w:pPr>
              <w:pStyle w:val="212"/>
              <w:spacing w:before="62" w:line="229" w:lineRule="auto"/>
              <w:ind w:left="16"/>
              <w:rPr>
                <w:color w:val="auto"/>
                <w:highlight w:val="none"/>
              </w:rPr>
            </w:pPr>
            <w:r>
              <w:rPr>
                <w:color w:val="auto"/>
                <w:spacing w:val="6"/>
                <w:highlight w:val="none"/>
              </w:rPr>
              <w:t>坐便器</w:t>
            </w:r>
          </w:p>
        </w:tc>
        <w:tc>
          <w:tcPr>
            <w:tcW w:w="1914" w:type="dxa"/>
            <w:vAlign w:val="top"/>
          </w:tcPr>
          <w:p w14:paraId="06D6FE26">
            <w:pPr>
              <w:rPr>
                <w:rFonts w:ascii="Arial"/>
                <w:color w:val="auto"/>
                <w:sz w:val="21"/>
                <w:highlight w:val="none"/>
              </w:rPr>
            </w:pPr>
          </w:p>
        </w:tc>
        <w:tc>
          <w:tcPr>
            <w:tcW w:w="2969" w:type="dxa"/>
            <w:vAlign w:val="top"/>
          </w:tcPr>
          <w:p w14:paraId="550503C2">
            <w:pPr>
              <w:pStyle w:val="212"/>
              <w:spacing w:before="189" w:line="311" w:lineRule="auto"/>
              <w:ind w:left="27" w:hanging="4"/>
              <w:rPr>
                <w:color w:val="auto"/>
                <w:highlight w:val="none"/>
              </w:rPr>
            </w:pPr>
            <w:r>
              <w:rPr>
                <w:color w:val="auto"/>
                <w:spacing w:val="6"/>
                <w:highlight w:val="none"/>
              </w:rPr>
              <w:t>《坐便器水效限定值及水效等级》</w:t>
            </w:r>
            <w:r>
              <w:rPr>
                <w:color w:val="auto"/>
                <w:highlight w:val="none"/>
              </w:rPr>
              <w:t xml:space="preserve"> </w:t>
            </w:r>
            <w:r>
              <w:rPr>
                <w:color w:val="auto"/>
                <w:spacing w:val="1"/>
                <w:highlight w:val="none"/>
              </w:rPr>
              <w:t>（</w:t>
            </w:r>
            <w:r>
              <w:rPr>
                <w:color w:val="auto"/>
                <w:highlight w:val="none"/>
              </w:rPr>
              <w:t>GB</w:t>
            </w:r>
            <w:r>
              <w:rPr>
                <w:color w:val="auto"/>
                <w:spacing w:val="15"/>
                <w:highlight w:val="none"/>
              </w:rPr>
              <w:t xml:space="preserve"> </w:t>
            </w:r>
            <w:r>
              <w:rPr>
                <w:color w:val="auto"/>
                <w:spacing w:val="1"/>
                <w:highlight w:val="none"/>
              </w:rPr>
              <w:t>25502）</w:t>
            </w:r>
          </w:p>
        </w:tc>
      </w:tr>
      <w:tr w14:paraId="6FC46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continue"/>
            <w:tcBorders>
              <w:top w:val="nil"/>
              <w:bottom w:val="nil"/>
            </w:tcBorders>
            <w:vAlign w:val="top"/>
          </w:tcPr>
          <w:p w14:paraId="0774E339">
            <w:pPr>
              <w:rPr>
                <w:rFonts w:ascii="Arial"/>
                <w:color w:val="auto"/>
                <w:sz w:val="21"/>
                <w:highlight w:val="none"/>
              </w:rPr>
            </w:pPr>
          </w:p>
        </w:tc>
        <w:tc>
          <w:tcPr>
            <w:tcW w:w="1166" w:type="dxa"/>
            <w:vMerge w:val="continue"/>
            <w:tcBorders>
              <w:top w:val="nil"/>
              <w:bottom w:val="nil"/>
            </w:tcBorders>
            <w:vAlign w:val="top"/>
          </w:tcPr>
          <w:p w14:paraId="47573F4F">
            <w:pPr>
              <w:rPr>
                <w:rFonts w:ascii="Arial"/>
                <w:color w:val="auto"/>
                <w:sz w:val="21"/>
                <w:highlight w:val="none"/>
              </w:rPr>
            </w:pPr>
          </w:p>
        </w:tc>
        <w:tc>
          <w:tcPr>
            <w:tcW w:w="1799" w:type="dxa"/>
            <w:vAlign w:val="top"/>
          </w:tcPr>
          <w:p w14:paraId="27ADEF01">
            <w:pPr>
              <w:spacing w:line="283" w:lineRule="auto"/>
              <w:rPr>
                <w:rFonts w:ascii="Arial"/>
                <w:color w:val="auto"/>
                <w:sz w:val="21"/>
                <w:highlight w:val="none"/>
              </w:rPr>
            </w:pPr>
          </w:p>
          <w:p w14:paraId="002A8B1C">
            <w:pPr>
              <w:pStyle w:val="212"/>
              <w:spacing w:before="62" w:line="229" w:lineRule="auto"/>
              <w:ind w:left="14"/>
              <w:rPr>
                <w:color w:val="auto"/>
                <w:highlight w:val="none"/>
              </w:rPr>
            </w:pPr>
            <w:r>
              <w:rPr>
                <w:color w:val="auto"/>
                <w:spacing w:val="6"/>
                <w:highlight w:val="none"/>
              </w:rPr>
              <w:t>蹲便器</w:t>
            </w:r>
          </w:p>
        </w:tc>
        <w:tc>
          <w:tcPr>
            <w:tcW w:w="1914" w:type="dxa"/>
            <w:vAlign w:val="top"/>
          </w:tcPr>
          <w:p w14:paraId="155CD212">
            <w:pPr>
              <w:rPr>
                <w:rFonts w:ascii="Arial"/>
                <w:color w:val="auto"/>
                <w:sz w:val="21"/>
                <w:highlight w:val="none"/>
              </w:rPr>
            </w:pPr>
          </w:p>
        </w:tc>
        <w:tc>
          <w:tcPr>
            <w:tcW w:w="2969" w:type="dxa"/>
            <w:vAlign w:val="top"/>
          </w:tcPr>
          <w:p w14:paraId="33F60332">
            <w:pPr>
              <w:pStyle w:val="212"/>
              <w:spacing w:before="191" w:line="304" w:lineRule="auto"/>
              <w:ind w:left="22" w:right="11"/>
              <w:rPr>
                <w:color w:val="auto"/>
                <w:highlight w:val="none"/>
              </w:rPr>
            </w:pPr>
            <w:r>
              <w:rPr>
                <w:color w:val="auto"/>
                <w:spacing w:val="19"/>
                <w:highlight w:val="none"/>
              </w:rPr>
              <w:t>《蹲便器用水效率限定值及用水</w:t>
            </w:r>
            <w:r>
              <w:rPr>
                <w:color w:val="auto"/>
                <w:spacing w:val="2"/>
                <w:highlight w:val="none"/>
              </w:rPr>
              <w:t xml:space="preserve"> </w:t>
            </w:r>
            <w:r>
              <w:rPr>
                <w:color w:val="auto"/>
                <w:spacing w:val="6"/>
                <w:highlight w:val="none"/>
              </w:rPr>
              <w:t>效率等级》（</w:t>
            </w:r>
            <w:r>
              <w:rPr>
                <w:color w:val="auto"/>
                <w:highlight w:val="none"/>
              </w:rPr>
              <w:t>GB</w:t>
            </w:r>
            <w:r>
              <w:rPr>
                <w:color w:val="auto"/>
                <w:spacing w:val="6"/>
                <w:highlight w:val="none"/>
              </w:rPr>
              <w:t xml:space="preserve"> 30717）</w:t>
            </w:r>
          </w:p>
        </w:tc>
      </w:tr>
      <w:tr w14:paraId="01E4D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578" w:type="dxa"/>
            <w:vMerge w:val="continue"/>
            <w:tcBorders>
              <w:top w:val="nil"/>
            </w:tcBorders>
            <w:vAlign w:val="top"/>
          </w:tcPr>
          <w:p w14:paraId="1DECC5AB">
            <w:pPr>
              <w:rPr>
                <w:rFonts w:ascii="Arial"/>
                <w:color w:val="auto"/>
                <w:sz w:val="21"/>
                <w:highlight w:val="none"/>
              </w:rPr>
            </w:pPr>
          </w:p>
        </w:tc>
        <w:tc>
          <w:tcPr>
            <w:tcW w:w="1166" w:type="dxa"/>
            <w:vMerge w:val="continue"/>
            <w:tcBorders>
              <w:top w:val="nil"/>
            </w:tcBorders>
            <w:vAlign w:val="top"/>
          </w:tcPr>
          <w:p w14:paraId="0B15BC4C">
            <w:pPr>
              <w:rPr>
                <w:rFonts w:ascii="Arial"/>
                <w:color w:val="auto"/>
                <w:sz w:val="21"/>
                <w:highlight w:val="none"/>
              </w:rPr>
            </w:pPr>
          </w:p>
        </w:tc>
        <w:tc>
          <w:tcPr>
            <w:tcW w:w="1799" w:type="dxa"/>
            <w:vAlign w:val="top"/>
          </w:tcPr>
          <w:p w14:paraId="0C655CC8">
            <w:pPr>
              <w:spacing w:line="284" w:lineRule="auto"/>
              <w:rPr>
                <w:rFonts w:ascii="Arial"/>
                <w:color w:val="auto"/>
                <w:sz w:val="21"/>
                <w:highlight w:val="none"/>
              </w:rPr>
            </w:pPr>
          </w:p>
          <w:p w14:paraId="2EADDFBF">
            <w:pPr>
              <w:pStyle w:val="212"/>
              <w:spacing w:before="61" w:line="229" w:lineRule="auto"/>
              <w:ind w:left="20"/>
              <w:rPr>
                <w:color w:val="auto"/>
                <w:highlight w:val="none"/>
              </w:rPr>
            </w:pPr>
            <w:r>
              <w:rPr>
                <w:color w:val="auto"/>
                <w:spacing w:val="4"/>
                <w:highlight w:val="none"/>
              </w:rPr>
              <w:t>小便器</w:t>
            </w:r>
          </w:p>
        </w:tc>
        <w:tc>
          <w:tcPr>
            <w:tcW w:w="1914" w:type="dxa"/>
            <w:vAlign w:val="top"/>
          </w:tcPr>
          <w:p w14:paraId="026836EF">
            <w:pPr>
              <w:rPr>
                <w:rFonts w:ascii="Arial"/>
                <w:color w:val="auto"/>
                <w:sz w:val="21"/>
                <w:highlight w:val="none"/>
              </w:rPr>
            </w:pPr>
          </w:p>
        </w:tc>
        <w:tc>
          <w:tcPr>
            <w:tcW w:w="2969" w:type="dxa"/>
            <w:vAlign w:val="top"/>
          </w:tcPr>
          <w:p w14:paraId="75C671BE">
            <w:pPr>
              <w:pStyle w:val="212"/>
              <w:spacing w:before="192" w:line="304" w:lineRule="auto"/>
              <w:ind w:left="22" w:right="11"/>
              <w:rPr>
                <w:color w:val="auto"/>
                <w:highlight w:val="none"/>
              </w:rPr>
            </w:pPr>
            <w:r>
              <w:rPr>
                <w:color w:val="auto"/>
                <w:spacing w:val="19"/>
                <w:highlight w:val="none"/>
              </w:rPr>
              <w:t>《小便器用水效率限定值及用水</w:t>
            </w:r>
            <w:r>
              <w:rPr>
                <w:color w:val="auto"/>
                <w:spacing w:val="2"/>
                <w:highlight w:val="none"/>
              </w:rPr>
              <w:t xml:space="preserve"> </w:t>
            </w:r>
            <w:r>
              <w:rPr>
                <w:color w:val="auto"/>
                <w:spacing w:val="6"/>
                <w:highlight w:val="none"/>
              </w:rPr>
              <w:t>效率等级》（</w:t>
            </w:r>
            <w:r>
              <w:rPr>
                <w:color w:val="auto"/>
                <w:highlight w:val="none"/>
              </w:rPr>
              <w:t>GB</w:t>
            </w:r>
            <w:r>
              <w:rPr>
                <w:color w:val="auto"/>
                <w:spacing w:val="6"/>
                <w:highlight w:val="none"/>
              </w:rPr>
              <w:t xml:space="preserve"> 28377）</w:t>
            </w:r>
          </w:p>
        </w:tc>
      </w:tr>
    </w:tbl>
    <w:p w14:paraId="08876F07">
      <w:pPr>
        <w:rPr>
          <w:rFonts w:ascii="Arial"/>
          <w:color w:val="auto"/>
          <w:sz w:val="21"/>
          <w:highlight w:val="none"/>
        </w:rPr>
      </w:pPr>
    </w:p>
    <w:p w14:paraId="638FF41C">
      <w:pPr>
        <w:rPr>
          <w:rFonts w:ascii="Arial" w:hAnsi="Arial" w:eastAsia="Arial" w:cs="Arial"/>
          <w:color w:val="auto"/>
          <w:sz w:val="21"/>
          <w:szCs w:val="21"/>
          <w:highlight w:val="none"/>
        </w:rPr>
        <w:sectPr>
          <w:pgSz w:w="11906" w:h="16838"/>
          <w:pgMar w:top="1431" w:right="1691" w:bottom="1134" w:left="1783" w:header="850" w:footer="992" w:gutter="0"/>
          <w:pgBorders>
            <w:top w:val="none" w:sz="0" w:space="0"/>
            <w:left w:val="none" w:sz="0" w:space="0"/>
            <w:bottom w:val="none" w:sz="0" w:space="0"/>
            <w:right w:val="none" w:sz="0" w:space="0"/>
          </w:pgBorders>
          <w:cols w:space="720" w:num="1"/>
        </w:sectPr>
      </w:pPr>
    </w:p>
    <w:p w14:paraId="65F2A7F9">
      <w:pPr>
        <w:spacing w:line="91" w:lineRule="auto"/>
        <w:rPr>
          <w:rFonts w:ascii="Arial"/>
          <w:color w:val="auto"/>
          <w:sz w:val="2"/>
          <w:highlight w:val="none"/>
        </w:rPr>
      </w:pPr>
    </w:p>
    <w:tbl>
      <w:tblPr>
        <w:tblStyle w:val="213"/>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701D4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78" w:type="dxa"/>
            <w:vAlign w:val="top"/>
          </w:tcPr>
          <w:p w14:paraId="2F24B473">
            <w:pPr>
              <w:spacing w:line="312" w:lineRule="auto"/>
              <w:rPr>
                <w:rFonts w:ascii="Arial"/>
                <w:color w:val="auto"/>
                <w:sz w:val="21"/>
                <w:highlight w:val="none"/>
              </w:rPr>
            </w:pPr>
          </w:p>
          <w:p w14:paraId="530FAF58">
            <w:pPr>
              <w:pStyle w:val="212"/>
              <w:spacing w:before="61" w:line="257" w:lineRule="exact"/>
              <w:ind w:left="209"/>
              <w:rPr>
                <w:color w:val="auto"/>
                <w:highlight w:val="none"/>
              </w:rPr>
            </w:pPr>
            <w:r>
              <w:rPr>
                <w:color w:val="auto"/>
                <w:spacing w:val="-7"/>
                <w:position w:val="1"/>
                <w:highlight w:val="none"/>
              </w:rPr>
              <w:t>16</w:t>
            </w:r>
          </w:p>
        </w:tc>
        <w:tc>
          <w:tcPr>
            <w:tcW w:w="1166" w:type="dxa"/>
            <w:vAlign w:val="top"/>
          </w:tcPr>
          <w:p w14:paraId="2A464D7B">
            <w:pPr>
              <w:pStyle w:val="212"/>
              <w:spacing w:before="220" w:line="304" w:lineRule="auto"/>
              <w:ind w:left="22" w:right="8" w:hanging="4"/>
              <w:rPr>
                <w:color w:val="auto"/>
                <w:highlight w:val="none"/>
              </w:rPr>
            </w:pPr>
            <w:r>
              <w:rPr>
                <w:color w:val="auto"/>
                <w:spacing w:val="3"/>
                <w:highlight w:val="none"/>
              </w:rPr>
              <w:t>★A060806</w:t>
            </w:r>
            <w:r>
              <w:rPr>
                <w:color w:val="auto"/>
                <w:spacing w:val="-35"/>
                <w:highlight w:val="none"/>
              </w:rPr>
              <w:t xml:space="preserve"> </w:t>
            </w:r>
            <w:r>
              <w:rPr>
                <w:color w:val="auto"/>
                <w:spacing w:val="3"/>
                <w:highlight w:val="none"/>
              </w:rPr>
              <w:t>水</w:t>
            </w:r>
            <w:r>
              <w:rPr>
                <w:color w:val="auto"/>
                <w:highlight w:val="none"/>
              </w:rPr>
              <w:t xml:space="preserve"> 嘴</w:t>
            </w:r>
          </w:p>
        </w:tc>
        <w:tc>
          <w:tcPr>
            <w:tcW w:w="1799" w:type="dxa"/>
            <w:vAlign w:val="top"/>
          </w:tcPr>
          <w:p w14:paraId="7CE072FE">
            <w:pPr>
              <w:rPr>
                <w:rFonts w:ascii="Arial"/>
                <w:color w:val="auto"/>
                <w:sz w:val="21"/>
                <w:highlight w:val="none"/>
              </w:rPr>
            </w:pPr>
          </w:p>
        </w:tc>
        <w:tc>
          <w:tcPr>
            <w:tcW w:w="1914" w:type="dxa"/>
            <w:vAlign w:val="top"/>
          </w:tcPr>
          <w:p w14:paraId="7A575F13">
            <w:pPr>
              <w:rPr>
                <w:rFonts w:ascii="Arial"/>
                <w:color w:val="auto"/>
                <w:sz w:val="21"/>
                <w:highlight w:val="none"/>
              </w:rPr>
            </w:pPr>
          </w:p>
        </w:tc>
        <w:tc>
          <w:tcPr>
            <w:tcW w:w="2969" w:type="dxa"/>
            <w:vAlign w:val="top"/>
          </w:tcPr>
          <w:p w14:paraId="3BFC4085">
            <w:pPr>
              <w:pStyle w:val="212"/>
              <w:spacing w:before="220" w:line="304" w:lineRule="auto"/>
              <w:ind w:left="19" w:right="11" w:firstLine="3"/>
              <w:rPr>
                <w:color w:val="auto"/>
                <w:highlight w:val="none"/>
              </w:rPr>
            </w:pPr>
            <w:r>
              <w:rPr>
                <w:color w:val="auto"/>
                <w:spacing w:val="19"/>
                <w:highlight w:val="none"/>
              </w:rPr>
              <w:t>《水嘴用水效率限定值及用水效</w:t>
            </w:r>
            <w:r>
              <w:rPr>
                <w:color w:val="auto"/>
                <w:spacing w:val="2"/>
                <w:highlight w:val="none"/>
              </w:rPr>
              <w:t xml:space="preserve"> </w:t>
            </w:r>
            <w:r>
              <w:rPr>
                <w:color w:val="auto"/>
                <w:spacing w:val="6"/>
                <w:highlight w:val="none"/>
              </w:rPr>
              <w:t>率等级》（</w:t>
            </w:r>
            <w:r>
              <w:rPr>
                <w:color w:val="auto"/>
                <w:highlight w:val="none"/>
              </w:rPr>
              <w:t>GB</w:t>
            </w:r>
            <w:r>
              <w:rPr>
                <w:color w:val="auto"/>
                <w:spacing w:val="6"/>
                <w:highlight w:val="none"/>
              </w:rPr>
              <w:t xml:space="preserve"> 25501）</w:t>
            </w:r>
          </w:p>
        </w:tc>
      </w:tr>
      <w:tr w14:paraId="0E678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78" w:type="dxa"/>
            <w:vAlign w:val="top"/>
          </w:tcPr>
          <w:p w14:paraId="1E1F548C">
            <w:pPr>
              <w:spacing w:line="268" w:lineRule="auto"/>
              <w:rPr>
                <w:rFonts w:ascii="Arial"/>
                <w:color w:val="auto"/>
                <w:sz w:val="21"/>
                <w:highlight w:val="none"/>
              </w:rPr>
            </w:pPr>
          </w:p>
          <w:p w14:paraId="7D2FA1D8">
            <w:pPr>
              <w:pStyle w:val="212"/>
              <w:spacing w:before="62" w:line="257" w:lineRule="exact"/>
              <w:ind w:left="209"/>
              <w:rPr>
                <w:color w:val="auto"/>
                <w:highlight w:val="none"/>
              </w:rPr>
            </w:pPr>
            <w:r>
              <w:rPr>
                <w:color w:val="auto"/>
                <w:spacing w:val="-7"/>
                <w:position w:val="1"/>
                <w:highlight w:val="none"/>
              </w:rPr>
              <w:t>17</w:t>
            </w:r>
          </w:p>
        </w:tc>
        <w:tc>
          <w:tcPr>
            <w:tcW w:w="1166" w:type="dxa"/>
            <w:vAlign w:val="top"/>
          </w:tcPr>
          <w:p w14:paraId="54053D7A">
            <w:pPr>
              <w:pStyle w:val="212"/>
              <w:spacing w:before="176" w:line="305" w:lineRule="auto"/>
              <w:ind w:left="15" w:right="8" w:hanging="6"/>
              <w:rPr>
                <w:color w:val="auto"/>
                <w:highlight w:val="none"/>
              </w:rPr>
            </w:pPr>
            <w:r>
              <w:rPr>
                <w:color w:val="auto"/>
                <w:spacing w:val="5"/>
                <w:highlight w:val="none"/>
              </w:rPr>
              <w:t>A060807</w:t>
            </w:r>
            <w:r>
              <w:rPr>
                <w:color w:val="auto"/>
                <w:spacing w:val="-43"/>
                <w:highlight w:val="none"/>
              </w:rPr>
              <w:t xml:space="preserve"> </w:t>
            </w:r>
            <w:r>
              <w:rPr>
                <w:color w:val="auto"/>
                <w:spacing w:val="5"/>
                <w:highlight w:val="none"/>
              </w:rPr>
              <w:t>便器</w:t>
            </w:r>
            <w:r>
              <w:rPr>
                <w:color w:val="auto"/>
                <w:highlight w:val="none"/>
              </w:rPr>
              <w:t xml:space="preserve"> </w:t>
            </w:r>
            <w:r>
              <w:rPr>
                <w:color w:val="auto"/>
                <w:spacing w:val="6"/>
                <w:highlight w:val="none"/>
              </w:rPr>
              <w:t>冲洗阀</w:t>
            </w:r>
          </w:p>
        </w:tc>
        <w:tc>
          <w:tcPr>
            <w:tcW w:w="1799" w:type="dxa"/>
            <w:vAlign w:val="top"/>
          </w:tcPr>
          <w:p w14:paraId="186AD530">
            <w:pPr>
              <w:rPr>
                <w:rFonts w:ascii="Arial"/>
                <w:color w:val="auto"/>
                <w:sz w:val="21"/>
                <w:highlight w:val="none"/>
              </w:rPr>
            </w:pPr>
          </w:p>
        </w:tc>
        <w:tc>
          <w:tcPr>
            <w:tcW w:w="1914" w:type="dxa"/>
            <w:vAlign w:val="top"/>
          </w:tcPr>
          <w:p w14:paraId="7C785CB7">
            <w:pPr>
              <w:rPr>
                <w:rFonts w:ascii="Arial"/>
                <w:color w:val="auto"/>
                <w:sz w:val="21"/>
                <w:highlight w:val="none"/>
              </w:rPr>
            </w:pPr>
          </w:p>
        </w:tc>
        <w:tc>
          <w:tcPr>
            <w:tcW w:w="2969" w:type="dxa"/>
            <w:vAlign w:val="top"/>
          </w:tcPr>
          <w:p w14:paraId="1FA131D8">
            <w:pPr>
              <w:pStyle w:val="212"/>
              <w:spacing w:before="177" w:line="304" w:lineRule="auto"/>
              <w:ind w:left="19" w:right="11" w:firstLine="3"/>
              <w:rPr>
                <w:color w:val="auto"/>
                <w:highlight w:val="none"/>
              </w:rPr>
            </w:pPr>
            <w:r>
              <w:rPr>
                <w:color w:val="auto"/>
                <w:spacing w:val="19"/>
                <w:highlight w:val="none"/>
              </w:rPr>
              <w:t>《便器冲洗阀用水效率限定值及</w:t>
            </w:r>
            <w:r>
              <w:rPr>
                <w:color w:val="auto"/>
                <w:spacing w:val="2"/>
                <w:highlight w:val="none"/>
              </w:rPr>
              <w:t xml:space="preserve"> </w:t>
            </w:r>
            <w:r>
              <w:rPr>
                <w:color w:val="auto"/>
                <w:spacing w:val="7"/>
                <w:highlight w:val="none"/>
              </w:rPr>
              <w:t>用水效率等级》（</w:t>
            </w:r>
            <w:r>
              <w:rPr>
                <w:color w:val="auto"/>
                <w:highlight w:val="none"/>
              </w:rPr>
              <w:t>GB</w:t>
            </w:r>
            <w:r>
              <w:rPr>
                <w:color w:val="auto"/>
                <w:spacing w:val="7"/>
                <w:highlight w:val="none"/>
              </w:rPr>
              <w:t xml:space="preserve"> 28379）</w:t>
            </w:r>
          </w:p>
        </w:tc>
      </w:tr>
      <w:tr w14:paraId="25733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578" w:type="dxa"/>
            <w:vAlign w:val="top"/>
          </w:tcPr>
          <w:p w14:paraId="5E9BF0E2">
            <w:pPr>
              <w:spacing w:line="289" w:lineRule="auto"/>
              <w:rPr>
                <w:rFonts w:ascii="Arial"/>
                <w:color w:val="auto"/>
                <w:sz w:val="21"/>
                <w:highlight w:val="none"/>
              </w:rPr>
            </w:pPr>
          </w:p>
          <w:p w14:paraId="6C20F59C">
            <w:pPr>
              <w:pStyle w:val="212"/>
              <w:spacing w:before="62" w:line="256" w:lineRule="exact"/>
              <w:ind w:left="209"/>
              <w:rPr>
                <w:color w:val="auto"/>
                <w:highlight w:val="none"/>
              </w:rPr>
            </w:pPr>
            <w:r>
              <w:rPr>
                <w:color w:val="auto"/>
                <w:spacing w:val="-7"/>
                <w:position w:val="1"/>
                <w:highlight w:val="none"/>
              </w:rPr>
              <w:t>18</w:t>
            </w:r>
          </w:p>
        </w:tc>
        <w:tc>
          <w:tcPr>
            <w:tcW w:w="1166" w:type="dxa"/>
            <w:vAlign w:val="top"/>
          </w:tcPr>
          <w:p w14:paraId="6479A66C">
            <w:pPr>
              <w:pStyle w:val="212"/>
              <w:spacing w:before="196" w:line="307" w:lineRule="auto"/>
              <w:ind w:left="15" w:right="8" w:hanging="6"/>
              <w:rPr>
                <w:color w:val="auto"/>
                <w:highlight w:val="none"/>
              </w:rPr>
            </w:pPr>
            <w:r>
              <w:rPr>
                <w:color w:val="auto"/>
                <w:spacing w:val="4"/>
                <w:highlight w:val="none"/>
              </w:rPr>
              <w:t>A060810</w:t>
            </w:r>
            <w:r>
              <w:rPr>
                <w:color w:val="auto"/>
                <w:spacing w:val="-34"/>
                <w:highlight w:val="none"/>
              </w:rPr>
              <w:t xml:space="preserve"> </w:t>
            </w:r>
            <w:r>
              <w:rPr>
                <w:color w:val="auto"/>
                <w:spacing w:val="4"/>
                <w:highlight w:val="none"/>
              </w:rPr>
              <w:t>淋浴</w:t>
            </w:r>
            <w:r>
              <w:rPr>
                <w:color w:val="auto"/>
                <w:highlight w:val="none"/>
              </w:rPr>
              <w:t xml:space="preserve"> </w:t>
            </w:r>
            <w:r>
              <w:rPr>
                <w:color w:val="auto"/>
                <w:spacing w:val="1"/>
                <w:highlight w:val="none"/>
              </w:rPr>
              <w:t>器</w:t>
            </w:r>
          </w:p>
        </w:tc>
        <w:tc>
          <w:tcPr>
            <w:tcW w:w="1799" w:type="dxa"/>
            <w:vAlign w:val="top"/>
          </w:tcPr>
          <w:p w14:paraId="15A8BA2D">
            <w:pPr>
              <w:rPr>
                <w:rFonts w:ascii="Arial"/>
                <w:color w:val="auto"/>
                <w:sz w:val="21"/>
                <w:highlight w:val="none"/>
              </w:rPr>
            </w:pPr>
          </w:p>
        </w:tc>
        <w:tc>
          <w:tcPr>
            <w:tcW w:w="1914" w:type="dxa"/>
            <w:vAlign w:val="top"/>
          </w:tcPr>
          <w:p w14:paraId="1A84F050">
            <w:pPr>
              <w:rPr>
                <w:rFonts w:ascii="Arial"/>
                <w:color w:val="auto"/>
                <w:sz w:val="21"/>
                <w:highlight w:val="none"/>
              </w:rPr>
            </w:pPr>
          </w:p>
        </w:tc>
        <w:tc>
          <w:tcPr>
            <w:tcW w:w="2969" w:type="dxa"/>
            <w:vAlign w:val="top"/>
          </w:tcPr>
          <w:p w14:paraId="763D7EC2">
            <w:pPr>
              <w:pStyle w:val="212"/>
              <w:spacing w:before="197" w:line="304" w:lineRule="auto"/>
              <w:ind w:left="22" w:right="11"/>
              <w:rPr>
                <w:color w:val="auto"/>
                <w:highlight w:val="none"/>
              </w:rPr>
            </w:pPr>
            <w:r>
              <w:rPr>
                <w:color w:val="auto"/>
                <w:spacing w:val="19"/>
                <w:highlight w:val="none"/>
              </w:rPr>
              <w:t>《淋浴器用水效率限定值及用水</w:t>
            </w:r>
            <w:r>
              <w:rPr>
                <w:color w:val="auto"/>
                <w:spacing w:val="2"/>
                <w:highlight w:val="none"/>
              </w:rPr>
              <w:t xml:space="preserve"> </w:t>
            </w:r>
            <w:r>
              <w:rPr>
                <w:color w:val="auto"/>
                <w:spacing w:val="6"/>
                <w:highlight w:val="none"/>
              </w:rPr>
              <w:t>效率等级》（</w:t>
            </w:r>
            <w:r>
              <w:rPr>
                <w:color w:val="auto"/>
                <w:highlight w:val="none"/>
              </w:rPr>
              <w:t>GB</w:t>
            </w:r>
            <w:r>
              <w:rPr>
                <w:color w:val="auto"/>
                <w:spacing w:val="6"/>
                <w:highlight w:val="none"/>
              </w:rPr>
              <w:t xml:space="preserve"> 28378）</w:t>
            </w:r>
          </w:p>
        </w:tc>
      </w:tr>
    </w:tbl>
    <w:p w14:paraId="514CDACB">
      <w:pPr>
        <w:spacing w:after="120" w:line="360" w:lineRule="auto"/>
        <w:rPr>
          <w:rFonts w:hint="eastAsia" w:ascii="宋体" w:hAnsi="宋体" w:eastAsia="宋体"/>
          <w:color w:val="auto"/>
          <w:szCs w:val="21"/>
          <w:highlight w:val="none"/>
          <w:lang w:eastAsia="zh-CN"/>
        </w:rPr>
      </w:pPr>
      <w:r>
        <w:rPr>
          <w:rFonts w:hint="eastAsia" w:ascii="宋体" w:hAnsi="宋体"/>
          <w:color w:val="auto"/>
          <w:spacing w:val="-3"/>
          <w:szCs w:val="21"/>
          <w:highlight w:val="none"/>
        </w:rPr>
        <w:t>注：1.节能产品认证应依据相关国家标准的最新版本</w:t>
      </w:r>
      <w:r>
        <w:rPr>
          <w:rFonts w:hint="eastAsia" w:ascii="宋体" w:hAnsi="宋体"/>
          <w:color w:val="auto"/>
          <w:spacing w:val="-3"/>
          <w:szCs w:val="21"/>
          <w:highlight w:val="none"/>
          <w:lang w:eastAsia="zh-CN"/>
        </w:rPr>
        <w:t>。</w:t>
      </w:r>
    </w:p>
    <w:p w14:paraId="34839CC1">
      <w:pPr>
        <w:spacing w:after="120" w:line="360" w:lineRule="auto"/>
        <w:ind w:firstLine="465"/>
        <w:rPr>
          <w:color w:val="auto"/>
          <w:highlight w:val="none"/>
        </w:rPr>
        <w:sectPr>
          <w:footerReference r:id="rId10" w:type="first"/>
          <w:footerReference r:id="rId9" w:type="default"/>
          <w:pgSz w:w="11906" w:h="16838"/>
          <w:pgMar w:top="993" w:right="1689" w:bottom="1246" w:left="1786"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olor w:val="auto"/>
          <w:szCs w:val="21"/>
          <w:highlight w:val="none"/>
        </w:rPr>
        <w:t>2.以“★”标注的为政府强制采购产品。</w:t>
      </w:r>
    </w:p>
    <w:p w14:paraId="5198B984">
      <w:pPr>
        <w:spacing w:line="528" w:lineRule="exact"/>
        <w:jc w:val="left"/>
        <w:rPr>
          <w:rFonts w:hint="eastAsia"/>
          <w:color w:val="auto"/>
          <w:sz w:val="28"/>
          <w:szCs w:val="28"/>
          <w:highlight w:val="none"/>
        </w:rPr>
      </w:pPr>
      <w:r>
        <w:rPr>
          <w:rFonts w:hint="eastAsia"/>
          <w:color w:val="auto"/>
          <w:sz w:val="28"/>
          <w:szCs w:val="28"/>
          <w:highlight w:val="none"/>
        </w:rPr>
        <w:t>附件4：</w:t>
      </w:r>
    </w:p>
    <w:p w14:paraId="13383190">
      <w:pPr>
        <w:spacing w:line="528" w:lineRule="exact"/>
        <w:ind w:firstLine="280" w:firstLineChars="100"/>
        <w:jc w:val="center"/>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环境标志产品政府采购品目清单</w:t>
      </w:r>
    </w:p>
    <w:tbl>
      <w:tblPr>
        <w:tblStyle w:val="213"/>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7148F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Borders>
              <w:top w:val="single" w:color="auto" w:sz="4" w:space="0"/>
              <w:left w:val="single" w:color="auto" w:sz="4" w:space="0"/>
              <w:bottom w:val="single" w:color="auto" w:sz="4" w:space="0"/>
              <w:right w:val="single" w:color="auto" w:sz="4" w:space="0"/>
            </w:tcBorders>
            <w:vAlign w:val="top"/>
          </w:tcPr>
          <w:p w14:paraId="0FAF02D6">
            <w:pPr>
              <w:pStyle w:val="212"/>
              <w:spacing w:before="70" w:line="223" w:lineRule="auto"/>
              <w:ind w:left="129"/>
              <w:rPr>
                <w:color w:val="auto"/>
                <w:highlight w:val="none"/>
              </w:rPr>
            </w:pPr>
            <w:r>
              <w:rPr>
                <w:b/>
                <w:bCs/>
                <w:color w:val="auto"/>
                <w:spacing w:val="-12"/>
                <w:highlight w:val="none"/>
              </w:rPr>
              <w:t>品目</w:t>
            </w:r>
          </w:p>
          <w:p w14:paraId="141F03ED">
            <w:pPr>
              <w:pStyle w:val="212"/>
              <w:spacing w:before="91" w:line="222" w:lineRule="auto"/>
              <w:ind w:left="114"/>
              <w:rPr>
                <w:color w:val="auto"/>
                <w:highlight w:val="none"/>
              </w:rPr>
            </w:pPr>
            <w:r>
              <w:rPr>
                <w:b/>
                <w:bCs/>
                <w:color w:val="auto"/>
                <w:spacing w:val="-4"/>
                <w:highlight w:val="none"/>
              </w:rPr>
              <w:t>序号</w:t>
            </w:r>
          </w:p>
        </w:tc>
        <w:tc>
          <w:tcPr>
            <w:tcW w:w="6462" w:type="dxa"/>
            <w:gridSpan w:val="3"/>
            <w:tcBorders>
              <w:top w:val="single" w:color="auto" w:sz="4" w:space="0"/>
              <w:left w:val="single" w:color="auto" w:sz="4" w:space="0"/>
              <w:bottom w:val="single" w:color="auto" w:sz="4" w:space="0"/>
              <w:right w:val="single" w:color="auto" w:sz="4" w:space="0"/>
            </w:tcBorders>
            <w:vAlign w:val="top"/>
          </w:tcPr>
          <w:p w14:paraId="4900C852">
            <w:pPr>
              <w:pStyle w:val="212"/>
              <w:spacing w:before="224" w:line="222" w:lineRule="auto"/>
              <w:ind w:left="3054"/>
              <w:rPr>
                <w:color w:val="auto"/>
                <w:highlight w:val="none"/>
              </w:rPr>
            </w:pPr>
            <w:r>
              <w:rPr>
                <w:b/>
                <w:bCs/>
                <w:color w:val="auto"/>
                <w:spacing w:val="-6"/>
                <w:highlight w:val="none"/>
              </w:rPr>
              <w:t>名称</w:t>
            </w:r>
          </w:p>
        </w:tc>
        <w:tc>
          <w:tcPr>
            <w:tcW w:w="3543" w:type="dxa"/>
            <w:tcBorders>
              <w:top w:val="single" w:color="auto" w:sz="4" w:space="0"/>
              <w:left w:val="single" w:color="auto" w:sz="4" w:space="0"/>
              <w:bottom w:val="single" w:color="auto" w:sz="4" w:space="0"/>
              <w:right w:val="single" w:color="auto" w:sz="4" w:space="0"/>
            </w:tcBorders>
            <w:vAlign w:val="top"/>
          </w:tcPr>
          <w:p w14:paraId="4AACD77E">
            <w:pPr>
              <w:pStyle w:val="212"/>
              <w:spacing w:before="224" w:line="219" w:lineRule="auto"/>
              <w:ind w:left="1325"/>
              <w:rPr>
                <w:color w:val="auto"/>
                <w:highlight w:val="none"/>
              </w:rPr>
            </w:pPr>
            <w:r>
              <w:rPr>
                <w:b/>
                <w:bCs/>
                <w:color w:val="auto"/>
                <w:spacing w:val="-4"/>
                <w:highlight w:val="none"/>
              </w:rPr>
              <w:t>依据的标准</w:t>
            </w:r>
          </w:p>
        </w:tc>
      </w:tr>
      <w:tr w14:paraId="10F11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restart"/>
            <w:tcBorders>
              <w:top w:val="single" w:color="auto" w:sz="4" w:space="0"/>
              <w:left w:val="single" w:color="auto" w:sz="4" w:space="0"/>
              <w:bottom w:val="single" w:color="auto" w:sz="4" w:space="0"/>
              <w:right w:val="single" w:color="auto" w:sz="4" w:space="0"/>
            </w:tcBorders>
            <w:vAlign w:val="top"/>
          </w:tcPr>
          <w:p w14:paraId="1583F73B">
            <w:pPr>
              <w:pStyle w:val="212"/>
              <w:spacing w:before="66" w:line="242" w:lineRule="auto"/>
              <w:ind w:left="128"/>
              <w:rPr>
                <w:color w:val="auto"/>
                <w:highlight w:val="none"/>
              </w:rPr>
            </w:pPr>
            <w:r>
              <w:rPr>
                <w:color w:val="auto"/>
                <w:highlight w:val="none"/>
              </w:rPr>
              <w:t>1</w:t>
            </w:r>
          </w:p>
        </w:tc>
        <w:tc>
          <w:tcPr>
            <w:tcW w:w="1542" w:type="dxa"/>
            <w:vMerge w:val="restart"/>
            <w:tcBorders>
              <w:top w:val="single" w:color="auto" w:sz="4" w:space="0"/>
              <w:left w:val="single" w:color="auto" w:sz="4" w:space="0"/>
              <w:bottom w:val="single" w:color="auto" w:sz="4" w:space="0"/>
              <w:right w:val="single" w:color="auto" w:sz="4" w:space="0"/>
            </w:tcBorders>
            <w:vAlign w:val="top"/>
          </w:tcPr>
          <w:p w14:paraId="571078CD">
            <w:pPr>
              <w:pStyle w:val="212"/>
              <w:spacing w:before="65" w:line="323" w:lineRule="auto"/>
              <w:ind w:left="110" w:right="108" w:hanging="8"/>
              <w:rPr>
                <w:color w:val="auto"/>
                <w:highlight w:val="none"/>
              </w:rPr>
            </w:pPr>
            <w:r>
              <w:rPr>
                <w:color w:val="auto"/>
                <w:spacing w:val="3"/>
                <w:highlight w:val="none"/>
              </w:rPr>
              <w:t>A020101</w:t>
            </w:r>
            <w:r>
              <w:rPr>
                <w:color w:val="auto"/>
                <w:spacing w:val="34"/>
                <w:highlight w:val="none"/>
              </w:rPr>
              <w:t xml:space="preserve"> </w:t>
            </w:r>
            <w:r>
              <w:rPr>
                <w:color w:val="auto"/>
                <w:spacing w:val="3"/>
                <w:highlight w:val="none"/>
              </w:rPr>
              <w:t>计算机</w:t>
            </w:r>
            <w:r>
              <w:rPr>
                <w:color w:val="auto"/>
                <w:highlight w:val="none"/>
              </w:rPr>
              <w:t xml:space="preserve"> </w:t>
            </w:r>
            <w:r>
              <w:rPr>
                <w:color w:val="auto"/>
                <w:spacing w:val="-3"/>
                <w:highlight w:val="none"/>
              </w:rPr>
              <w:t>设备</w:t>
            </w:r>
          </w:p>
        </w:tc>
        <w:tc>
          <w:tcPr>
            <w:tcW w:w="2672" w:type="dxa"/>
            <w:tcBorders>
              <w:top w:val="single" w:color="auto" w:sz="4" w:space="0"/>
              <w:left w:val="single" w:color="auto" w:sz="4" w:space="0"/>
              <w:bottom w:val="single" w:color="auto" w:sz="4" w:space="0"/>
              <w:right w:val="single" w:color="auto" w:sz="4" w:space="0"/>
            </w:tcBorders>
            <w:vAlign w:val="top"/>
          </w:tcPr>
          <w:p w14:paraId="0F33466F">
            <w:pPr>
              <w:pStyle w:val="212"/>
              <w:spacing w:before="66" w:line="220" w:lineRule="auto"/>
              <w:ind w:left="103"/>
              <w:rPr>
                <w:color w:val="auto"/>
                <w:highlight w:val="none"/>
              </w:rPr>
            </w:pPr>
            <w:r>
              <w:rPr>
                <w:color w:val="auto"/>
                <w:spacing w:val="-1"/>
                <w:highlight w:val="none"/>
              </w:rPr>
              <w:t>A02010103</w:t>
            </w:r>
            <w:r>
              <w:rPr>
                <w:color w:val="auto"/>
                <w:spacing w:val="-32"/>
                <w:highlight w:val="none"/>
              </w:rPr>
              <w:t xml:space="preserve"> </w:t>
            </w:r>
            <w:r>
              <w:rPr>
                <w:color w:val="auto"/>
                <w:spacing w:val="-1"/>
                <w:highlight w:val="none"/>
              </w:rPr>
              <w:t>服务器</w:t>
            </w:r>
          </w:p>
        </w:tc>
        <w:tc>
          <w:tcPr>
            <w:tcW w:w="2248" w:type="dxa"/>
            <w:tcBorders>
              <w:top w:val="single" w:color="auto" w:sz="4" w:space="0"/>
              <w:left w:val="single" w:color="auto" w:sz="4" w:space="0"/>
              <w:bottom w:val="single" w:color="auto" w:sz="4" w:space="0"/>
              <w:right w:val="single" w:color="auto" w:sz="4" w:space="0"/>
            </w:tcBorders>
            <w:vAlign w:val="top"/>
          </w:tcPr>
          <w:p w14:paraId="2A755ED7">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21022B4E">
            <w:pPr>
              <w:pStyle w:val="212"/>
              <w:spacing w:before="66" w:line="219" w:lineRule="auto"/>
              <w:ind w:left="109"/>
              <w:rPr>
                <w:color w:val="auto"/>
                <w:highlight w:val="none"/>
              </w:rPr>
            </w:pPr>
            <w:r>
              <w:rPr>
                <w:color w:val="auto"/>
                <w:spacing w:val="-2"/>
                <w:highlight w:val="none"/>
              </w:rPr>
              <w:t>HJ2507</w:t>
            </w:r>
            <w:r>
              <w:rPr>
                <w:color w:val="auto"/>
                <w:spacing w:val="-20"/>
                <w:highlight w:val="none"/>
              </w:rPr>
              <w:t xml:space="preserve"> </w:t>
            </w:r>
            <w:r>
              <w:rPr>
                <w:color w:val="auto"/>
                <w:spacing w:val="-2"/>
                <w:highlight w:val="none"/>
              </w:rPr>
              <w:t>网络服务器</w:t>
            </w:r>
          </w:p>
        </w:tc>
      </w:tr>
      <w:tr w14:paraId="6627B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37E18E1B">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2A27DE12">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6BC65539">
            <w:pPr>
              <w:pStyle w:val="212"/>
              <w:spacing w:before="65" w:line="219" w:lineRule="auto"/>
              <w:ind w:left="103"/>
              <w:rPr>
                <w:color w:val="auto"/>
                <w:highlight w:val="none"/>
              </w:rPr>
            </w:pPr>
            <w:r>
              <w:rPr>
                <w:color w:val="auto"/>
                <w:spacing w:val="-2"/>
                <w:highlight w:val="none"/>
              </w:rPr>
              <w:t>A02010104</w:t>
            </w:r>
            <w:r>
              <w:rPr>
                <w:color w:val="auto"/>
                <w:spacing w:val="-14"/>
                <w:highlight w:val="none"/>
              </w:rPr>
              <w:t xml:space="preserve"> </w:t>
            </w:r>
            <w:r>
              <w:rPr>
                <w:color w:val="auto"/>
                <w:spacing w:val="-2"/>
                <w:highlight w:val="none"/>
              </w:rPr>
              <w:t>台式计算机</w:t>
            </w:r>
          </w:p>
        </w:tc>
        <w:tc>
          <w:tcPr>
            <w:tcW w:w="2248" w:type="dxa"/>
            <w:tcBorders>
              <w:top w:val="single" w:color="auto" w:sz="4" w:space="0"/>
              <w:left w:val="single" w:color="auto" w:sz="4" w:space="0"/>
              <w:bottom w:val="single" w:color="auto" w:sz="4" w:space="0"/>
              <w:right w:val="single" w:color="auto" w:sz="4" w:space="0"/>
            </w:tcBorders>
            <w:vAlign w:val="top"/>
          </w:tcPr>
          <w:p w14:paraId="057A59D6">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67E13A12">
            <w:pPr>
              <w:pStyle w:val="212"/>
              <w:spacing w:before="64"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29F73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3CC2B9AB">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7835A11A">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2586937D">
            <w:pPr>
              <w:pStyle w:val="212"/>
              <w:spacing w:before="64" w:line="219" w:lineRule="auto"/>
              <w:ind w:left="103"/>
              <w:rPr>
                <w:color w:val="auto"/>
                <w:highlight w:val="none"/>
              </w:rPr>
            </w:pPr>
            <w:r>
              <w:rPr>
                <w:color w:val="auto"/>
                <w:spacing w:val="-1"/>
                <w:highlight w:val="none"/>
              </w:rPr>
              <w:t>A02010105</w:t>
            </w:r>
            <w:r>
              <w:rPr>
                <w:color w:val="auto"/>
                <w:spacing w:val="-30"/>
                <w:highlight w:val="none"/>
              </w:rPr>
              <w:t xml:space="preserve"> </w:t>
            </w:r>
            <w:r>
              <w:rPr>
                <w:color w:val="auto"/>
                <w:spacing w:val="-1"/>
                <w:highlight w:val="none"/>
              </w:rPr>
              <w:t>便携式计算机</w:t>
            </w:r>
          </w:p>
        </w:tc>
        <w:tc>
          <w:tcPr>
            <w:tcW w:w="2248" w:type="dxa"/>
            <w:tcBorders>
              <w:top w:val="single" w:color="auto" w:sz="4" w:space="0"/>
              <w:left w:val="single" w:color="auto" w:sz="4" w:space="0"/>
              <w:bottom w:val="single" w:color="auto" w:sz="4" w:space="0"/>
              <w:right w:val="single" w:color="auto" w:sz="4" w:space="0"/>
            </w:tcBorders>
            <w:vAlign w:val="top"/>
          </w:tcPr>
          <w:p w14:paraId="07AAF5EB">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69CFD470">
            <w:pPr>
              <w:pStyle w:val="212"/>
              <w:spacing w:before="64"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00AE1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5CD2D516">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787B538D">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07A3820E">
            <w:pPr>
              <w:pStyle w:val="212"/>
              <w:spacing w:before="64" w:line="219" w:lineRule="auto"/>
              <w:ind w:left="103"/>
              <w:rPr>
                <w:color w:val="auto"/>
                <w:highlight w:val="none"/>
              </w:rPr>
            </w:pPr>
            <w:r>
              <w:rPr>
                <w:color w:val="auto"/>
                <w:spacing w:val="-1"/>
                <w:highlight w:val="none"/>
              </w:rPr>
              <w:t>A02010107</w:t>
            </w:r>
            <w:r>
              <w:rPr>
                <w:color w:val="auto"/>
                <w:spacing w:val="-28"/>
                <w:highlight w:val="none"/>
              </w:rPr>
              <w:t xml:space="preserve"> </w:t>
            </w:r>
            <w:r>
              <w:rPr>
                <w:color w:val="auto"/>
                <w:spacing w:val="-1"/>
                <w:highlight w:val="none"/>
              </w:rPr>
              <w:t>平板式微型计算机</w:t>
            </w:r>
          </w:p>
        </w:tc>
        <w:tc>
          <w:tcPr>
            <w:tcW w:w="2248" w:type="dxa"/>
            <w:tcBorders>
              <w:top w:val="single" w:color="auto" w:sz="4" w:space="0"/>
              <w:left w:val="single" w:color="auto" w:sz="4" w:space="0"/>
              <w:bottom w:val="single" w:color="auto" w:sz="4" w:space="0"/>
              <w:right w:val="single" w:color="auto" w:sz="4" w:space="0"/>
            </w:tcBorders>
            <w:vAlign w:val="top"/>
          </w:tcPr>
          <w:p w14:paraId="1B748563">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747EECB8">
            <w:pPr>
              <w:pStyle w:val="212"/>
              <w:spacing w:before="63"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3A7CA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7E04A968">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28AA29B5">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672A73F4">
            <w:pPr>
              <w:pStyle w:val="212"/>
              <w:spacing w:before="65" w:line="219" w:lineRule="auto"/>
              <w:ind w:left="103"/>
              <w:rPr>
                <w:color w:val="auto"/>
                <w:highlight w:val="none"/>
              </w:rPr>
            </w:pPr>
            <w:r>
              <w:rPr>
                <w:color w:val="auto"/>
                <w:spacing w:val="-2"/>
                <w:highlight w:val="none"/>
              </w:rPr>
              <w:t>A02010108</w:t>
            </w:r>
            <w:r>
              <w:rPr>
                <w:color w:val="auto"/>
                <w:spacing w:val="32"/>
                <w:highlight w:val="none"/>
              </w:rPr>
              <w:t xml:space="preserve"> </w:t>
            </w:r>
            <w:r>
              <w:rPr>
                <w:color w:val="auto"/>
                <w:spacing w:val="-2"/>
                <w:highlight w:val="none"/>
              </w:rPr>
              <w:t>网络计算机</w:t>
            </w:r>
          </w:p>
        </w:tc>
        <w:tc>
          <w:tcPr>
            <w:tcW w:w="2248" w:type="dxa"/>
            <w:tcBorders>
              <w:top w:val="single" w:color="auto" w:sz="4" w:space="0"/>
              <w:left w:val="single" w:color="auto" w:sz="4" w:space="0"/>
              <w:bottom w:val="single" w:color="auto" w:sz="4" w:space="0"/>
              <w:right w:val="single" w:color="auto" w:sz="4" w:space="0"/>
            </w:tcBorders>
            <w:vAlign w:val="top"/>
          </w:tcPr>
          <w:p w14:paraId="652D58F5">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56260D36">
            <w:pPr>
              <w:pStyle w:val="212"/>
              <w:spacing w:before="64"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375FF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33E6D6D3">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3E82BE0D">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1336E76F">
            <w:pPr>
              <w:pStyle w:val="212"/>
              <w:spacing w:before="64" w:line="219" w:lineRule="auto"/>
              <w:ind w:left="103"/>
              <w:rPr>
                <w:color w:val="auto"/>
                <w:highlight w:val="none"/>
              </w:rPr>
            </w:pPr>
            <w:r>
              <w:rPr>
                <w:color w:val="auto"/>
                <w:highlight w:val="none"/>
              </w:rPr>
              <w:t>A02010109 计算机工作站</w:t>
            </w:r>
          </w:p>
        </w:tc>
        <w:tc>
          <w:tcPr>
            <w:tcW w:w="2248" w:type="dxa"/>
            <w:tcBorders>
              <w:top w:val="single" w:color="auto" w:sz="4" w:space="0"/>
              <w:left w:val="single" w:color="auto" w:sz="4" w:space="0"/>
              <w:bottom w:val="single" w:color="auto" w:sz="4" w:space="0"/>
              <w:right w:val="single" w:color="auto" w:sz="4" w:space="0"/>
            </w:tcBorders>
            <w:vAlign w:val="top"/>
          </w:tcPr>
          <w:p w14:paraId="34C7AF7D">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58008142">
            <w:pPr>
              <w:pStyle w:val="212"/>
              <w:spacing w:before="64"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01BDF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532E45BE">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14F57387">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47CA96C1">
            <w:pPr>
              <w:pStyle w:val="212"/>
              <w:spacing w:before="64" w:line="219" w:lineRule="auto"/>
              <w:ind w:left="103"/>
              <w:rPr>
                <w:color w:val="auto"/>
                <w:highlight w:val="none"/>
              </w:rPr>
            </w:pPr>
            <w:r>
              <w:rPr>
                <w:color w:val="auto"/>
                <w:spacing w:val="-1"/>
                <w:highlight w:val="none"/>
              </w:rPr>
              <w:t>A02010199</w:t>
            </w:r>
            <w:r>
              <w:rPr>
                <w:color w:val="auto"/>
                <w:spacing w:val="-29"/>
                <w:highlight w:val="none"/>
              </w:rPr>
              <w:t xml:space="preserve"> </w:t>
            </w:r>
            <w:r>
              <w:rPr>
                <w:color w:val="auto"/>
                <w:spacing w:val="-1"/>
                <w:highlight w:val="none"/>
              </w:rPr>
              <w:t>其他计算机设备</w:t>
            </w:r>
          </w:p>
        </w:tc>
        <w:tc>
          <w:tcPr>
            <w:tcW w:w="2248" w:type="dxa"/>
            <w:tcBorders>
              <w:top w:val="single" w:color="auto" w:sz="4" w:space="0"/>
              <w:left w:val="single" w:color="auto" w:sz="4" w:space="0"/>
              <w:bottom w:val="single" w:color="auto" w:sz="4" w:space="0"/>
              <w:right w:val="single" w:color="auto" w:sz="4" w:space="0"/>
            </w:tcBorders>
            <w:vAlign w:val="top"/>
          </w:tcPr>
          <w:p w14:paraId="74F29028">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774281FE">
            <w:pPr>
              <w:pStyle w:val="212"/>
              <w:spacing w:before="64"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1A8EF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top w:val="single" w:color="auto" w:sz="4" w:space="0"/>
              <w:left w:val="single" w:color="auto" w:sz="4" w:space="0"/>
              <w:bottom w:val="single" w:color="auto" w:sz="4" w:space="0"/>
              <w:right w:val="single" w:color="auto" w:sz="4" w:space="0"/>
            </w:tcBorders>
            <w:vAlign w:val="top"/>
          </w:tcPr>
          <w:p w14:paraId="41746529">
            <w:pPr>
              <w:pStyle w:val="212"/>
              <w:spacing w:before="64" w:line="242" w:lineRule="auto"/>
              <w:ind w:left="116"/>
              <w:rPr>
                <w:color w:val="auto"/>
                <w:highlight w:val="none"/>
              </w:rPr>
            </w:pPr>
            <w:r>
              <w:rPr>
                <w:color w:val="auto"/>
                <w:highlight w:val="none"/>
              </w:rPr>
              <w:t>2</w:t>
            </w:r>
          </w:p>
        </w:tc>
        <w:tc>
          <w:tcPr>
            <w:tcW w:w="1542" w:type="dxa"/>
            <w:vMerge w:val="restart"/>
            <w:tcBorders>
              <w:top w:val="single" w:color="auto" w:sz="4" w:space="0"/>
              <w:left w:val="single" w:color="auto" w:sz="4" w:space="0"/>
              <w:bottom w:val="single" w:color="auto" w:sz="4" w:space="0"/>
              <w:right w:val="single" w:color="auto" w:sz="4" w:space="0"/>
            </w:tcBorders>
            <w:vAlign w:val="top"/>
          </w:tcPr>
          <w:p w14:paraId="2B88E24D">
            <w:pPr>
              <w:pStyle w:val="212"/>
              <w:spacing w:before="64" w:line="323" w:lineRule="auto"/>
              <w:ind w:left="123" w:right="108" w:hanging="21"/>
              <w:rPr>
                <w:color w:val="auto"/>
                <w:highlight w:val="none"/>
              </w:rPr>
            </w:pPr>
            <w:r>
              <w:rPr>
                <w:color w:val="auto"/>
                <w:spacing w:val="3"/>
                <w:highlight w:val="none"/>
              </w:rPr>
              <w:t>A020106</w:t>
            </w:r>
            <w:r>
              <w:rPr>
                <w:color w:val="auto"/>
                <w:spacing w:val="34"/>
                <w:highlight w:val="none"/>
              </w:rPr>
              <w:t xml:space="preserve"> </w:t>
            </w:r>
            <w:r>
              <w:rPr>
                <w:color w:val="auto"/>
                <w:spacing w:val="3"/>
                <w:highlight w:val="none"/>
              </w:rPr>
              <w:t>输入输</w:t>
            </w:r>
            <w:r>
              <w:rPr>
                <w:color w:val="auto"/>
                <w:highlight w:val="none"/>
              </w:rPr>
              <w:t xml:space="preserve"> </w:t>
            </w:r>
            <w:r>
              <w:rPr>
                <w:color w:val="auto"/>
                <w:spacing w:val="-5"/>
                <w:highlight w:val="none"/>
              </w:rPr>
              <w:t>出设备</w:t>
            </w:r>
          </w:p>
        </w:tc>
        <w:tc>
          <w:tcPr>
            <w:tcW w:w="2672" w:type="dxa"/>
            <w:vMerge w:val="restart"/>
            <w:tcBorders>
              <w:top w:val="single" w:color="auto" w:sz="4" w:space="0"/>
              <w:left w:val="single" w:color="auto" w:sz="4" w:space="0"/>
              <w:bottom w:val="single" w:color="auto" w:sz="4" w:space="0"/>
              <w:right w:val="single" w:color="auto" w:sz="4" w:space="0"/>
            </w:tcBorders>
            <w:vAlign w:val="top"/>
          </w:tcPr>
          <w:p w14:paraId="3888E4E5">
            <w:pPr>
              <w:pStyle w:val="212"/>
              <w:spacing w:before="64" w:line="220" w:lineRule="auto"/>
              <w:ind w:left="103"/>
              <w:rPr>
                <w:color w:val="auto"/>
                <w:highlight w:val="none"/>
              </w:rPr>
            </w:pPr>
            <w:r>
              <w:rPr>
                <w:color w:val="auto"/>
                <w:spacing w:val="-1"/>
                <w:highlight w:val="none"/>
              </w:rPr>
              <w:t>A02010601</w:t>
            </w:r>
            <w:r>
              <w:rPr>
                <w:color w:val="auto"/>
                <w:spacing w:val="-31"/>
                <w:highlight w:val="none"/>
              </w:rPr>
              <w:t xml:space="preserve"> </w:t>
            </w:r>
            <w:r>
              <w:rPr>
                <w:color w:val="auto"/>
                <w:spacing w:val="-1"/>
                <w:highlight w:val="none"/>
              </w:rPr>
              <w:t>打印设备</w:t>
            </w:r>
          </w:p>
        </w:tc>
        <w:tc>
          <w:tcPr>
            <w:tcW w:w="2248" w:type="dxa"/>
            <w:tcBorders>
              <w:top w:val="single" w:color="auto" w:sz="4" w:space="0"/>
              <w:left w:val="single" w:color="auto" w:sz="4" w:space="0"/>
              <w:bottom w:val="single" w:color="auto" w:sz="4" w:space="0"/>
              <w:right w:val="single" w:color="auto" w:sz="4" w:space="0"/>
            </w:tcBorders>
            <w:vAlign w:val="top"/>
          </w:tcPr>
          <w:p w14:paraId="79B7E31D">
            <w:pPr>
              <w:pStyle w:val="212"/>
              <w:spacing w:before="65" w:line="219" w:lineRule="auto"/>
              <w:ind w:left="105"/>
              <w:rPr>
                <w:color w:val="auto"/>
                <w:highlight w:val="none"/>
              </w:rPr>
            </w:pPr>
            <w:r>
              <w:rPr>
                <w:color w:val="auto"/>
                <w:highlight w:val="none"/>
              </w:rPr>
              <w:t>A0201060101 喷墨打印机</w:t>
            </w:r>
          </w:p>
        </w:tc>
        <w:tc>
          <w:tcPr>
            <w:tcW w:w="3543" w:type="dxa"/>
            <w:tcBorders>
              <w:top w:val="single" w:color="auto" w:sz="4" w:space="0"/>
              <w:left w:val="single" w:color="auto" w:sz="4" w:space="0"/>
              <w:bottom w:val="single" w:color="auto" w:sz="4" w:space="0"/>
              <w:right w:val="single" w:color="auto" w:sz="4" w:space="0"/>
            </w:tcBorders>
            <w:vAlign w:val="top"/>
          </w:tcPr>
          <w:p w14:paraId="0C380A52">
            <w:pPr>
              <w:pStyle w:val="212"/>
              <w:spacing w:before="64" w:line="219" w:lineRule="auto"/>
              <w:ind w:left="109"/>
              <w:rPr>
                <w:color w:val="auto"/>
                <w:highlight w:val="none"/>
              </w:rPr>
            </w:pPr>
            <w:r>
              <w:rPr>
                <w:color w:val="auto"/>
                <w:spacing w:val="-1"/>
                <w:highlight w:val="none"/>
              </w:rPr>
              <w:t>HJ2512</w:t>
            </w:r>
            <w:r>
              <w:rPr>
                <w:color w:val="auto"/>
                <w:spacing w:val="-29"/>
                <w:highlight w:val="none"/>
              </w:rPr>
              <w:t xml:space="preserve"> </w:t>
            </w:r>
            <w:r>
              <w:rPr>
                <w:color w:val="auto"/>
                <w:spacing w:val="-1"/>
                <w:highlight w:val="none"/>
              </w:rPr>
              <w:t>打印机、传真机及多功能一体机</w:t>
            </w:r>
          </w:p>
        </w:tc>
      </w:tr>
      <w:tr w14:paraId="794DE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061AA105">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3E214BEB">
            <w:pPr>
              <w:rPr>
                <w:rFonts w:ascii="Arial"/>
                <w:color w:val="auto"/>
                <w:sz w:val="21"/>
                <w:highlight w:val="none"/>
              </w:rPr>
            </w:pPr>
          </w:p>
        </w:tc>
        <w:tc>
          <w:tcPr>
            <w:tcW w:w="2672" w:type="dxa"/>
            <w:vMerge w:val="continue"/>
            <w:tcBorders>
              <w:top w:val="single" w:color="auto" w:sz="4" w:space="0"/>
              <w:left w:val="single" w:color="auto" w:sz="4" w:space="0"/>
              <w:bottom w:val="single" w:color="auto" w:sz="4" w:space="0"/>
              <w:right w:val="single" w:color="auto" w:sz="4" w:space="0"/>
            </w:tcBorders>
            <w:vAlign w:val="top"/>
          </w:tcPr>
          <w:p w14:paraId="53CF0BA8">
            <w:pPr>
              <w:rPr>
                <w:rFonts w:ascii="Arial"/>
                <w:color w:val="auto"/>
                <w:sz w:val="21"/>
                <w:highlight w:val="none"/>
              </w:rPr>
            </w:pPr>
          </w:p>
        </w:tc>
        <w:tc>
          <w:tcPr>
            <w:tcW w:w="2248" w:type="dxa"/>
            <w:tcBorders>
              <w:top w:val="single" w:color="auto" w:sz="4" w:space="0"/>
              <w:left w:val="single" w:color="auto" w:sz="4" w:space="0"/>
              <w:bottom w:val="single" w:color="auto" w:sz="4" w:space="0"/>
              <w:right w:val="single" w:color="auto" w:sz="4" w:space="0"/>
            </w:tcBorders>
            <w:vAlign w:val="top"/>
          </w:tcPr>
          <w:p w14:paraId="342A6BC1">
            <w:pPr>
              <w:pStyle w:val="212"/>
              <w:spacing w:before="64" w:line="219" w:lineRule="auto"/>
              <w:ind w:left="105"/>
              <w:rPr>
                <w:color w:val="auto"/>
                <w:highlight w:val="none"/>
              </w:rPr>
            </w:pPr>
            <w:r>
              <w:rPr>
                <w:color w:val="auto"/>
                <w:highlight w:val="none"/>
              </w:rPr>
              <w:t>A0201060102 激光打印机</w:t>
            </w:r>
          </w:p>
        </w:tc>
        <w:tc>
          <w:tcPr>
            <w:tcW w:w="3543" w:type="dxa"/>
            <w:tcBorders>
              <w:top w:val="single" w:color="auto" w:sz="4" w:space="0"/>
              <w:left w:val="single" w:color="auto" w:sz="4" w:space="0"/>
              <w:bottom w:val="single" w:color="auto" w:sz="4" w:space="0"/>
              <w:right w:val="single" w:color="auto" w:sz="4" w:space="0"/>
            </w:tcBorders>
            <w:vAlign w:val="top"/>
          </w:tcPr>
          <w:p w14:paraId="492DADB3">
            <w:pPr>
              <w:pStyle w:val="212"/>
              <w:spacing w:before="64" w:line="219" w:lineRule="auto"/>
              <w:ind w:left="109"/>
              <w:rPr>
                <w:color w:val="auto"/>
                <w:highlight w:val="none"/>
              </w:rPr>
            </w:pPr>
            <w:r>
              <w:rPr>
                <w:color w:val="auto"/>
                <w:spacing w:val="-1"/>
                <w:highlight w:val="none"/>
              </w:rPr>
              <w:t>HJ2512</w:t>
            </w:r>
            <w:r>
              <w:rPr>
                <w:color w:val="auto"/>
                <w:spacing w:val="-29"/>
                <w:highlight w:val="none"/>
              </w:rPr>
              <w:t xml:space="preserve"> </w:t>
            </w:r>
            <w:r>
              <w:rPr>
                <w:color w:val="auto"/>
                <w:spacing w:val="-1"/>
                <w:highlight w:val="none"/>
              </w:rPr>
              <w:t>打印机、传真机及多功能一体机</w:t>
            </w:r>
          </w:p>
        </w:tc>
      </w:tr>
      <w:tr w14:paraId="2EF80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32A00ED6">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03961196">
            <w:pPr>
              <w:rPr>
                <w:rFonts w:ascii="Arial"/>
                <w:color w:val="auto"/>
                <w:sz w:val="21"/>
                <w:highlight w:val="none"/>
              </w:rPr>
            </w:pPr>
          </w:p>
        </w:tc>
        <w:tc>
          <w:tcPr>
            <w:tcW w:w="2672" w:type="dxa"/>
            <w:vMerge w:val="continue"/>
            <w:tcBorders>
              <w:top w:val="single" w:color="auto" w:sz="4" w:space="0"/>
              <w:left w:val="single" w:color="auto" w:sz="4" w:space="0"/>
              <w:bottom w:val="single" w:color="auto" w:sz="4" w:space="0"/>
              <w:right w:val="single" w:color="auto" w:sz="4" w:space="0"/>
            </w:tcBorders>
            <w:vAlign w:val="top"/>
          </w:tcPr>
          <w:p w14:paraId="51F68492">
            <w:pPr>
              <w:rPr>
                <w:rFonts w:ascii="Arial"/>
                <w:color w:val="auto"/>
                <w:sz w:val="21"/>
                <w:highlight w:val="none"/>
              </w:rPr>
            </w:pPr>
          </w:p>
        </w:tc>
        <w:tc>
          <w:tcPr>
            <w:tcW w:w="2248" w:type="dxa"/>
            <w:tcBorders>
              <w:top w:val="single" w:color="auto" w:sz="4" w:space="0"/>
              <w:left w:val="single" w:color="auto" w:sz="4" w:space="0"/>
              <w:bottom w:val="single" w:color="auto" w:sz="4" w:space="0"/>
              <w:right w:val="single" w:color="auto" w:sz="4" w:space="0"/>
            </w:tcBorders>
            <w:vAlign w:val="top"/>
          </w:tcPr>
          <w:p w14:paraId="40A34612">
            <w:pPr>
              <w:pStyle w:val="212"/>
              <w:spacing w:before="64" w:line="219" w:lineRule="auto"/>
              <w:ind w:left="105"/>
              <w:rPr>
                <w:color w:val="auto"/>
                <w:highlight w:val="none"/>
              </w:rPr>
            </w:pPr>
            <w:r>
              <w:rPr>
                <w:color w:val="auto"/>
                <w:highlight w:val="none"/>
              </w:rPr>
              <w:t>A0201060103 热式打印机</w:t>
            </w:r>
          </w:p>
        </w:tc>
        <w:tc>
          <w:tcPr>
            <w:tcW w:w="3543" w:type="dxa"/>
            <w:tcBorders>
              <w:top w:val="single" w:color="auto" w:sz="4" w:space="0"/>
              <w:left w:val="single" w:color="auto" w:sz="4" w:space="0"/>
              <w:bottom w:val="single" w:color="auto" w:sz="4" w:space="0"/>
              <w:right w:val="single" w:color="auto" w:sz="4" w:space="0"/>
            </w:tcBorders>
            <w:vAlign w:val="top"/>
          </w:tcPr>
          <w:p w14:paraId="75B59CAF">
            <w:pPr>
              <w:pStyle w:val="212"/>
              <w:spacing w:before="64" w:line="219" w:lineRule="auto"/>
              <w:ind w:left="109"/>
              <w:rPr>
                <w:color w:val="auto"/>
                <w:highlight w:val="none"/>
              </w:rPr>
            </w:pPr>
            <w:r>
              <w:rPr>
                <w:color w:val="auto"/>
                <w:spacing w:val="-1"/>
                <w:highlight w:val="none"/>
              </w:rPr>
              <w:t>HJ2512</w:t>
            </w:r>
            <w:r>
              <w:rPr>
                <w:color w:val="auto"/>
                <w:spacing w:val="-29"/>
                <w:highlight w:val="none"/>
              </w:rPr>
              <w:t xml:space="preserve"> </w:t>
            </w:r>
            <w:r>
              <w:rPr>
                <w:color w:val="auto"/>
                <w:spacing w:val="-1"/>
                <w:highlight w:val="none"/>
              </w:rPr>
              <w:t>打印机、传真机及多功能一体机</w:t>
            </w:r>
          </w:p>
        </w:tc>
      </w:tr>
      <w:tr w14:paraId="3F97A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493F545F">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153A9C97">
            <w:pPr>
              <w:rPr>
                <w:rFonts w:ascii="Arial"/>
                <w:color w:val="auto"/>
                <w:sz w:val="21"/>
                <w:highlight w:val="none"/>
              </w:rPr>
            </w:pPr>
          </w:p>
        </w:tc>
        <w:tc>
          <w:tcPr>
            <w:tcW w:w="2672" w:type="dxa"/>
            <w:vMerge w:val="continue"/>
            <w:tcBorders>
              <w:top w:val="single" w:color="auto" w:sz="4" w:space="0"/>
              <w:left w:val="single" w:color="auto" w:sz="4" w:space="0"/>
              <w:bottom w:val="single" w:color="auto" w:sz="4" w:space="0"/>
              <w:right w:val="single" w:color="auto" w:sz="4" w:space="0"/>
            </w:tcBorders>
            <w:vAlign w:val="top"/>
          </w:tcPr>
          <w:p w14:paraId="6E66013F">
            <w:pPr>
              <w:rPr>
                <w:rFonts w:ascii="Arial"/>
                <w:color w:val="auto"/>
                <w:sz w:val="21"/>
                <w:highlight w:val="none"/>
              </w:rPr>
            </w:pPr>
          </w:p>
        </w:tc>
        <w:tc>
          <w:tcPr>
            <w:tcW w:w="2248" w:type="dxa"/>
            <w:tcBorders>
              <w:top w:val="single" w:color="auto" w:sz="4" w:space="0"/>
              <w:left w:val="single" w:color="auto" w:sz="4" w:space="0"/>
              <w:bottom w:val="single" w:color="auto" w:sz="4" w:space="0"/>
              <w:right w:val="single" w:color="auto" w:sz="4" w:space="0"/>
            </w:tcBorders>
            <w:vAlign w:val="top"/>
          </w:tcPr>
          <w:p w14:paraId="6139EF36">
            <w:pPr>
              <w:pStyle w:val="212"/>
              <w:spacing w:before="65" w:line="219" w:lineRule="auto"/>
              <w:ind w:left="105"/>
              <w:rPr>
                <w:color w:val="auto"/>
                <w:highlight w:val="none"/>
              </w:rPr>
            </w:pPr>
            <w:r>
              <w:rPr>
                <w:color w:val="auto"/>
                <w:highlight w:val="none"/>
              </w:rPr>
              <w:t>A0201060104 针式打印机</w:t>
            </w:r>
          </w:p>
        </w:tc>
        <w:tc>
          <w:tcPr>
            <w:tcW w:w="3543" w:type="dxa"/>
            <w:tcBorders>
              <w:top w:val="single" w:color="auto" w:sz="4" w:space="0"/>
              <w:left w:val="single" w:color="auto" w:sz="4" w:space="0"/>
              <w:bottom w:val="single" w:color="auto" w:sz="4" w:space="0"/>
              <w:right w:val="single" w:color="auto" w:sz="4" w:space="0"/>
            </w:tcBorders>
            <w:vAlign w:val="top"/>
          </w:tcPr>
          <w:p w14:paraId="0E43265F">
            <w:pPr>
              <w:pStyle w:val="212"/>
              <w:spacing w:before="64" w:line="219" w:lineRule="auto"/>
              <w:ind w:left="109"/>
              <w:rPr>
                <w:color w:val="auto"/>
                <w:highlight w:val="none"/>
              </w:rPr>
            </w:pPr>
            <w:r>
              <w:rPr>
                <w:color w:val="auto"/>
                <w:spacing w:val="-1"/>
                <w:highlight w:val="none"/>
              </w:rPr>
              <w:t>HJ2512</w:t>
            </w:r>
            <w:r>
              <w:rPr>
                <w:color w:val="auto"/>
                <w:spacing w:val="-29"/>
                <w:highlight w:val="none"/>
              </w:rPr>
              <w:t xml:space="preserve"> </w:t>
            </w:r>
            <w:r>
              <w:rPr>
                <w:color w:val="auto"/>
                <w:spacing w:val="-1"/>
                <w:highlight w:val="none"/>
              </w:rPr>
              <w:t>打印机、传真机及多功能一体机</w:t>
            </w:r>
          </w:p>
        </w:tc>
      </w:tr>
      <w:tr w14:paraId="18564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196689D3">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026152ED">
            <w:pPr>
              <w:rPr>
                <w:rFonts w:ascii="Arial"/>
                <w:color w:val="auto"/>
                <w:sz w:val="21"/>
                <w:highlight w:val="none"/>
              </w:rPr>
            </w:pPr>
          </w:p>
        </w:tc>
        <w:tc>
          <w:tcPr>
            <w:tcW w:w="2672" w:type="dxa"/>
            <w:vMerge w:val="restart"/>
            <w:tcBorders>
              <w:top w:val="single" w:color="auto" w:sz="4" w:space="0"/>
              <w:left w:val="single" w:color="auto" w:sz="4" w:space="0"/>
              <w:bottom w:val="single" w:color="auto" w:sz="4" w:space="0"/>
              <w:right w:val="single" w:color="auto" w:sz="4" w:space="0"/>
            </w:tcBorders>
            <w:vAlign w:val="top"/>
          </w:tcPr>
          <w:p w14:paraId="2BE9A888">
            <w:pPr>
              <w:pStyle w:val="212"/>
              <w:spacing w:before="64" w:line="222" w:lineRule="auto"/>
              <w:ind w:left="103"/>
              <w:rPr>
                <w:color w:val="auto"/>
                <w:highlight w:val="none"/>
              </w:rPr>
            </w:pPr>
            <w:r>
              <w:rPr>
                <w:color w:val="auto"/>
                <w:highlight w:val="none"/>
              </w:rPr>
              <w:t>A02010604 显示设备</w:t>
            </w:r>
          </w:p>
        </w:tc>
        <w:tc>
          <w:tcPr>
            <w:tcW w:w="2248" w:type="dxa"/>
            <w:tcBorders>
              <w:top w:val="single" w:color="auto" w:sz="4" w:space="0"/>
              <w:left w:val="single" w:color="auto" w:sz="4" w:space="0"/>
              <w:bottom w:val="single" w:color="auto" w:sz="4" w:space="0"/>
              <w:right w:val="single" w:color="auto" w:sz="4" w:space="0"/>
            </w:tcBorders>
            <w:vAlign w:val="top"/>
          </w:tcPr>
          <w:p w14:paraId="56C53EEC">
            <w:pPr>
              <w:pStyle w:val="212"/>
              <w:spacing w:before="64" w:line="221" w:lineRule="auto"/>
              <w:ind w:left="105"/>
              <w:rPr>
                <w:color w:val="auto"/>
                <w:highlight w:val="none"/>
              </w:rPr>
            </w:pPr>
            <w:r>
              <w:rPr>
                <w:color w:val="auto"/>
                <w:highlight w:val="none"/>
              </w:rPr>
              <w:t>A0201060401 液晶显示器</w:t>
            </w:r>
          </w:p>
        </w:tc>
        <w:tc>
          <w:tcPr>
            <w:tcW w:w="3543" w:type="dxa"/>
            <w:tcBorders>
              <w:top w:val="single" w:color="auto" w:sz="4" w:space="0"/>
              <w:left w:val="single" w:color="auto" w:sz="4" w:space="0"/>
              <w:bottom w:val="single" w:color="auto" w:sz="4" w:space="0"/>
              <w:right w:val="single" w:color="auto" w:sz="4" w:space="0"/>
            </w:tcBorders>
            <w:vAlign w:val="top"/>
          </w:tcPr>
          <w:p w14:paraId="6E7A0CFC">
            <w:pPr>
              <w:pStyle w:val="212"/>
              <w:spacing w:before="64"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5B486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0F2EB8AF">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3C6D1D1D">
            <w:pPr>
              <w:rPr>
                <w:rFonts w:ascii="Arial"/>
                <w:color w:val="auto"/>
                <w:sz w:val="21"/>
                <w:highlight w:val="none"/>
              </w:rPr>
            </w:pPr>
          </w:p>
        </w:tc>
        <w:tc>
          <w:tcPr>
            <w:tcW w:w="2672" w:type="dxa"/>
            <w:vMerge w:val="continue"/>
            <w:tcBorders>
              <w:top w:val="single" w:color="auto" w:sz="4" w:space="0"/>
              <w:left w:val="single" w:color="auto" w:sz="4" w:space="0"/>
              <w:bottom w:val="single" w:color="auto" w:sz="4" w:space="0"/>
              <w:right w:val="single" w:color="auto" w:sz="4" w:space="0"/>
            </w:tcBorders>
            <w:vAlign w:val="top"/>
          </w:tcPr>
          <w:p w14:paraId="15C930B2">
            <w:pPr>
              <w:rPr>
                <w:rFonts w:ascii="Arial"/>
                <w:color w:val="auto"/>
                <w:sz w:val="21"/>
                <w:highlight w:val="none"/>
              </w:rPr>
            </w:pPr>
          </w:p>
        </w:tc>
        <w:tc>
          <w:tcPr>
            <w:tcW w:w="2248" w:type="dxa"/>
            <w:tcBorders>
              <w:top w:val="single" w:color="auto" w:sz="4" w:space="0"/>
              <w:left w:val="single" w:color="auto" w:sz="4" w:space="0"/>
              <w:bottom w:val="single" w:color="auto" w:sz="4" w:space="0"/>
              <w:right w:val="single" w:color="auto" w:sz="4" w:space="0"/>
            </w:tcBorders>
            <w:vAlign w:val="top"/>
          </w:tcPr>
          <w:p w14:paraId="13E3C0AE">
            <w:pPr>
              <w:pStyle w:val="212"/>
              <w:spacing w:before="64" w:line="221" w:lineRule="auto"/>
              <w:ind w:left="105"/>
              <w:rPr>
                <w:color w:val="auto"/>
                <w:highlight w:val="none"/>
              </w:rPr>
            </w:pPr>
            <w:r>
              <w:rPr>
                <w:color w:val="auto"/>
                <w:highlight w:val="none"/>
              </w:rPr>
              <w:t>A0201060499 其他显示器</w:t>
            </w:r>
          </w:p>
        </w:tc>
        <w:tc>
          <w:tcPr>
            <w:tcW w:w="3543" w:type="dxa"/>
            <w:tcBorders>
              <w:top w:val="single" w:color="auto" w:sz="4" w:space="0"/>
              <w:left w:val="single" w:color="auto" w:sz="4" w:space="0"/>
              <w:bottom w:val="single" w:color="auto" w:sz="4" w:space="0"/>
              <w:right w:val="single" w:color="auto" w:sz="4" w:space="0"/>
            </w:tcBorders>
            <w:vAlign w:val="top"/>
          </w:tcPr>
          <w:p w14:paraId="1912BFA5">
            <w:pPr>
              <w:pStyle w:val="212"/>
              <w:spacing w:before="63"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490F1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7C489C00">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4B5CC7B6">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5402E358">
            <w:pPr>
              <w:pStyle w:val="212"/>
              <w:spacing w:before="64" w:line="220" w:lineRule="auto"/>
              <w:ind w:left="103"/>
              <w:rPr>
                <w:color w:val="auto"/>
                <w:highlight w:val="none"/>
              </w:rPr>
            </w:pPr>
            <w:r>
              <w:rPr>
                <w:color w:val="auto"/>
                <w:spacing w:val="-2"/>
                <w:highlight w:val="none"/>
              </w:rPr>
              <w:t>A02010609</w:t>
            </w:r>
            <w:r>
              <w:rPr>
                <w:color w:val="auto"/>
                <w:spacing w:val="-9"/>
                <w:highlight w:val="none"/>
              </w:rPr>
              <w:t xml:space="preserve"> </w:t>
            </w:r>
            <w:r>
              <w:rPr>
                <w:color w:val="auto"/>
                <w:spacing w:val="-2"/>
                <w:highlight w:val="none"/>
              </w:rPr>
              <w:t>图形图像输入设备</w:t>
            </w:r>
          </w:p>
        </w:tc>
        <w:tc>
          <w:tcPr>
            <w:tcW w:w="2248" w:type="dxa"/>
            <w:tcBorders>
              <w:top w:val="single" w:color="auto" w:sz="4" w:space="0"/>
              <w:left w:val="single" w:color="auto" w:sz="4" w:space="0"/>
              <w:bottom w:val="single" w:color="auto" w:sz="4" w:space="0"/>
              <w:right w:val="single" w:color="auto" w:sz="4" w:space="0"/>
            </w:tcBorders>
            <w:vAlign w:val="top"/>
          </w:tcPr>
          <w:p w14:paraId="248DC2C8">
            <w:pPr>
              <w:pStyle w:val="212"/>
              <w:spacing w:before="64" w:line="220" w:lineRule="auto"/>
              <w:ind w:left="105"/>
              <w:rPr>
                <w:color w:val="auto"/>
                <w:highlight w:val="none"/>
              </w:rPr>
            </w:pPr>
            <w:r>
              <w:rPr>
                <w:color w:val="auto"/>
                <w:highlight w:val="none"/>
              </w:rPr>
              <w:t>A0201060901 扫描仪</w:t>
            </w:r>
          </w:p>
        </w:tc>
        <w:tc>
          <w:tcPr>
            <w:tcW w:w="3543" w:type="dxa"/>
            <w:tcBorders>
              <w:top w:val="single" w:color="auto" w:sz="4" w:space="0"/>
              <w:left w:val="single" w:color="auto" w:sz="4" w:space="0"/>
              <w:bottom w:val="single" w:color="auto" w:sz="4" w:space="0"/>
              <w:right w:val="single" w:color="auto" w:sz="4" w:space="0"/>
            </w:tcBorders>
            <w:vAlign w:val="top"/>
          </w:tcPr>
          <w:p w14:paraId="5359BA85">
            <w:pPr>
              <w:pStyle w:val="212"/>
              <w:spacing w:before="64" w:line="219" w:lineRule="auto"/>
              <w:ind w:left="109"/>
              <w:rPr>
                <w:color w:val="auto"/>
                <w:highlight w:val="none"/>
              </w:rPr>
            </w:pPr>
            <w:r>
              <w:rPr>
                <w:color w:val="auto"/>
                <w:spacing w:val="-1"/>
                <w:highlight w:val="none"/>
              </w:rPr>
              <w:t>HJ2517</w:t>
            </w:r>
            <w:r>
              <w:rPr>
                <w:color w:val="auto"/>
                <w:spacing w:val="-34"/>
                <w:highlight w:val="none"/>
              </w:rPr>
              <w:t xml:space="preserve"> </w:t>
            </w:r>
            <w:r>
              <w:rPr>
                <w:color w:val="auto"/>
                <w:spacing w:val="-1"/>
                <w:highlight w:val="none"/>
              </w:rPr>
              <w:t>扫描仪</w:t>
            </w:r>
          </w:p>
        </w:tc>
      </w:tr>
      <w:tr w14:paraId="0D764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tcBorders>
              <w:top w:val="single" w:color="auto" w:sz="4" w:space="0"/>
              <w:left w:val="single" w:color="auto" w:sz="4" w:space="0"/>
              <w:bottom w:val="single" w:color="auto" w:sz="4" w:space="0"/>
              <w:right w:val="single" w:color="auto" w:sz="4" w:space="0"/>
            </w:tcBorders>
            <w:vAlign w:val="top"/>
          </w:tcPr>
          <w:p w14:paraId="174B4DA0">
            <w:pPr>
              <w:pStyle w:val="212"/>
              <w:spacing w:before="64"/>
              <w:ind w:left="118"/>
              <w:rPr>
                <w:color w:val="auto"/>
                <w:highlight w:val="none"/>
              </w:rPr>
            </w:pPr>
            <w:r>
              <w:rPr>
                <w:color w:val="auto"/>
                <w:highlight w:val="none"/>
              </w:rPr>
              <w:t>3</w:t>
            </w:r>
          </w:p>
        </w:tc>
        <w:tc>
          <w:tcPr>
            <w:tcW w:w="1542" w:type="dxa"/>
            <w:tcBorders>
              <w:top w:val="single" w:color="auto" w:sz="4" w:space="0"/>
              <w:left w:val="single" w:color="auto" w:sz="4" w:space="0"/>
              <w:bottom w:val="single" w:color="auto" w:sz="4" w:space="0"/>
              <w:right w:val="single" w:color="auto" w:sz="4" w:space="0"/>
            </w:tcBorders>
            <w:vAlign w:val="top"/>
          </w:tcPr>
          <w:p w14:paraId="093DC6B6">
            <w:pPr>
              <w:pStyle w:val="212"/>
              <w:spacing w:before="64" w:line="220" w:lineRule="auto"/>
              <w:ind w:left="102"/>
              <w:rPr>
                <w:color w:val="auto"/>
                <w:highlight w:val="none"/>
              </w:rPr>
            </w:pPr>
            <w:r>
              <w:rPr>
                <w:color w:val="auto"/>
                <w:spacing w:val="-1"/>
                <w:highlight w:val="none"/>
              </w:rPr>
              <w:t>A020202</w:t>
            </w:r>
            <w:r>
              <w:rPr>
                <w:color w:val="auto"/>
                <w:spacing w:val="-33"/>
                <w:highlight w:val="none"/>
              </w:rPr>
              <w:t xml:space="preserve"> </w:t>
            </w:r>
            <w:r>
              <w:rPr>
                <w:color w:val="auto"/>
                <w:spacing w:val="-1"/>
                <w:highlight w:val="none"/>
              </w:rPr>
              <w:t>投影仪</w:t>
            </w:r>
          </w:p>
        </w:tc>
        <w:tc>
          <w:tcPr>
            <w:tcW w:w="2672" w:type="dxa"/>
            <w:tcBorders>
              <w:top w:val="single" w:color="auto" w:sz="4" w:space="0"/>
              <w:left w:val="single" w:color="auto" w:sz="4" w:space="0"/>
              <w:bottom w:val="single" w:color="auto" w:sz="4" w:space="0"/>
              <w:right w:val="single" w:color="auto" w:sz="4" w:space="0"/>
            </w:tcBorders>
            <w:vAlign w:val="top"/>
          </w:tcPr>
          <w:p w14:paraId="47E6A5AF">
            <w:pPr>
              <w:rPr>
                <w:rFonts w:ascii="Arial"/>
                <w:color w:val="auto"/>
                <w:sz w:val="21"/>
                <w:highlight w:val="none"/>
              </w:rPr>
            </w:pPr>
          </w:p>
        </w:tc>
        <w:tc>
          <w:tcPr>
            <w:tcW w:w="2248" w:type="dxa"/>
            <w:tcBorders>
              <w:top w:val="single" w:color="auto" w:sz="4" w:space="0"/>
              <w:left w:val="single" w:color="auto" w:sz="4" w:space="0"/>
              <w:bottom w:val="single" w:color="auto" w:sz="4" w:space="0"/>
              <w:right w:val="single" w:color="auto" w:sz="4" w:space="0"/>
            </w:tcBorders>
            <w:vAlign w:val="top"/>
          </w:tcPr>
          <w:p w14:paraId="77787557">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68D4D474">
            <w:pPr>
              <w:pStyle w:val="212"/>
              <w:spacing w:before="64" w:line="219" w:lineRule="auto"/>
              <w:ind w:left="109"/>
              <w:rPr>
                <w:color w:val="auto"/>
                <w:highlight w:val="none"/>
              </w:rPr>
            </w:pPr>
            <w:r>
              <w:rPr>
                <w:color w:val="auto"/>
                <w:spacing w:val="-1"/>
                <w:highlight w:val="none"/>
              </w:rPr>
              <w:t>HJ2516</w:t>
            </w:r>
            <w:r>
              <w:rPr>
                <w:color w:val="auto"/>
                <w:spacing w:val="-34"/>
                <w:highlight w:val="none"/>
              </w:rPr>
              <w:t xml:space="preserve"> </w:t>
            </w:r>
            <w:r>
              <w:rPr>
                <w:color w:val="auto"/>
                <w:spacing w:val="-1"/>
                <w:highlight w:val="none"/>
              </w:rPr>
              <w:t>投影仪</w:t>
            </w:r>
          </w:p>
        </w:tc>
      </w:tr>
      <w:tr w14:paraId="5D238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tcBorders>
              <w:top w:val="single" w:color="auto" w:sz="4" w:space="0"/>
              <w:left w:val="single" w:color="auto" w:sz="4" w:space="0"/>
              <w:bottom w:val="single" w:color="auto" w:sz="4" w:space="0"/>
              <w:right w:val="single" w:color="auto" w:sz="4" w:space="0"/>
            </w:tcBorders>
            <w:vAlign w:val="top"/>
          </w:tcPr>
          <w:p w14:paraId="04E1DC29">
            <w:pPr>
              <w:pStyle w:val="212"/>
              <w:spacing w:before="64" w:line="242" w:lineRule="auto"/>
              <w:ind w:left="114"/>
              <w:rPr>
                <w:color w:val="auto"/>
                <w:highlight w:val="none"/>
              </w:rPr>
            </w:pPr>
            <w:r>
              <w:rPr>
                <w:color w:val="auto"/>
                <w:highlight w:val="none"/>
              </w:rPr>
              <w:t>4</w:t>
            </w:r>
          </w:p>
        </w:tc>
        <w:tc>
          <w:tcPr>
            <w:tcW w:w="1542" w:type="dxa"/>
            <w:tcBorders>
              <w:top w:val="single" w:color="auto" w:sz="4" w:space="0"/>
              <w:left w:val="single" w:color="auto" w:sz="4" w:space="0"/>
              <w:bottom w:val="single" w:color="auto" w:sz="4" w:space="0"/>
              <w:right w:val="single" w:color="auto" w:sz="4" w:space="0"/>
            </w:tcBorders>
            <w:vAlign w:val="top"/>
          </w:tcPr>
          <w:p w14:paraId="646BDCAC">
            <w:pPr>
              <w:pStyle w:val="212"/>
              <w:spacing w:before="64" w:line="219" w:lineRule="auto"/>
              <w:ind w:left="102"/>
              <w:rPr>
                <w:color w:val="auto"/>
                <w:highlight w:val="none"/>
              </w:rPr>
            </w:pPr>
            <w:r>
              <w:rPr>
                <w:color w:val="auto"/>
                <w:spacing w:val="-1"/>
                <w:highlight w:val="none"/>
              </w:rPr>
              <w:t>A020201</w:t>
            </w:r>
            <w:r>
              <w:rPr>
                <w:color w:val="auto"/>
                <w:spacing w:val="-32"/>
                <w:highlight w:val="none"/>
              </w:rPr>
              <w:t xml:space="preserve"> </w:t>
            </w:r>
            <w:r>
              <w:rPr>
                <w:color w:val="auto"/>
                <w:spacing w:val="-1"/>
                <w:highlight w:val="none"/>
              </w:rPr>
              <w:t>复印机</w:t>
            </w:r>
          </w:p>
        </w:tc>
        <w:tc>
          <w:tcPr>
            <w:tcW w:w="2672" w:type="dxa"/>
            <w:tcBorders>
              <w:top w:val="single" w:color="auto" w:sz="4" w:space="0"/>
              <w:left w:val="single" w:color="auto" w:sz="4" w:space="0"/>
              <w:bottom w:val="single" w:color="auto" w:sz="4" w:space="0"/>
              <w:right w:val="single" w:color="auto" w:sz="4" w:space="0"/>
            </w:tcBorders>
            <w:vAlign w:val="top"/>
          </w:tcPr>
          <w:p w14:paraId="2CCBF178">
            <w:pPr>
              <w:rPr>
                <w:rFonts w:ascii="Arial"/>
                <w:color w:val="auto"/>
                <w:sz w:val="21"/>
                <w:highlight w:val="none"/>
              </w:rPr>
            </w:pPr>
          </w:p>
        </w:tc>
        <w:tc>
          <w:tcPr>
            <w:tcW w:w="2248" w:type="dxa"/>
            <w:tcBorders>
              <w:top w:val="single" w:color="auto" w:sz="4" w:space="0"/>
              <w:left w:val="single" w:color="auto" w:sz="4" w:space="0"/>
              <w:bottom w:val="single" w:color="auto" w:sz="4" w:space="0"/>
              <w:right w:val="single" w:color="auto" w:sz="4" w:space="0"/>
            </w:tcBorders>
            <w:vAlign w:val="top"/>
          </w:tcPr>
          <w:p w14:paraId="519F0800">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09C4AC9C">
            <w:pPr>
              <w:pStyle w:val="212"/>
              <w:spacing w:before="64" w:line="219" w:lineRule="auto"/>
              <w:ind w:left="109"/>
              <w:rPr>
                <w:color w:val="auto"/>
                <w:highlight w:val="none"/>
              </w:rPr>
            </w:pPr>
            <w:r>
              <w:rPr>
                <w:color w:val="auto"/>
                <w:highlight w:val="none"/>
              </w:rPr>
              <w:t>HJ424 数字式复印（包括多功能）设备</w:t>
            </w:r>
          </w:p>
        </w:tc>
      </w:tr>
      <w:tr w14:paraId="02A6A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Borders>
              <w:top w:val="single" w:color="auto" w:sz="4" w:space="0"/>
              <w:left w:val="single" w:color="auto" w:sz="4" w:space="0"/>
              <w:bottom w:val="single" w:color="auto" w:sz="4" w:space="0"/>
              <w:right w:val="single" w:color="auto" w:sz="4" w:space="0"/>
            </w:tcBorders>
            <w:vAlign w:val="top"/>
          </w:tcPr>
          <w:p w14:paraId="593DF631">
            <w:pPr>
              <w:pStyle w:val="212"/>
              <w:spacing w:before="65"/>
              <w:ind w:left="118"/>
              <w:rPr>
                <w:color w:val="auto"/>
                <w:highlight w:val="none"/>
              </w:rPr>
            </w:pPr>
            <w:r>
              <w:rPr>
                <w:color w:val="auto"/>
                <w:highlight w:val="none"/>
              </w:rPr>
              <w:t>5</w:t>
            </w:r>
          </w:p>
        </w:tc>
        <w:tc>
          <w:tcPr>
            <w:tcW w:w="1542" w:type="dxa"/>
            <w:tcBorders>
              <w:top w:val="single" w:color="auto" w:sz="4" w:space="0"/>
              <w:left w:val="single" w:color="auto" w:sz="4" w:space="0"/>
              <w:bottom w:val="single" w:color="auto" w:sz="4" w:space="0"/>
              <w:right w:val="single" w:color="auto" w:sz="4" w:space="0"/>
            </w:tcBorders>
            <w:vAlign w:val="top"/>
          </w:tcPr>
          <w:p w14:paraId="6AA7F443">
            <w:pPr>
              <w:pStyle w:val="212"/>
              <w:spacing w:before="64" w:line="284" w:lineRule="auto"/>
              <w:ind w:left="110" w:right="108" w:hanging="8"/>
              <w:rPr>
                <w:color w:val="auto"/>
                <w:highlight w:val="none"/>
              </w:rPr>
            </w:pPr>
            <w:r>
              <w:rPr>
                <w:color w:val="auto"/>
                <w:spacing w:val="2"/>
                <w:highlight w:val="none"/>
              </w:rPr>
              <w:t>A020204</w:t>
            </w:r>
            <w:r>
              <w:rPr>
                <w:color w:val="auto"/>
                <w:spacing w:val="44"/>
                <w:highlight w:val="none"/>
              </w:rPr>
              <w:t xml:space="preserve"> </w:t>
            </w:r>
            <w:r>
              <w:rPr>
                <w:color w:val="auto"/>
                <w:spacing w:val="2"/>
                <w:highlight w:val="none"/>
              </w:rPr>
              <w:t>多功能</w:t>
            </w:r>
            <w:r>
              <w:rPr>
                <w:color w:val="auto"/>
                <w:highlight w:val="none"/>
              </w:rPr>
              <w:t xml:space="preserve"> </w:t>
            </w:r>
            <w:r>
              <w:rPr>
                <w:color w:val="auto"/>
                <w:spacing w:val="-4"/>
                <w:highlight w:val="none"/>
              </w:rPr>
              <w:t>一体机</w:t>
            </w:r>
          </w:p>
        </w:tc>
        <w:tc>
          <w:tcPr>
            <w:tcW w:w="2672" w:type="dxa"/>
            <w:tcBorders>
              <w:top w:val="single" w:color="auto" w:sz="4" w:space="0"/>
              <w:left w:val="single" w:color="auto" w:sz="4" w:space="0"/>
              <w:bottom w:val="single" w:color="auto" w:sz="4" w:space="0"/>
              <w:right w:val="single" w:color="auto" w:sz="4" w:space="0"/>
            </w:tcBorders>
            <w:vAlign w:val="top"/>
          </w:tcPr>
          <w:p w14:paraId="62E7C00D">
            <w:pPr>
              <w:rPr>
                <w:rFonts w:ascii="Arial"/>
                <w:color w:val="auto"/>
                <w:sz w:val="21"/>
                <w:highlight w:val="none"/>
              </w:rPr>
            </w:pPr>
          </w:p>
        </w:tc>
        <w:tc>
          <w:tcPr>
            <w:tcW w:w="2248" w:type="dxa"/>
            <w:tcBorders>
              <w:top w:val="single" w:color="auto" w:sz="4" w:space="0"/>
              <w:left w:val="single" w:color="auto" w:sz="4" w:space="0"/>
              <w:bottom w:val="single" w:color="auto" w:sz="4" w:space="0"/>
              <w:right w:val="single" w:color="auto" w:sz="4" w:space="0"/>
            </w:tcBorders>
            <w:vAlign w:val="top"/>
          </w:tcPr>
          <w:p w14:paraId="529157F6">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3B112540">
            <w:pPr>
              <w:pStyle w:val="212"/>
              <w:spacing w:before="64" w:line="219" w:lineRule="auto"/>
              <w:ind w:left="109"/>
              <w:rPr>
                <w:color w:val="auto"/>
                <w:highlight w:val="none"/>
              </w:rPr>
            </w:pPr>
            <w:r>
              <w:rPr>
                <w:color w:val="auto"/>
                <w:highlight w:val="none"/>
              </w:rPr>
              <w:t>HJ424 数字式复印（包括多功能）设备</w:t>
            </w:r>
          </w:p>
        </w:tc>
      </w:tr>
      <w:tr w14:paraId="17566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583" w:type="dxa"/>
            <w:tcBorders>
              <w:top w:val="single" w:color="auto" w:sz="4" w:space="0"/>
              <w:left w:val="single" w:color="auto" w:sz="4" w:space="0"/>
              <w:bottom w:val="single" w:color="auto" w:sz="4" w:space="0"/>
              <w:right w:val="single" w:color="auto" w:sz="4" w:space="0"/>
            </w:tcBorders>
            <w:vAlign w:val="top"/>
          </w:tcPr>
          <w:p w14:paraId="78E6A396">
            <w:pPr>
              <w:pStyle w:val="212"/>
              <w:spacing w:before="65"/>
              <w:ind w:left="116"/>
              <w:rPr>
                <w:color w:val="auto"/>
                <w:highlight w:val="none"/>
              </w:rPr>
            </w:pPr>
            <w:r>
              <w:rPr>
                <w:color w:val="auto"/>
                <w:highlight w:val="none"/>
              </w:rPr>
              <w:t>6</w:t>
            </w:r>
          </w:p>
        </w:tc>
        <w:tc>
          <w:tcPr>
            <w:tcW w:w="1542" w:type="dxa"/>
            <w:tcBorders>
              <w:top w:val="single" w:color="auto" w:sz="4" w:space="0"/>
              <w:left w:val="single" w:color="auto" w:sz="4" w:space="0"/>
              <w:bottom w:val="single" w:color="auto" w:sz="4" w:space="0"/>
              <w:right w:val="single" w:color="auto" w:sz="4" w:space="0"/>
            </w:tcBorders>
            <w:vAlign w:val="top"/>
          </w:tcPr>
          <w:p w14:paraId="224197F9">
            <w:pPr>
              <w:pStyle w:val="212"/>
              <w:spacing w:before="66" w:line="283" w:lineRule="auto"/>
              <w:ind w:left="109" w:right="108" w:hanging="7"/>
              <w:rPr>
                <w:color w:val="auto"/>
                <w:highlight w:val="none"/>
              </w:rPr>
            </w:pPr>
            <w:r>
              <w:rPr>
                <w:color w:val="auto"/>
                <w:spacing w:val="-1"/>
                <w:highlight w:val="none"/>
              </w:rPr>
              <w:t>A020210</w:t>
            </w:r>
            <w:r>
              <w:rPr>
                <w:color w:val="auto"/>
                <w:spacing w:val="32"/>
                <w:highlight w:val="none"/>
              </w:rPr>
              <w:t xml:space="preserve"> </w:t>
            </w:r>
            <w:r>
              <w:rPr>
                <w:color w:val="auto"/>
                <w:spacing w:val="-1"/>
                <w:highlight w:val="none"/>
              </w:rPr>
              <w:t>文</w:t>
            </w:r>
            <w:r>
              <w:rPr>
                <w:color w:val="auto"/>
                <w:spacing w:val="-48"/>
                <w:highlight w:val="none"/>
              </w:rPr>
              <w:t xml:space="preserve"> </w:t>
            </w:r>
            <w:r>
              <w:rPr>
                <w:color w:val="auto"/>
                <w:spacing w:val="-1"/>
                <w:highlight w:val="none"/>
              </w:rPr>
              <w:t>印设</w:t>
            </w:r>
            <w:r>
              <w:rPr>
                <w:color w:val="auto"/>
                <w:highlight w:val="none"/>
              </w:rPr>
              <w:t xml:space="preserve"> 备</w:t>
            </w:r>
          </w:p>
        </w:tc>
        <w:tc>
          <w:tcPr>
            <w:tcW w:w="2672" w:type="dxa"/>
            <w:tcBorders>
              <w:top w:val="single" w:color="auto" w:sz="4" w:space="0"/>
              <w:left w:val="single" w:color="auto" w:sz="4" w:space="0"/>
              <w:bottom w:val="single" w:color="auto" w:sz="4" w:space="0"/>
              <w:right w:val="single" w:color="auto" w:sz="4" w:space="0"/>
            </w:tcBorders>
            <w:vAlign w:val="top"/>
          </w:tcPr>
          <w:p w14:paraId="15811672">
            <w:pPr>
              <w:pStyle w:val="212"/>
              <w:spacing w:before="65" w:line="219" w:lineRule="auto"/>
              <w:ind w:left="103"/>
              <w:rPr>
                <w:color w:val="auto"/>
                <w:highlight w:val="none"/>
              </w:rPr>
            </w:pPr>
            <w:r>
              <w:rPr>
                <w:color w:val="auto"/>
                <w:highlight w:val="none"/>
              </w:rPr>
              <w:t>A02021001 速印机</w:t>
            </w:r>
          </w:p>
        </w:tc>
        <w:tc>
          <w:tcPr>
            <w:tcW w:w="2248" w:type="dxa"/>
            <w:tcBorders>
              <w:top w:val="single" w:color="auto" w:sz="4" w:space="0"/>
              <w:left w:val="single" w:color="auto" w:sz="4" w:space="0"/>
              <w:bottom w:val="single" w:color="auto" w:sz="4" w:space="0"/>
              <w:right w:val="single" w:color="auto" w:sz="4" w:space="0"/>
            </w:tcBorders>
            <w:vAlign w:val="top"/>
          </w:tcPr>
          <w:p w14:paraId="704445D9">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7A0D4053">
            <w:pPr>
              <w:pStyle w:val="212"/>
              <w:spacing w:before="65" w:line="219" w:lineRule="auto"/>
              <w:ind w:left="109"/>
              <w:rPr>
                <w:color w:val="auto"/>
                <w:highlight w:val="none"/>
              </w:rPr>
            </w:pPr>
            <w:r>
              <w:rPr>
                <w:color w:val="auto"/>
                <w:spacing w:val="-1"/>
                <w:highlight w:val="none"/>
              </w:rPr>
              <w:t>HJ472 数字式一体化速印机</w:t>
            </w:r>
          </w:p>
        </w:tc>
      </w:tr>
      <w:tr w14:paraId="17686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583" w:type="dxa"/>
            <w:tcBorders>
              <w:top w:val="single" w:color="auto" w:sz="4" w:space="0"/>
              <w:left w:val="single" w:color="auto" w:sz="4" w:space="0"/>
              <w:bottom w:val="single" w:color="auto" w:sz="4" w:space="0"/>
              <w:right w:val="single" w:color="auto" w:sz="4" w:space="0"/>
            </w:tcBorders>
            <w:vAlign w:val="top"/>
          </w:tcPr>
          <w:p w14:paraId="324220DC">
            <w:pPr>
              <w:pStyle w:val="212"/>
              <w:spacing w:before="66"/>
              <w:ind w:left="119"/>
              <w:rPr>
                <w:color w:val="auto"/>
                <w:highlight w:val="none"/>
              </w:rPr>
            </w:pPr>
            <w:r>
              <w:rPr>
                <w:color w:val="auto"/>
                <w:highlight w:val="none"/>
              </w:rPr>
              <w:t>7</w:t>
            </w:r>
          </w:p>
        </w:tc>
        <w:tc>
          <w:tcPr>
            <w:tcW w:w="1542" w:type="dxa"/>
            <w:tcBorders>
              <w:top w:val="single" w:color="auto" w:sz="4" w:space="0"/>
              <w:left w:val="single" w:color="auto" w:sz="4" w:space="0"/>
              <w:bottom w:val="single" w:color="auto" w:sz="4" w:space="0"/>
              <w:right w:val="single" w:color="auto" w:sz="4" w:space="0"/>
            </w:tcBorders>
            <w:vAlign w:val="top"/>
          </w:tcPr>
          <w:p w14:paraId="7FF68FD9">
            <w:pPr>
              <w:pStyle w:val="212"/>
              <w:spacing w:before="67" w:line="301" w:lineRule="auto"/>
              <w:ind w:left="109" w:right="32" w:hanging="7"/>
              <w:rPr>
                <w:color w:val="auto"/>
                <w:highlight w:val="none"/>
              </w:rPr>
            </w:pPr>
            <w:r>
              <w:rPr>
                <w:color w:val="auto"/>
                <w:spacing w:val="3"/>
                <w:highlight w:val="none"/>
              </w:rPr>
              <w:t>A020301</w:t>
            </w:r>
            <w:r>
              <w:rPr>
                <w:color w:val="auto"/>
                <w:spacing w:val="34"/>
                <w:highlight w:val="none"/>
              </w:rPr>
              <w:t xml:space="preserve"> </w:t>
            </w:r>
            <w:r>
              <w:rPr>
                <w:color w:val="auto"/>
                <w:spacing w:val="3"/>
                <w:highlight w:val="none"/>
              </w:rPr>
              <w:t>载货汽</w:t>
            </w:r>
            <w:r>
              <w:rPr>
                <w:color w:val="auto"/>
                <w:highlight w:val="none"/>
              </w:rPr>
              <w:t xml:space="preserve">  </w:t>
            </w:r>
            <w:r>
              <w:rPr>
                <w:color w:val="auto"/>
                <w:spacing w:val="-6"/>
                <w:highlight w:val="none"/>
              </w:rPr>
              <w:t>车（含自卸汽车）</w:t>
            </w:r>
          </w:p>
        </w:tc>
        <w:tc>
          <w:tcPr>
            <w:tcW w:w="2672" w:type="dxa"/>
            <w:tcBorders>
              <w:top w:val="single" w:color="auto" w:sz="4" w:space="0"/>
              <w:left w:val="single" w:color="auto" w:sz="4" w:space="0"/>
              <w:bottom w:val="single" w:color="auto" w:sz="4" w:space="0"/>
              <w:right w:val="single" w:color="auto" w:sz="4" w:space="0"/>
            </w:tcBorders>
            <w:vAlign w:val="top"/>
          </w:tcPr>
          <w:p w14:paraId="32E2E777">
            <w:pPr>
              <w:rPr>
                <w:rFonts w:ascii="Arial"/>
                <w:color w:val="auto"/>
                <w:sz w:val="21"/>
                <w:highlight w:val="none"/>
              </w:rPr>
            </w:pPr>
          </w:p>
        </w:tc>
        <w:tc>
          <w:tcPr>
            <w:tcW w:w="2248" w:type="dxa"/>
            <w:tcBorders>
              <w:top w:val="single" w:color="auto" w:sz="4" w:space="0"/>
              <w:left w:val="single" w:color="auto" w:sz="4" w:space="0"/>
              <w:bottom w:val="single" w:color="auto" w:sz="4" w:space="0"/>
              <w:right w:val="single" w:color="auto" w:sz="4" w:space="0"/>
            </w:tcBorders>
            <w:vAlign w:val="top"/>
          </w:tcPr>
          <w:p w14:paraId="180782C2">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612A7A2C">
            <w:pPr>
              <w:pStyle w:val="212"/>
              <w:spacing w:before="65" w:line="219" w:lineRule="auto"/>
              <w:ind w:left="109"/>
              <w:rPr>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6F196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583" w:type="dxa"/>
            <w:vMerge w:val="restart"/>
            <w:tcBorders>
              <w:top w:val="single" w:color="auto" w:sz="4" w:space="0"/>
              <w:left w:val="single" w:color="auto" w:sz="4" w:space="0"/>
              <w:bottom w:val="single" w:color="auto" w:sz="4" w:space="0"/>
              <w:right w:val="single" w:color="auto" w:sz="4" w:space="0"/>
            </w:tcBorders>
            <w:vAlign w:val="top"/>
          </w:tcPr>
          <w:p w14:paraId="22CD03D4">
            <w:pPr>
              <w:pStyle w:val="212"/>
              <w:spacing w:before="67"/>
              <w:ind w:left="115"/>
              <w:rPr>
                <w:color w:val="auto"/>
                <w:highlight w:val="none"/>
              </w:rPr>
            </w:pPr>
            <w:r>
              <w:rPr>
                <w:color w:val="auto"/>
                <w:highlight w:val="none"/>
              </w:rPr>
              <w:t>8</w:t>
            </w:r>
          </w:p>
        </w:tc>
        <w:tc>
          <w:tcPr>
            <w:tcW w:w="1542" w:type="dxa"/>
            <w:vMerge w:val="restart"/>
            <w:tcBorders>
              <w:top w:val="single" w:color="auto" w:sz="4" w:space="0"/>
              <w:left w:val="single" w:color="auto" w:sz="4" w:space="0"/>
              <w:bottom w:val="single" w:color="auto" w:sz="4" w:space="0"/>
              <w:right w:val="single" w:color="auto" w:sz="4" w:space="0"/>
            </w:tcBorders>
            <w:vAlign w:val="top"/>
          </w:tcPr>
          <w:p w14:paraId="51C6A4D7">
            <w:pPr>
              <w:pStyle w:val="212"/>
              <w:spacing w:before="66" w:line="322" w:lineRule="auto"/>
              <w:ind w:left="112" w:right="108" w:hanging="10"/>
              <w:rPr>
                <w:color w:val="auto"/>
                <w:highlight w:val="none"/>
              </w:rPr>
            </w:pPr>
            <w:r>
              <w:rPr>
                <w:color w:val="auto"/>
                <w:spacing w:val="3"/>
                <w:highlight w:val="none"/>
              </w:rPr>
              <w:t>A020305</w:t>
            </w:r>
            <w:r>
              <w:rPr>
                <w:color w:val="auto"/>
                <w:spacing w:val="34"/>
                <w:highlight w:val="none"/>
              </w:rPr>
              <w:t xml:space="preserve"> </w:t>
            </w:r>
            <w:r>
              <w:rPr>
                <w:color w:val="auto"/>
                <w:spacing w:val="3"/>
                <w:highlight w:val="none"/>
              </w:rPr>
              <w:t>乘用车</w:t>
            </w:r>
            <w:r>
              <w:rPr>
                <w:color w:val="auto"/>
                <w:highlight w:val="none"/>
              </w:rPr>
              <w:t xml:space="preserve"> </w:t>
            </w:r>
            <w:r>
              <w:rPr>
                <w:color w:val="auto"/>
                <w:spacing w:val="-3"/>
                <w:highlight w:val="none"/>
              </w:rPr>
              <w:t>（轿车）</w:t>
            </w:r>
          </w:p>
        </w:tc>
        <w:tc>
          <w:tcPr>
            <w:tcW w:w="2672" w:type="dxa"/>
            <w:tcBorders>
              <w:top w:val="single" w:color="auto" w:sz="4" w:space="0"/>
              <w:left w:val="single" w:color="auto" w:sz="4" w:space="0"/>
              <w:bottom w:val="single" w:color="auto" w:sz="4" w:space="0"/>
              <w:right w:val="single" w:color="auto" w:sz="4" w:space="0"/>
            </w:tcBorders>
            <w:vAlign w:val="top"/>
          </w:tcPr>
          <w:p w14:paraId="1C131087">
            <w:pPr>
              <w:pStyle w:val="212"/>
              <w:spacing w:before="66" w:line="220" w:lineRule="auto"/>
              <w:ind w:left="103"/>
              <w:rPr>
                <w:color w:val="auto"/>
                <w:highlight w:val="none"/>
              </w:rPr>
            </w:pPr>
            <w:r>
              <w:rPr>
                <w:color w:val="auto"/>
                <w:highlight w:val="none"/>
              </w:rPr>
              <w:t>A02030501 轿车</w:t>
            </w:r>
          </w:p>
        </w:tc>
        <w:tc>
          <w:tcPr>
            <w:tcW w:w="2248" w:type="dxa"/>
            <w:tcBorders>
              <w:top w:val="single" w:color="auto" w:sz="4" w:space="0"/>
              <w:left w:val="single" w:color="auto" w:sz="4" w:space="0"/>
              <w:bottom w:val="single" w:color="auto" w:sz="4" w:space="0"/>
              <w:right w:val="single" w:color="auto" w:sz="4" w:space="0"/>
            </w:tcBorders>
            <w:vAlign w:val="top"/>
          </w:tcPr>
          <w:p w14:paraId="2AFF20BC">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218E7781">
            <w:pPr>
              <w:pStyle w:val="212"/>
              <w:spacing w:before="66" w:line="219" w:lineRule="auto"/>
              <w:ind w:left="109"/>
              <w:rPr>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5972F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10F9F322">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413D969B">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3A041302">
            <w:pPr>
              <w:pStyle w:val="212"/>
              <w:spacing w:before="66" w:line="220" w:lineRule="auto"/>
              <w:ind w:left="103"/>
              <w:rPr>
                <w:color w:val="auto"/>
                <w:highlight w:val="none"/>
              </w:rPr>
            </w:pPr>
            <w:r>
              <w:rPr>
                <w:color w:val="auto"/>
                <w:spacing w:val="-1"/>
                <w:highlight w:val="none"/>
              </w:rPr>
              <w:t>A02030599</w:t>
            </w:r>
            <w:r>
              <w:rPr>
                <w:color w:val="auto"/>
                <w:spacing w:val="-28"/>
                <w:highlight w:val="none"/>
              </w:rPr>
              <w:t xml:space="preserve"> </w:t>
            </w:r>
            <w:r>
              <w:rPr>
                <w:color w:val="auto"/>
                <w:spacing w:val="-1"/>
                <w:highlight w:val="none"/>
              </w:rPr>
              <w:t>其他乘用车（轿车）</w:t>
            </w:r>
          </w:p>
        </w:tc>
        <w:tc>
          <w:tcPr>
            <w:tcW w:w="2248" w:type="dxa"/>
            <w:tcBorders>
              <w:top w:val="single" w:color="auto" w:sz="4" w:space="0"/>
              <w:left w:val="single" w:color="auto" w:sz="4" w:space="0"/>
              <w:bottom w:val="single" w:color="auto" w:sz="4" w:space="0"/>
              <w:right w:val="single" w:color="auto" w:sz="4" w:space="0"/>
            </w:tcBorders>
            <w:vAlign w:val="top"/>
          </w:tcPr>
          <w:p w14:paraId="33318B3D">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4EF66A1A">
            <w:pPr>
              <w:pStyle w:val="212"/>
              <w:spacing w:before="66" w:line="219" w:lineRule="auto"/>
              <w:ind w:left="109"/>
              <w:rPr>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70481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tcBorders>
              <w:top w:val="single" w:color="auto" w:sz="4" w:space="0"/>
              <w:left w:val="single" w:color="auto" w:sz="4" w:space="0"/>
              <w:bottom w:val="single" w:color="auto" w:sz="4" w:space="0"/>
              <w:right w:val="single" w:color="auto" w:sz="4" w:space="0"/>
            </w:tcBorders>
            <w:vAlign w:val="top"/>
          </w:tcPr>
          <w:p w14:paraId="587FF261">
            <w:pPr>
              <w:pStyle w:val="212"/>
              <w:spacing w:before="66"/>
              <w:ind w:left="115"/>
              <w:rPr>
                <w:color w:val="auto"/>
                <w:highlight w:val="none"/>
              </w:rPr>
            </w:pPr>
            <w:r>
              <w:rPr>
                <w:color w:val="auto"/>
                <w:highlight w:val="none"/>
              </w:rPr>
              <w:t>9</w:t>
            </w:r>
          </w:p>
        </w:tc>
        <w:tc>
          <w:tcPr>
            <w:tcW w:w="1542" w:type="dxa"/>
            <w:tcBorders>
              <w:top w:val="single" w:color="auto" w:sz="4" w:space="0"/>
              <w:left w:val="single" w:color="auto" w:sz="4" w:space="0"/>
              <w:bottom w:val="single" w:color="auto" w:sz="4" w:space="0"/>
              <w:right w:val="single" w:color="auto" w:sz="4" w:space="0"/>
            </w:tcBorders>
            <w:vAlign w:val="top"/>
          </w:tcPr>
          <w:p w14:paraId="4C7E3C82">
            <w:pPr>
              <w:pStyle w:val="212"/>
              <w:spacing w:before="66" w:line="220" w:lineRule="auto"/>
              <w:ind w:left="102"/>
              <w:rPr>
                <w:color w:val="auto"/>
                <w:highlight w:val="none"/>
              </w:rPr>
            </w:pPr>
            <w:r>
              <w:rPr>
                <w:color w:val="auto"/>
                <w:spacing w:val="-1"/>
                <w:highlight w:val="none"/>
              </w:rPr>
              <w:t>A020306</w:t>
            </w:r>
            <w:r>
              <w:rPr>
                <w:color w:val="auto"/>
                <w:spacing w:val="-33"/>
                <w:highlight w:val="none"/>
              </w:rPr>
              <w:t xml:space="preserve"> </w:t>
            </w:r>
            <w:r>
              <w:rPr>
                <w:color w:val="auto"/>
                <w:spacing w:val="-1"/>
                <w:highlight w:val="none"/>
              </w:rPr>
              <w:t>客车</w:t>
            </w:r>
          </w:p>
        </w:tc>
        <w:tc>
          <w:tcPr>
            <w:tcW w:w="2672" w:type="dxa"/>
            <w:tcBorders>
              <w:top w:val="single" w:color="auto" w:sz="4" w:space="0"/>
              <w:left w:val="single" w:color="auto" w:sz="4" w:space="0"/>
              <w:bottom w:val="single" w:color="auto" w:sz="4" w:space="0"/>
              <w:right w:val="single" w:color="auto" w:sz="4" w:space="0"/>
            </w:tcBorders>
            <w:vAlign w:val="top"/>
          </w:tcPr>
          <w:p w14:paraId="2FD6A6AB">
            <w:pPr>
              <w:pStyle w:val="212"/>
              <w:spacing w:before="66" w:line="220" w:lineRule="auto"/>
              <w:ind w:left="103"/>
              <w:rPr>
                <w:color w:val="auto"/>
                <w:highlight w:val="none"/>
              </w:rPr>
            </w:pPr>
            <w:r>
              <w:rPr>
                <w:color w:val="auto"/>
                <w:spacing w:val="-1"/>
                <w:highlight w:val="none"/>
              </w:rPr>
              <w:t>A02030601</w:t>
            </w:r>
            <w:r>
              <w:rPr>
                <w:color w:val="auto"/>
                <w:spacing w:val="-30"/>
                <w:highlight w:val="none"/>
              </w:rPr>
              <w:t xml:space="preserve"> </w:t>
            </w:r>
            <w:r>
              <w:rPr>
                <w:color w:val="auto"/>
                <w:spacing w:val="-1"/>
                <w:highlight w:val="none"/>
              </w:rPr>
              <w:t>小型客车</w:t>
            </w:r>
          </w:p>
        </w:tc>
        <w:tc>
          <w:tcPr>
            <w:tcW w:w="2248" w:type="dxa"/>
            <w:tcBorders>
              <w:top w:val="single" w:color="auto" w:sz="4" w:space="0"/>
              <w:left w:val="single" w:color="auto" w:sz="4" w:space="0"/>
              <w:bottom w:val="single" w:color="auto" w:sz="4" w:space="0"/>
              <w:right w:val="single" w:color="auto" w:sz="4" w:space="0"/>
            </w:tcBorders>
            <w:vAlign w:val="top"/>
          </w:tcPr>
          <w:p w14:paraId="7DE58688">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03FBE764">
            <w:pPr>
              <w:pStyle w:val="212"/>
              <w:spacing w:before="66" w:line="219" w:lineRule="auto"/>
              <w:ind w:left="109"/>
              <w:rPr>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0FEA3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Borders>
              <w:top w:val="single" w:color="auto" w:sz="4" w:space="0"/>
              <w:left w:val="single" w:color="auto" w:sz="4" w:space="0"/>
              <w:bottom w:val="single" w:color="auto" w:sz="4" w:space="0"/>
              <w:right w:val="single" w:color="auto" w:sz="4" w:space="0"/>
            </w:tcBorders>
            <w:vAlign w:val="top"/>
          </w:tcPr>
          <w:p w14:paraId="2068AC49">
            <w:pPr>
              <w:pStyle w:val="212"/>
              <w:spacing w:before="67"/>
              <w:ind w:left="128"/>
              <w:rPr>
                <w:color w:val="auto"/>
                <w:highlight w:val="none"/>
              </w:rPr>
            </w:pPr>
            <w:r>
              <w:rPr>
                <w:color w:val="auto"/>
                <w:spacing w:val="-10"/>
                <w:highlight w:val="none"/>
              </w:rPr>
              <w:t>10</w:t>
            </w:r>
          </w:p>
        </w:tc>
        <w:tc>
          <w:tcPr>
            <w:tcW w:w="1542" w:type="dxa"/>
            <w:tcBorders>
              <w:top w:val="single" w:color="auto" w:sz="4" w:space="0"/>
              <w:left w:val="single" w:color="auto" w:sz="4" w:space="0"/>
              <w:bottom w:val="single" w:color="auto" w:sz="4" w:space="0"/>
              <w:right w:val="single" w:color="auto" w:sz="4" w:space="0"/>
            </w:tcBorders>
            <w:vAlign w:val="top"/>
          </w:tcPr>
          <w:p w14:paraId="3D36BFA1">
            <w:pPr>
              <w:pStyle w:val="212"/>
              <w:spacing w:before="66" w:line="283" w:lineRule="auto"/>
              <w:ind w:left="106" w:right="108" w:hanging="4"/>
              <w:rPr>
                <w:color w:val="auto"/>
                <w:highlight w:val="none"/>
              </w:rPr>
            </w:pPr>
            <w:r>
              <w:rPr>
                <w:color w:val="auto"/>
                <w:spacing w:val="3"/>
                <w:highlight w:val="none"/>
              </w:rPr>
              <w:t>A020307</w:t>
            </w:r>
            <w:r>
              <w:rPr>
                <w:color w:val="auto"/>
                <w:spacing w:val="34"/>
                <w:highlight w:val="none"/>
              </w:rPr>
              <w:t xml:space="preserve"> </w:t>
            </w:r>
            <w:r>
              <w:rPr>
                <w:color w:val="auto"/>
                <w:spacing w:val="3"/>
                <w:highlight w:val="none"/>
              </w:rPr>
              <w:t>专用车</w:t>
            </w:r>
            <w:r>
              <w:rPr>
                <w:color w:val="auto"/>
                <w:highlight w:val="none"/>
              </w:rPr>
              <w:t xml:space="preserve"> 辆</w:t>
            </w:r>
          </w:p>
        </w:tc>
        <w:tc>
          <w:tcPr>
            <w:tcW w:w="2672" w:type="dxa"/>
            <w:tcBorders>
              <w:top w:val="single" w:color="auto" w:sz="4" w:space="0"/>
              <w:left w:val="single" w:color="auto" w:sz="4" w:space="0"/>
              <w:bottom w:val="single" w:color="auto" w:sz="4" w:space="0"/>
              <w:right w:val="single" w:color="auto" w:sz="4" w:space="0"/>
            </w:tcBorders>
            <w:vAlign w:val="top"/>
          </w:tcPr>
          <w:p w14:paraId="2B73F5B6">
            <w:pPr>
              <w:pStyle w:val="212"/>
              <w:spacing w:before="66" w:line="220" w:lineRule="auto"/>
              <w:ind w:left="103"/>
              <w:rPr>
                <w:color w:val="auto"/>
                <w:highlight w:val="none"/>
              </w:rPr>
            </w:pPr>
            <w:r>
              <w:rPr>
                <w:color w:val="auto"/>
                <w:spacing w:val="-1"/>
                <w:highlight w:val="none"/>
              </w:rPr>
              <w:t>A02030799</w:t>
            </w:r>
            <w:r>
              <w:rPr>
                <w:color w:val="auto"/>
                <w:spacing w:val="-30"/>
                <w:highlight w:val="none"/>
              </w:rPr>
              <w:t xml:space="preserve"> </w:t>
            </w:r>
            <w:r>
              <w:rPr>
                <w:color w:val="auto"/>
                <w:spacing w:val="-1"/>
                <w:highlight w:val="none"/>
              </w:rPr>
              <w:t>其他专用汽车</w:t>
            </w:r>
          </w:p>
        </w:tc>
        <w:tc>
          <w:tcPr>
            <w:tcW w:w="2248" w:type="dxa"/>
            <w:tcBorders>
              <w:top w:val="single" w:color="auto" w:sz="4" w:space="0"/>
              <w:left w:val="single" w:color="auto" w:sz="4" w:space="0"/>
              <w:bottom w:val="single" w:color="auto" w:sz="4" w:space="0"/>
              <w:right w:val="single" w:color="auto" w:sz="4" w:space="0"/>
            </w:tcBorders>
            <w:vAlign w:val="top"/>
          </w:tcPr>
          <w:p w14:paraId="3F4C7A2E">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5BAF2E39">
            <w:pPr>
              <w:pStyle w:val="212"/>
              <w:spacing w:before="66" w:line="219" w:lineRule="auto"/>
              <w:ind w:left="109"/>
              <w:rPr>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03CB4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83" w:type="dxa"/>
            <w:vMerge w:val="restart"/>
            <w:tcBorders>
              <w:top w:val="single" w:color="auto" w:sz="4" w:space="0"/>
              <w:left w:val="single" w:color="auto" w:sz="4" w:space="0"/>
              <w:bottom w:val="single" w:color="auto" w:sz="4" w:space="0"/>
              <w:right w:val="single" w:color="auto" w:sz="4" w:space="0"/>
            </w:tcBorders>
            <w:vAlign w:val="top"/>
          </w:tcPr>
          <w:p w14:paraId="1E81AA5F">
            <w:pPr>
              <w:pStyle w:val="212"/>
              <w:spacing w:before="69" w:line="242" w:lineRule="auto"/>
              <w:ind w:left="128"/>
              <w:rPr>
                <w:color w:val="auto"/>
                <w:highlight w:val="none"/>
              </w:rPr>
            </w:pPr>
            <w:r>
              <w:rPr>
                <w:color w:val="auto"/>
                <w:spacing w:val="-10"/>
                <w:highlight w:val="none"/>
              </w:rPr>
              <w:t>11</w:t>
            </w:r>
          </w:p>
        </w:tc>
        <w:tc>
          <w:tcPr>
            <w:tcW w:w="1542" w:type="dxa"/>
            <w:vMerge w:val="restart"/>
            <w:tcBorders>
              <w:top w:val="single" w:color="auto" w:sz="4" w:space="0"/>
              <w:left w:val="single" w:color="auto" w:sz="4" w:space="0"/>
              <w:bottom w:val="single" w:color="auto" w:sz="4" w:space="0"/>
              <w:right w:val="single" w:color="auto" w:sz="4" w:space="0"/>
            </w:tcBorders>
            <w:vAlign w:val="top"/>
          </w:tcPr>
          <w:p w14:paraId="5B4E53E3">
            <w:pPr>
              <w:pStyle w:val="212"/>
              <w:spacing w:before="69" w:line="323" w:lineRule="auto"/>
              <w:ind w:left="109" w:right="108" w:hanging="7"/>
              <w:rPr>
                <w:color w:val="auto"/>
                <w:highlight w:val="none"/>
              </w:rPr>
            </w:pPr>
            <w:r>
              <w:rPr>
                <w:color w:val="auto"/>
                <w:spacing w:val="3"/>
                <w:highlight w:val="none"/>
              </w:rPr>
              <w:t>A020523</w:t>
            </w:r>
            <w:r>
              <w:rPr>
                <w:color w:val="auto"/>
                <w:spacing w:val="34"/>
                <w:highlight w:val="none"/>
              </w:rPr>
              <w:t xml:space="preserve"> </w:t>
            </w:r>
            <w:r>
              <w:rPr>
                <w:color w:val="auto"/>
                <w:spacing w:val="3"/>
                <w:highlight w:val="none"/>
              </w:rPr>
              <w:t>制冷空</w:t>
            </w:r>
            <w:r>
              <w:rPr>
                <w:color w:val="auto"/>
                <w:highlight w:val="none"/>
              </w:rPr>
              <w:t xml:space="preserve"> </w:t>
            </w:r>
            <w:r>
              <w:rPr>
                <w:color w:val="auto"/>
                <w:spacing w:val="-2"/>
                <w:highlight w:val="none"/>
              </w:rPr>
              <w:t>调设备</w:t>
            </w:r>
          </w:p>
        </w:tc>
        <w:tc>
          <w:tcPr>
            <w:tcW w:w="2672" w:type="dxa"/>
            <w:tcBorders>
              <w:top w:val="single" w:color="auto" w:sz="4" w:space="0"/>
              <w:left w:val="single" w:color="auto" w:sz="4" w:space="0"/>
              <w:bottom w:val="single" w:color="auto" w:sz="4" w:space="0"/>
              <w:right w:val="single" w:color="auto" w:sz="4" w:space="0"/>
            </w:tcBorders>
            <w:vAlign w:val="top"/>
          </w:tcPr>
          <w:p w14:paraId="75034FAA">
            <w:pPr>
              <w:pStyle w:val="212"/>
              <w:spacing w:before="70" w:line="219" w:lineRule="auto"/>
              <w:ind w:left="103"/>
              <w:rPr>
                <w:color w:val="auto"/>
                <w:highlight w:val="none"/>
              </w:rPr>
            </w:pPr>
            <w:r>
              <w:rPr>
                <w:color w:val="auto"/>
                <w:highlight w:val="none"/>
              </w:rPr>
              <w:t>A02052301 制冷压缩机</w:t>
            </w:r>
          </w:p>
        </w:tc>
        <w:tc>
          <w:tcPr>
            <w:tcW w:w="2248" w:type="dxa"/>
            <w:tcBorders>
              <w:top w:val="single" w:color="auto" w:sz="4" w:space="0"/>
              <w:left w:val="single" w:color="auto" w:sz="4" w:space="0"/>
              <w:bottom w:val="single" w:color="auto" w:sz="4" w:space="0"/>
              <w:right w:val="single" w:color="auto" w:sz="4" w:space="0"/>
            </w:tcBorders>
            <w:vAlign w:val="top"/>
          </w:tcPr>
          <w:p w14:paraId="42B3E425">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7C5E54B3">
            <w:pPr>
              <w:pStyle w:val="212"/>
              <w:spacing w:before="69" w:line="219" w:lineRule="auto"/>
              <w:ind w:left="109"/>
              <w:rPr>
                <w:color w:val="auto"/>
                <w:highlight w:val="none"/>
              </w:rPr>
            </w:pPr>
            <w:r>
              <w:rPr>
                <w:color w:val="auto"/>
                <w:spacing w:val="-1"/>
                <w:highlight w:val="none"/>
              </w:rPr>
              <w:t>HJ2531</w:t>
            </w:r>
            <w:r>
              <w:rPr>
                <w:color w:val="auto"/>
                <w:spacing w:val="-32"/>
                <w:highlight w:val="none"/>
              </w:rPr>
              <w:t xml:space="preserve"> </w:t>
            </w:r>
            <w:r>
              <w:rPr>
                <w:color w:val="auto"/>
                <w:spacing w:val="-1"/>
                <w:highlight w:val="none"/>
              </w:rPr>
              <w:t>工商用制冷设备</w:t>
            </w:r>
          </w:p>
        </w:tc>
      </w:tr>
      <w:tr w14:paraId="1D2BC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6098646A">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711C3850">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24D0D540">
            <w:pPr>
              <w:pStyle w:val="212"/>
              <w:spacing w:before="67" w:line="219" w:lineRule="auto"/>
              <w:ind w:left="103"/>
              <w:rPr>
                <w:color w:val="auto"/>
                <w:highlight w:val="none"/>
              </w:rPr>
            </w:pPr>
            <w:r>
              <w:rPr>
                <w:color w:val="auto"/>
                <w:highlight w:val="none"/>
              </w:rPr>
              <w:t>A02052305 空调机组</w:t>
            </w:r>
          </w:p>
        </w:tc>
        <w:tc>
          <w:tcPr>
            <w:tcW w:w="2248" w:type="dxa"/>
            <w:tcBorders>
              <w:top w:val="single" w:color="auto" w:sz="4" w:space="0"/>
              <w:left w:val="single" w:color="auto" w:sz="4" w:space="0"/>
              <w:bottom w:val="single" w:color="auto" w:sz="4" w:space="0"/>
              <w:right w:val="single" w:color="auto" w:sz="4" w:space="0"/>
            </w:tcBorders>
            <w:vAlign w:val="top"/>
          </w:tcPr>
          <w:p w14:paraId="207988E8">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27D8CB60">
            <w:pPr>
              <w:pStyle w:val="212"/>
              <w:spacing w:before="67" w:line="219" w:lineRule="auto"/>
              <w:ind w:left="109"/>
              <w:rPr>
                <w:color w:val="auto"/>
                <w:highlight w:val="none"/>
              </w:rPr>
            </w:pPr>
            <w:r>
              <w:rPr>
                <w:color w:val="auto"/>
                <w:spacing w:val="-1"/>
                <w:highlight w:val="none"/>
              </w:rPr>
              <w:t>HJ2531</w:t>
            </w:r>
            <w:r>
              <w:rPr>
                <w:color w:val="auto"/>
                <w:spacing w:val="-32"/>
                <w:highlight w:val="none"/>
              </w:rPr>
              <w:t xml:space="preserve"> </w:t>
            </w:r>
            <w:r>
              <w:rPr>
                <w:color w:val="auto"/>
                <w:spacing w:val="-1"/>
                <w:highlight w:val="none"/>
              </w:rPr>
              <w:t>工商用制冷设备</w:t>
            </w:r>
          </w:p>
        </w:tc>
      </w:tr>
      <w:tr w14:paraId="041E9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099D8D18">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786BEE88">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41A23B9E">
            <w:pPr>
              <w:pStyle w:val="212"/>
              <w:spacing w:before="67" w:line="221" w:lineRule="auto"/>
              <w:ind w:left="103"/>
              <w:rPr>
                <w:color w:val="auto"/>
                <w:highlight w:val="none"/>
              </w:rPr>
            </w:pPr>
            <w:r>
              <w:rPr>
                <w:color w:val="auto"/>
                <w:spacing w:val="-2"/>
                <w:highlight w:val="none"/>
              </w:rPr>
              <w:t>A02052309</w:t>
            </w:r>
            <w:r>
              <w:rPr>
                <w:color w:val="auto"/>
                <w:spacing w:val="-27"/>
                <w:highlight w:val="none"/>
              </w:rPr>
              <w:t xml:space="preserve"> </w:t>
            </w:r>
            <w:r>
              <w:rPr>
                <w:color w:val="auto"/>
                <w:spacing w:val="-2"/>
                <w:highlight w:val="none"/>
              </w:rPr>
              <w:t>专用制冷、空调设备</w:t>
            </w:r>
          </w:p>
        </w:tc>
        <w:tc>
          <w:tcPr>
            <w:tcW w:w="2248" w:type="dxa"/>
            <w:tcBorders>
              <w:top w:val="single" w:color="auto" w:sz="4" w:space="0"/>
              <w:left w:val="single" w:color="auto" w:sz="4" w:space="0"/>
              <w:bottom w:val="single" w:color="auto" w:sz="4" w:space="0"/>
              <w:right w:val="single" w:color="auto" w:sz="4" w:space="0"/>
            </w:tcBorders>
            <w:vAlign w:val="top"/>
          </w:tcPr>
          <w:p w14:paraId="22EBF57D">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3F91AEA3">
            <w:pPr>
              <w:pStyle w:val="212"/>
              <w:spacing w:before="67" w:line="219" w:lineRule="auto"/>
              <w:ind w:left="109"/>
              <w:rPr>
                <w:color w:val="auto"/>
                <w:highlight w:val="none"/>
              </w:rPr>
            </w:pPr>
            <w:r>
              <w:rPr>
                <w:color w:val="auto"/>
                <w:spacing w:val="-1"/>
                <w:highlight w:val="none"/>
              </w:rPr>
              <w:t>HJ2531</w:t>
            </w:r>
            <w:r>
              <w:rPr>
                <w:color w:val="auto"/>
                <w:spacing w:val="-32"/>
                <w:highlight w:val="none"/>
              </w:rPr>
              <w:t xml:space="preserve"> </w:t>
            </w:r>
            <w:r>
              <w:rPr>
                <w:color w:val="auto"/>
                <w:spacing w:val="-1"/>
                <w:highlight w:val="none"/>
              </w:rPr>
              <w:t>工商用制冷设备</w:t>
            </w:r>
          </w:p>
        </w:tc>
      </w:tr>
      <w:tr w14:paraId="54DBF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top w:val="single" w:color="auto" w:sz="4" w:space="0"/>
              <w:left w:val="single" w:color="auto" w:sz="4" w:space="0"/>
              <w:bottom w:val="single" w:color="auto" w:sz="4" w:space="0"/>
              <w:right w:val="single" w:color="auto" w:sz="4" w:space="0"/>
            </w:tcBorders>
            <w:vAlign w:val="top"/>
          </w:tcPr>
          <w:p w14:paraId="08DC120C">
            <w:pPr>
              <w:pStyle w:val="212"/>
              <w:spacing w:before="68" w:line="242" w:lineRule="auto"/>
              <w:ind w:left="128"/>
              <w:rPr>
                <w:color w:val="auto"/>
                <w:highlight w:val="none"/>
              </w:rPr>
            </w:pPr>
            <w:r>
              <w:rPr>
                <w:color w:val="auto"/>
                <w:spacing w:val="-10"/>
                <w:highlight w:val="none"/>
              </w:rPr>
              <w:t>12</w:t>
            </w:r>
          </w:p>
        </w:tc>
        <w:tc>
          <w:tcPr>
            <w:tcW w:w="1542" w:type="dxa"/>
            <w:vMerge w:val="restart"/>
            <w:tcBorders>
              <w:top w:val="single" w:color="auto" w:sz="4" w:space="0"/>
              <w:left w:val="single" w:color="auto" w:sz="4" w:space="0"/>
              <w:bottom w:val="single" w:color="auto" w:sz="4" w:space="0"/>
              <w:right w:val="single" w:color="auto" w:sz="4" w:space="0"/>
            </w:tcBorders>
            <w:vAlign w:val="top"/>
          </w:tcPr>
          <w:p w14:paraId="005BB3DC">
            <w:pPr>
              <w:pStyle w:val="212"/>
              <w:spacing w:before="69" w:line="324" w:lineRule="auto"/>
              <w:ind w:left="128" w:right="108" w:hanging="26"/>
              <w:rPr>
                <w:color w:val="auto"/>
                <w:highlight w:val="none"/>
              </w:rPr>
            </w:pPr>
            <w:r>
              <w:rPr>
                <w:color w:val="auto"/>
                <w:spacing w:val="3"/>
                <w:highlight w:val="none"/>
              </w:rPr>
              <w:t>A020618</w:t>
            </w:r>
            <w:r>
              <w:rPr>
                <w:color w:val="auto"/>
                <w:spacing w:val="34"/>
                <w:highlight w:val="none"/>
              </w:rPr>
              <w:t xml:space="preserve"> </w:t>
            </w:r>
            <w:r>
              <w:rPr>
                <w:color w:val="auto"/>
                <w:spacing w:val="3"/>
                <w:highlight w:val="none"/>
              </w:rPr>
              <w:t>生活用</w:t>
            </w:r>
            <w:r>
              <w:rPr>
                <w:color w:val="auto"/>
                <w:highlight w:val="none"/>
              </w:rPr>
              <w:t xml:space="preserve"> </w:t>
            </w:r>
            <w:r>
              <w:rPr>
                <w:color w:val="auto"/>
                <w:spacing w:val="-8"/>
                <w:highlight w:val="none"/>
              </w:rPr>
              <w:t>电器</w:t>
            </w:r>
          </w:p>
        </w:tc>
        <w:tc>
          <w:tcPr>
            <w:tcW w:w="2672" w:type="dxa"/>
            <w:tcBorders>
              <w:top w:val="single" w:color="auto" w:sz="4" w:space="0"/>
              <w:left w:val="single" w:color="auto" w:sz="4" w:space="0"/>
              <w:bottom w:val="single" w:color="auto" w:sz="4" w:space="0"/>
              <w:right w:val="single" w:color="auto" w:sz="4" w:space="0"/>
            </w:tcBorders>
            <w:vAlign w:val="top"/>
          </w:tcPr>
          <w:p w14:paraId="18F01712">
            <w:pPr>
              <w:pStyle w:val="212"/>
              <w:spacing w:before="68" w:line="221" w:lineRule="auto"/>
              <w:ind w:left="103"/>
              <w:rPr>
                <w:color w:val="auto"/>
                <w:highlight w:val="none"/>
              </w:rPr>
            </w:pPr>
            <w:r>
              <w:rPr>
                <w:color w:val="auto"/>
                <w:spacing w:val="-1"/>
                <w:highlight w:val="none"/>
              </w:rPr>
              <w:t>A02061802</w:t>
            </w:r>
            <w:r>
              <w:rPr>
                <w:color w:val="auto"/>
                <w:spacing w:val="-29"/>
                <w:highlight w:val="none"/>
              </w:rPr>
              <w:t xml:space="preserve"> </w:t>
            </w:r>
            <w:r>
              <w:rPr>
                <w:color w:val="auto"/>
                <w:spacing w:val="-1"/>
                <w:highlight w:val="none"/>
              </w:rPr>
              <w:t>空气调节电器</w:t>
            </w:r>
          </w:p>
        </w:tc>
        <w:tc>
          <w:tcPr>
            <w:tcW w:w="2248" w:type="dxa"/>
            <w:tcBorders>
              <w:top w:val="single" w:color="auto" w:sz="4" w:space="0"/>
              <w:left w:val="single" w:color="auto" w:sz="4" w:space="0"/>
              <w:bottom w:val="single" w:color="auto" w:sz="4" w:space="0"/>
              <w:right w:val="single" w:color="auto" w:sz="4" w:space="0"/>
            </w:tcBorders>
            <w:vAlign w:val="top"/>
          </w:tcPr>
          <w:p w14:paraId="2104163D">
            <w:pPr>
              <w:pStyle w:val="212"/>
              <w:spacing w:before="68" w:line="219" w:lineRule="auto"/>
              <w:ind w:left="105"/>
              <w:rPr>
                <w:color w:val="auto"/>
                <w:highlight w:val="none"/>
              </w:rPr>
            </w:pPr>
            <w:r>
              <w:rPr>
                <w:color w:val="auto"/>
                <w:spacing w:val="-1"/>
                <w:highlight w:val="none"/>
              </w:rPr>
              <w:t>A0206180203</w:t>
            </w:r>
            <w:r>
              <w:rPr>
                <w:color w:val="auto"/>
                <w:spacing w:val="-28"/>
                <w:highlight w:val="none"/>
              </w:rPr>
              <w:t xml:space="preserve"> </w:t>
            </w:r>
            <w:r>
              <w:rPr>
                <w:color w:val="auto"/>
                <w:spacing w:val="-1"/>
                <w:highlight w:val="none"/>
              </w:rPr>
              <w:t>空调机</w:t>
            </w:r>
          </w:p>
        </w:tc>
        <w:tc>
          <w:tcPr>
            <w:tcW w:w="3543" w:type="dxa"/>
            <w:tcBorders>
              <w:top w:val="single" w:color="auto" w:sz="4" w:space="0"/>
              <w:left w:val="single" w:color="auto" w:sz="4" w:space="0"/>
              <w:bottom w:val="single" w:color="auto" w:sz="4" w:space="0"/>
              <w:right w:val="single" w:color="auto" w:sz="4" w:space="0"/>
            </w:tcBorders>
            <w:vAlign w:val="top"/>
          </w:tcPr>
          <w:p w14:paraId="4A4B3FCF">
            <w:pPr>
              <w:pStyle w:val="212"/>
              <w:spacing w:before="68" w:line="219" w:lineRule="auto"/>
              <w:ind w:left="109"/>
              <w:rPr>
                <w:color w:val="auto"/>
                <w:highlight w:val="none"/>
              </w:rPr>
            </w:pPr>
            <w:r>
              <w:rPr>
                <w:color w:val="auto"/>
                <w:spacing w:val="-1"/>
                <w:highlight w:val="none"/>
              </w:rPr>
              <w:t>HJ2535</w:t>
            </w:r>
            <w:r>
              <w:rPr>
                <w:color w:val="auto"/>
                <w:spacing w:val="-32"/>
                <w:highlight w:val="none"/>
              </w:rPr>
              <w:t xml:space="preserve"> </w:t>
            </w:r>
            <w:r>
              <w:rPr>
                <w:color w:val="auto"/>
                <w:spacing w:val="-1"/>
                <w:highlight w:val="none"/>
              </w:rPr>
              <w:t>房间空气调节器</w:t>
            </w:r>
          </w:p>
        </w:tc>
      </w:tr>
      <w:tr w14:paraId="7AB99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583" w:type="dxa"/>
            <w:vMerge w:val="continue"/>
            <w:tcBorders>
              <w:top w:val="single" w:color="auto" w:sz="4" w:space="0"/>
              <w:left w:val="single" w:color="auto" w:sz="4" w:space="0"/>
            </w:tcBorders>
            <w:vAlign w:val="top"/>
          </w:tcPr>
          <w:p w14:paraId="103064E2">
            <w:pPr>
              <w:rPr>
                <w:rFonts w:ascii="Arial"/>
                <w:color w:val="auto"/>
                <w:sz w:val="21"/>
                <w:highlight w:val="none"/>
              </w:rPr>
            </w:pPr>
          </w:p>
        </w:tc>
        <w:tc>
          <w:tcPr>
            <w:tcW w:w="1542" w:type="dxa"/>
            <w:vMerge w:val="continue"/>
            <w:tcBorders>
              <w:top w:val="single" w:color="auto" w:sz="4" w:space="0"/>
            </w:tcBorders>
            <w:vAlign w:val="top"/>
          </w:tcPr>
          <w:p w14:paraId="063BF49C">
            <w:pPr>
              <w:rPr>
                <w:rFonts w:ascii="Arial"/>
                <w:color w:val="auto"/>
                <w:sz w:val="21"/>
                <w:highlight w:val="none"/>
              </w:rPr>
            </w:pPr>
          </w:p>
        </w:tc>
        <w:tc>
          <w:tcPr>
            <w:tcW w:w="2672" w:type="dxa"/>
            <w:tcBorders>
              <w:top w:val="single" w:color="auto" w:sz="4" w:space="0"/>
            </w:tcBorders>
            <w:vAlign w:val="top"/>
          </w:tcPr>
          <w:p w14:paraId="4AB223C5">
            <w:pPr>
              <w:pStyle w:val="212"/>
              <w:spacing w:before="68" w:line="220" w:lineRule="auto"/>
              <w:ind w:left="103"/>
              <w:rPr>
                <w:color w:val="auto"/>
                <w:highlight w:val="none"/>
              </w:rPr>
            </w:pPr>
            <w:r>
              <w:rPr>
                <w:color w:val="auto"/>
                <w:spacing w:val="-1"/>
                <w:highlight w:val="none"/>
              </w:rPr>
              <w:t>A02061808</w:t>
            </w:r>
            <w:r>
              <w:rPr>
                <w:color w:val="auto"/>
                <w:spacing w:val="-31"/>
                <w:highlight w:val="none"/>
              </w:rPr>
              <w:t xml:space="preserve"> </w:t>
            </w:r>
            <w:r>
              <w:rPr>
                <w:color w:val="auto"/>
                <w:spacing w:val="-1"/>
                <w:highlight w:val="none"/>
              </w:rPr>
              <w:t>热水器</w:t>
            </w:r>
          </w:p>
        </w:tc>
        <w:tc>
          <w:tcPr>
            <w:tcW w:w="2248" w:type="dxa"/>
            <w:tcBorders>
              <w:top w:val="single" w:color="auto" w:sz="4" w:space="0"/>
            </w:tcBorders>
            <w:vAlign w:val="top"/>
          </w:tcPr>
          <w:p w14:paraId="0E02BDFE">
            <w:pPr>
              <w:rPr>
                <w:rFonts w:ascii="Arial"/>
                <w:color w:val="auto"/>
                <w:sz w:val="21"/>
                <w:highlight w:val="none"/>
              </w:rPr>
            </w:pPr>
          </w:p>
        </w:tc>
        <w:tc>
          <w:tcPr>
            <w:tcW w:w="3543" w:type="dxa"/>
            <w:tcBorders>
              <w:top w:val="single" w:color="auto" w:sz="4" w:space="0"/>
            </w:tcBorders>
            <w:vAlign w:val="top"/>
          </w:tcPr>
          <w:p w14:paraId="7BDA8F06">
            <w:pPr>
              <w:pStyle w:val="212"/>
              <w:spacing w:before="67" w:line="219" w:lineRule="auto"/>
              <w:ind w:left="109"/>
              <w:rPr>
                <w:color w:val="auto"/>
                <w:highlight w:val="none"/>
              </w:rPr>
            </w:pPr>
            <w:r>
              <w:rPr>
                <w:color w:val="auto"/>
                <w:spacing w:val="-1"/>
                <w:highlight w:val="none"/>
              </w:rPr>
              <w:t>HJ/T362</w:t>
            </w:r>
            <w:r>
              <w:rPr>
                <w:color w:val="auto"/>
                <w:spacing w:val="-33"/>
                <w:highlight w:val="none"/>
              </w:rPr>
              <w:t xml:space="preserve"> </w:t>
            </w:r>
            <w:r>
              <w:rPr>
                <w:color w:val="auto"/>
                <w:spacing w:val="-1"/>
                <w:highlight w:val="none"/>
              </w:rPr>
              <w:t>太阳能集热器</w:t>
            </w:r>
          </w:p>
        </w:tc>
      </w:tr>
    </w:tbl>
    <w:p w14:paraId="1EEBC845">
      <w:pPr>
        <w:spacing w:line="91" w:lineRule="auto"/>
        <w:rPr>
          <w:rFonts w:ascii="Arial"/>
          <w:color w:val="auto"/>
          <w:sz w:val="2"/>
          <w:highlight w:val="none"/>
        </w:rPr>
      </w:pPr>
    </w:p>
    <w:tbl>
      <w:tblPr>
        <w:tblStyle w:val="213"/>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2A3CB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Align w:val="top"/>
          </w:tcPr>
          <w:p w14:paraId="0B49EE33">
            <w:pPr>
              <w:pStyle w:val="212"/>
              <w:spacing w:before="68"/>
              <w:ind w:left="128"/>
              <w:rPr>
                <w:color w:val="auto"/>
                <w:highlight w:val="none"/>
              </w:rPr>
            </w:pPr>
            <w:r>
              <w:rPr>
                <w:color w:val="auto"/>
                <w:spacing w:val="-10"/>
                <w:highlight w:val="none"/>
              </w:rPr>
              <w:t>13</w:t>
            </w:r>
          </w:p>
        </w:tc>
        <w:tc>
          <w:tcPr>
            <w:tcW w:w="1542" w:type="dxa"/>
            <w:vAlign w:val="top"/>
          </w:tcPr>
          <w:p w14:paraId="6E43FC51">
            <w:pPr>
              <w:pStyle w:val="212"/>
              <w:spacing w:before="69" w:line="284" w:lineRule="auto"/>
              <w:ind w:left="109" w:right="108" w:hanging="7"/>
              <w:rPr>
                <w:color w:val="auto"/>
                <w:highlight w:val="none"/>
              </w:rPr>
            </w:pPr>
            <w:r>
              <w:rPr>
                <w:color w:val="auto"/>
                <w:spacing w:val="-2"/>
                <w:highlight w:val="none"/>
              </w:rPr>
              <w:t>A020619</w:t>
            </w:r>
            <w:r>
              <w:rPr>
                <w:color w:val="auto"/>
                <w:spacing w:val="39"/>
                <w:highlight w:val="none"/>
              </w:rPr>
              <w:t xml:space="preserve"> </w:t>
            </w:r>
            <w:r>
              <w:rPr>
                <w:color w:val="auto"/>
                <w:spacing w:val="-2"/>
                <w:highlight w:val="none"/>
              </w:rPr>
              <w:t>照</w:t>
            </w:r>
            <w:r>
              <w:rPr>
                <w:color w:val="auto"/>
                <w:spacing w:val="-45"/>
                <w:highlight w:val="none"/>
              </w:rPr>
              <w:t xml:space="preserve"> </w:t>
            </w:r>
            <w:r>
              <w:rPr>
                <w:color w:val="auto"/>
                <w:spacing w:val="-2"/>
                <w:highlight w:val="none"/>
              </w:rPr>
              <w:t>明设</w:t>
            </w:r>
            <w:r>
              <w:rPr>
                <w:color w:val="auto"/>
                <w:highlight w:val="none"/>
              </w:rPr>
              <w:t xml:space="preserve"> 备</w:t>
            </w:r>
          </w:p>
        </w:tc>
        <w:tc>
          <w:tcPr>
            <w:tcW w:w="2672" w:type="dxa"/>
            <w:vAlign w:val="top"/>
          </w:tcPr>
          <w:p w14:paraId="2D34DCC8">
            <w:pPr>
              <w:pStyle w:val="212"/>
              <w:spacing w:before="68" w:line="220" w:lineRule="auto"/>
              <w:ind w:left="103"/>
              <w:rPr>
                <w:color w:val="auto"/>
                <w:highlight w:val="none"/>
              </w:rPr>
            </w:pPr>
            <w:r>
              <w:rPr>
                <w:color w:val="auto"/>
                <w:spacing w:val="-1"/>
                <w:highlight w:val="none"/>
              </w:rPr>
              <w:t>A02061908</w:t>
            </w:r>
            <w:r>
              <w:rPr>
                <w:color w:val="auto"/>
                <w:spacing w:val="-29"/>
                <w:highlight w:val="none"/>
              </w:rPr>
              <w:t xml:space="preserve"> </w:t>
            </w:r>
            <w:r>
              <w:rPr>
                <w:color w:val="auto"/>
                <w:spacing w:val="-1"/>
                <w:highlight w:val="none"/>
              </w:rPr>
              <w:t>室内照明灯具</w:t>
            </w:r>
          </w:p>
        </w:tc>
        <w:tc>
          <w:tcPr>
            <w:tcW w:w="2248" w:type="dxa"/>
            <w:vAlign w:val="top"/>
          </w:tcPr>
          <w:p w14:paraId="074F9CEF">
            <w:pPr>
              <w:rPr>
                <w:rFonts w:ascii="Arial"/>
                <w:color w:val="auto"/>
                <w:sz w:val="21"/>
                <w:highlight w:val="none"/>
              </w:rPr>
            </w:pPr>
          </w:p>
        </w:tc>
        <w:tc>
          <w:tcPr>
            <w:tcW w:w="3543" w:type="dxa"/>
            <w:vAlign w:val="top"/>
          </w:tcPr>
          <w:p w14:paraId="6A0E61DF">
            <w:pPr>
              <w:pStyle w:val="212"/>
              <w:spacing w:before="67" w:line="219" w:lineRule="auto"/>
              <w:ind w:left="109"/>
              <w:rPr>
                <w:color w:val="auto"/>
                <w:highlight w:val="none"/>
              </w:rPr>
            </w:pPr>
            <w:r>
              <w:rPr>
                <w:color w:val="auto"/>
                <w:spacing w:val="-1"/>
                <w:highlight w:val="none"/>
              </w:rPr>
              <w:t>HJ2518</w:t>
            </w:r>
            <w:r>
              <w:rPr>
                <w:color w:val="auto"/>
                <w:spacing w:val="-35"/>
                <w:highlight w:val="none"/>
              </w:rPr>
              <w:t xml:space="preserve"> </w:t>
            </w:r>
            <w:r>
              <w:rPr>
                <w:color w:val="auto"/>
                <w:spacing w:val="-1"/>
                <w:highlight w:val="none"/>
              </w:rPr>
              <w:t>照明光源</w:t>
            </w:r>
          </w:p>
        </w:tc>
      </w:tr>
      <w:tr w14:paraId="2DBCC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3" w:type="dxa"/>
            <w:vAlign w:val="top"/>
          </w:tcPr>
          <w:p w14:paraId="0745A86B">
            <w:pPr>
              <w:pStyle w:val="212"/>
              <w:spacing w:before="63" w:line="242" w:lineRule="auto"/>
              <w:ind w:left="128"/>
              <w:rPr>
                <w:color w:val="auto"/>
                <w:highlight w:val="none"/>
              </w:rPr>
            </w:pPr>
            <w:r>
              <w:rPr>
                <w:color w:val="auto"/>
                <w:spacing w:val="-10"/>
                <w:highlight w:val="none"/>
              </w:rPr>
              <w:t>14</w:t>
            </w:r>
          </w:p>
        </w:tc>
        <w:tc>
          <w:tcPr>
            <w:tcW w:w="1542" w:type="dxa"/>
            <w:vAlign w:val="top"/>
          </w:tcPr>
          <w:p w14:paraId="2CFBB27D">
            <w:pPr>
              <w:pStyle w:val="212"/>
              <w:spacing w:before="64" w:line="296" w:lineRule="auto"/>
              <w:ind w:left="109" w:right="106" w:hanging="7"/>
              <w:jc w:val="both"/>
              <w:rPr>
                <w:color w:val="auto"/>
                <w:highlight w:val="none"/>
              </w:rPr>
            </w:pPr>
            <w:r>
              <w:rPr>
                <w:color w:val="auto"/>
                <w:spacing w:val="3"/>
                <w:highlight w:val="none"/>
              </w:rPr>
              <w:t>A020810</w:t>
            </w:r>
            <w:r>
              <w:rPr>
                <w:color w:val="auto"/>
                <w:spacing w:val="34"/>
                <w:highlight w:val="none"/>
              </w:rPr>
              <w:t xml:space="preserve"> </w:t>
            </w:r>
            <w:r>
              <w:rPr>
                <w:color w:val="auto"/>
                <w:spacing w:val="3"/>
                <w:highlight w:val="none"/>
              </w:rPr>
              <w:t>传真及</w:t>
            </w:r>
            <w:r>
              <w:rPr>
                <w:color w:val="auto"/>
                <w:highlight w:val="none"/>
              </w:rPr>
              <w:t xml:space="preserve"> </w:t>
            </w:r>
            <w:r>
              <w:rPr>
                <w:color w:val="auto"/>
                <w:spacing w:val="8"/>
                <w:highlight w:val="none"/>
              </w:rPr>
              <w:t>数据数字通信设</w:t>
            </w:r>
            <w:r>
              <w:rPr>
                <w:color w:val="auto"/>
                <w:spacing w:val="4"/>
                <w:highlight w:val="none"/>
              </w:rPr>
              <w:t xml:space="preserve"> </w:t>
            </w:r>
            <w:r>
              <w:rPr>
                <w:color w:val="auto"/>
                <w:highlight w:val="none"/>
              </w:rPr>
              <w:t>备</w:t>
            </w:r>
          </w:p>
        </w:tc>
        <w:tc>
          <w:tcPr>
            <w:tcW w:w="2672" w:type="dxa"/>
            <w:vAlign w:val="top"/>
          </w:tcPr>
          <w:p w14:paraId="61B4E0B1">
            <w:pPr>
              <w:pStyle w:val="212"/>
              <w:spacing w:before="64" w:line="219" w:lineRule="auto"/>
              <w:ind w:left="103"/>
              <w:rPr>
                <w:color w:val="auto"/>
                <w:highlight w:val="none"/>
              </w:rPr>
            </w:pPr>
            <w:r>
              <w:rPr>
                <w:color w:val="auto"/>
                <w:spacing w:val="-1"/>
                <w:highlight w:val="none"/>
              </w:rPr>
              <w:t>A02081001</w:t>
            </w:r>
            <w:r>
              <w:rPr>
                <w:color w:val="auto"/>
                <w:spacing w:val="-30"/>
                <w:highlight w:val="none"/>
              </w:rPr>
              <w:t xml:space="preserve"> </w:t>
            </w:r>
            <w:r>
              <w:rPr>
                <w:color w:val="auto"/>
                <w:spacing w:val="-1"/>
                <w:highlight w:val="none"/>
              </w:rPr>
              <w:t>传真通信设备</w:t>
            </w:r>
          </w:p>
        </w:tc>
        <w:tc>
          <w:tcPr>
            <w:tcW w:w="2248" w:type="dxa"/>
            <w:vAlign w:val="top"/>
          </w:tcPr>
          <w:p w14:paraId="7DA17ACF">
            <w:pPr>
              <w:rPr>
                <w:rFonts w:ascii="Arial"/>
                <w:color w:val="auto"/>
                <w:sz w:val="21"/>
                <w:highlight w:val="none"/>
              </w:rPr>
            </w:pPr>
          </w:p>
        </w:tc>
        <w:tc>
          <w:tcPr>
            <w:tcW w:w="3543" w:type="dxa"/>
            <w:vAlign w:val="top"/>
          </w:tcPr>
          <w:p w14:paraId="157BEBC2">
            <w:pPr>
              <w:pStyle w:val="212"/>
              <w:spacing w:before="63" w:line="219" w:lineRule="auto"/>
              <w:ind w:left="109"/>
              <w:rPr>
                <w:color w:val="auto"/>
                <w:highlight w:val="none"/>
              </w:rPr>
            </w:pPr>
            <w:r>
              <w:rPr>
                <w:color w:val="auto"/>
                <w:spacing w:val="-1"/>
                <w:highlight w:val="none"/>
              </w:rPr>
              <w:t>HJ2512</w:t>
            </w:r>
            <w:r>
              <w:rPr>
                <w:color w:val="auto"/>
                <w:spacing w:val="-29"/>
                <w:highlight w:val="none"/>
              </w:rPr>
              <w:t xml:space="preserve"> </w:t>
            </w:r>
            <w:r>
              <w:rPr>
                <w:color w:val="auto"/>
                <w:spacing w:val="-1"/>
                <w:highlight w:val="none"/>
              </w:rPr>
              <w:t>打印机、传真机及多功能一体机</w:t>
            </w:r>
          </w:p>
        </w:tc>
      </w:tr>
      <w:tr w14:paraId="5BD73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vAlign w:val="top"/>
          </w:tcPr>
          <w:p w14:paraId="410EF02D">
            <w:pPr>
              <w:pStyle w:val="212"/>
              <w:spacing w:before="64"/>
              <w:ind w:left="128"/>
              <w:rPr>
                <w:color w:val="auto"/>
                <w:highlight w:val="none"/>
              </w:rPr>
            </w:pPr>
            <w:r>
              <w:rPr>
                <w:color w:val="auto"/>
                <w:spacing w:val="-10"/>
                <w:highlight w:val="none"/>
              </w:rPr>
              <w:t>15</w:t>
            </w:r>
          </w:p>
        </w:tc>
        <w:tc>
          <w:tcPr>
            <w:tcW w:w="1542" w:type="dxa"/>
            <w:vMerge w:val="restart"/>
            <w:tcBorders>
              <w:bottom w:val="nil"/>
            </w:tcBorders>
            <w:vAlign w:val="top"/>
          </w:tcPr>
          <w:p w14:paraId="26E8370D">
            <w:pPr>
              <w:pStyle w:val="212"/>
              <w:spacing w:before="64" w:line="323" w:lineRule="auto"/>
              <w:ind w:left="109" w:right="108" w:hanging="7"/>
              <w:rPr>
                <w:color w:val="auto"/>
                <w:highlight w:val="none"/>
              </w:rPr>
            </w:pPr>
            <w:r>
              <w:rPr>
                <w:color w:val="auto"/>
                <w:spacing w:val="1"/>
                <w:highlight w:val="none"/>
              </w:rPr>
              <w:t>A020910</w:t>
            </w:r>
            <w:r>
              <w:rPr>
                <w:color w:val="auto"/>
                <w:spacing w:val="54"/>
                <w:highlight w:val="none"/>
              </w:rPr>
              <w:t xml:space="preserve"> </w:t>
            </w:r>
            <w:r>
              <w:rPr>
                <w:color w:val="auto"/>
                <w:spacing w:val="1"/>
                <w:highlight w:val="none"/>
              </w:rPr>
              <w:t>电视设</w:t>
            </w:r>
            <w:r>
              <w:rPr>
                <w:color w:val="auto"/>
                <w:highlight w:val="none"/>
              </w:rPr>
              <w:t xml:space="preserve"> 备</w:t>
            </w:r>
          </w:p>
        </w:tc>
        <w:tc>
          <w:tcPr>
            <w:tcW w:w="2672" w:type="dxa"/>
            <w:vAlign w:val="top"/>
          </w:tcPr>
          <w:p w14:paraId="631B3CB1">
            <w:pPr>
              <w:pStyle w:val="212"/>
              <w:spacing w:before="64" w:line="284" w:lineRule="auto"/>
              <w:ind w:left="107" w:right="107" w:hanging="4"/>
              <w:rPr>
                <w:color w:val="auto"/>
                <w:highlight w:val="none"/>
              </w:rPr>
            </w:pPr>
            <w:r>
              <w:rPr>
                <w:color w:val="auto"/>
                <w:spacing w:val="-2"/>
                <w:highlight w:val="none"/>
              </w:rPr>
              <w:t>A02091001</w:t>
            </w:r>
            <w:r>
              <w:rPr>
                <w:color w:val="auto"/>
                <w:spacing w:val="-29"/>
                <w:highlight w:val="none"/>
              </w:rPr>
              <w:t xml:space="preserve"> </w:t>
            </w:r>
            <w:r>
              <w:rPr>
                <w:color w:val="auto"/>
                <w:spacing w:val="-2"/>
                <w:highlight w:val="none"/>
              </w:rPr>
              <w:t>普通电视设备（电视</w:t>
            </w:r>
            <w:r>
              <w:rPr>
                <w:color w:val="auto"/>
                <w:highlight w:val="none"/>
              </w:rPr>
              <w:t xml:space="preserve"> </w:t>
            </w:r>
            <w:r>
              <w:rPr>
                <w:color w:val="auto"/>
                <w:spacing w:val="-4"/>
                <w:highlight w:val="none"/>
              </w:rPr>
              <w:t>机）</w:t>
            </w:r>
          </w:p>
        </w:tc>
        <w:tc>
          <w:tcPr>
            <w:tcW w:w="2248" w:type="dxa"/>
            <w:vAlign w:val="top"/>
          </w:tcPr>
          <w:p w14:paraId="20AA4966">
            <w:pPr>
              <w:rPr>
                <w:rFonts w:ascii="Arial"/>
                <w:color w:val="auto"/>
                <w:sz w:val="21"/>
                <w:highlight w:val="none"/>
              </w:rPr>
            </w:pPr>
          </w:p>
        </w:tc>
        <w:tc>
          <w:tcPr>
            <w:tcW w:w="3543" w:type="dxa"/>
            <w:vAlign w:val="top"/>
          </w:tcPr>
          <w:p w14:paraId="1D43B566">
            <w:pPr>
              <w:pStyle w:val="212"/>
              <w:spacing w:before="64" w:line="219" w:lineRule="auto"/>
              <w:ind w:left="109"/>
              <w:rPr>
                <w:color w:val="auto"/>
                <w:highlight w:val="none"/>
              </w:rPr>
            </w:pPr>
            <w:r>
              <w:rPr>
                <w:color w:val="auto"/>
                <w:spacing w:val="-1"/>
                <w:highlight w:val="none"/>
              </w:rPr>
              <w:t>HJ2506</w:t>
            </w:r>
            <w:r>
              <w:rPr>
                <w:color w:val="auto"/>
                <w:spacing w:val="-31"/>
                <w:highlight w:val="none"/>
              </w:rPr>
              <w:t xml:space="preserve"> </w:t>
            </w:r>
            <w:r>
              <w:rPr>
                <w:color w:val="auto"/>
                <w:spacing w:val="-1"/>
                <w:highlight w:val="none"/>
              </w:rPr>
              <w:t>彩色电视广播接收机</w:t>
            </w:r>
          </w:p>
        </w:tc>
      </w:tr>
      <w:tr w14:paraId="15C36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Merge w:val="continue"/>
            <w:tcBorders>
              <w:top w:val="nil"/>
            </w:tcBorders>
            <w:vAlign w:val="top"/>
          </w:tcPr>
          <w:p w14:paraId="4643E191">
            <w:pPr>
              <w:rPr>
                <w:rFonts w:ascii="Arial"/>
                <w:color w:val="auto"/>
                <w:sz w:val="21"/>
                <w:highlight w:val="none"/>
              </w:rPr>
            </w:pPr>
          </w:p>
        </w:tc>
        <w:tc>
          <w:tcPr>
            <w:tcW w:w="1542" w:type="dxa"/>
            <w:vMerge w:val="continue"/>
            <w:tcBorders>
              <w:top w:val="nil"/>
            </w:tcBorders>
            <w:vAlign w:val="top"/>
          </w:tcPr>
          <w:p w14:paraId="4E36F452">
            <w:pPr>
              <w:rPr>
                <w:rFonts w:ascii="Arial"/>
                <w:color w:val="auto"/>
                <w:sz w:val="21"/>
                <w:highlight w:val="none"/>
              </w:rPr>
            </w:pPr>
          </w:p>
        </w:tc>
        <w:tc>
          <w:tcPr>
            <w:tcW w:w="2672" w:type="dxa"/>
            <w:vAlign w:val="top"/>
          </w:tcPr>
          <w:p w14:paraId="192CDB2C">
            <w:pPr>
              <w:pStyle w:val="212"/>
              <w:spacing w:before="67" w:line="284" w:lineRule="auto"/>
              <w:ind w:left="111" w:right="107" w:hanging="8"/>
              <w:rPr>
                <w:color w:val="auto"/>
                <w:highlight w:val="none"/>
              </w:rPr>
            </w:pPr>
            <w:r>
              <w:rPr>
                <w:color w:val="auto"/>
                <w:spacing w:val="6"/>
                <w:highlight w:val="none"/>
              </w:rPr>
              <w:t>A02091003 特殊功能应用电视</w:t>
            </w:r>
            <w:r>
              <w:rPr>
                <w:color w:val="auto"/>
                <w:spacing w:val="7"/>
                <w:highlight w:val="none"/>
              </w:rPr>
              <w:t xml:space="preserve"> </w:t>
            </w:r>
            <w:r>
              <w:rPr>
                <w:color w:val="auto"/>
                <w:spacing w:val="-3"/>
                <w:highlight w:val="none"/>
              </w:rPr>
              <w:t>设备</w:t>
            </w:r>
          </w:p>
        </w:tc>
        <w:tc>
          <w:tcPr>
            <w:tcW w:w="2248" w:type="dxa"/>
            <w:vAlign w:val="top"/>
          </w:tcPr>
          <w:p w14:paraId="1810E7D8">
            <w:pPr>
              <w:rPr>
                <w:rFonts w:ascii="Arial"/>
                <w:color w:val="auto"/>
                <w:sz w:val="21"/>
                <w:highlight w:val="none"/>
              </w:rPr>
            </w:pPr>
          </w:p>
        </w:tc>
        <w:tc>
          <w:tcPr>
            <w:tcW w:w="3543" w:type="dxa"/>
            <w:vAlign w:val="top"/>
          </w:tcPr>
          <w:p w14:paraId="40354154">
            <w:pPr>
              <w:pStyle w:val="212"/>
              <w:spacing w:before="67" w:line="219" w:lineRule="auto"/>
              <w:ind w:left="109"/>
              <w:rPr>
                <w:color w:val="auto"/>
                <w:highlight w:val="none"/>
              </w:rPr>
            </w:pPr>
            <w:r>
              <w:rPr>
                <w:color w:val="auto"/>
                <w:spacing w:val="-1"/>
                <w:highlight w:val="none"/>
              </w:rPr>
              <w:t>HJ2506</w:t>
            </w:r>
            <w:r>
              <w:rPr>
                <w:color w:val="auto"/>
                <w:spacing w:val="-31"/>
                <w:highlight w:val="none"/>
              </w:rPr>
              <w:t xml:space="preserve"> </w:t>
            </w:r>
            <w:r>
              <w:rPr>
                <w:color w:val="auto"/>
                <w:spacing w:val="-1"/>
                <w:highlight w:val="none"/>
              </w:rPr>
              <w:t>彩色电视广播接收机</w:t>
            </w:r>
          </w:p>
        </w:tc>
      </w:tr>
      <w:tr w14:paraId="2ADF6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restart"/>
            <w:tcBorders>
              <w:bottom w:val="nil"/>
            </w:tcBorders>
            <w:vAlign w:val="top"/>
          </w:tcPr>
          <w:p w14:paraId="7DC6975A">
            <w:pPr>
              <w:pStyle w:val="212"/>
              <w:spacing w:before="65"/>
              <w:ind w:left="128"/>
              <w:rPr>
                <w:color w:val="auto"/>
                <w:highlight w:val="none"/>
              </w:rPr>
            </w:pPr>
            <w:r>
              <w:rPr>
                <w:color w:val="auto"/>
                <w:spacing w:val="-10"/>
                <w:highlight w:val="none"/>
              </w:rPr>
              <w:t>16</w:t>
            </w:r>
          </w:p>
        </w:tc>
        <w:tc>
          <w:tcPr>
            <w:tcW w:w="1542" w:type="dxa"/>
            <w:vMerge w:val="restart"/>
            <w:tcBorders>
              <w:bottom w:val="nil"/>
            </w:tcBorders>
            <w:vAlign w:val="top"/>
          </w:tcPr>
          <w:p w14:paraId="5FEF690E">
            <w:pPr>
              <w:pStyle w:val="212"/>
              <w:spacing w:before="65" w:line="220" w:lineRule="auto"/>
              <w:ind w:left="193"/>
              <w:rPr>
                <w:color w:val="auto"/>
                <w:highlight w:val="none"/>
              </w:rPr>
            </w:pPr>
            <w:r>
              <w:rPr>
                <w:color w:val="auto"/>
                <w:spacing w:val="-1"/>
                <w:highlight w:val="none"/>
              </w:rPr>
              <w:t>A0601</w:t>
            </w:r>
            <w:r>
              <w:rPr>
                <w:color w:val="auto"/>
                <w:spacing w:val="-36"/>
                <w:highlight w:val="none"/>
              </w:rPr>
              <w:t xml:space="preserve"> </w:t>
            </w:r>
            <w:r>
              <w:rPr>
                <w:color w:val="auto"/>
                <w:spacing w:val="-1"/>
                <w:highlight w:val="none"/>
              </w:rPr>
              <w:t>床类</w:t>
            </w:r>
          </w:p>
        </w:tc>
        <w:tc>
          <w:tcPr>
            <w:tcW w:w="2672" w:type="dxa"/>
            <w:vAlign w:val="top"/>
          </w:tcPr>
          <w:p w14:paraId="1E642A8B">
            <w:pPr>
              <w:pStyle w:val="212"/>
              <w:spacing w:before="65" w:line="220" w:lineRule="auto"/>
              <w:ind w:left="103"/>
              <w:rPr>
                <w:color w:val="auto"/>
                <w:highlight w:val="none"/>
              </w:rPr>
            </w:pPr>
            <w:r>
              <w:rPr>
                <w:color w:val="auto"/>
                <w:spacing w:val="-1"/>
                <w:highlight w:val="none"/>
              </w:rPr>
              <w:t>A060101</w:t>
            </w:r>
            <w:r>
              <w:rPr>
                <w:color w:val="auto"/>
                <w:spacing w:val="-34"/>
                <w:highlight w:val="none"/>
              </w:rPr>
              <w:t xml:space="preserve"> </w:t>
            </w:r>
            <w:r>
              <w:rPr>
                <w:color w:val="auto"/>
                <w:spacing w:val="-1"/>
                <w:highlight w:val="none"/>
              </w:rPr>
              <w:t>钢木床类</w:t>
            </w:r>
          </w:p>
        </w:tc>
        <w:tc>
          <w:tcPr>
            <w:tcW w:w="2248" w:type="dxa"/>
            <w:vAlign w:val="top"/>
          </w:tcPr>
          <w:p w14:paraId="46156D67">
            <w:pPr>
              <w:rPr>
                <w:rFonts w:ascii="Arial"/>
                <w:color w:val="auto"/>
                <w:sz w:val="21"/>
                <w:highlight w:val="none"/>
              </w:rPr>
            </w:pPr>
          </w:p>
        </w:tc>
        <w:tc>
          <w:tcPr>
            <w:tcW w:w="3543" w:type="dxa"/>
            <w:vAlign w:val="top"/>
          </w:tcPr>
          <w:p w14:paraId="653439C0">
            <w:pPr>
              <w:pStyle w:val="212"/>
              <w:spacing w:before="64"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18538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583" w:type="dxa"/>
            <w:vMerge w:val="continue"/>
            <w:tcBorders>
              <w:top w:val="nil"/>
              <w:bottom w:val="nil"/>
            </w:tcBorders>
            <w:vAlign w:val="top"/>
          </w:tcPr>
          <w:p w14:paraId="196591F5">
            <w:pPr>
              <w:rPr>
                <w:rFonts w:ascii="Arial"/>
                <w:color w:val="auto"/>
                <w:sz w:val="21"/>
                <w:highlight w:val="none"/>
              </w:rPr>
            </w:pPr>
          </w:p>
        </w:tc>
        <w:tc>
          <w:tcPr>
            <w:tcW w:w="1542" w:type="dxa"/>
            <w:vMerge w:val="continue"/>
            <w:tcBorders>
              <w:top w:val="nil"/>
              <w:bottom w:val="nil"/>
            </w:tcBorders>
            <w:vAlign w:val="top"/>
          </w:tcPr>
          <w:p w14:paraId="7F4A9CF9">
            <w:pPr>
              <w:rPr>
                <w:rFonts w:ascii="Arial"/>
                <w:color w:val="auto"/>
                <w:sz w:val="21"/>
                <w:highlight w:val="none"/>
              </w:rPr>
            </w:pPr>
          </w:p>
        </w:tc>
        <w:tc>
          <w:tcPr>
            <w:tcW w:w="2672" w:type="dxa"/>
            <w:vAlign w:val="top"/>
          </w:tcPr>
          <w:p w14:paraId="3C53E63A">
            <w:pPr>
              <w:pStyle w:val="212"/>
              <w:spacing w:before="65" w:line="220" w:lineRule="auto"/>
              <w:ind w:left="103"/>
              <w:rPr>
                <w:color w:val="auto"/>
                <w:highlight w:val="none"/>
              </w:rPr>
            </w:pPr>
            <w:r>
              <w:rPr>
                <w:color w:val="auto"/>
                <w:spacing w:val="-1"/>
                <w:highlight w:val="none"/>
              </w:rPr>
              <w:t>A060104</w:t>
            </w:r>
            <w:r>
              <w:rPr>
                <w:color w:val="auto"/>
                <w:spacing w:val="-33"/>
                <w:highlight w:val="none"/>
              </w:rPr>
              <w:t xml:space="preserve"> </w:t>
            </w:r>
            <w:r>
              <w:rPr>
                <w:color w:val="auto"/>
                <w:spacing w:val="-1"/>
                <w:highlight w:val="none"/>
              </w:rPr>
              <w:t>木制床类</w:t>
            </w:r>
          </w:p>
        </w:tc>
        <w:tc>
          <w:tcPr>
            <w:tcW w:w="2248" w:type="dxa"/>
            <w:vAlign w:val="top"/>
          </w:tcPr>
          <w:p w14:paraId="53FC7E23">
            <w:pPr>
              <w:rPr>
                <w:rFonts w:ascii="Arial"/>
                <w:color w:val="auto"/>
                <w:sz w:val="21"/>
                <w:highlight w:val="none"/>
              </w:rPr>
            </w:pPr>
          </w:p>
        </w:tc>
        <w:tc>
          <w:tcPr>
            <w:tcW w:w="3543" w:type="dxa"/>
            <w:vAlign w:val="top"/>
          </w:tcPr>
          <w:p w14:paraId="52649647">
            <w:pPr>
              <w:pStyle w:val="212"/>
              <w:spacing w:before="65"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45376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25C97FAC">
            <w:pPr>
              <w:rPr>
                <w:rFonts w:ascii="Arial"/>
                <w:color w:val="auto"/>
                <w:sz w:val="21"/>
                <w:highlight w:val="none"/>
              </w:rPr>
            </w:pPr>
          </w:p>
        </w:tc>
        <w:tc>
          <w:tcPr>
            <w:tcW w:w="1542" w:type="dxa"/>
            <w:vMerge w:val="continue"/>
            <w:tcBorders>
              <w:top w:val="nil"/>
            </w:tcBorders>
            <w:vAlign w:val="top"/>
          </w:tcPr>
          <w:p w14:paraId="4C47414E">
            <w:pPr>
              <w:rPr>
                <w:rFonts w:ascii="Arial"/>
                <w:color w:val="auto"/>
                <w:sz w:val="21"/>
                <w:highlight w:val="none"/>
              </w:rPr>
            </w:pPr>
          </w:p>
        </w:tc>
        <w:tc>
          <w:tcPr>
            <w:tcW w:w="2672" w:type="dxa"/>
            <w:vAlign w:val="top"/>
          </w:tcPr>
          <w:p w14:paraId="2D9D08FB">
            <w:pPr>
              <w:pStyle w:val="212"/>
              <w:spacing w:before="65" w:line="220" w:lineRule="auto"/>
              <w:ind w:left="103"/>
              <w:rPr>
                <w:color w:val="auto"/>
                <w:highlight w:val="none"/>
              </w:rPr>
            </w:pPr>
            <w:r>
              <w:rPr>
                <w:color w:val="auto"/>
                <w:spacing w:val="-1"/>
                <w:highlight w:val="none"/>
              </w:rPr>
              <w:t>A060199</w:t>
            </w:r>
            <w:r>
              <w:rPr>
                <w:color w:val="auto"/>
                <w:spacing w:val="-33"/>
                <w:highlight w:val="none"/>
              </w:rPr>
              <w:t xml:space="preserve"> </w:t>
            </w:r>
            <w:r>
              <w:rPr>
                <w:color w:val="auto"/>
                <w:spacing w:val="-1"/>
                <w:highlight w:val="none"/>
              </w:rPr>
              <w:t>其他床类</w:t>
            </w:r>
          </w:p>
        </w:tc>
        <w:tc>
          <w:tcPr>
            <w:tcW w:w="2248" w:type="dxa"/>
            <w:vAlign w:val="top"/>
          </w:tcPr>
          <w:p w14:paraId="26DA5D59">
            <w:pPr>
              <w:rPr>
                <w:rFonts w:ascii="Arial"/>
                <w:color w:val="auto"/>
                <w:sz w:val="21"/>
                <w:highlight w:val="none"/>
              </w:rPr>
            </w:pPr>
          </w:p>
        </w:tc>
        <w:tc>
          <w:tcPr>
            <w:tcW w:w="3543" w:type="dxa"/>
            <w:vAlign w:val="top"/>
          </w:tcPr>
          <w:p w14:paraId="4B52C3C6">
            <w:pPr>
              <w:pStyle w:val="212"/>
              <w:spacing w:before="65"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2B773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00FF68E8">
            <w:pPr>
              <w:pStyle w:val="212"/>
              <w:spacing w:before="66"/>
              <w:ind w:left="128"/>
              <w:rPr>
                <w:color w:val="auto"/>
                <w:highlight w:val="none"/>
              </w:rPr>
            </w:pPr>
            <w:r>
              <w:rPr>
                <w:color w:val="auto"/>
                <w:spacing w:val="-10"/>
                <w:highlight w:val="none"/>
              </w:rPr>
              <w:t>17</w:t>
            </w:r>
          </w:p>
        </w:tc>
        <w:tc>
          <w:tcPr>
            <w:tcW w:w="1542" w:type="dxa"/>
            <w:vMerge w:val="restart"/>
            <w:tcBorders>
              <w:bottom w:val="nil"/>
            </w:tcBorders>
            <w:vAlign w:val="top"/>
          </w:tcPr>
          <w:p w14:paraId="46AB660E">
            <w:pPr>
              <w:pStyle w:val="212"/>
              <w:spacing w:before="65" w:line="220" w:lineRule="auto"/>
              <w:ind w:left="102"/>
              <w:rPr>
                <w:color w:val="auto"/>
                <w:highlight w:val="none"/>
              </w:rPr>
            </w:pPr>
            <w:r>
              <w:rPr>
                <w:color w:val="auto"/>
                <w:spacing w:val="-2"/>
                <w:highlight w:val="none"/>
              </w:rPr>
              <w:t>A0602</w:t>
            </w:r>
            <w:r>
              <w:rPr>
                <w:color w:val="auto"/>
                <w:spacing w:val="-22"/>
                <w:highlight w:val="none"/>
              </w:rPr>
              <w:t xml:space="preserve"> </w:t>
            </w:r>
            <w:r>
              <w:rPr>
                <w:color w:val="auto"/>
                <w:spacing w:val="-2"/>
                <w:highlight w:val="none"/>
              </w:rPr>
              <w:t>台、桌类</w:t>
            </w:r>
          </w:p>
        </w:tc>
        <w:tc>
          <w:tcPr>
            <w:tcW w:w="2672" w:type="dxa"/>
            <w:vAlign w:val="top"/>
          </w:tcPr>
          <w:p w14:paraId="0E8D4756">
            <w:pPr>
              <w:pStyle w:val="212"/>
              <w:spacing w:before="65" w:line="220" w:lineRule="auto"/>
              <w:ind w:left="103"/>
              <w:rPr>
                <w:color w:val="auto"/>
                <w:highlight w:val="none"/>
              </w:rPr>
            </w:pPr>
            <w:r>
              <w:rPr>
                <w:color w:val="auto"/>
                <w:spacing w:val="-1"/>
                <w:highlight w:val="none"/>
              </w:rPr>
              <w:t>A060201</w:t>
            </w:r>
            <w:r>
              <w:rPr>
                <w:color w:val="auto"/>
                <w:spacing w:val="-29"/>
                <w:highlight w:val="none"/>
              </w:rPr>
              <w:t xml:space="preserve"> </w:t>
            </w:r>
            <w:r>
              <w:rPr>
                <w:color w:val="auto"/>
                <w:spacing w:val="-1"/>
                <w:highlight w:val="none"/>
              </w:rPr>
              <w:t>钢木台、桌类</w:t>
            </w:r>
          </w:p>
        </w:tc>
        <w:tc>
          <w:tcPr>
            <w:tcW w:w="2248" w:type="dxa"/>
            <w:vAlign w:val="top"/>
          </w:tcPr>
          <w:p w14:paraId="50B7C193">
            <w:pPr>
              <w:rPr>
                <w:rFonts w:ascii="Arial"/>
                <w:color w:val="auto"/>
                <w:sz w:val="21"/>
                <w:highlight w:val="none"/>
              </w:rPr>
            </w:pPr>
          </w:p>
        </w:tc>
        <w:tc>
          <w:tcPr>
            <w:tcW w:w="3543" w:type="dxa"/>
            <w:vAlign w:val="top"/>
          </w:tcPr>
          <w:p w14:paraId="0D667D18">
            <w:pPr>
              <w:pStyle w:val="212"/>
              <w:spacing w:before="65"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31B56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bottom w:val="nil"/>
            </w:tcBorders>
            <w:vAlign w:val="top"/>
          </w:tcPr>
          <w:p w14:paraId="6DD718B9">
            <w:pPr>
              <w:rPr>
                <w:rFonts w:ascii="Arial"/>
                <w:color w:val="auto"/>
                <w:sz w:val="21"/>
                <w:highlight w:val="none"/>
              </w:rPr>
            </w:pPr>
          </w:p>
        </w:tc>
        <w:tc>
          <w:tcPr>
            <w:tcW w:w="1542" w:type="dxa"/>
            <w:vMerge w:val="continue"/>
            <w:tcBorders>
              <w:top w:val="nil"/>
              <w:bottom w:val="nil"/>
            </w:tcBorders>
            <w:vAlign w:val="top"/>
          </w:tcPr>
          <w:p w14:paraId="386792F2">
            <w:pPr>
              <w:rPr>
                <w:rFonts w:ascii="Arial"/>
                <w:color w:val="auto"/>
                <w:sz w:val="21"/>
                <w:highlight w:val="none"/>
              </w:rPr>
            </w:pPr>
          </w:p>
        </w:tc>
        <w:tc>
          <w:tcPr>
            <w:tcW w:w="2672" w:type="dxa"/>
            <w:vAlign w:val="top"/>
          </w:tcPr>
          <w:p w14:paraId="04D01AD8">
            <w:pPr>
              <w:pStyle w:val="212"/>
              <w:spacing w:before="65" w:line="220" w:lineRule="auto"/>
              <w:ind w:left="103"/>
              <w:rPr>
                <w:color w:val="auto"/>
                <w:highlight w:val="none"/>
              </w:rPr>
            </w:pPr>
            <w:r>
              <w:rPr>
                <w:color w:val="auto"/>
                <w:spacing w:val="-1"/>
                <w:highlight w:val="none"/>
              </w:rPr>
              <w:t>A060205</w:t>
            </w:r>
            <w:r>
              <w:rPr>
                <w:color w:val="auto"/>
                <w:spacing w:val="-29"/>
                <w:highlight w:val="none"/>
              </w:rPr>
              <w:t xml:space="preserve"> </w:t>
            </w:r>
            <w:r>
              <w:rPr>
                <w:color w:val="auto"/>
                <w:spacing w:val="-1"/>
                <w:highlight w:val="none"/>
              </w:rPr>
              <w:t>木制台、桌类</w:t>
            </w:r>
          </w:p>
        </w:tc>
        <w:tc>
          <w:tcPr>
            <w:tcW w:w="2248" w:type="dxa"/>
            <w:vAlign w:val="top"/>
          </w:tcPr>
          <w:p w14:paraId="09D44818">
            <w:pPr>
              <w:rPr>
                <w:rFonts w:ascii="Arial"/>
                <w:color w:val="auto"/>
                <w:sz w:val="21"/>
                <w:highlight w:val="none"/>
              </w:rPr>
            </w:pPr>
          </w:p>
        </w:tc>
        <w:tc>
          <w:tcPr>
            <w:tcW w:w="3543" w:type="dxa"/>
            <w:vAlign w:val="top"/>
          </w:tcPr>
          <w:p w14:paraId="63EF0849">
            <w:pPr>
              <w:pStyle w:val="212"/>
              <w:spacing w:before="65"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6572D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212D3AC2">
            <w:pPr>
              <w:rPr>
                <w:rFonts w:ascii="Arial"/>
                <w:color w:val="auto"/>
                <w:sz w:val="21"/>
                <w:highlight w:val="none"/>
              </w:rPr>
            </w:pPr>
          </w:p>
        </w:tc>
        <w:tc>
          <w:tcPr>
            <w:tcW w:w="1542" w:type="dxa"/>
            <w:vMerge w:val="continue"/>
            <w:tcBorders>
              <w:top w:val="nil"/>
            </w:tcBorders>
            <w:vAlign w:val="top"/>
          </w:tcPr>
          <w:p w14:paraId="71A5ADDB">
            <w:pPr>
              <w:rPr>
                <w:rFonts w:ascii="Arial"/>
                <w:color w:val="auto"/>
                <w:sz w:val="21"/>
                <w:highlight w:val="none"/>
              </w:rPr>
            </w:pPr>
          </w:p>
        </w:tc>
        <w:tc>
          <w:tcPr>
            <w:tcW w:w="2672" w:type="dxa"/>
            <w:vAlign w:val="top"/>
          </w:tcPr>
          <w:p w14:paraId="2F744242">
            <w:pPr>
              <w:pStyle w:val="212"/>
              <w:spacing w:before="66" w:line="220" w:lineRule="auto"/>
              <w:ind w:left="103"/>
              <w:rPr>
                <w:color w:val="auto"/>
                <w:highlight w:val="none"/>
              </w:rPr>
            </w:pPr>
            <w:r>
              <w:rPr>
                <w:color w:val="auto"/>
                <w:spacing w:val="-1"/>
                <w:highlight w:val="none"/>
              </w:rPr>
              <w:t>A060299</w:t>
            </w:r>
            <w:r>
              <w:rPr>
                <w:color w:val="auto"/>
                <w:spacing w:val="-29"/>
                <w:highlight w:val="none"/>
              </w:rPr>
              <w:t xml:space="preserve"> </w:t>
            </w:r>
            <w:r>
              <w:rPr>
                <w:color w:val="auto"/>
                <w:spacing w:val="-1"/>
                <w:highlight w:val="none"/>
              </w:rPr>
              <w:t>其他台、桌类</w:t>
            </w:r>
          </w:p>
        </w:tc>
        <w:tc>
          <w:tcPr>
            <w:tcW w:w="2248" w:type="dxa"/>
            <w:vAlign w:val="top"/>
          </w:tcPr>
          <w:p w14:paraId="514F29F5">
            <w:pPr>
              <w:rPr>
                <w:rFonts w:ascii="Arial"/>
                <w:color w:val="auto"/>
                <w:sz w:val="21"/>
                <w:highlight w:val="none"/>
              </w:rPr>
            </w:pPr>
          </w:p>
        </w:tc>
        <w:tc>
          <w:tcPr>
            <w:tcW w:w="3543" w:type="dxa"/>
            <w:vAlign w:val="top"/>
          </w:tcPr>
          <w:p w14:paraId="7BBDF894">
            <w:pPr>
              <w:pStyle w:val="212"/>
              <w:spacing w:before="66"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6F35C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75FEF03B">
            <w:pPr>
              <w:pStyle w:val="212"/>
              <w:spacing w:before="67"/>
              <w:ind w:left="128"/>
              <w:rPr>
                <w:color w:val="auto"/>
                <w:highlight w:val="none"/>
              </w:rPr>
            </w:pPr>
            <w:r>
              <w:rPr>
                <w:color w:val="auto"/>
                <w:spacing w:val="-10"/>
                <w:highlight w:val="none"/>
              </w:rPr>
              <w:t>18</w:t>
            </w:r>
          </w:p>
        </w:tc>
        <w:tc>
          <w:tcPr>
            <w:tcW w:w="1542" w:type="dxa"/>
            <w:vMerge w:val="restart"/>
            <w:tcBorders>
              <w:bottom w:val="nil"/>
            </w:tcBorders>
            <w:vAlign w:val="top"/>
          </w:tcPr>
          <w:p w14:paraId="6F4AA3DB">
            <w:pPr>
              <w:pStyle w:val="212"/>
              <w:spacing w:before="66" w:line="220" w:lineRule="auto"/>
              <w:ind w:left="102"/>
              <w:rPr>
                <w:color w:val="auto"/>
                <w:highlight w:val="none"/>
              </w:rPr>
            </w:pPr>
            <w:r>
              <w:rPr>
                <w:color w:val="auto"/>
                <w:spacing w:val="-1"/>
                <w:highlight w:val="none"/>
              </w:rPr>
              <w:t>A0603</w:t>
            </w:r>
            <w:r>
              <w:rPr>
                <w:color w:val="auto"/>
                <w:spacing w:val="-36"/>
                <w:highlight w:val="none"/>
              </w:rPr>
              <w:t xml:space="preserve"> </w:t>
            </w:r>
            <w:r>
              <w:rPr>
                <w:color w:val="auto"/>
                <w:spacing w:val="-1"/>
                <w:highlight w:val="none"/>
              </w:rPr>
              <w:t>椅凳类</w:t>
            </w:r>
          </w:p>
        </w:tc>
        <w:tc>
          <w:tcPr>
            <w:tcW w:w="2672" w:type="dxa"/>
            <w:vAlign w:val="top"/>
          </w:tcPr>
          <w:p w14:paraId="448DD27A">
            <w:pPr>
              <w:pStyle w:val="212"/>
              <w:spacing w:before="66" w:line="220" w:lineRule="auto"/>
              <w:ind w:left="103"/>
              <w:rPr>
                <w:color w:val="auto"/>
                <w:highlight w:val="none"/>
              </w:rPr>
            </w:pPr>
            <w:r>
              <w:rPr>
                <w:color w:val="auto"/>
                <w:spacing w:val="-1"/>
                <w:highlight w:val="none"/>
              </w:rPr>
              <w:t>A060301</w:t>
            </w:r>
            <w:r>
              <w:rPr>
                <w:color w:val="auto"/>
                <w:spacing w:val="-46"/>
                <w:highlight w:val="none"/>
              </w:rPr>
              <w:t xml:space="preserve"> </w:t>
            </w:r>
            <w:r>
              <w:rPr>
                <w:color w:val="auto"/>
                <w:spacing w:val="-1"/>
                <w:highlight w:val="none"/>
              </w:rPr>
              <w:t>金属骨架为主的椅凳类</w:t>
            </w:r>
          </w:p>
        </w:tc>
        <w:tc>
          <w:tcPr>
            <w:tcW w:w="2248" w:type="dxa"/>
            <w:vAlign w:val="top"/>
          </w:tcPr>
          <w:p w14:paraId="35146366">
            <w:pPr>
              <w:rPr>
                <w:rFonts w:ascii="Arial"/>
                <w:color w:val="auto"/>
                <w:sz w:val="21"/>
                <w:highlight w:val="none"/>
              </w:rPr>
            </w:pPr>
          </w:p>
        </w:tc>
        <w:tc>
          <w:tcPr>
            <w:tcW w:w="3543" w:type="dxa"/>
            <w:vAlign w:val="top"/>
          </w:tcPr>
          <w:p w14:paraId="656C7958">
            <w:pPr>
              <w:pStyle w:val="212"/>
              <w:spacing w:before="66"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5AB33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bottom w:val="nil"/>
            </w:tcBorders>
            <w:vAlign w:val="top"/>
          </w:tcPr>
          <w:p w14:paraId="37CF7095">
            <w:pPr>
              <w:rPr>
                <w:rFonts w:ascii="Arial"/>
                <w:color w:val="auto"/>
                <w:sz w:val="21"/>
                <w:highlight w:val="none"/>
              </w:rPr>
            </w:pPr>
          </w:p>
        </w:tc>
        <w:tc>
          <w:tcPr>
            <w:tcW w:w="1542" w:type="dxa"/>
            <w:vMerge w:val="continue"/>
            <w:tcBorders>
              <w:top w:val="nil"/>
              <w:bottom w:val="nil"/>
            </w:tcBorders>
            <w:vAlign w:val="top"/>
          </w:tcPr>
          <w:p w14:paraId="28DE269E">
            <w:pPr>
              <w:rPr>
                <w:rFonts w:ascii="Arial"/>
                <w:color w:val="auto"/>
                <w:sz w:val="21"/>
                <w:highlight w:val="none"/>
              </w:rPr>
            </w:pPr>
          </w:p>
        </w:tc>
        <w:tc>
          <w:tcPr>
            <w:tcW w:w="2672" w:type="dxa"/>
            <w:vAlign w:val="top"/>
          </w:tcPr>
          <w:p w14:paraId="0279AA59">
            <w:pPr>
              <w:pStyle w:val="212"/>
              <w:spacing w:before="66" w:line="220" w:lineRule="auto"/>
              <w:ind w:left="103"/>
              <w:rPr>
                <w:color w:val="auto"/>
                <w:highlight w:val="none"/>
              </w:rPr>
            </w:pPr>
            <w:r>
              <w:rPr>
                <w:color w:val="auto"/>
                <w:spacing w:val="-1"/>
                <w:highlight w:val="none"/>
              </w:rPr>
              <w:t>A060302</w:t>
            </w:r>
            <w:r>
              <w:rPr>
                <w:color w:val="auto"/>
                <w:spacing w:val="-29"/>
                <w:highlight w:val="none"/>
              </w:rPr>
              <w:t xml:space="preserve"> </w:t>
            </w:r>
            <w:r>
              <w:rPr>
                <w:color w:val="auto"/>
                <w:spacing w:val="-1"/>
                <w:highlight w:val="none"/>
              </w:rPr>
              <w:t>木骨架为主的椅凳类</w:t>
            </w:r>
          </w:p>
        </w:tc>
        <w:tc>
          <w:tcPr>
            <w:tcW w:w="2248" w:type="dxa"/>
            <w:vAlign w:val="top"/>
          </w:tcPr>
          <w:p w14:paraId="4EEED532">
            <w:pPr>
              <w:rPr>
                <w:rFonts w:ascii="Arial"/>
                <w:color w:val="auto"/>
                <w:sz w:val="21"/>
                <w:highlight w:val="none"/>
              </w:rPr>
            </w:pPr>
          </w:p>
        </w:tc>
        <w:tc>
          <w:tcPr>
            <w:tcW w:w="3543" w:type="dxa"/>
            <w:vAlign w:val="top"/>
          </w:tcPr>
          <w:p w14:paraId="6E78AC05">
            <w:pPr>
              <w:pStyle w:val="212"/>
              <w:spacing w:before="66"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1903D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02A76264">
            <w:pPr>
              <w:rPr>
                <w:rFonts w:ascii="Arial"/>
                <w:color w:val="auto"/>
                <w:sz w:val="21"/>
                <w:highlight w:val="none"/>
              </w:rPr>
            </w:pPr>
          </w:p>
        </w:tc>
        <w:tc>
          <w:tcPr>
            <w:tcW w:w="1542" w:type="dxa"/>
            <w:vMerge w:val="continue"/>
            <w:tcBorders>
              <w:top w:val="nil"/>
            </w:tcBorders>
            <w:vAlign w:val="top"/>
          </w:tcPr>
          <w:p w14:paraId="2004F5D5">
            <w:pPr>
              <w:rPr>
                <w:rFonts w:ascii="Arial"/>
                <w:color w:val="auto"/>
                <w:sz w:val="21"/>
                <w:highlight w:val="none"/>
              </w:rPr>
            </w:pPr>
          </w:p>
        </w:tc>
        <w:tc>
          <w:tcPr>
            <w:tcW w:w="2672" w:type="dxa"/>
            <w:vAlign w:val="top"/>
          </w:tcPr>
          <w:p w14:paraId="0E8D949F">
            <w:pPr>
              <w:pStyle w:val="212"/>
              <w:spacing w:before="67" w:line="220" w:lineRule="auto"/>
              <w:ind w:left="103"/>
              <w:rPr>
                <w:color w:val="auto"/>
                <w:highlight w:val="none"/>
              </w:rPr>
            </w:pPr>
            <w:r>
              <w:rPr>
                <w:color w:val="auto"/>
                <w:spacing w:val="-1"/>
                <w:highlight w:val="none"/>
              </w:rPr>
              <w:t>A060399</w:t>
            </w:r>
            <w:r>
              <w:rPr>
                <w:color w:val="auto"/>
                <w:spacing w:val="-33"/>
                <w:highlight w:val="none"/>
              </w:rPr>
              <w:t xml:space="preserve"> </w:t>
            </w:r>
            <w:r>
              <w:rPr>
                <w:color w:val="auto"/>
                <w:spacing w:val="-1"/>
                <w:highlight w:val="none"/>
              </w:rPr>
              <w:t>其他椅凳类</w:t>
            </w:r>
          </w:p>
        </w:tc>
        <w:tc>
          <w:tcPr>
            <w:tcW w:w="2248" w:type="dxa"/>
            <w:vAlign w:val="top"/>
          </w:tcPr>
          <w:p w14:paraId="24CEDEBE">
            <w:pPr>
              <w:rPr>
                <w:rFonts w:ascii="Arial"/>
                <w:color w:val="auto"/>
                <w:sz w:val="21"/>
                <w:highlight w:val="none"/>
              </w:rPr>
            </w:pPr>
          </w:p>
        </w:tc>
        <w:tc>
          <w:tcPr>
            <w:tcW w:w="3543" w:type="dxa"/>
            <w:vAlign w:val="top"/>
          </w:tcPr>
          <w:p w14:paraId="1841F1AE">
            <w:pPr>
              <w:pStyle w:val="212"/>
              <w:spacing w:before="66"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07AF9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Align w:val="top"/>
          </w:tcPr>
          <w:p w14:paraId="4A551B1F">
            <w:pPr>
              <w:pStyle w:val="212"/>
              <w:spacing w:before="67"/>
              <w:ind w:left="128"/>
              <w:rPr>
                <w:color w:val="auto"/>
                <w:highlight w:val="none"/>
              </w:rPr>
            </w:pPr>
            <w:r>
              <w:rPr>
                <w:color w:val="auto"/>
                <w:spacing w:val="-10"/>
                <w:highlight w:val="none"/>
              </w:rPr>
              <w:t>19</w:t>
            </w:r>
          </w:p>
        </w:tc>
        <w:tc>
          <w:tcPr>
            <w:tcW w:w="1542" w:type="dxa"/>
            <w:vAlign w:val="top"/>
          </w:tcPr>
          <w:p w14:paraId="02A3D41F">
            <w:pPr>
              <w:pStyle w:val="212"/>
              <w:spacing w:before="67" w:line="220" w:lineRule="auto"/>
              <w:ind w:left="102"/>
              <w:rPr>
                <w:color w:val="auto"/>
                <w:highlight w:val="none"/>
              </w:rPr>
            </w:pPr>
            <w:r>
              <w:rPr>
                <w:color w:val="auto"/>
                <w:spacing w:val="-1"/>
                <w:highlight w:val="none"/>
              </w:rPr>
              <w:t>A0604</w:t>
            </w:r>
            <w:r>
              <w:rPr>
                <w:color w:val="auto"/>
                <w:spacing w:val="-35"/>
                <w:highlight w:val="none"/>
              </w:rPr>
              <w:t xml:space="preserve"> </w:t>
            </w:r>
            <w:r>
              <w:rPr>
                <w:color w:val="auto"/>
                <w:spacing w:val="-1"/>
                <w:highlight w:val="none"/>
              </w:rPr>
              <w:t>沙发类</w:t>
            </w:r>
          </w:p>
        </w:tc>
        <w:tc>
          <w:tcPr>
            <w:tcW w:w="2672" w:type="dxa"/>
            <w:vAlign w:val="top"/>
          </w:tcPr>
          <w:p w14:paraId="46D25991">
            <w:pPr>
              <w:pStyle w:val="212"/>
              <w:spacing w:before="67" w:line="220" w:lineRule="auto"/>
              <w:ind w:left="103"/>
              <w:rPr>
                <w:color w:val="auto"/>
                <w:highlight w:val="none"/>
              </w:rPr>
            </w:pPr>
            <w:r>
              <w:rPr>
                <w:color w:val="auto"/>
                <w:spacing w:val="-1"/>
                <w:highlight w:val="none"/>
              </w:rPr>
              <w:t>A060499</w:t>
            </w:r>
            <w:r>
              <w:rPr>
                <w:color w:val="auto"/>
                <w:spacing w:val="-33"/>
                <w:highlight w:val="none"/>
              </w:rPr>
              <w:t xml:space="preserve"> </w:t>
            </w:r>
            <w:r>
              <w:rPr>
                <w:color w:val="auto"/>
                <w:spacing w:val="-1"/>
                <w:highlight w:val="none"/>
              </w:rPr>
              <w:t>其他沙发类</w:t>
            </w:r>
          </w:p>
        </w:tc>
        <w:tc>
          <w:tcPr>
            <w:tcW w:w="2248" w:type="dxa"/>
            <w:vAlign w:val="top"/>
          </w:tcPr>
          <w:p w14:paraId="431A2D2C">
            <w:pPr>
              <w:rPr>
                <w:rFonts w:ascii="Arial"/>
                <w:color w:val="auto"/>
                <w:sz w:val="21"/>
                <w:highlight w:val="none"/>
              </w:rPr>
            </w:pPr>
          </w:p>
        </w:tc>
        <w:tc>
          <w:tcPr>
            <w:tcW w:w="3543" w:type="dxa"/>
            <w:vAlign w:val="top"/>
          </w:tcPr>
          <w:p w14:paraId="78253D8C">
            <w:pPr>
              <w:pStyle w:val="212"/>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0087F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0A0D9E9B">
            <w:pPr>
              <w:pStyle w:val="212"/>
              <w:spacing w:before="67"/>
              <w:ind w:left="116"/>
              <w:rPr>
                <w:color w:val="auto"/>
                <w:highlight w:val="none"/>
              </w:rPr>
            </w:pPr>
            <w:r>
              <w:rPr>
                <w:color w:val="auto"/>
                <w:spacing w:val="-4"/>
                <w:highlight w:val="none"/>
              </w:rPr>
              <w:t>20</w:t>
            </w:r>
          </w:p>
        </w:tc>
        <w:tc>
          <w:tcPr>
            <w:tcW w:w="1542" w:type="dxa"/>
            <w:vMerge w:val="restart"/>
            <w:tcBorders>
              <w:bottom w:val="nil"/>
            </w:tcBorders>
            <w:vAlign w:val="top"/>
          </w:tcPr>
          <w:p w14:paraId="1A2C27BF">
            <w:pPr>
              <w:pStyle w:val="212"/>
              <w:spacing w:before="67" w:line="220" w:lineRule="auto"/>
              <w:ind w:left="193"/>
              <w:rPr>
                <w:color w:val="auto"/>
                <w:highlight w:val="none"/>
              </w:rPr>
            </w:pPr>
            <w:r>
              <w:rPr>
                <w:color w:val="auto"/>
                <w:spacing w:val="-1"/>
                <w:highlight w:val="none"/>
              </w:rPr>
              <w:t>A0605</w:t>
            </w:r>
            <w:r>
              <w:rPr>
                <w:color w:val="auto"/>
                <w:spacing w:val="-36"/>
                <w:highlight w:val="none"/>
              </w:rPr>
              <w:t xml:space="preserve"> </w:t>
            </w:r>
            <w:r>
              <w:rPr>
                <w:color w:val="auto"/>
                <w:spacing w:val="-1"/>
                <w:highlight w:val="none"/>
              </w:rPr>
              <w:t>柜类</w:t>
            </w:r>
          </w:p>
        </w:tc>
        <w:tc>
          <w:tcPr>
            <w:tcW w:w="2672" w:type="dxa"/>
            <w:vAlign w:val="top"/>
          </w:tcPr>
          <w:p w14:paraId="079653E6">
            <w:pPr>
              <w:pStyle w:val="212"/>
              <w:spacing w:before="67" w:line="220" w:lineRule="auto"/>
              <w:ind w:left="103"/>
              <w:rPr>
                <w:color w:val="auto"/>
                <w:highlight w:val="none"/>
              </w:rPr>
            </w:pPr>
            <w:r>
              <w:rPr>
                <w:color w:val="auto"/>
                <w:spacing w:val="-1"/>
                <w:highlight w:val="none"/>
              </w:rPr>
              <w:t>A060501</w:t>
            </w:r>
            <w:r>
              <w:rPr>
                <w:color w:val="auto"/>
                <w:spacing w:val="-33"/>
                <w:highlight w:val="none"/>
              </w:rPr>
              <w:t xml:space="preserve"> </w:t>
            </w:r>
            <w:r>
              <w:rPr>
                <w:color w:val="auto"/>
                <w:spacing w:val="-1"/>
                <w:highlight w:val="none"/>
              </w:rPr>
              <w:t>木质柜类</w:t>
            </w:r>
          </w:p>
        </w:tc>
        <w:tc>
          <w:tcPr>
            <w:tcW w:w="2248" w:type="dxa"/>
            <w:vAlign w:val="top"/>
          </w:tcPr>
          <w:p w14:paraId="2C52F27B">
            <w:pPr>
              <w:rPr>
                <w:rFonts w:ascii="Arial"/>
                <w:color w:val="auto"/>
                <w:sz w:val="21"/>
                <w:highlight w:val="none"/>
              </w:rPr>
            </w:pPr>
          </w:p>
        </w:tc>
        <w:tc>
          <w:tcPr>
            <w:tcW w:w="3543" w:type="dxa"/>
            <w:vAlign w:val="top"/>
          </w:tcPr>
          <w:p w14:paraId="0879F0B3">
            <w:pPr>
              <w:pStyle w:val="212"/>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0D3DB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14:paraId="57EAEF2C">
            <w:pPr>
              <w:rPr>
                <w:rFonts w:ascii="Arial"/>
                <w:color w:val="auto"/>
                <w:sz w:val="21"/>
                <w:highlight w:val="none"/>
              </w:rPr>
            </w:pPr>
          </w:p>
        </w:tc>
        <w:tc>
          <w:tcPr>
            <w:tcW w:w="1542" w:type="dxa"/>
            <w:vMerge w:val="continue"/>
            <w:tcBorders>
              <w:top w:val="nil"/>
              <w:bottom w:val="nil"/>
            </w:tcBorders>
            <w:vAlign w:val="top"/>
          </w:tcPr>
          <w:p w14:paraId="76C15929">
            <w:pPr>
              <w:rPr>
                <w:rFonts w:ascii="Arial"/>
                <w:color w:val="auto"/>
                <w:sz w:val="21"/>
                <w:highlight w:val="none"/>
              </w:rPr>
            </w:pPr>
          </w:p>
        </w:tc>
        <w:tc>
          <w:tcPr>
            <w:tcW w:w="2672" w:type="dxa"/>
            <w:vAlign w:val="top"/>
          </w:tcPr>
          <w:p w14:paraId="560F5189">
            <w:pPr>
              <w:pStyle w:val="212"/>
              <w:spacing w:before="67" w:line="220" w:lineRule="auto"/>
              <w:ind w:left="103"/>
              <w:rPr>
                <w:color w:val="auto"/>
                <w:highlight w:val="none"/>
              </w:rPr>
            </w:pPr>
            <w:r>
              <w:rPr>
                <w:color w:val="auto"/>
                <w:spacing w:val="-1"/>
                <w:highlight w:val="none"/>
              </w:rPr>
              <w:t>A060503</w:t>
            </w:r>
            <w:r>
              <w:rPr>
                <w:color w:val="auto"/>
                <w:spacing w:val="-32"/>
                <w:highlight w:val="none"/>
              </w:rPr>
              <w:t xml:space="preserve"> </w:t>
            </w:r>
            <w:r>
              <w:rPr>
                <w:color w:val="auto"/>
                <w:spacing w:val="-1"/>
                <w:highlight w:val="none"/>
              </w:rPr>
              <w:t>金属质柜类</w:t>
            </w:r>
          </w:p>
        </w:tc>
        <w:tc>
          <w:tcPr>
            <w:tcW w:w="2248" w:type="dxa"/>
            <w:vAlign w:val="top"/>
          </w:tcPr>
          <w:p w14:paraId="148476BE">
            <w:pPr>
              <w:rPr>
                <w:rFonts w:ascii="Arial"/>
                <w:color w:val="auto"/>
                <w:sz w:val="21"/>
                <w:highlight w:val="none"/>
              </w:rPr>
            </w:pPr>
          </w:p>
        </w:tc>
        <w:tc>
          <w:tcPr>
            <w:tcW w:w="3543" w:type="dxa"/>
            <w:vAlign w:val="top"/>
          </w:tcPr>
          <w:p w14:paraId="4E6C8272">
            <w:pPr>
              <w:pStyle w:val="212"/>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1CD4D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58727A63">
            <w:pPr>
              <w:rPr>
                <w:rFonts w:ascii="Arial"/>
                <w:color w:val="auto"/>
                <w:sz w:val="21"/>
                <w:highlight w:val="none"/>
              </w:rPr>
            </w:pPr>
          </w:p>
        </w:tc>
        <w:tc>
          <w:tcPr>
            <w:tcW w:w="1542" w:type="dxa"/>
            <w:vMerge w:val="continue"/>
            <w:tcBorders>
              <w:top w:val="nil"/>
            </w:tcBorders>
            <w:vAlign w:val="top"/>
          </w:tcPr>
          <w:p w14:paraId="51A81438">
            <w:pPr>
              <w:rPr>
                <w:rFonts w:ascii="Arial"/>
                <w:color w:val="auto"/>
                <w:sz w:val="21"/>
                <w:highlight w:val="none"/>
              </w:rPr>
            </w:pPr>
          </w:p>
        </w:tc>
        <w:tc>
          <w:tcPr>
            <w:tcW w:w="2672" w:type="dxa"/>
            <w:vAlign w:val="top"/>
          </w:tcPr>
          <w:p w14:paraId="2F3C16A4">
            <w:pPr>
              <w:pStyle w:val="212"/>
              <w:spacing w:before="67" w:line="220" w:lineRule="auto"/>
              <w:ind w:left="103"/>
              <w:rPr>
                <w:color w:val="auto"/>
                <w:highlight w:val="none"/>
              </w:rPr>
            </w:pPr>
            <w:r>
              <w:rPr>
                <w:color w:val="auto"/>
                <w:spacing w:val="-1"/>
                <w:highlight w:val="none"/>
              </w:rPr>
              <w:t>A060599</w:t>
            </w:r>
            <w:r>
              <w:rPr>
                <w:color w:val="auto"/>
                <w:spacing w:val="-33"/>
                <w:highlight w:val="none"/>
              </w:rPr>
              <w:t xml:space="preserve"> </w:t>
            </w:r>
            <w:r>
              <w:rPr>
                <w:color w:val="auto"/>
                <w:spacing w:val="-1"/>
                <w:highlight w:val="none"/>
              </w:rPr>
              <w:t>其他柜类</w:t>
            </w:r>
          </w:p>
        </w:tc>
        <w:tc>
          <w:tcPr>
            <w:tcW w:w="2248" w:type="dxa"/>
            <w:vAlign w:val="top"/>
          </w:tcPr>
          <w:p w14:paraId="6C660BD2">
            <w:pPr>
              <w:rPr>
                <w:rFonts w:ascii="Arial"/>
                <w:color w:val="auto"/>
                <w:sz w:val="21"/>
                <w:highlight w:val="none"/>
              </w:rPr>
            </w:pPr>
          </w:p>
        </w:tc>
        <w:tc>
          <w:tcPr>
            <w:tcW w:w="3543" w:type="dxa"/>
            <w:vAlign w:val="top"/>
          </w:tcPr>
          <w:p w14:paraId="65C6D44F">
            <w:pPr>
              <w:pStyle w:val="212"/>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356E2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734FF5A3">
            <w:pPr>
              <w:pStyle w:val="212"/>
              <w:spacing w:before="67" w:line="242" w:lineRule="auto"/>
              <w:ind w:left="116"/>
              <w:rPr>
                <w:color w:val="auto"/>
                <w:highlight w:val="none"/>
              </w:rPr>
            </w:pPr>
            <w:r>
              <w:rPr>
                <w:color w:val="auto"/>
                <w:spacing w:val="-4"/>
                <w:highlight w:val="none"/>
              </w:rPr>
              <w:t>21</w:t>
            </w:r>
          </w:p>
        </w:tc>
        <w:tc>
          <w:tcPr>
            <w:tcW w:w="1542" w:type="dxa"/>
            <w:vMerge w:val="restart"/>
            <w:tcBorders>
              <w:bottom w:val="nil"/>
            </w:tcBorders>
            <w:vAlign w:val="top"/>
          </w:tcPr>
          <w:p w14:paraId="17451FDD">
            <w:pPr>
              <w:pStyle w:val="212"/>
              <w:spacing w:before="67" w:line="220" w:lineRule="auto"/>
              <w:ind w:left="102"/>
              <w:rPr>
                <w:color w:val="auto"/>
                <w:highlight w:val="none"/>
              </w:rPr>
            </w:pPr>
            <w:r>
              <w:rPr>
                <w:color w:val="auto"/>
                <w:spacing w:val="-1"/>
                <w:highlight w:val="none"/>
              </w:rPr>
              <w:t>A0606</w:t>
            </w:r>
            <w:r>
              <w:rPr>
                <w:color w:val="auto"/>
                <w:spacing w:val="-35"/>
                <w:highlight w:val="none"/>
              </w:rPr>
              <w:t xml:space="preserve"> </w:t>
            </w:r>
            <w:r>
              <w:rPr>
                <w:color w:val="auto"/>
                <w:spacing w:val="-1"/>
                <w:highlight w:val="none"/>
              </w:rPr>
              <w:t>架类</w:t>
            </w:r>
          </w:p>
        </w:tc>
        <w:tc>
          <w:tcPr>
            <w:tcW w:w="2672" w:type="dxa"/>
            <w:vAlign w:val="top"/>
          </w:tcPr>
          <w:p w14:paraId="39BD185F">
            <w:pPr>
              <w:pStyle w:val="212"/>
              <w:spacing w:before="67" w:line="220" w:lineRule="auto"/>
              <w:ind w:left="103"/>
              <w:rPr>
                <w:color w:val="auto"/>
                <w:highlight w:val="none"/>
              </w:rPr>
            </w:pPr>
            <w:r>
              <w:rPr>
                <w:color w:val="auto"/>
                <w:spacing w:val="-1"/>
                <w:highlight w:val="none"/>
              </w:rPr>
              <w:t>A060601</w:t>
            </w:r>
            <w:r>
              <w:rPr>
                <w:color w:val="auto"/>
                <w:spacing w:val="-33"/>
                <w:highlight w:val="none"/>
              </w:rPr>
              <w:t xml:space="preserve"> </w:t>
            </w:r>
            <w:r>
              <w:rPr>
                <w:color w:val="auto"/>
                <w:spacing w:val="-1"/>
                <w:highlight w:val="none"/>
              </w:rPr>
              <w:t>木质架类</w:t>
            </w:r>
          </w:p>
        </w:tc>
        <w:tc>
          <w:tcPr>
            <w:tcW w:w="2248" w:type="dxa"/>
            <w:vAlign w:val="top"/>
          </w:tcPr>
          <w:p w14:paraId="113F056E">
            <w:pPr>
              <w:rPr>
                <w:rFonts w:ascii="Arial"/>
                <w:color w:val="auto"/>
                <w:sz w:val="21"/>
                <w:highlight w:val="none"/>
              </w:rPr>
            </w:pPr>
          </w:p>
        </w:tc>
        <w:tc>
          <w:tcPr>
            <w:tcW w:w="3543" w:type="dxa"/>
            <w:vAlign w:val="top"/>
          </w:tcPr>
          <w:p w14:paraId="737D280A">
            <w:pPr>
              <w:pStyle w:val="212"/>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04BBD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254EB3F1">
            <w:pPr>
              <w:rPr>
                <w:rFonts w:ascii="Arial"/>
                <w:color w:val="auto"/>
                <w:sz w:val="21"/>
                <w:highlight w:val="none"/>
              </w:rPr>
            </w:pPr>
          </w:p>
        </w:tc>
        <w:tc>
          <w:tcPr>
            <w:tcW w:w="1542" w:type="dxa"/>
            <w:vMerge w:val="continue"/>
            <w:tcBorders>
              <w:top w:val="nil"/>
            </w:tcBorders>
            <w:vAlign w:val="top"/>
          </w:tcPr>
          <w:p w14:paraId="14D6D0F7">
            <w:pPr>
              <w:rPr>
                <w:rFonts w:ascii="Arial"/>
                <w:color w:val="auto"/>
                <w:sz w:val="21"/>
                <w:highlight w:val="none"/>
              </w:rPr>
            </w:pPr>
          </w:p>
        </w:tc>
        <w:tc>
          <w:tcPr>
            <w:tcW w:w="2672" w:type="dxa"/>
            <w:vAlign w:val="top"/>
          </w:tcPr>
          <w:p w14:paraId="2EDBCD8E">
            <w:pPr>
              <w:pStyle w:val="212"/>
              <w:spacing w:before="67" w:line="220" w:lineRule="auto"/>
              <w:ind w:left="103"/>
              <w:rPr>
                <w:color w:val="auto"/>
                <w:highlight w:val="none"/>
              </w:rPr>
            </w:pPr>
            <w:r>
              <w:rPr>
                <w:color w:val="auto"/>
                <w:spacing w:val="-1"/>
                <w:highlight w:val="none"/>
              </w:rPr>
              <w:t>A060602</w:t>
            </w:r>
            <w:r>
              <w:rPr>
                <w:color w:val="auto"/>
                <w:spacing w:val="-32"/>
                <w:highlight w:val="none"/>
              </w:rPr>
              <w:t xml:space="preserve"> </w:t>
            </w:r>
            <w:r>
              <w:rPr>
                <w:color w:val="auto"/>
                <w:spacing w:val="-1"/>
                <w:highlight w:val="none"/>
              </w:rPr>
              <w:t>金属质架类</w:t>
            </w:r>
          </w:p>
        </w:tc>
        <w:tc>
          <w:tcPr>
            <w:tcW w:w="2248" w:type="dxa"/>
            <w:vAlign w:val="top"/>
          </w:tcPr>
          <w:p w14:paraId="04E4E431">
            <w:pPr>
              <w:rPr>
                <w:rFonts w:ascii="Arial"/>
                <w:color w:val="auto"/>
                <w:sz w:val="21"/>
                <w:highlight w:val="none"/>
              </w:rPr>
            </w:pPr>
          </w:p>
        </w:tc>
        <w:tc>
          <w:tcPr>
            <w:tcW w:w="3543" w:type="dxa"/>
            <w:vAlign w:val="top"/>
          </w:tcPr>
          <w:p w14:paraId="1DD8CCD5">
            <w:pPr>
              <w:pStyle w:val="212"/>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5D549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601BD665">
            <w:pPr>
              <w:pStyle w:val="212"/>
              <w:spacing w:before="67" w:line="242" w:lineRule="auto"/>
              <w:ind w:left="116"/>
              <w:rPr>
                <w:color w:val="auto"/>
                <w:highlight w:val="none"/>
              </w:rPr>
            </w:pPr>
            <w:r>
              <w:rPr>
                <w:color w:val="auto"/>
                <w:spacing w:val="-4"/>
                <w:highlight w:val="none"/>
              </w:rPr>
              <w:t>22</w:t>
            </w:r>
          </w:p>
        </w:tc>
        <w:tc>
          <w:tcPr>
            <w:tcW w:w="1542" w:type="dxa"/>
            <w:vMerge w:val="restart"/>
            <w:tcBorders>
              <w:bottom w:val="nil"/>
            </w:tcBorders>
            <w:vAlign w:val="top"/>
          </w:tcPr>
          <w:p w14:paraId="20C7F9F0">
            <w:pPr>
              <w:pStyle w:val="212"/>
              <w:spacing w:before="67" w:line="220" w:lineRule="auto"/>
              <w:ind w:left="102"/>
              <w:rPr>
                <w:color w:val="auto"/>
                <w:highlight w:val="none"/>
              </w:rPr>
            </w:pPr>
            <w:r>
              <w:rPr>
                <w:color w:val="auto"/>
                <w:spacing w:val="-1"/>
                <w:highlight w:val="none"/>
              </w:rPr>
              <w:t>A0607</w:t>
            </w:r>
            <w:r>
              <w:rPr>
                <w:color w:val="auto"/>
                <w:spacing w:val="-35"/>
                <w:highlight w:val="none"/>
              </w:rPr>
              <w:t xml:space="preserve"> </w:t>
            </w:r>
            <w:r>
              <w:rPr>
                <w:color w:val="auto"/>
                <w:spacing w:val="-1"/>
                <w:highlight w:val="none"/>
              </w:rPr>
              <w:t>屏风类</w:t>
            </w:r>
          </w:p>
        </w:tc>
        <w:tc>
          <w:tcPr>
            <w:tcW w:w="2672" w:type="dxa"/>
            <w:vAlign w:val="top"/>
          </w:tcPr>
          <w:p w14:paraId="1B6C4671">
            <w:pPr>
              <w:pStyle w:val="212"/>
              <w:spacing w:before="67" w:line="220" w:lineRule="auto"/>
              <w:ind w:left="103"/>
              <w:rPr>
                <w:color w:val="auto"/>
                <w:highlight w:val="none"/>
              </w:rPr>
            </w:pPr>
            <w:r>
              <w:rPr>
                <w:color w:val="auto"/>
                <w:spacing w:val="-1"/>
                <w:highlight w:val="none"/>
              </w:rPr>
              <w:t>A060701</w:t>
            </w:r>
            <w:r>
              <w:rPr>
                <w:color w:val="auto"/>
                <w:spacing w:val="-33"/>
                <w:highlight w:val="none"/>
              </w:rPr>
              <w:t xml:space="preserve"> </w:t>
            </w:r>
            <w:r>
              <w:rPr>
                <w:color w:val="auto"/>
                <w:spacing w:val="-1"/>
                <w:highlight w:val="none"/>
              </w:rPr>
              <w:t>木质屏风类</w:t>
            </w:r>
          </w:p>
        </w:tc>
        <w:tc>
          <w:tcPr>
            <w:tcW w:w="2248" w:type="dxa"/>
            <w:vAlign w:val="top"/>
          </w:tcPr>
          <w:p w14:paraId="07737F18">
            <w:pPr>
              <w:rPr>
                <w:rFonts w:ascii="Arial"/>
                <w:color w:val="auto"/>
                <w:sz w:val="21"/>
                <w:highlight w:val="none"/>
              </w:rPr>
            </w:pPr>
          </w:p>
        </w:tc>
        <w:tc>
          <w:tcPr>
            <w:tcW w:w="3543" w:type="dxa"/>
            <w:vAlign w:val="top"/>
          </w:tcPr>
          <w:p w14:paraId="36DCE271">
            <w:pPr>
              <w:pStyle w:val="212"/>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44F89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5AEC504D">
            <w:pPr>
              <w:rPr>
                <w:rFonts w:ascii="Arial"/>
                <w:color w:val="auto"/>
                <w:sz w:val="21"/>
                <w:highlight w:val="none"/>
              </w:rPr>
            </w:pPr>
          </w:p>
        </w:tc>
        <w:tc>
          <w:tcPr>
            <w:tcW w:w="1542" w:type="dxa"/>
            <w:vMerge w:val="continue"/>
            <w:tcBorders>
              <w:top w:val="nil"/>
            </w:tcBorders>
            <w:vAlign w:val="top"/>
          </w:tcPr>
          <w:p w14:paraId="0F221205">
            <w:pPr>
              <w:rPr>
                <w:rFonts w:ascii="Arial"/>
                <w:color w:val="auto"/>
                <w:sz w:val="21"/>
                <w:highlight w:val="none"/>
              </w:rPr>
            </w:pPr>
          </w:p>
        </w:tc>
        <w:tc>
          <w:tcPr>
            <w:tcW w:w="2672" w:type="dxa"/>
            <w:vAlign w:val="top"/>
          </w:tcPr>
          <w:p w14:paraId="2A77DD58">
            <w:pPr>
              <w:pStyle w:val="212"/>
              <w:spacing w:before="67" w:line="220" w:lineRule="auto"/>
              <w:ind w:left="103"/>
              <w:rPr>
                <w:color w:val="auto"/>
                <w:highlight w:val="none"/>
              </w:rPr>
            </w:pPr>
            <w:r>
              <w:rPr>
                <w:color w:val="auto"/>
                <w:spacing w:val="-1"/>
                <w:highlight w:val="none"/>
              </w:rPr>
              <w:t>A060702</w:t>
            </w:r>
            <w:r>
              <w:rPr>
                <w:color w:val="auto"/>
                <w:spacing w:val="-32"/>
                <w:highlight w:val="none"/>
              </w:rPr>
              <w:t xml:space="preserve"> </w:t>
            </w:r>
            <w:r>
              <w:rPr>
                <w:color w:val="auto"/>
                <w:spacing w:val="-1"/>
                <w:highlight w:val="none"/>
              </w:rPr>
              <w:t>金属质屏风类</w:t>
            </w:r>
          </w:p>
        </w:tc>
        <w:tc>
          <w:tcPr>
            <w:tcW w:w="2248" w:type="dxa"/>
            <w:vAlign w:val="top"/>
          </w:tcPr>
          <w:p w14:paraId="0E3222A3">
            <w:pPr>
              <w:rPr>
                <w:rFonts w:ascii="Arial"/>
                <w:color w:val="auto"/>
                <w:sz w:val="21"/>
                <w:highlight w:val="none"/>
              </w:rPr>
            </w:pPr>
          </w:p>
        </w:tc>
        <w:tc>
          <w:tcPr>
            <w:tcW w:w="3543" w:type="dxa"/>
            <w:vAlign w:val="top"/>
          </w:tcPr>
          <w:p w14:paraId="62DDFB02">
            <w:pPr>
              <w:pStyle w:val="212"/>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29253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Align w:val="top"/>
          </w:tcPr>
          <w:p w14:paraId="7BDFB1A2">
            <w:pPr>
              <w:pStyle w:val="212"/>
              <w:spacing w:before="67"/>
              <w:ind w:left="116"/>
              <w:rPr>
                <w:color w:val="auto"/>
                <w:highlight w:val="none"/>
              </w:rPr>
            </w:pPr>
            <w:r>
              <w:rPr>
                <w:color w:val="auto"/>
                <w:spacing w:val="-4"/>
                <w:highlight w:val="none"/>
              </w:rPr>
              <w:t>23</w:t>
            </w:r>
          </w:p>
        </w:tc>
        <w:tc>
          <w:tcPr>
            <w:tcW w:w="1542" w:type="dxa"/>
            <w:vAlign w:val="top"/>
          </w:tcPr>
          <w:p w14:paraId="5EF004DB">
            <w:pPr>
              <w:pStyle w:val="212"/>
              <w:spacing w:before="67" w:line="220" w:lineRule="auto"/>
              <w:ind w:left="102"/>
              <w:rPr>
                <w:color w:val="auto"/>
                <w:highlight w:val="none"/>
              </w:rPr>
            </w:pPr>
            <w:r>
              <w:rPr>
                <w:color w:val="auto"/>
                <w:spacing w:val="-1"/>
                <w:highlight w:val="none"/>
              </w:rPr>
              <w:t>A060804</w:t>
            </w:r>
            <w:r>
              <w:rPr>
                <w:color w:val="auto"/>
                <w:spacing w:val="-32"/>
                <w:highlight w:val="none"/>
              </w:rPr>
              <w:t xml:space="preserve"> </w:t>
            </w:r>
            <w:r>
              <w:rPr>
                <w:color w:val="auto"/>
                <w:spacing w:val="-1"/>
                <w:highlight w:val="none"/>
              </w:rPr>
              <w:t>水池</w:t>
            </w:r>
          </w:p>
        </w:tc>
        <w:tc>
          <w:tcPr>
            <w:tcW w:w="2672" w:type="dxa"/>
            <w:vAlign w:val="top"/>
          </w:tcPr>
          <w:p w14:paraId="2A7A3C0A">
            <w:pPr>
              <w:rPr>
                <w:rFonts w:ascii="Arial"/>
                <w:color w:val="auto"/>
                <w:sz w:val="21"/>
                <w:highlight w:val="none"/>
              </w:rPr>
            </w:pPr>
          </w:p>
        </w:tc>
        <w:tc>
          <w:tcPr>
            <w:tcW w:w="2248" w:type="dxa"/>
            <w:vAlign w:val="top"/>
          </w:tcPr>
          <w:p w14:paraId="7428587C">
            <w:pPr>
              <w:rPr>
                <w:rFonts w:ascii="Arial"/>
                <w:color w:val="auto"/>
                <w:sz w:val="21"/>
                <w:highlight w:val="none"/>
              </w:rPr>
            </w:pPr>
          </w:p>
        </w:tc>
        <w:tc>
          <w:tcPr>
            <w:tcW w:w="3543" w:type="dxa"/>
            <w:vAlign w:val="top"/>
          </w:tcPr>
          <w:p w14:paraId="1D1BE762">
            <w:pPr>
              <w:pStyle w:val="212"/>
              <w:spacing w:before="66" w:line="219" w:lineRule="auto"/>
              <w:ind w:left="109"/>
              <w:rPr>
                <w:color w:val="auto"/>
                <w:highlight w:val="none"/>
              </w:rPr>
            </w:pPr>
            <w:r>
              <w:rPr>
                <w:color w:val="auto"/>
                <w:spacing w:val="-1"/>
                <w:highlight w:val="none"/>
              </w:rPr>
              <w:t>HJ/T296</w:t>
            </w:r>
            <w:r>
              <w:rPr>
                <w:color w:val="auto"/>
                <w:spacing w:val="-34"/>
                <w:highlight w:val="none"/>
              </w:rPr>
              <w:t xml:space="preserve"> </w:t>
            </w:r>
            <w:r>
              <w:rPr>
                <w:color w:val="auto"/>
                <w:spacing w:val="-1"/>
                <w:highlight w:val="none"/>
              </w:rPr>
              <w:t>卫生陶瓷</w:t>
            </w:r>
          </w:p>
        </w:tc>
      </w:tr>
      <w:tr w14:paraId="10269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Align w:val="top"/>
          </w:tcPr>
          <w:p w14:paraId="28BA4AB4">
            <w:pPr>
              <w:pStyle w:val="212"/>
              <w:spacing w:before="67" w:line="242" w:lineRule="auto"/>
              <w:ind w:left="116"/>
              <w:rPr>
                <w:color w:val="auto"/>
                <w:highlight w:val="none"/>
              </w:rPr>
            </w:pPr>
            <w:r>
              <w:rPr>
                <w:color w:val="auto"/>
                <w:spacing w:val="-4"/>
                <w:highlight w:val="none"/>
              </w:rPr>
              <w:t>24</w:t>
            </w:r>
          </w:p>
        </w:tc>
        <w:tc>
          <w:tcPr>
            <w:tcW w:w="1542" w:type="dxa"/>
            <w:vAlign w:val="top"/>
          </w:tcPr>
          <w:p w14:paraId="13B86564">
            <w:pPr>
              <w:pStyle w:val="212"/>
              <w:spacing w:before="67" w:line="220" w:lineRule="auto"/>
              <w:ind w:left="102"/>
              <w:rPr>
                <w:color w:val="auto"/>
                <w:highlight w:val="none"/>
              </w:rPr>
            </w:pPr>
            <w:r>
              <w:rPr>
                <w:color w:val="auto"/>
                <w:spacing w:val="-1"/>
                <w:highlight w:val="none"/>
              </w:rPr>
              <w:t>A060805</w:t>
            </w:r>
            <w:r>
              <w:rPr>
                <w:color w:val="auto"/>
                <w:spacing w:val="-33"/>
                <w:highlight w:val="none"/>
              </w:rPr>
              <w:t xml:space="preserve"> </w:t>
            </w:r>
            <w:r>
              <w:rPr>
                <w:color w:val="auto"/>
                <w:spacing w:val="-1"/>
                <w:highlight w:val="none"/>
              </w:rPr>
              <w:t>便器</w:t>
            </w:r>
          </w:p>
        </w:tc>
        <w:tc>
          <w:tcPr>
            <w:tcW w:w="2672" w:type="dxa"/>
            <w:vAlign w:val="top"/>
          </w:tcPr>
          <w:p w14:paraId="0A345D3C">
            <w:pPr>
              <w:rPr>
                <w:rFonts w:ascii="Arial"/>
                <w:color w:val="auto"/>
                <w:sz w:val="21"/>
                <w:highlight w:val="none"/>
              </w:rPr>
            </w:pPr>
          </w:p>
        </w:tc>
        <w:tc>
          <w:tcPr>
            <w:tcW w:w="2248" w:type="dxa"/>
            <w:vAlign w:val="top"/>
          </w:tcPr>
          <w:p w14:paraId="25286809">
            <w:pPr>
              <w:rPr>
                <w:rFonts w:ascii="Arial"/>
                <w:color w:val="auto"/>
                <w:sz w:val="21"/>
                <w:highlight w:val="none"/>
              </w:rPr>
            </w:pPr>
          </w:p>
        </w:tc>
        <w:tc>
          <w:tcPr>
            <w:tcW w:w="3543" w:type="dxa"/>
            <w:vAlign w:val="top"/>
          </w:tcPr>
          <w:p w14:paraId="2AF1460E">
            <w:pPr>
              <w:pStyle w:val="212"/>
              <w:spacing w:before="67" w:line="219" w:lineRule="auto"/>
              <w:ind w:left="109"/>
              <w:rPr>
                <w:color w:val="auto"/>
                <w:highlight w:val="none"/>
              </w:rPr>
            </w:pPr>
            <w:r>
              <w:rPr>
                <w:color w:val="auto"/>
                <w:spacing w:val="-1"/>
                <w:highlight w:val="none"/>
              </w:rPr>
              <w:t>HJ/T296</w:t>
            </w:r>
            <w:r>
              <w:rPr>
                <w:color w:val="auto"/>
                <w:spacing w:val="-34"/>
                <w:highlight w:val="none"/>
              </w:rPr>
              <w:t xml:space="preserve"> </w:t>
            </w:r>
            <w:r>
              <w:rPr>
                <w:color w:val="auto"/>
                <w:spacing w:val="-1"/>
                <w:highlight w:val="none"/>
              </w:rPr>
              <w:t>卫生陶瓷</w:t>
            </w:r>
          </w:p>
        </w:tc>
      </w:tr>
      <w:tr w14:paraId="1B023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Align w:val="top"/>
          </w:tcPr>
          <w:p w14:paraId="76F2D7CB">
            <w:pPr>
              <w:pStyle w:val="212"/>
              <w:spacing w:before="67"/>
              <w:ind w:left="116"/>
              <w:rPr>
                <w:color w:val="auto"/>
                <w:highlight w:val="none"/>
              </w:rPr>
            </w:pPr>
            <w:r>
              <w:rPr>
                <w:color w:val="auto"/>
                <w:spacing w:val="-4"/>
                <w:highlight w:val="none"/>
              </w:rPr>
              <w:t>25</w:t>
            </w:r>
          </w:p>
        </w:tc>
        <w:tc>
          <w:tcPr>
            <w:tcW w:w="1542" w:type="dxa"/>
            <w:vAlign w:val="top"/>
          </w:tcPr>
          <w:p w14:paraId="039CE1D4">
            <w:pPr>
              <w:pStyle w:val="212"/>
              <w:spacing w:before="67" w:line="220" w:lineRule="auto"/>
              <w:ind w:left="102"/>
              <w:rPr>
                <w:color w:val="auto"/>
                <w:highlight w:val="none"/>
              </w:rPr>
            </w:pPr>
            <w:r>
              <w:rPr>
                <w:color w:val="auto"/>
                <w:spacing w:val="-1"/>
                <w:highlight w:val="none"/>
              </w:rPr>
              <w:t>A060806</w:t>
            </w:r>
            <w:r>
              <w:rPr>
                <w:color w:val="auto"/>
                <w:spacing w:val="-32"/>
                <w:highlight w:val="none"/>
              </w:rPr>
              <w:t xml:space="preserve"> </w:t>
            </w:r>
            <w:r>
              <w:rPr>
                <w:color w:val="auto"/>
                <w:spacing w:val="-1"/>
                <w:highlight w:val="none"/>
              </w:rPr>
              <w:t>水嘴</w:t>
            </w:r>
          </w:p>
        </w:tc>
        <w:tc>
          <w:tcPr>
            <w:tcW w:w="2672" w:type="dxa"/>
            <w:vAlign w:val="top"/>
          </w:tcPr>
          <w:p w14:paraId="0CC6FB2B">
            <w:pPr>
              <w:rPr>
                <w:rFonts w:ascii="Arial"/>
                <w:color w:val="auto"/>
                <w:sz w:val="21"/>
                <w:highlight w:val="none"/>
              </w:rPr>
            </w:pPr>
          </w:p>
        </w:tc>
        <w:tc>
          <w:tcPr>
            <w:tcW w:w="2248" w:type="dxa"/>
            <w:vAlign w:val="top"/>
          </w:tcPr>
          <w:p w14:paraId="2D40E176">
            <w:pPr>
              <w:rPr>
                <w:rFonts w:ascii="Arial"/>
                <w:color w:val="auto"/>
                <w:sz w:val="21"/>
                <w:highlight w:val="none"/>
              </w:rPr>
            </w:pPr>
          </w:p>
        </w:tc>
        <w:tc>
          <w:tcPr>
            <w:tcW w:w="3543" w:type="dxa"/>
            <w:vAlign w:val="top"/>
          </w:tcPr>
          <w:p w14:paraId="00DA36D5">
            <w:pPr>
              <w:pStyle w:val="212"/>
              <w:spacing w:before="67" w:line="219" w:lineRule="auto"/>
              <w:ind w:left="109"/>
              <w:rPr>
                <w:color w:val="auto"/>
                <w:highlight w:val="none"/>
              </w:rPr>
            </w:pPr>
            <w:r>
              <w:rPr>
                <w:color w:val="auto"/>
                <w:spacing w:val="-1"/>
                <w:highlight w:val="none"/>
              </w:rPr>
              <w:t>HJ/T411</w:t>
            </w:r>
            <w:r>
              <w:rPr>
                <w:color w:val="auto"/>
                <w:spacing w:val="-34"/>
                <w:highlight w:val="none"/>
              </w:rPr>
              <w:t xml:space="preserve"> </w:t>
            </w:r>
            <w:r>
              <w:rPr>
                <w:color w:val="auto"/>
                <w:spacing w:val="-1"/>
                <w:highlight w:val="none"/>
              </w:rPr>
              <w:t>水嘴</w:t>
            </w:r>
          </w:p>
        </w:tc>
      </w:tr>
      <w:tr w14:paraId="284A5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Align w:val="top"/>
          </w:tcPr>
          <w:p w14:paraId="6E076AE4">
            <w:pPr>
              <w:pStyle w:val="212"/>
              <w:spacing w:before="67"/>
              <w:ind w:left="116"/>
              <w:rPr>
                <w:color w:val="auto"/>
                <w:highlight w:val="none"/>
              </w:rPr>
            </w:pPr>
            <w:r>
              <w:rPr>
                <w:color w:val="auto"/>
                <w:spacing w:val="-4"/>
                <w:highlight w:val="none"/>
              </w:rPr>
              <w:t>26</w:t>
            </w:r>
          </w:p>
        </w:tc>
        <w:tc>
          <w:tcPr>
            <w:tcW w:w="1542" w:type="dxa"/>
            <w:vAlign w:val="top"/>
          </w:tcPr>
          <w:p w14:paraId="4560D868">
            <w:pPr>
              <w:pStyle w:val="212"/>
              <w:spacing w:before="67" w:line="221" w:lineRule="auto"/>
              <w:ind w:left="102"/>
              <w:rPr>
                <w:color w:val="auto"/>
                <w:highlight w:val="none"/>
              </w:rPr>
            </w:pPr>
            <w:r>
              <w:rPr>
                <w:color w:val="auto"/>
                <w:spacing w:val="-1"/>
                <w:highlight w:val="none"/>
              </w:rPr>
              <w:t>A0609</w:t>
            </w:r>
            <w:r>
              <w:rPr>
                <w:color w:val="auto"/>
                <w:spacing w:val="-34"/>
                <w:highlight w:val="none"/>
              </w:rPr>
              <w:t xml:space="preserve"> </w:t>
            </w:r>
            <w:r>
              <w:rPr>
                <w:color w:val="auto"/>
                <w:spacing w:val="-1"/>
                <w:highlight w:val="none"/>
              </w:rPr>
              <w:t>组合家具</w:t>
            </w:r>
          </w:p>
        </w:tc>
        <w:tc>
          <w:tcPr>
            <w:tcW w:w="2672" w:type="dxa"/>
            <w:vAlign w:val="top"/>
          </w:tcPr>
          <w:p w14:paraId="08CA595B">
            <w:pPr>
              <w:rPr>
                <w:rFonts w:ascii="Arial"/>
                <w:color w:val="auto"/>
                <w:sz w:val="21"/>
                <w:highlight w:val="none"/>
              </w:rPr>
            </w:pPr>
          </w:p>
        </w:tc>
        <w:tc>
          <w:tcPr>
            <w:tcW w:w="2248" w:type="dxa"/>
            <w:vAlign w:val="top"/>
          </w:tcPr>
          <w:p w14:paraId="19A743E3">
            <w:pPr>
              <w:rPr>
                <w:rFonts w:ascii="Arial"/>
                <w:color w:val="auto"/>
                <w:sz w:val="21"/>
                <w:highlight w:val="none"/>
              </w:rPr>
            </w:pPr>
          </w:p>
        </w:tc>
        <w:tc>
          <w:tcPr>
            <w:tcW w:w="3543" w:type="dxa"/>
            <w:vAlign w:val="top"/>
          </w:tcPr>
          <w:p w14:paraId="2497681D">
            <w:pPr>
              <w:pStyle w:val="212"/>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1FECC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2A6CA83F">
            <w:pPr>
              <w:pStyle w:val="212"/>
              <w:spacing w:before="68"/>
              <w:ind w:left="116"/>
              <w:rPr>
                <w:color w:val="auto"/>
                <w:highlight w:val="none"/>
              </w:rPr>
            </w:pPr>
            <w:r>
              <w:rPr>
                <w:color w:val="auto"/>
                <w:spacing w:val="-4"/>
                <w:highlight w:val="none"/>
              </w:rPr>
              <w:t>27</w:t>
            </w:r>
          </w:p>
        </w:tc>
        <w:tc>
          <w:tcPr>
            <w:tcW w:w="1542" w:type="dxa"/>
            <w:vAlign w:val="top"/>
          </w:tcPr>
          <w:p w14:paraId="0C3E956E">
            <w:pPr>
              <w:pStyle w:val="212"/>
              <w:spacing w:before="68" w:line="282" w:lineRule="auto"/>
              <w:ind w:left="108" w:right="106" w:hanging="6"/>
              <w:rPr>
                <w:color w:val="auto"/>
                <w:highlight w:val="none"/>
              </w:rPr>
            </w:pPr>
            <w:r>
              <w:rPr>
                <w:color w:val="auto"/>
                <w:spacing w:val="4"/>
                <w:highlight w:val="none"/>
              </w:rPr>
              <w:t>A0610</w:t>
            </w:r>
            <w:r>
              <w:rPr>
                <w:color w:val="auto"/>
                <w:spacing w:val="31"/>
                <w:highlight w:val="none"/>
              </w:rPr>
              <w:t xml:space="preserve"> </w:t>
            </w:r>
            <w:r>
              <w:rPr>
                <w:color w:val="auto"/>
                <w:spacing w:val="4"/>
                <w:highlight w:val="none"/>
              </w:rPr>
              <w:t>家用家具</w:t>
            </w:r>
            <w:r>
              <w:rPr>
                <w:color w:val="auto"/>
                <w:highlight w:val="none"/>
              </w:rPr>
              <w:t xml:space="preserve"> </w:t>
            </w:r>
            <w:r>
              <w:rPr>
                <w:color w:val="auto"/>
                <w:spacing w:val="-2"/>
                <w:highlight w:val="none"/>
              </w:rPr>
              <w:t>零配件</w:t>
            </w:r>
          </w:p>
        </w:tc>
        <w:tc>
          <w:tcPr>
            <w:tcW w:w="2672" w:type="dxa"/>
            <w:vAlign w:val="top"/>
          </w:tcPr>
          <w:p w14:paraId="06C3341D">
            <w:pPr>
              <w:rPr>
                <w:rFonts w:ascii="Arial"/>
                <w:color w:val="auto"/>
                <w:sz w:val="21"/>
                <w:highlight w:val="none"/>
              </w:rPr>
            </w:pPr>
          </w:p>
        </w:tc>
        <w:tc>
          <w:tcPr>
            <w:tcW w:w="2248" w:type="dxa"/>
            <w:vAlign w:val="top"/>
          </w:tcPr>
          <w:p w14:paraId="2C05A014">
            <w:pPr>
              <w:rPr>
                <w:rFonts w:ascii="Arial"/>
                <w:color w:val="auto"/>
                <w:sz w:val="21"/>
                <w:highlight w:val="none"/>
              </w:rPr>
            </w:pPr>
          </w:p>
        </w:tc>
        <w:tc>
          <w:tcPr>
            <w:tcW w:w="3543" w:type="dxa"/>
            <w:vAlign w:val="top"/>
          </w:tcPr>
          <w:p w14:paraId="0DE5E9DB">
            <w:pPr>
              <w:pStyle w:val="212"/>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53DB8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Align w:val="top"/>
          </w:tcPr>
          <w:p w14:paraId="71B3BA7A">
            <w:pPr>
              <w:pStyle w:val="212"/>
              <w:spacing w:before="70"/>
              <w:ind w:left="116"/>
              <w:rPr>
                <w:color w:val="auto"/>
                <w:highlight w:val="none"/>
              </w:rPr>
            </w:pPr>
            <w:r>
              <w:rPr>
                <w:color w:val="auto"/>
                <w:spacing w:val="-4"/>
                <w:highlight w:val="none"/>
              </w:rPr>
              <w:t>28</w:t>
            </w:r>
          </w:p>
        </w:tc>
        <w:tc>
          <w:tcPr>
            <w:tcW w:w="1542" w:type="dxa"/>
            <w:vAlign w:val="top"/>
          </w:tcPr>
          <w:p w14:paraId="47FE6AA2">
            <w:pPr>
              <w:pStyle w:val="212"/>
              <w:spacing w:before="71" w:line="282" w:lineRule="auto"/>
              <w:ind w:left="109" w:right="106" w:hanging="7"/>
              <w:rPr>
                <w:color w:val="auto"/>
                <w:highlight w:val="none"/>
              </w:rPr>
            </w:pPr>
            <w:r>
              <w:rPr>
                <w:color w:val="auto"/>
                <w:spacing w:val="4"/>
                <w:highlight w:val="none"/>
              </w:rPr>
              <w:t>A0699</w:t>
            </w:r>
            <w:r>
              <w:rPr>
                <w:color w:val="auto"/>
                <w:spacing w:val="31"/>
                <w:highlight w:val="none"/>
              </w:rPr>
              <w:t xml:space="preserve"> </w:t>
            </w:r>
            <w:r>
              <w:rPr>
                <w:color w:val="auto"/>
                <w:spacing w:val="4"/>
                <w:highlight w:val="none"/>
              </w:rPr>
              <w:t>其他家具</w:t>
            </w:r>
            <w:r>
              <w:rPr>
                <w:color w:val="auto"/>
                <w:highlight w:val="none"/>
              </w:rPr>
              <w:t xml:space="preserve"> </w:t>
            </w:r>
            <w:r>
              <w:rPr>
                <w:color w:val="auto"/>
                <w:spacing w:val="-3"/>
                <w:highlight w:val="none"/>
              </w:rPr>
              <w:t>用具</w:t>
            </w:r>
          </w:p>
        </w:tc>
        <w:tc>
          <w:tcPr>
            <w:tcW w:w="2672" w:type="dxa"/>
            <w:vAlign w:val="top"/>
          </w:tcPr>
          <w:p w14:paraId="62297FA8">
            <w:pPr>
              <w:rPr>
                <w:rFonts w:ascii="Arial"/>
                <w:color w:val="auto"/>
                <w:sz w:val="21"/>
                <w:highlight w:val="none"/>
              </w:rPr>
            </w:pPr>
          </w:p>
        </w:tc>
        <w:tc>
          <w:tcPr>
            <w:tcW w:w="2248" w:type="dxa"/>
            <w:vAlign w:val="top"/>
          </w:tcPr>
          <w:p w14:paraId="1D1E7241">
            <w:pPr>
              <w:rPr>
                <w:rFonts w:ascii="Arial"/>
                <w:color w:val="auto"/>
                <w:sz w:val="21"/>
                <w:highlight w:val="none"/>
              </w:rPr>
            </w:pPr>
          </w:p>
        </w:tc>
        <w:tc>
          <w:tcPr>
            <w:tcW w:w="3543" w:type="dxa"/>
            <w:vAlign w:val="top"/>
          </w:tcPr>
          <w:p w14:paraId="3CD9A822">
            <w:pPr>
              <w:pStyle w:val="212"/>
              <w:spacing w:before="70"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0C781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Align w:val="top"/>
          </w:tcPr>
          <w:p w14:paraId="6C085D3E">
            <w:pPr>
              <w:pStyle w:val="212"/>
              <w:spacing w:before="68"/>
              <w:ind w:left="116"/>
              <w:rPr>
                <w:color w:val="auto"/>
                <w:highlight w:val="none"/>
              </w:rPr>
            </w:pPr>
            <w:r>
              <w:rPr>
                <w:color w:val="auto"/>
                <w:spacing w:val="-4"/>
                <w:highlight w:val="none"/>
              </w:rPr>
              <w:t>29</w:t>
            </w:r>
          </w:p>
        </w:tc>
        <w:tc>
          <w:tcPr>
            <w:tcW w:w="1542" w:type="dxa"/>
            <w:vAlign w:val="top"/>
          </w:tcPr>
          <w:p w14:paraId="663F829A">
            <w:pPr>
              <w:pStyle w:val="212"/>
              <w:spacing w:before="69" w:line="284" w:lineRule="auto"/>
              <w:ind w:left="111" w:right="106" w:hanging="9"/>
              <w:rPr>
                <w:color w:val="auto"/>
                <w:highlight w:val="none"/>
              </w:rPr>
            </w:pPr>
            <w:r>
              <w:rPr>
                <w:color w:val="auto"/>
                <w:spacing w:val="-7"/>
                <w:highlight w:val="none"/>
              </w:rPr>
              <w:t>A070101</w:t>
            </w:r>
            <w:r>
              <w:rPr>
                <w:color w:val="auto"/>
                <w:spacing w:val="-36"/>
                <w:highlight w:val="none"/>
              </w:rPr>
              <w:t xml:space="preserve"> </w:t>
            </w:r>
            <w:r>
              <w:rPr>
                <w:color w:val="auto"/>
                <w:spacing w:val="-7"/>
                <w:highlight w:val="none"/>
              </w:rPr>
              <w:t>棉、化纤</w:t>
            </w:r>
            <w:r>
              <w:rPr>
                <w:color w:val="auto"/>
                <w:highlight w:val="none"/>
              </w:rPr>
              <w:t xml:space="preserve"> </w:t>
            </w:r>
            <w:r>
              <w:rPr>
                <w:color w:val="auto"/>
                <w:spacing w:val="-2"/>
                <w:highlight w:val="none"/>
              </w:rPr>
              <w:t>纺织及印染原料</w:t>
            </w:r>
          </w:p>
        </w:tc>
        <w:tc>
          <w:tcPr>
            <w:tcW w:w="2672" w:type="dxa"/>
            <w:vAlign w:val="top"/>
          </w:tcPr>
          <w:p w14:paraId="0330E98B">
            <w:pPr>
              <w:rPr>
                <w:rFonts w:ascii="Arial"/>
                <w:color w:val="auto"/>
                <w:sz w:val="21"/>
                <w:highlight w:val="none"/>
              </w:rPr>
            </w:pPr>
          </w:p>
        </w:tc>
        <w:tc>
          <w:tcPr>
            <w:tcW w:w="2248" w:type="dxa"/>
            <w:vAlign w:val="top"/>
          </w:tcPr>
          <w:p w14:paraId="62FF6221">
            <w:pPr>
              <w:rPr>
                <w:rFonts w:ascii="Arial"/>
                <w:color w:val="auto"/>
                <w:sz w:val="21"/>
                <w:highlight w:val="none"/>
              </w:rPr>
            </w:pPr>
          </w:p>
        </w:tc>
        <w:tc>
          <w:tcPr>
            <w:tcW w:w="3543" w:type="dxa"/>
            <w:vAlign w:val="top"/>
          </w:tcPr>
          <w:p w14:paraId="27AFCC61">
            <w:pPr>
              <w:pStyle w:val="212"/>
              <w:spacing w:before="67" w:line="219" w:lineRule="auto"/>
              <w:ind w:left="109"/>
              <w:rPr>
                <w:color w:val="auto"/>
                <w:highlight w:val="none"/>
              </w:rPr>
            </w:pPr>
            <w:r>
              <w:rPr>
                <w:color w:val="auto"/>
                <w:spacing w:val="-1"/>
                <w:highlight w:val="none"/>
              </w:rPr>
              <w:t>HJ2546</w:t>
            </w:r>
            <w:r>
              <w:rPr>
                <w:color w:val="auto"/>
                <w:spacing w:val="-34"/>
                <w:highlight w:val="none"/>
              </w:rPr>
              <w:t xml:space="preserve"> </w:t>
            </w:r>
            <w:r>
              <w:rPr>
                <w:color w:val="auto"/>
                <w:spacing w:val="-1"/>
                <w:highlight w:val="none"/>
              </w:rPr>
              <w:t>纺织产品</w:t>
            </w:r>
          </w:p>
        </w:tc>
      </w:tr>
      <w:tr w14:paraId="36044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583" w:type="dxa"/>
            <w:vAlign w:val="top"/>
          </w:tcPr>
          <w:p w14:paraId="6B9759D3">
            <w:pPr>
              <w:pStyle w:val="212"/>
              <w:spacing w:before="68"/>
              <w:ind w:left="118"/>
              <w:rPr>
                <w:color w:val="auto"/>
                <w:highlight w:val="none"/>
              </w:rPr>
            </w:pPr>
            <w:r>
              <w:rPr>
                <w:color w:val="auto"/>
                <w:spacing w:val="-5"/>
                <w:highlight w:val="none"/>
              </w:rPr>
              <w:t>30</w:t>
            </w:r>
          </w:p>
        </w:tc>
        <w:tc>
          <w:tcPr>
            <w:tcW w:w="1542" w:type="dxa"/>
            <w:vAlign w:val="top"/>
          </w:tcPr>
          <w:p w14:paraId="71EB6A48">
            <w:pPr>
              <w:pStyle w:val="212"/>
              <w:spacing w:before="69" w:line="296" w:lineRule="auto"/>
              <w:ind w:left="109" w:right="106" w:hanging="7"/>
              <w:jc w:val="both"/>
              <w:rPr>
                <w:color w:val="auto"/>
                <w:highlight w:val="none"/>
              </w:rPr>
            </w:pPr>
            <w:r>
              <w:rPr>
                <w:color w:val="auto"/>
                <w:spacing w:val="-2"/>
                <w:highlight w:val="none"/>
              </w:rPr>
              <w:t>A090101</w:t>
            </w:r>
            <w:r>
              <w:rPr>
                <w:color w:val="auto"/>
                <w:spacing w:val="42"/>
                <w:highlight w:val="none"/>
              </w:rPr>
              <w:t xml:space="preserve"> </w:t>
            </w:r>
            <w:r>
              <w:rPr>
                <w:color w:val="auto"/>
                <w:spacing w:val="-2"/>
                <w:highlight w:val="none"/>
              </w:rPr>
              <w:t>复</w:t>
            </w:r>
            <w:r>
              <w:rPr>
                <w:color w:val="auto"/>
                <w:spacing w:val="-48"/>
                <w:highlight w:val="none"/>
              </w:rPr>
              <w:t xml:space="preserve"> </w:t>
            </w:r>
            <w:r>
              <w:rPr>
                <w:color w:val="auto"/>
                <w:spacing w:val="-2"/>
                <w:highlight w:val="none"/>
              </w:rPr>
              <w:t>印纸</w:t>
            </w:r>
            <w:r>
              <w:rPr>
                <w:color w:val="auto"/>
                <w:highlight w:val="none"/>
              </w:rPr>
              <w:t xml:space="preserve"> </w:t>
            </w:r>
            <w:r>
              <w:rPr>
                <w:color w:val="auto"/>
                <w:spacing w:val="8"/>
                <w:highlight w:val="none"/>
              </w:rPr>
              <w:t>（包括再生复印</w:t>
            </w:r>
            <w:r>
              <w:rPr>
                <w:color w:val="auto"/>
                <w:spacing w:val="4"/>
                <w:highlight w:val="none"/>
              </w:rPr>
              <w:t xml:space="preserve"> </w:t>
            </w:r>
            <w:r>
              <w:rPr>
                <w:color w:val="auto"/>
                <w:spacing w:val="-5"/>
                <w:highlight w:val="none"/>
              </w:rPr>
              <w:t>纸）</w:t>
            </w:r>
          </w:p>
        </w:tc>
        <w:tc>
          <w:tcPr>
            <w:tcW w:w="2672" w:type="dxa"/>
            <w:vAlign w:val="top"/>
          </w:tcPr>
          <w:p w14:paraId="0D2FD32E">
            <w:pPr>
              <w:rPr>
                <w:rFonts w:ascii="Arial"/>
                <w:color w:val="auto"/>
                <w:sz w:val="21"/>
                <w:highlight w:val="none"/>
              </w:rPr>
            </w:pPr>
          </w:p>
        </w:tc>
        <w:tc>
          <w:tcPr>
            <w:tcW w:w="2248" w:type="dxa"/>
            <w:vAlign w:val="top"/>
          </w:tcPr>
          <w:p w14:paraId="27BA282D">
            <w:pPr>
              <w:rPr>
                <w:rFonts w:ascii="Arial"/>
                <w:color w:val="auto"/>
                <w:sz w:val="21"/>
                <w:highlight w:val="none"/>
              </w:rPr>
            </w:pPr>
          </w:p>
        </w:tc>
        <w:tc>
          <w:tcPr>
            <w:tcW w:w="3543" w:type="dxa"/>
            <w:vAlign w:val="top"/>
          </w:tcPr>
          <w:p w14:paraId="5279D6C1">
            <w:pPr>
              <w:pStyle w:val="212"/>
              <w:spacing w:before="67" w:line="219" w:lineRule="auto"/>
              <w:ind w:left="109"/>
              <w:rPr>
                <w:color w:val="auto"/>
                <w:highlight w:val="none"/>
              </w:rPr>
            </w:pPr>
            <w:r>
              <w:rPr>
                <w:color w:val="auto"/>
                <w:spacing w:val="-2"/>
                <w:highlight w:val="none"/>
              </w:rPr>
              <w:t>HJ410</w:t>
            </w:r>
            <w:r>
              <w:rPr>
                <w:color w:val="auto"/>
                <w:spacing w:val="-27"/>
                <w:highlight w:val="none"/>
              </w:rPr>
              <w:t xml:space="preserve"> </w:t>
            </w:r>
            <w:r>
              <w:rPr>
                <w:color w:val="auto"/>
                <w:spacing w:val="-2"/>
                <w:highlight w:val="none"/>
              </w:rPr>
              <w:t>文化用纸</w:t>
            </w:r>
          </w:p>
        </w:tc>
      </w:tr>
      <w:tr w14:paraId="6F09B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3" w:type="dxa"/>
            <w:vAlign w:val="top"/>
          </w:tcPr>
          <w:p w14:paraId="5AE20200">
            <w:pPr>
              <w:pStyle w:val="212"/>
              <w:spacing w:before="64"/>
              <w:ind w:left="118"/>
              <w:rPr>
                <w:color w:val="auto"/>
                <w:highlight w:val="none"/>
              </w:rPr>
            </w:pPr>
            <w:r>
              <w:rPr>
                <w:color w:val="auto"/>
                <w:spacing w:val="-5"/>
                <w:highlight w:val="none"/>
              </w:rPr>
              <w:t>31</w:t>
            </w:r>
          </w:p>
        </w:tc>
        <w:tc>
          <w:tcPr>
            <w:tcW w:w="1542" w:type="dxa"/>
            <w:vAlign w:val="top"/>
          </w:tcPr>
          <w:p w14:paraId="18CEB351">
            <w:pPr>
              <w:pStyle w:val="212"/>
              <w:spacing w:before="64" w:line="296" w:lineRule="auto"/>
              <w:ind w:left="109" w:right="106" w:hanging="7"/>
              <w:jc w:val="both"/>
              <w:rPr>
                <w:color w:val="auto"/>
                <w:highlight w:val="none"/>
              </w:rPr>
            </w:pPr>
            <w:r>
              <w:rPr>
                <w:color w:val="auto"/>
                <w:spacing w:val="3"/>
                <w:highlight w:val="none"/>
              </w:rPr>
              <w:t>A090201</w:t>
            </w:r>
            <w:r>
              <w:rPr>
                <w:color w:val="auto"/>
                <w:spacing w:val="34"/>
                <w:highlight w:val="none"/>
              </w:rPr>
              <w:t xml:space="preserve"> </w:t>
            </w:r>
            <w:r>
              <w:rPr>
                <w:color w:val="auto"/>
                <w:spacing w:val="3"/>
                <w:highlight w:val="none"/>
              </w:rPr>
              <w:t>鼓粉盒</w:t>
            </w:r>
            <w:r>
              <w:rPr>
                <w:color w:val="auto"/>
                <w:highlight w:val="none"/>
              </w:rPr>
              <w:t xml:space="preserve"> </w:t>
            </w:r>
            <w:r>
              <w:rPr>
                <w:color w:val="auto"/>
                <w:spacing w:val="8"/>
                <w:highlight w:val="none"/>
              </w:rPr>
              <w:t>（包括再生鼓粉</w:t>
            </w:r>
            <w:r>
              <w:rPr>
                <w:color w:val="auto"/>
                <w:spacing w:val="4"/>
                <w:highlight w:val="none"/>
              </w:rPr>
              <w:t xml:space="preserve"> </w:t>
            </w:r>
            <w:r>
              <w:rPr>
                <w:color w:val="auto"/>
                <w:spacing w:val="-5"/>
                <w:highlight w:val="none"/>
              </w:rPr>
              <w:t>盒）</w:t>
            </w:r>
          </w:p>
        </w:tc>
        <w:tc>
          <w:tcPr>
            <w:tcW w:w="2672" w:type="dxa"/>
            <w:vAlign w:val="top"/>
          </w:tcPr>
          <w:p w14:paraId="02C5799D">
            <w:pPr>
              <w:rPr>
                <w:rFonts w:ascii="Arial"/>
                <w:color w:val="auto"/>
                <w:sz w:val="21"/>
                <w:highlight w:val="none"/>
              </w:rPr>
            </w:pPr>
          </w:p>
        </w:tc>
        <w:tc>
          <w:tcPr>
            <w:tcW w:w="2248" w:type="dxa"/>
            <w:vAlign w:val="top"/>
          </w:tcPr>
          <w:p w14:paraId="24D7525A">
            <w:pPr>
              <w:rPr>
                <w:rFonts w:ascii="Arial"/>
                <w:color w:val="auto"/>
                <w:sz w:val="21"/>
                <w:highlight w:val="none"/>
              </w:rPr>
            </w:pPr>
          </w:p>
        </w:tc>
        <w:tc>
          <w:tcPr>
            <w:tcW w:w="3543" w:type="dxa"/>
            <w:vAlign w:val="top"/>
          </w:tcPr>
          <w:p w14:paraId="4B489F3D">
            <w:pPr>
              <w:pStyle w:val="212"/>
              <w:spacing w:before="63" w:line="219" w:lineRule="auto"/>
              <w:ind w:left="109"/>
              <w:rPr>
                <w:color w:val="auto"/>
                <w:highlight w:val="none"/>
              </w:rPr>
            </w:pPr>
            <w:r>
              <w:rPr>
                <w:color w:val="auto"/>
                <w:spacing w:val="-1"/>
                <w:highlight w:val="none"/>
              </w:rPr>
              <w:t>HJ/T413</w:t>
            </w:r>
            <w:r>
              <w:rPr>
                <w:color w:val="auto"/>
                <w:spacing w:val="-34"/>
                <w:highlight w:val="none"/>
              </w:rPr>
              <w:t xml:space="preserve"> </w:t>
            </w:r>
            <w:r>
              <w:rPr>
                <w:color w:val="auto"/>
                <w:spacing w:val="-1"/>
                <w:highlight w:val="none"/>
              </w:rPr>
              <w:t>再生鼓粉盒</w:t>
            </w:r>
          </w:p>
        </w:tc>
      </w:tr>
      <w:tr w14:paraId="5460C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83" w:type="dxa"/>
            <w:vMerge w:val="restart"/>
            <w:tcBorders>
              <w:bottom w:val="nil"/>
            </w:tcBorders>
            <w:vAlign w:val="top"/>
          </w:tcPr>
          <w:p w14:paraId="73D20A8E">
            <w:pPr>
              <w:pStyle w:val="212"/>
              <w:spacing w:before="64"/>
              <w:ind w:left="118"/>
              <w:rPr>
                <w:color w:val="auto"/>
                <w:highlight w:val="none"/>
              </w:rPr>
            </w:pPr>
            <w:r>
              <w:rPr>
                <w:color w:val="auto"/>
                <w:spacing w:val="-5"/>
                <w:highlight w:val="none"/>
              </w:rPr>
              <w:t>32</w:t>
            </w:r>
          </w:p>
        </w:tc>
        <w:tc>
          <w:tcPr>
            <w:tcW w:w="1542" w:type="dxa"/>
            <w:vMerge w:val="restart"/>
            <w:tcBorders>
              <w:bottom w:val="nil"/>
            </w:tcBorders>
            <w:vAlign w:val="top"/>
          </w:tcPr>
          <w:p w14:paraId="60247062">
            <w:pPr>
              <w:pStyle w:val="212"/>
              <w:spacing w:before="64" w:line="219" w:lineRule="auto"/>
              <w:ind w:left="102"/>
              <w:rPr>
                <w:color w:val="auto"/>
                <w:highlight w:val="none"/>
              </w:rPr>
            </w:pPr>
            <w:r>
              <w:rPr>
                <w:color w:val="auto"/>
                <w:spacing w:val="-1"/>
                <w:highlight w:val="none"/>
              </w:rPr>
              <w:t>A100203</w:t>
            </w:r>
            <w:r>
              <w:rPr>
                <w:color w:val="auto"/>
                <w:spacing w:val="-33"/>
                <w:highlight w:val="none"/>
              </w:rPr>
              <w:t xml:space="preserve"> </w:t>
            </w:r>
            <w:r>
              <w:rPr>
                <w:color w:val="auto"/>
                <w:spacing w:val="-1"/>
                <w:highlight w:val="none"/>
              </w:rPr>
              <w:t>人造板</w:t>
            </w:r>
          </w:p>
        </w:tc>
        <w:tc>
          <w:tcPr>
            <w:tcW w:w="2672" w:type="dxa"/>
            <w:vAlign w:val="top"/>
          </w:tcPr>
          <w:p w14:paraId="7EFC192F">
            <w:pPr>
              <w:pStyle w:val="212"/>
              <w:spacing w:before="64" w:line="219" w:lineRule="auto"/>
              <w:ind w:left="103"/>
              <w:rPr>
                <w:color w:val="auto"/>
                <w:highlight w:val="none"/>
              </w:rPr>
            </w:pPr>
            <w:r>
              <w:rPr>
                <w:color w:val="auto"/>
                <w:spacing w:val="-1"/>
                <w:highlight w:val="none"/>
              </w:rPr>
              <w:t>A10020301</w:t>
            </w:r>
            <w:r>
              <w:rPr>
                <w:color w:val="auto"/>
                <w:spacing w:val="-32"/>
                <w:highlight w:val="none"/>
              </w:rPr>
              <w:t xml:space="preserve"> </w:t>
            </w:r>
            <w:r>
              <w:rPr>
                <w:color w:val="auto"/>
                <w:spacing w:val="-1"/>
                <w:highlight w:val="none"/>
              </w:rPr>
              <w:t>胶合板</w:t>
            </w:r>
          </w:p>
        </w:tc>
        <w:tc>
          <w:tcPr>
            <w:tcW w:w="2248" w:type="dxa"/>
            <w:vAlign w:val="top"/>
          </w:tcPr>
          <w:p w14:paraId="5D0C019B">
            <w:pPr>
              <w:rPr>
                <w:rFonts w:ascii="Arial"/>
                <w:color w:val="auto"/>
                <w:sz w:val="21"/>
                <w:highlight w:val="none"/>
              </w:rPr>
            </w:pPr>
          </w:p>
        </w:tc>
        <w:tc>
          <w:tcPr>
            <w:tcW w:w="3543" w:type="dxa"/>
            <w:vAlign w:val="top"/>
          </w:tcPr>
          <w:p w14:paraId="02BA6B7E">
            <w:pPr>
              <w:pStyle w:val="212"/>
              <w:spacing w:before="64" w:line="219" w:lineRule="auto"/>
              <w:ind w:left="109"/>
              <w:rPr>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1DDE0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7A586619">
            <w:pPr>
              <w:rPr>
                <w:rFonts w:ascii="Arial"/>
                <w:color w:val="auto"/>
                <w:sz w:val="21"/>
                <w:highlight w:val="none"/>
              </w:rPr>
            </w:pPr>
          </w:p>
        </w:tc>
        <w:tc>
          <w:tcPr>
            <w:tcW w:w="1542" w:type="dxa"/>
            <w:vMerge w:val="continue"/>
            <w:tcBorders>
              <w:top w:val="nil"/>
              <w:bottom w:val="nil"/>
            </w:tcBorders>
            <w:vAlign w:val="top"/>
          </w:tcPr>
          <w:p w14:paraId="5C7CE7E4">
            <w:pPr>
              <w:rPr>
                <w:rFonts w:ascii="Arial"/>
                <w:color w:val="auto"/>
                <w:sz w:val="21"/>
                <w:highlight w:val="none"/>
              </w:rPr>
            </w:pPr>
          </w:p>
        </w:tc>
        <w:tc>
          <w:tcPr>
            <w:tcW w:w="2672" w:type="dxa"/>
            <w:vAlign w:val="top"/>
          </w:tcPr>
          <w:p w14:paraId="4C42CE39">
            <w:pPr>
              <w:pStyle w:val="212"/>
              <w:spacing w:before="65" w:line="219" w:lineRule="auto"/>
              <w:ind w:left="103"/>
              <w:rPr>
                <w:color w:val="auto"/>
                <w:highlight w:val="none"/>
              </w:rPr>
            </w:pPr>
            <w:r>
              <w:rPr>
                <w:color w:val="auto"/>
                <w:spacing w:val="-1"/>
                <w:highlight w:val="none"/>
              </w:rPr>
              <w:t>A10020302</w:t>
            </w:r>
            <w:r>
              <w:rPr>
                <w:color w:val="auto"/>
                <w:spacing w:val="-30"/>
                <w:highlight w:val="none"/>
              </w:rPr>
              <w:t xml:space="preserve"> </w:t>
            </w:r>
            <w:r>
              <w:rPr>
                <w:color w:val="auto"/>
                <w:spacing w:val="-1"/>
                <w:highlight w:val="none"/>
              </w:rPr>
              <w:t>纤维板</w:t>
            </w:r>
          </w:p>
        </w:tc>
        <w:tc>
          <w:tcPr>
            <w:tcW w:w="2248" w:type="dxa"/>
            <w:vAlign w:val="top"/>
          </w:tcPr>
          <w:p w14:paraId="730D3B7A">
            <w:pPr>
              <w:rPr>
                <w:rFonts w:ascii="Arial"/>
                <w:color w:val="auto"/>
                <w:sz w:val="21"/>
                <w:highlight w:val="none"/>
              </w:rPr>
            </w:pPr>
          </w:p>
        </w:tc>
        <w:tc>
          <w:tcPr>
            <w:tcW w:w="3543" w:type="dxa"/>
            <w:vAlign w:val="top"/>
          </w:tcPr>
          <w:p w14:paraId="4D87B76C">
            <w:pPr>
              <w:pStyle w:val="212"/>
              <w:spacing w:before="64" w:line="219" w:lineRule="auto"/>
              <w:ind w:left="109"/>
              <w:rPr>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3ACD4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14:paraId="2C31392A">
            <w:pPr>
              <w:rPr>
                <w:rFonts w:ascii="Arial"/>
                <w:color w:val="auto"/>
                <w:sz w:val="21"/>
                <w:highlight w:val="none"/>
              </w:rPr>
            </w:pPr>
          </w:p>
        </w:tc>
        <w:tc>
          <w:tcPr>
            <w:tcW w:w="1542" w:type="dxa"/>
            <w:vMerge w:val="continue"/>
            <w:tcBorders>
              <w:top w:val="nil"/>
              <w:bottom w:val="nil"/>
            </w:tcBorders>
            <w:vAlign w:val="top"/>
          </w:tcPr>
          <w:p w14:paraId="1F004592">
            <w:pPr>
              <w:rPr>
                <w:rFonts w:ascii="Arial"/>
                <w:color w:val="auto"/>
                <w:sz w:val="21"/>
                <w:highlight w:val="none"/>
              </w:rPr>
            </w:pPr>
          </w:p>
        </w:tc>
        <w:tc>
          <w:tcPr>
            <w:tcW w:w="2672" w:type="dxa"/>
            <w:vAlign w:val="top"/>
          </w:tcPr>
          <w:p w14:paraId="716CE41D">
            <w:pPr>
              <w:pStyle w:val="212"/>
              <w:spacing w:before="65" w:line="219" w:lineRule="auto"/>
              <w:ind w:left="103"/>
              <w:rPr>
                <w:color w:val="auto"/>
                <w:highlight w:val="none"/>
              </w:rPr>
            </w:pPr>
            <w:r>
              <w:rPr>
                <w:color w:val="auto"/>
                <w:spacing w:val="-1"/>
                <w:highlight w:val="none"/>
              </w:rPr>
              <w:t>A10020303</w:t>
            </w:r>
            <w:r>
              <w:rPr>
                <w:color w:val="auto"/>
                <w:spacing w:val="-32"/>
                <w:highlight w:val="none"/>
              </w:rPr>
              <w:t xml:space="preserve"> </w:t>
            </w:r>
            <w:r>
              <w:rPr>
                <w:color w:val="auto"/>
                <w:spacing w:val="-1"/>
                <w:highlight w:val="none"/>
              </w:rPr>
              <w:t>刨花板</w:t>
            </w:r>
          </w:p>
        </w:tc>
        <w:tc>
          <w:tcPr>
            <w:tcW w:w="2248" w:type="dxa"/>
            <w:vAlign w:val="top"/>
          </w:tcPr>
          <w:p w14:paraId="7DE9B386">
            <w:pPr>
              <w:rPr>
                <w:rFonts w:ascii="Arial"/>
                <w:color w:val="auto"/>
                <w:sz w:val="21"/>
                <w:highlight w:val="none"/>
              </w:rPr>
            </w:pPr>
          </w:p>
        </w:tc>
        <w:tc>
          <w:tcPr>
            <w:tcW w:w="3543" w:type="dxa"/>
            <w:vAlign w:val="top"/>
          </w:tcPr>
          <w:p w14:paraId="51394242">
            <w:pPr>
              <w:pStyle w:val="212"/>
              <w:spacing w:before="64" w:line="219" w:lineRule="auto"/>
              <w:ind w:left="109"/>
              <w:rPr>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0099C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25773387">
            <w:pPr>
              <w:rPr>
                <w:rFonts w:ascii="Arial"/>
                <w:color w:val="auto"/>
                <w:sz w:val="21"/>
                <w:highlight w:val="none"/>
              </w:rPr>
            </w:pPr>
          </w:p>
        </w:tc>
        <w:tc>
          <w:tcPr>
            <w:tcW w:w="1542" w:type="dxa"/>
            <w:vMerge w:val="continue"/>
            <w:tcBorders>
              <w:top w:val="nil"/>
              <w:bottom w:val="nil"/>
            </w:tcBorders>
            <w:vAlign w:val="top"/>
          </w:tcPr>
          <w:p w14:paraId="11B1FCC9">
            <w:pPr>
              <w:rPr>
                <w:rFonts w:ascii="Arial"/>
                <w:color w:val="auto"/>
                <w:sz w:val="21"/>
                <w:highlight w:val="none"/>
              </w:rPr>
            </w:pPr>
          </w:p>
        </w:tc>
        <w:tc>
          <w:tcPr>
            <w:tcW w:w="2672" w:type="dxa"/>
            <w:vAlign w:val="top"/>
          </w:tcPr>
          <w:p w14:paraId="2DAAB28E">
            <w:pPr>
              <w:pStyle w:val="212"/>
              <w:spacing w:before="68" w:line="219" w:lineRule="auto"/>
              <w:ind w:left="103"/>
              <w:rPr>
                <w:color w:val="auto"/>
                <w:highlight w:val="none"/>
              </w:rPr>
            </w:pPr>
            <w:r>
              <w:rPr>
                <w:color w:val="auto"/>
                <w:spacing w:val="-1"/>
                <w:highlight w:val="none"/>
              </w:rPr>
              <w:t>A10020304</w:t>
            </w:r>
            <w:r>
              <w:rPr>
                <w:color w:val="auto"/>
                <w:spacing w:val="-31"/>
                <w:highlight w:val="none"/>
              </w:rPr>
              <w:t xml:space="preserve"> </w:t>
            </w:r>
            <w:r>
              <w:rPr>
                <w:color w:val="auto"/>
                <w:spacing w:val="-1"/>
                <w:highlight w:val="none"/>
              </w:rPr>
              <w:t>细木工板</w:t>
            </w:r>
          </w:p>
        </w:tc>
        <w:tc>
          <w:tcPr>
            <w:tcW w:w="2248" w:type="dxa"/>
            <w:vAlign w:val="top"/>
          </w:tcPr>
          <w:p w14:paraId="5AA641E9">
            <w:pPr>
              <w:rPr>
                <w:rFonts w:ascii="Arial"/>
                <w:color w:val="auto"/>
                <w:sz w:val="21"/>
                <w:highlight w:val="none"/>
              </w:rPr>
            </w:pPr>
          </w:p>
        </w:tc>
        <w:tc>
          <w:tcPr>
            <w:tcW w:w="3543" w:type="dxa"/>
            <w:vAlign w:val="top"/>
          </w:tcPr>
          <w:p w14:paraId="23D010C9">
            <w:pPr>
              <w:pStyle w:val="212"/>
              <w:spacing w:before="67" w:line="219" w:lineRule="auto"/>
              <w:ind w:left="109"/>
              <w:rPr>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1A883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4D2ADE76">
            <w:pPr>
              <w:rPr>
                <w:rFonts w:ascii="Arial"/>
                <w:color w:val="auto"/>
                <w:sz w:val="21"/>
                <w:highlight w:val="none"/>
              </w:rPr>
            </w:pPr>
          </w:p>
        </w:tc>
        <w:tc>
          <w:tcPr>
            <w:tcW w:w="1542" w:type="dxa"/>
            <w:vMerge w:val="continue"/>
            <w:tcBorders>
              <w:top w:val="nil"/>
            </w:tcBorders>
            <w:vAlign w:val="top"/>
          </w:tcPr>
          <w:p w14:paraId="3995B404">
            <w:pPr>
              <w:rPr>
                <w:rFonts w:ascii="Arial"/>
                <w:color w:val="auto"/>
                <w:sz w:val="21"/>
                <w:highlight w:val="none"/>
              </w:rPr>
            </w:pPr>
          </w:p>
        </w:tc>
        <w:tc>
          <w:tcPr>
            <w:tcW w:w="2672" w:type="dxa"/>
            <w:vAlign w:val="top"/>
          </w:tcPr>
          <w:p w14:paraId="7440858E">
            <w:pPr>
              <w:pStyle w:val="212"/>
              <w:spacing w:before="65" w:line="219" w:lineRule="auto"/>
              <w:ind w:left="103"/>
              <w:rPr>
                <w:color w:val="auto"/>
                <w:highlight w:val="none"/>
              </w:rPr>
            </w:pPr>
            <w:r>
              <w:rPr>
                <w:color w:val="auto"/>
                <w:spacing w:val="-1"/>
                <w:highlight w:val="none"/>
              </w:rPr>
              <w:t>A10020399</w:t>
            </w:r>
            <w:r>
              <w:rPr>
                <w:color w:val="auto"/>
                <w:spacing w:val="-31"/>
                <w:highlight w:val="none"/>
              </w:rPr>
              <w:t xml:space="preserve"> </w:t>
            </w:r>
            <w:r>
              <w:rPr>
                <w:color w:val="auto"/>
                <w:spacing w:val="-1"/>
                <w:highlight w:val="none"/>
              </w:rPr>
              <w:t>其他人造板</w:t>
            </w:r>
          </w:p>
        </w:tc>
        <w:tc>
          <w:tcPr>
            <w:tcW w:w="2248" w:type="dxa"/>
            <w:vAlign w:val="top"/>
          </w:tcPr>
          <w:p w14:paraId="56B92C13">
            <w:pPr>
              <w:rPr>
                <w:rFonts w:ascii="Arial"/>
                <w:color w:val="auto"/>
                <w:sz w:val="21"/>
                <w:highlight w:val="none"/>
              </w:rPr>
            </w:pPr>
          </w:p>
        </w:tc>
        <w:tc>
          <w:tcPr>
            <w:tcW w:w="3543" w:type="dxa"/>
            <w:vAlign w:val="top"/>
          </w:tcPr>
          <w:p w14:paraId="7BFF304A">
            <w:pPr>
              <w:pStyle w:val="212"/>
              <w:spacing w:before="64" w:line="219" w:lineRule="auto"/>
              <w:ind w:left="109"/>
              <w:rPr>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3C665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83" w:type="dxa"/>
            <w:vMerge w:val="restart"/>
            <w:tcBorders>
              <w:bottom w:val="nil"/>
            </w:tcBorders>
            <w:vAlign w:val="top"/>
          </w:tcPr>
          <w:p w14:paraId="239BEB6C">
            <w:pPr>
              <w:pStyle w:val="212"/>
              <w:spacing w:before="65"/>
              <w:ind w:left="118"/>
              <w:rPr>
                <w:color w:val="auto"/>
                <w:highlight w:val="none"/>
              </w:rPr>
            </w:pPr>
            <w:r>
              <w:rPr>
                <w:color w:val="auto"/>
                <w:spacing w:val="-5"/>
                <w:highlight w:val="none"/>
              </w:rPr>
              <w:t>33</w:t>
            </w:r>
          </w:p>
        </w:tc>
        <w:tc>
          <w:tcPr>
            <w:tcW w:w="1542" w:type="dxa"/>
            <w:vMerge w:val="restart"/>
            <w:tcBorders>
              <w:bottom w:val="nil"/>
            </w:tcBorders>
            <w:vAlign w:val="top"/>
          </w:tcPr>
          <w:p w14:paraId="5FB21499">
            <w:pPr>
              <w:pStyle w:val="212"/>
              <w:spacing w:before="64" w:line="321" w:lineRule="auto"/>
              <w:ind w:left="109" w:right="108" w:hanging="7"/>
              <w:rPr>
                <w:color w:val="auto"/>
                <w:highlight w:val="none"/>
              </w:rPr>
            </w:pPr>
            <w:r>
              <w:rPr>
                <w:color w:val="auto"/>
                <w:spacing w:val="3"/>
                <w:highlight w:val="none"/>
              </w:rPr>
              <w:t>A100204</w:t>
            </w:r>
            <w:r>
              <w:rPr>
                <w:color w:val="auto"/>
                <w:spacing w:val="34"/>
                <w:highlight w:val="none"/>
              </w:rPr>
              <w:t xml:space="preserve"> </w:t>
            </w:r>
            <w:r>
              <w:rPr>
                <w:color w:val="auto"/>
                <w:spacing w:val="3"/>
                <w:highlight w:val="none"/>
              </w:rPr>
              <w:t>二次加</w:t>
            </w:r>
            <w:r>
              <w:rPr>
                <w:color w:val="auto"/>
                <w:highlight w:val="none"/>
              </w:rPr>
              <w:t xml:space="preserve"> </w:t>
            </w:r>
            <w:r>
              <w:rPr>
                <w:color w:val="auto"/>
                <w:spacing w:val="-2"/>
                <w:highlight w:val="none"/>
              </w:rPr>
              <w:t>工材,相关板材</w:t>
            </w:r>
          </w:p>
        </w:tc>
        <w:tc>
          <w:tcPr>
            <w:tcW w:w="2672" w:type="dxa"/>
            <w:vAlign w:val="top"/>
          </w:tcPr>
          <w:p w14:paraId="17ED21B3">
            <w:pPr>
              <w:pStyle w:val="212"/>
              <w:spacing w:before="65" w:line="219" w:lineRule="auto"/>
              <w:ind w:left="103"/>
              <w:rPr>
                <w:color w:val="auto"/>
                <w:highlight w:val="none"/>
              </w:rPr>
            </w:pPr>
            <w:r>
              <w:rPr>
                <w:color w:val="auto"/>
                <w:spacing w:val="-1"/>
                <w:highlight w:val="none"/>
              </w:rPr>
              <w:t>A10020404</w:t>
            </w:r>
            <w:r>
              <w:rPr>
                <w:color w:val="auto"/>
                <w:spacing w:val="-28"/>
                <w:highlight w:val="none"/>
              </w:rPr>
              <w:t xml:space="preserve"> </w:t>
            </w:r>
            <w:r>
              <w:rPr>
                <w:color w:val="auto"/>
                <w:spacing w:val="-1"/>
                <w:highlight w:val="none"/>
              </w:rPr>
              <w:t>人造板表面装饰板</w:t>
            </w:r>
          </w:p>
        </w:tc>
        <w:tc>
          <w:tcPr>
            <w:tcW w:w="2248" w:type="dxa"/>
            <w:vAlign w:val="top"/>
          </w:tcPr>
          <w:p w14:paraId="671F7172">
            <w:pPr>
              <w:rPr>
                <w:rFonts w:ascii="Arial"/>
                <w:color w:val="auto"/>
                <w:sz w:val="21"/>
                <w:highlight w:val="none"/>
              </w:rPr>
            </w:pPr>
          </w:p>
        </w:tc>
        <w:tc>
          <w:tcPr>
            <w:tcW w:w="3543" w:type="dxa"/>
            <w:vAlign w:val="top"/>
          </w:tcPr>
          <w:p w14:paraId="742D8B9D">
            <w:pPr>
              <w:pStyle w:val="212"/>
              <w:spacing w:before="64" w:line="219" w:lineRule="auto"/>
              <w:ind w:left="109"/>
              <w:rPr>
                <w:color w:val="auto"/>
                <w:highlight w:val="none"/>
              </w:rPr>
            </w:pPr>
            <w:r>
              <w:rPr>
                <w:color w:val="auto"/>
                <w:spacing w:val="-1"/>
                <w:highlight w:val="none"/>
              </w:rPr>
              <w:t>HJ571</w:t>
            </w:r>
            <w:r>
              <w:rPr>
                <w:color w:val="auto"/>
                <w:spacing w:val="-30"/>
                <w:highlight w:val="none"/>
              </w:rPr>
              <w:t xml:space="preserve"> </w:t>
            </w:r>
            <w:r>
              <w:rPr>
                <w:color w:val="auto"/>
                <w:spacing w:val="-1"/>
                <w:highlight w:val="none"/>
              </w:rPr>
              <w:t>人造板及其制品/HJ2540</w:t>
            </w:r>
            <w:r>
              <w:rPr>
                <w:color w:val="auto"/>
                <w:spacing w:val="-38"/>
                <w:highlight w:val="none"/>
              </w:rPr>
              <w:t xml:space="preserve"> </w:t>
            </w:r>
            <w:r>
              <w:rPr>
                <w:color w:val="auto"/>
                <w:spacing w:val="-1"/>
                <w:highlight w:val="none"/>
              </w:rPr>
              <w:t>木塑制品</w:t>
            </w:r>
          </w:p>
        </w:tc>
      </w:tr>
      <w:tr w14:paraId="2C82F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Merge w:val="continue"/>
            <w:tcBorders>
              <w:top w:val="nil"/>
            </w:tcBorders>
            <w:vAlign w:val="top"/>
          </w:tcPr>
          <w:p w14:paraId="137CE8B9">
            <w:pPr>
              <w:rPr>
                <w:rFonts w:ascii="Arial"/>
                <w:color w:val="auto"/>
                <w:sz w:val="21"/>
                <w:highlight w:val="none"/>
              </w:rPr>
            </w:pPr>
          </w:p>
        </w:tc>
        <w:tc>
          <w:tcPr>
            <w:tcW w:w="1542" w:type="dxa"/>
            <w:vMerge w:val="continue"/>
            <w:tcBorders>
              <w:top w:val="nil"/>
            </w:tcBorders>
            <w:vAlign w:val="top"/>
          </w:tcPr>
          <w:p w14:paraId="67BF376E">
            <w:pPr>
              <w:rPr>
                <w:rFonts w:ascii="Arial"/>
                <w:color w:val="auto"/>
                <w:sz w:val="21"/>
                <w:highlight w:val="none"/>
              </w:rPr>
            </w:pPr>
          </w:p>
        </w:tc>
        <w:tc>
          <w:tcPr>
            <w:tcW w:w="2672" w:type="dxa"/>
            <w:vAlign w:val="top"/>
          </w:tcPr>
          <w:p w14:paraId="6ECA7361">
            <w:pPr>
              <w:pStyle w:val="212"/>
              <w:spacing w:before="67" w:line="284" w:lineRule="auto"/>
              <w:ind w:left="113" w:right="107" w:hanging="10"/>
              <w:rPr>
                <w:color w:val="auto"/>
                <w:highlight w:val="none"/>
              </w:rPr>
            </w:pPr>
            <w:r>
              <w:rPr>
                <w:color w:val="auto"/>
                <w:spacing w:val="5"/>
                <w:highlight w:val="none"/>
              </w:rPr>
              <w:t>A10020404</w:t>
            </w:r>
            <w:r>
              <w:rPr>
                <w:color w:val="auto"/>
                <w:spacing w:val="30"/>
                <w:highlight w:val="none"/>
              </w:rPr>
              <w:t xml:space="preserve"> </w:t>
            </w:r>
            <w:r>
              <w:rPr>
                <w:color w:val="auto"/>
                <w:spacing w:val="5"/>
                <w:highlight w:val="none"/>
              </w:rPr>
              <w:t>人造板表面装饰板</w:t>
            </w:r>
            <w:r>
              <w:rPr>
                <w:color w:val="auto"/>
                <w:highlight w:val="none"/>
              </w:rPr>
              <w:t xml:space="preserve"> </w:t>
            </w:r>
            <w:r>
              <w:rPr>
                <w:color w:val="auto"/>
                <w:spacing w:val="-3"/>
                <w:highlight w:val="none"/>
              </w:rPr>
              <w:t>（地板）</w:t>
            </w:r>
          </w:p>
        </w:tc>
        <w:tc>
          <w:tcPr>
            <w:tcW w:w="2248" w:type="dxa"/>
            <w:vAlign w:val="top"/>
          </w:tcPr>
          <w:p w14:paraId="6E863972">
            <w:pPr>
              <w:rPr>
                <w:rFonts w:ascii="Arial"/>
                <w:color w:val="auto"/>
                <w:sz w:val="21"/>
                <w:highlight w:val="none"/>
              </w:rPr>
            </w:pPr>
          </w:p>
        </w:tc>
        <w:tc>
          <w:tcPr>
            <w:tcW w:w="3543" w:type="dxa"/>
            <w:vAlign w:val="top"/>
          </w:tcPr>
          <w:p w14:paraId="5CD24ADF">
            <w:pPr>
              <w:pStyle w:val="212"/>
              <w:spacing w:before="67" w:line="219" w:lineRule="auto"/>
              <w:ind w:left="109"/>
              <w:rPr>
                <w:color w:val="auto"/>
                <w:highlight w:val="none"/>
              </w:rPr>
            </w:pPr>
            <w:r>
              <w:rPr>
                <w:color w:val="auto"/>
                <w:spacing w:val="-1"/>
                <w:highlight w:val="none"/>
              </w:rPr>
              <w:t>HJ571</w:t>
            </w:r>
            <w:r>
              <w:rPr>
                <w:color w:val="auto"/>
                <w:spacing w:val="-30"/>
                <w:highlight w:val="none"/>
              </w:rPr>
              <w:t xml:space="preserve"> </w:t>
            </w:r>
            <w:r>
              <w:rPr>
                <w:color w:val="auto"/>
                <w:spacing w:val="-1"/>
                <w:highlight w:val="none"/>
              </w:rPr>
              <w:t>人造板及其制品/HJ2540</w:t>
            </w:r>
            <w:r>
              <w:rPr>
                <w:color w:val="auto"/>
                <w:spacing w:val="-38"/>
                <w:highlight w:val="none"/>
              </w:rPr>
              <w:t xml:space="preserve"> </w:t>
            </w:r>
            <w:r>
              <w:rPr>
                <w:color w:val="auto"/>
                <w:spacing w:val="-1"/>
                <w:highlight w:val="none"/>
              </w:rPr>
              <w:t>木塑制品</w:t>
            </w:r>
          </w:p>
        </w:tc>
      </w:tr>
      <w:tr w14:paraId="33A9B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1B0908CB">
            <w:pPr>
              <w:pStyle w:val="212"/>
              <w:spacing w:before="65"/>
              <w:ind w:left="118"/>
              <w:rPr>
                <w:color w:val="auto"/>
                <w:highlight w:val="none"/>
              </w:rPr>
            </w:pPr>
            <w:r>
              <w:rPr>
                <w:color w:val="auto"/>
                <w:spacing w:val="-5"/>
                <w:highlight w:val="none"/>
              </w:rPr>
              <w:t>34</w:t>
            </w:r>
          </w:p>
        </w:tc>
        <w:tc>
          <w:tcPr>
            <w:tcW w:w="1542" w:type="dxa"/>
            <w:vAlign w:val="top"/>
          </w:tcPr>
          <w:p w14:paraId="74C8304D">
            <w:pPr>
              <w:pStyle w:val="212"/>
              <w:spacing w:before="66" w:line="283" w:lineRule="auto"/>
              <w:ind w:left="107" w:right="108" w:hanging="5"/>
              <w:rPr>
                <w:color w:val="auto"/>
                <w:highlight w:val="none"/>
              </w:rPr>
            </w:pPr>
            <w:r>
              <w:rPr>
                <w:color w:val="auto"/>
                <w:spacing w:val="3"/>
                <w:highlight w:val="none"/>
              </w:rPr>
              <w:t>A100301</w:t>
            </w:r>
            <w:r>
              <w:rPr>
                <w:color w:val="auto"/>
                <w:spacing w:val="34"/>
                <w:highlight w:val="none"/>
              </w:rPr>
              <w:t xml:space="preserve"> </w:t>
            </w:r>
            <w:r>
              <w:rPr>
                <w:color w:val="auto"/>
                <w:spacing w:val="3"/>
                <w:highlight w:val="none"/>
              </w:rPr>
              <w:t>水泥熟</w:t>
            </w:r>
            <w:r>
              <w:rPr>
                <w:color w:val="auto"/>
                <w:highlight w:val="none"/>
              </w:rPr>
              <w:t xml:space="preserve"> </w:t>
            </w:r>
            <w:r>
              <w:rPr>
                <w:color w:val="auto"/>
                <w:spacing w:val="-2"/>
                <w:highlight w:val="none"/>
              </w:rPr>
              <w:t>料及水泥</w:t>
            </w:r>
          </w:p>
        </w:tc>
        <w:tc>
          <w:tcPr>
            <w:tcW w:w="2672" w:type="dxa"/>
            <w:vAlign w:val="top"/>
          </w:tcPr>
          <w:p w14:paraId="3314F35F">
            <w:pPr>
              <w:pStyle w:val="212"/>
              <w:spacing w:before="65" w:line="220" w:lineRule="auto"/>
              <w:ind w:left="103"/>
              <w:rPr>
                <w:color w:val="auto"/>
                <w:highlight w:val="none"/>
              </w:rPr>
            </w:pPr>
            <w:r>
              <w:rPr>
                <w:color w:val="auto"/>
                <w:spacing w:val="-1"/>
                <w:highlight w:val="none"/>
              </w:rPr>
              <w:t>A10030102</w:t>
            </w:r>
            <w:r>
              <w:rPr>
                <w:color w:val="auto"/>
                <w:spacing w:val="-31"/>
                <w:highlight w:val="none"/>
              </w:rPr>
              <w:t xml:space="preserve"> </w:t>
            </w:r>
            <w:r>
              <w:rPr>
                <w:color w:val="auto"/>
                <w:spacing w:val="-1"/>
                <w:highlight w:val="none"/>
              </w:rPr>
              <w:t>水泥</w:t>
            </w:r>
          </w:p>
        </w:tc>
        <w:tc>
          <w:tcPr>
            <w:tcW w:w="2248" w:type="dxa"/>
            <w:vAlign w:val="top"/>
          </w:tcPr>
          <w:p w14:paraId="25356875">
            <w:pPr>
              <w:rPr>
                <w:rFonts w:ascii="Arial"/>
                <w:color w:val="auto"/>
                <w:sz w:val="21"/>
                <w:highlight w:val="none"/>
              </w:rPr>
            </w:pPr>
          </w:p>
        </w:tc>
        <w:tc>
          <w:tcPr>
            <w:tcW w:w="3543" w:type="dxa"/>
            <w:vAlign w:val="top"/>
          </w:tcPr>
          <w:p w14:paraId="58FEE2FB">
            <w:pPr>
              <w:pStyle w:val="212"/>
              <w:spacing w:before="64" w:line="219" w:lineRule="auto"/>
              <w:ind w:left="109"/>
              <w:rPr>
                <w:color w:val="auto"/>
                <w:highlight w:val="none"/>
              </w:rPr>
            </w:pPr>
            <w:r>
              <w:rPr>
                <w:color w:val="auto"/>
                <w:spacing w:val="-1"/>
                <w:highlight w:val="none"/>
              </w:rPr>
              <w:t>HJ2519</w:t>
            </w:r>
            <w:r>
              <w:rPr>
                <w:color w:val="auto"/>
                <w:spacing w:val="-34"/>
                <w:highlight w:val="none"/>
              </w:rPr>
              <w:t xml:space="preserve"> </w:t>
            </w:r>
            <w:r>
              <w:rPr>
                <w:color w:val="auto"/>
                <w:spacing w:val="-1"/>
                <w:highlight w:val="none"/>
              </w:rPr>
              <w:t>水泥</w:t>
            </w:r>
          </w:p>
        </w:tc>
      </w:tr>
      <w:tr w14:paraId="47BBA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6DAA5275">
            <w:pPr>
              <w:pStyle w:val="212"/>
              <w:spacing w:before="66"/>
              <w:ind w:left="118"/>
              <w:rPr>
                <w:color w:val="auto"/>
                <w:highlight w:val="none"/>
              </w:rPr>
            </w:pPr>
            <w:r>
              <w:rPr>
                <w:color w:val="auto"/>
                <w:spacing w:val="-5"/>
                <w:highlight w:val="none"/>
              </w:rPr>
              <w:t>35</w:t>
            </w:r>
          </w:p>
        </w:tc>
        <w:tc>
          <w:tcPr>
            <w:tcW w:w="1542" w:type="dxa"/>
            <w:vAlign w:val="top"/>
          </w:tcPr>
          <w:p w14:paraId="1C589A6B">
            <w:pPr>
              <w:pStyle w:val="212"/>
              <w:spacing w:before="66" w:line="283" w:lineRule="auto"/>
              <w:ind w:left="106" w:right="108" w:hanging="4"/>
              <w:rPr>
                <w:color w:val="auto"/>
                <w:highlight w:val="none"/>
              </w:rPr>
            </w:pPr>
            <w:r>
              <w:rPr>
                <w:color w:val="auto"/>
                <w:spacing w:val="3"/>
                <w:highlight w:val="none"/>
              </w:rPr>
              <w:t>A100303</w:t>
            </w:r>
            <w:r>
              <w:rPr>
                <w:color w:val="auto"/>
                <w:spacing w:val="34"/>
                <w:highlight w:val="none"/>
              </w:rPr>
              <w:t xml:space="preserve"> </w:t>
            </w:r>
            <w:r>
              <w:rPr>
                <w:color w:val="auto"/>
                <w:spacing w:val="3"/>
                <w:highlight w:val="none"/>
              </w:rPr>
              <w:t>水泥混</w:t>
            </w:r>
            <w:r>
              <w:rPr>
                <w:color w:val="auto"/>
                <w:highlight w:val="none"/>
              </w:rPr>
              <w:t xml:space="preserve"> </w:t>
            </w:r>
            <w:r>
              <w:rPr>
                <w:color w:val="auto"/>
                <w:spacing w:val="-2"/>
                <w:highlight w:val="none"/>
              </w:rPr>
              <w:t>凝土制品</w:t>
            </w:r>
          </w:p>
        </w:tc>
        <w:tc>
          <w:tcPr>
            <w:tcW w:w="2672" w:type="dxa"/>
            <w:vAlign w:val="top"/>
          </w:tcPr>
          <w:p w14:paraId="08A33F38">
            <w:pPr>
              <w:pStyle w:val="212"/>
              <w:spacing w:before="65" w:line="221" w:lineRule="auto"/>
              <w:ind w:left="103"/>
              <w:rPr>
                <w:color w:val="auto"/>
                <w:highlight w:val="none"/>
              </w:rPr>
            </w:pPr>
            <w:r>
              <w:rPr>
                <w:color w:val="auto"/>
                <w:spacing w:val="-1"/>
                <w:highlight w:val="none"/>
              </w:rPr>
              <w:t>A10030301</w:t>
            </w:r>
            <w:r>
              <w:rPr>
                <w:color w:val="auto"/>
                <w:spacing w:val="-30"/>
                <w:highlight w:val="none"/>
              </w:rPr>
              <w:t xml:space="preserve"> </w:t>
            </w:r>
            <w:r>
              <w:rPr>
                <w:color w:val="auto"/>
                <w:spacing w:val="-1"/>
                <w:highlight w:val="none"/>
              </w:rPr>
              <w:t>商品混凝土</w:t>
            </w:r>
          </w:p>
        </w:tc>
        <w:tc>
          <w:tcPr>
            <w:tcW w:w="2248" w:type="dxa"/>
            <w:vAlign w:val="top"/>
          </w:tcPr>
          <w:p w14:paraId="0B265018">
            <w:pPr>
              <w:rPr>
                <w:rFonts w:ascii="Arial"/>
                <w:color w:val="auto"/>
                <w:sz w:val="21"/>
                <w:highlight w:val="none"/>
              </w:rPr>
            </w:pPr>
          </w:p>
        </w:tc>
        <w:tc>
          <w:tcPr>
            <w:tcW w:w="3543" w:type="dxa"/>
            <w:vAlign w:val="top"/>
          </w:tcPr>
          <w:p w14:paraId="0063C434">
            <w:pPr>
              <w:pStyle w:val="212"/>
              <w:spacing w:before="65" w:line="219" w:lineRule="auto"/>
              <w:ind w:left="109"/>
              <w:rPr>
                <w:color w:val="auto"/>
                <w:highlight w:val="none"/>
              </w:rPr>
            </w:pPr>
            <w:r>
              <w:rPr>
                <w:color w:val="auto"/>
                <w:spacing w:val="-1"/>
                <w:highlight w:val="none"/>
              </w:rPr>
              <w:t>HJ/T412</w:t>
            </w:r>
            <w:r>
              <w:rPr>
                <w:color w:val="auto"/>
                <w:spacing w:val="-34"/>
                <w:highlight w:val="none"/>
              </w:rPr>
              <w:t xml:space="preserve"> </w:t>
            </w:r>
            <w:r>
              <w:rPr>
                <w:color w:val="auto"/>
                <w:spacing w:val="-1"/>
                <w:highlight w:val="none"/>
              </w:rPr>
              <w:t>预拌混凝土</w:t>
            </w:r>
          </w:p>
        </w:tc>
      </w:tr>
      <w:tr w14:paraId="5A972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0B83C9DB">
            <w:pPr>
              <w:pStyle w:val="212"/>
              <w:spacing w:before="66"/>
              <w:ind w:left="118"/>
              <w:rPr>
                <w:color w:val="auto"/>
                <w:highlight w:val="none"/>
              </w:rPr>
            </w:pPr>
            <w:r>
              <w:rPr>
                <w:color w:val="auto"/>
                <w:spacing w:val="-5"/>
                <w:highlight w:val="none"/>
              </w:rPr>
              <w:t>36</w:t>
            </w:r>
          </w:p>
        </w:tc>
        <w:tc>
          <w:tcPr>
            <w:tcW w:w="1542" w:type="dxa"/>
            <w:vMerge w:val="restart"/>
            <w:tcBorders>
              <w:bottom w:val="nil"/>
            </w:tcBorders>
            <w:vAlign w:val="top"/>
          </w:tcPr>
          <w:p w14:paraId="6BBBD180">
            <w:pPr>
              <w:pStyle w:val="212"/>
              <w:spacing w:before="66" w:line="322" w:lineRule="auto"/>
              <w:ind w:left="111" w:right="108" w:hanging="9"/>
              <w:rPr>
                <w:color w:val="auto"/>
                <w:highlight w:val="none"/>
              </w:rPr>
            </w:pPr>
            <w:r>
              <w:rPr>
                <w:color w:val="auto"/>
                <w:spacing w:val="3"/>
                <w:highlight w:val="none"/>
              </w:rPr>
              <w:t>A100304</w:t>
            </w:r>
            <w:r>
              <w:rPr>
                <w:color w:val="auto"/>
                <w:spacing w:val="35"/>
                <w:highlight w:val="none"/>
              </w:rPr>
              <w:t xml:space="preserve"> </w:t>
            </w:r>
            <w:r>
              <w:rPr>
                <w:color w:val="auto"/>
                <w:spacing w:val="3"/>
                <w:highlight w:val="none"/>
              </w:rPr>
              <w:t>纤维增</w:t>
            </w:r>
            <w:r>
              <w:rPr>
                <w:color w:val="auto"/>
                <w:highlight w:val="none"/>
              </w:rPr>
              <w:t xml:space="preserve"> </w:t>
            </w:r>
            <w:r>
              <w:rPr>
                <w:color w:val="auto"/>
                <w:spacing w:val="-2"/>
                <w:highlight w:val="none"/>
              </w:rPr>
              <w:t>强水泥制品</w:t>
            </w:r>
          </w:p>
        </w:tc>
        <w:tc>
          <w:tcPr>
            <w:tcW w:w="2672" w:type="dxa"/>
            <w:vAlign w:val="top"/>
          </w:tcPr>
          <w:p w14:paraId="603F2296">
            <w:pPr>
              <w:pStyle w:val="212"/>
              <w:spacing w:before="66" w:line="219" w:lineRule="auto"/>
              <w:ind w:left="103"/>
              <w:rPr>
                <w:color w:val="auto"/>
                <w:highlight w:val="none"/>
              </w:rPr>
            </w:pPr>
            <w:r>
              <w:rPr>
                <w:color w:val="auto"/>
                <w:spacing w:val="-1"/>
                <w:highlight w:val="none"/>
              </w:rPr>
              <w:t>A10030402</w:t>
            </w:r>
            <w:r>
              <w:rPr>
                <w:color w:val="auto"/>
                <w:spacing w:val="-28"/>
                <w:highlight w:val="none"/>
              </w:rPr>
              <w:t xml:space="preserve"> </w:t>
            </w:r>
            <w:r>
              <w:rPr>
                <w:color w:val="auto"/>
                <w:spacing w:val="-1"/>
                <w:highlight w:val="none"/>
              </w:rPr>
              <w:t>纤维增强硅酸钙板</w:t>
            </w:r>
          </w:p>
        </w:tc>
        <w:tc>
          <w:tcPr>
            <w:tcW w:w="2248" w:type="dxa"/>
            <w:vAlign w:val="top"/>
          </w:tcPr>
          <w:p w14:paraId="54E76511">
            <w:pPr>
              <w:rPr>
                <w:rFonts w:ascii="Arial"/>
                <w:color w:val="auto"/>
                <w:sz w:val="21"/>
                <w:highlight w:val="none"/>
              </w:rPr>
            </w:pPr>
          </w:p>
        </w:tc>
        <w:tc>
          <w:tcPr>
            <w:tcW w:w="3543" w:type="dxa"/>
            <w:vAlign w:val="top"/>
          </w:tcPr>
          <w:p w14:paraId="7DB76559">
            <w:pPr>
              <w:pStyle w:val="212"/>
              <w:spacing w:before="66"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4747B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1C250FD4">
            <w:pPr>
              <w:rPr>
                <w:rFonts w:ascii="Arial"/>
                <w:color w:val="auto"/>
                <w:sz w:val="21"/>
                <w:highlight w:val="none"/>
              </w:rPr>
            </w:pPr>
          </w:p>
        </w:tc>
        <w:tc>
          <w:tcPr>
            <w:tcW w:w="1542" w:type="dxa"/>
            <w:vMerge w:val="continue"/>
            <w:tcBorders>
              <w:top w:val="nil"/>
            </w:tcBorders>
            <w:vAlign w:val="top"/>
          </w:tcPr>
          <w:p w14:paraId="2E8EFD2B">
            <w:pPr>
              <w:rPr>
                <w:rFonts w:ascii="Arial"/>
                <w:color w:val="auto"/>
                <w:sz w:val="21"/>
                <w:highlight w:val="none"/>
              </w:rPr>
            </w:pPr>
          </w:p>
        </w:tc>
        <w:tc>
          <w:tcPr>
            <w:tcW w:w="2672" w:type="dxa"/>
            <w:vAlign w:val="top"/>
          </w:tcPr>
          <w:p w14:paraId="0C6EE681">
            <w:pPr>
              <w:pStyle w:val="212"/>
              <w:spacing w:before="66" w:line="220" w:lineRule="auto"/>
              <w:ind w:left="103"/>
              <w:rPr>
                <w:color w:val="auto"/>
                <w:highlight w:val="none"/>
              </w:rPr>
            </w:pPr>
            <w:r>
              <w:rPr>
                <w:color w:val="auto"/>
                <w:spacing w:val="-1"/>
                <w:highlight w:val="none"/>
              </w:rPr>
              <w:t>A10030403</w:t>
            </w:r>
            <w:r>
              <w:rPr>
                <w:color w:val="auto"/>
                <w:spacing w:val="-45"/>
                <w:highlight w:val="none"/>
              </w:rPr>
              <w:t xml:space="preserve"> </w:t>
            </w:r>
            <w:r>
              <w:rPr>
                <w:color w:val="auto"/>
                <w:spacing w:val="-1"/>
                <w:highlight w:val="none"/>
              </w:rPr>
              <w:t>无石棉纤维水泥制品</w:t>
            </w:r>
          </w:p>
        </w:tc>
        <w:tc>
          <w:tcPr>
            <w:tcW w:w="2248" w:type="dxa"/>
            <w:vAlign w:val="top"/>
          </w:tcPr>
          <w:p w14:paraId="365F4AAD">
            <w:pPr>
              <w:rPr>
                <w:rFonts w:ascii="Arial"/>
                <w:color w:val="auto"/>
                <w:sz w:val="21"/>
                <w:highlight w:val="none"/>
              </w:rPr>
            </w:pPr>
          </w:p>
        </w:tc>
        <w:tc>
          <w:tcPr>
            <w:tcW w:w="3543" w:type="dxa"/>
            <w:vAlign w:val="top"/>
          </w:tcPr>
          <w:p w14:paraId="66573A6B">
            <w:pPr>
              <w:pStyle w:val="212"/>
              <w:spacing w:before="66"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5D83D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334D0AE4">
            <w:pPr>
              <w:pStyle w:val="212"/>
              <w:spacing w:before="67"/>
              <w:ind w:left="118"/>
              <w:rPr>
                <w:color w:val="auto"/>
                <w:highlight w:val="none"/>
              </w:rPr>
            </w:pPr>
            <w:r>
              <w:rPr>
                <w:color w:val="auto"/>
                <w:spacing w:val="-5"/>
                <w:highlight w:val="none"/>
              </w:rPr>
              <w:t>37</w:t>
            </w:r>
          </w:p>
        </w:tc>
        <w:tc>
          <w:tcPr>
            <w:tcW w:w="1542" w:type="dxa"/>
            <w:vMerge w:val="restart"/>
            <w:tcBorders>
              <w:bottom w:val="nil"/>
            </w:tcBorders>
            <w:vAlign w:val="top"/>
          </w:tcPr>
          <w:p w14:paraId="50FFF942">
            <w:pPr>
              <w:pStyle w:val="212"/>
              <w:spacing w:before="66" w:line="322" w:lineRule="auto"/>
              <w:ind w:left="109" w:right="108" w:hanging="7"/>
              <w:rPr>
                <w:color w:val="auto"/>
                <w:highlight w:val="none"/>
              </w:rPr>
            </w:pPr>
            <w:r>
              <w:rPr>
                <w:color w:val="auto"/>
                <w:spacing w:val="3"/>
                <w:highlight w:val="none"/>
              </w:rPr>
              <w:t>A100305</w:t>
            </w:r>
            <w:r>
              <w:rPr>
                <w:color w:val="auto"/>
                <w:spacing w:val="34"/>
                <w:highlight w:val="none"/>
              </w:rPr>
              <w:t xml:space="preserve"> </w:t>
            </w:r>
            <w:r>
              <w:rPr>
                <w:color w:val="auto"/>
                <w:spacing w:val="3"/>
                <w:highlight w:val="none"/>
              </w:rPr>
              <w:t>轻质建</w:t>
            </w:r>
            <w:r>
              <w:rPr>
                <w:color w:val="auto"/>
                <w:highlight w:val="none"/>
              </w:rPr>
              <w:t xml:space="preserve"> </w:t>
            </w:r>
            <w:r>
              <w:rPr>
                <w:color w:val="auto"/>
                <w:spacing w:val="-2"/>
                <w:highlight w:val="none"/>
              </w:rPr>
              <w:t>筑材料及制品</w:t>
            </w:r>
          </w:p>
        </w:tc>
        <w:tc>
          <w:tcPr>
            <w:tcW w:w="2672" w:type="dxa"/>
            <w:vAlign w:val="top"/>
          </w:tcPr>
          <w:p w14:paraId="22715C66">
            <w:pPr>
              <w:pStyle w:val="212"/>
              <w:spacing w:before="67" w:line="219" w:lineRule="auto"/>
              <w:ind w:left="103"/>
              <w:rPr>
                <w:color w:val="auto"/>
                <w:highlight w:val="none"/>
              </w:rPr>
            </w:pPr>
            <w:r>
              <w:rPr>
                <w:color w:val="auto"/>
                <w:spacing w:val="-1"/>
                <w:highlight w:val="none"/>
              </w:rPr>
              <w:t>A10030501</w:t>
            </w:r>
            <w:r>
              <w:rPr>
                <w:color w:val="auto"/>
                <w:spacing w:val="-32"/>
                <w:highlight w:val="none"/>
              </w:rPr>
              <w:t xml:space="preserve"> </w:t>
            </w:r>
            <w:r>
              <w:rPr>
                <w:color w:val="auto"/>
                <w:spacing w:val="-1"/>
                <w:highlight w:val="none"/>
              </w:rPr>
              <w:t>石膏板</w:t>
            </w:r>
          </w:p>
        </w:tc>
        <w:tc>
          <w:tcPr>
            <w:tcW w:w="2248" w:type="dxa"/>
            <w:vAlign w:val="top"/>
          </w:tcPr>
          <w:p w14:paraId="2011796B">
            <w:pPr>
              <w:rPr>
                <w:rFonts w:ascii="Arial"/>
                <w:color w:val="auto"/>
                <w:sz w:val="21"/>
                <w:highlight w:val="none"/>
              </w:rPr>
            </w:pPr>
          </w:p>
        </w:tc>
        <w:tc>
          <w:tcPr>
            <w:tcW w:w="3543" w:type="dxa"/>
            <w:vAlign w:val="top"/>
          </w:tcPr>
          <w:p w14:paraId="0F10D724">
            <w:pPr>
              <w:pStyle w:val="212"/>
              <w:spacing w:before="66"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6B2F0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583" w:type="dxa"/>
            <w:vMerge w:val="continue"/>
            <w:tcBorders>
              <w:top w:val="nil"/>
            </w:tcBorders>
            <w:vAlign w:val="top"/>
          </w:tcPr>
          <w:p w14:paraId="042470B2">
            <w:pPr>
              <w:rPr>
                <w:rFonts w:ascii="Arial"/>
                <w:color w:val="auto"/>
                <w:sz w:val="21"/>
                <w:highlight w:val="none"/>
              </w:rPr>
            </w:pPr>
          </w:p>
        </w:tc>
        <w:tc>
          <w:tcPr>
            <w:tcW w:w="1542" w:type="dxa"/>
            <w:vMerge w:val="continue"/>
            <w:tcBorders>
              <w:top w:val="nil"/>
            </w:tcBorders>
            <w:vAlign w:val="top"/>
          </w:tcPr>
          <w:p w14:paraId="003F1632">
            <w:pPr>
              <w:rPr>
                <w:rFonts w:ascii="Arial"/>
                <w:color w:val="auto"/>
                <w:sz w:val="21"/>
                <w:highlight w:val="none"/>
              </w:rPr>
            </w:pPr>
          </w:p>
        </w:tc>
        <w:tc>
          <w:tcPr>
            <w:tcW w:w="2672" w:type="dxa"/>
            <w:vAlign w:val="top"/>
          </w:tcPr>
          <w:p w14:paraId="79DB65BF">
            <w:pPr>
              <w:pStyle w:val="212"/>
              <w:spacing w:before="66" w:line="219" w:lineRule="auto"/>
              <w:ind w:left="103"/>
              <w:rPr>
                <w:color w:val="auto"/>
                <w:highlight w:val="none"/>
              </w:rPr>
            </w:pPr>
            <w:r>
              <w:rPr>
                <w:color w:val="auto"/>
                <w:spacing w:val="-1"/>
                <w:highlight w:val="none"/>
              </w:rPr>
              <w:t>A10030503</w:t>
            </w:r>
            <w:r>
              <w:rPr>
                <w:color w:val="auto"/>
                <w:spacing w:val="-30"/>
                <w:highlight w:val="none"/>
              </w:rPr>
              <w:t xml:space="preserve"> </w:t>
            </w:r>
            <w:r>
              <w:rPr>
                <w:color w:val="auto"/>
                <w:spacing w:val="-1"/>
                <w:highlight w:val="none"/>
              </w:rPr>
              <w:t>轻质隔墙条板</w:t>
            </w:r>
          </w:p>
        </w:tc>
        <w:tc>
          <w:tcPr>
            <w:tcW w:w="2248" w:type="dxa"/>
            <w:vAlign w:val="top"/>
          </w:tcPr>
          <w:p w14:paraId="44A2CFD1">
            <w:pPr>
              <w:rPr>
                <w:rFonts w:ascii="Arial"/>
                <w:color w:val="auto"/>
                <w:sz w:val="21"/>
                <w:highlight w:val="none"/>
              </w:rPr>
            </w:pPr>
          </w:p>
        </w:tc>
        <w:tc>
          <w:tcPr>
            <w:tcW w:w="3543" w:type="dxa"/>
            <w:vAlign w:val="top"/>
          </w:tcPr>
          <w:p w14:paraId="5CC71AD9">
            <w:pPr>
              <w:pStyle w:val="212"/>
              <w:spacing w:before="66"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21967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7284EA9F">
            <w:pPr>
              <w:pStyle w:val="212"/>
              <w:spacing w:before="67"/>
              <w:ind w:left="118"/>
              <w:rPr>
                <w:color w:val="auto"/>
                <w:highlight w:val="none"/>
              </w:rPr>
            </w:pPr>
            <w:r>
              <w:rPr>
                <w:color w:val="auto"/>
                <w:spacing w:val="-5"/>
                <w:highlight w:val="none"/>
              </w:rPr>
              <w:t>38</w:t>
            </w:r>
          </w:p>
        </w:tc>
        <w:tc>
          <w:tcPr>
            <w:tcW w:w="1542" w:type="dxa"/>
            <w:vMerge w:val="restart"/>
            <w:tcBorders>
              <w:bottom w:val="nil"/>
            </w:tcBorders>
            <w:vAlign w:val="top"/>
          </w:tcPr>
          <w:p w14:paraId="2DF50A0C">
            <w:pPr>
              <w:pStyle w:val="212"/>
              <w:spacing w:before="67" w:line="322" w:lineRule="auto"/>
              <w:ind w:left="111" w:right="108" w:hanging="9"/>
              <w:rPr>
                <w:color w:val="auto"/>
                <w:highlight w:val="none"/>
              </w:rPr>
            </w:pPr>
            <w:r>
              <w:rPr>
                <w:color w:val="auto"/>
                <w:spacing w:val="-1"/>
                <w:highlight w:val="none"/>
              </w:rPr>
              <w:t>A100307</w:t>
            </w:r>
            <w:r>
              <w:rPr>
                <w:color w:val="auto"/>
                <w:spacing w:val="36"/>
                <w:highlight w:val="none"/>
              </w:rPr>
              <w:t xml:space="preserve"> </w:t>
            </w:r>
            <w:r>
              <w:rPr>
                <w:color w:val="auto"/>
                <w:spacing w:val="-1"/>
                <w:highlight w:val="none"/>
              </w:rPr>
              <w:t>建筑</w:t>
            </w:r>
            <w:r>
              <w:rPr>
                <w:color w:val="auto"/>
                <w:spacing w:val="-52"/>
                <w:highlight w:val="none"/>
              </w:rPr>
              <w:t xml:space="preserve"> </w:t>
            </w:r>
            <w:r>
              <w:rPr>
                <w:color w:val="auto"/>
                <w:spacing w:val="-1"/>
                <w:highlight w:val="none"/>
              </w:rPr>
              <w:t>陶</w:t>
            </w:r>
            <w:r>
              <w:rPr>
                <w:color w:val="auto"/>
                <w:highlight w:val="none"/>
              </w:rPr>
              <w:t xml:space="preserve"> </w:t>
            </w:r>
            <w:r>
              <w:rPr>
                <w:color w:val="auto"/>
                <w:spacing w:val="-3"/>
                <w:highlight w:val="none"/>
              </w:rPr>
              <w:t>瓷制品</w:t>
            </w:r>
          </w:p>
        </w:tc>
        <w:tc>
          <w:tcPr>
            <w:tcW w:w="2672" w:type="dxa"/>
            <w:vAlign w:val="top"/>
          </w:tcPr>
          <w:p w14:paraId="248CE171">
            <w:pPr>
              <w:pStyle w:val="212"/>
              <w:spacing w:before="66" w:line="221" w:lineRule="auto"/>
              <w:ind w:left="103"/>
              <w:rPr>
                <w:color w:val="auto"/>
                <w:highlight w:val="none"/>
              </w:rPr>
            </w:pPr>
            <w:r>
              <w:rPr>
                <w:color w:val="auto"/>
                <w:spacing w:val="-1"/>
                <w:highlight w:val="none"/>
              </w:rPr>
              <w:t>A10030701</w:t>
            </w:r>
            <w:r>
              <w:rPr>
                <w:color w:val="auto"/>
                <w:spacing w:val="-30"/>
                <w:highlight w:val="none"/>
              </w:rPr>
              <w:t xml:space="preserve"> </w:t>
            </w:r>
            <w:r>
              <w:rPr>
                <w:color w:val="auto"/>
                <w:spacing w:val="-1"/>
                <w:highlight w:val="none"/>
              </w:rPr>
              <w:t>瓷质砖</w:t>
            </w:r>
          </w:p>
        </w:tc>
        <w:tc>
          <w:tcPr>
            <w:tcW w:w="2248" w:type="dxa"/>
            <w:vAlign w:val="top"/>
          </w:tcPr>
          <w:p w14:paraId="2BD9339A">
            <w:pPr>
              <w:rPr>
                <w:rFonts w:ascii="Arial"/>
                <w:color w:val="auto"/>
                <w:sz w:val="21"/>
                <w:highlight w:val="none"/>
              </w:rPr>
            </w:pPr>
          </w:p>
        </w:tc>
        <w:tc>
          <w:tcPr>
            <w:tcW w:w="3543" w:type="dxa"/>
            <w:vAlign w:val="top"/>
          </w:tcPr>
          <w:p w14:paraId="46A0765F">
            <w:pPr>
              <w:pStyle w:val="212"/>
              <w:spacing w:before="66" w:line="219" w:lineRule="auto"/>
              <w:ind w:left="109"/>
              <w:rPr>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5186D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3CD46BD4">
            <w:pPr>
              <w:rPr>
                <w:rFonts w:ascii="Arial"/>
                <w:color w:val="auto"/>
                <w:sz w:val="21"/>
                <w:highlight w:val="none"/>
              </w:rPr>
            </w:pPr>
          </w:p>
        </w:tc>
        <w:tc>
          <w:tcPr>
            <w:tcW w:w="1542" w:type="dxa"/>
            <w:vMerge w:val="continue"/>
            <w:tcBorders>
              <w:top w:val="nil"/>
              <w:bottom w:val="nil"/>
            </w:tcBorders>
            <w:vAlign w:val="top"/>
          </w:tcPr>
          <w:p w14:paraId="66FC5862">
            <w:pPr>
              <w:rPr>
                <w:rFonts w:ascii="Arial"/>
                <w:color w:val="auto"/>
                <w:sz w:val="21"/>
                <w:highlight w:val="none"/>
              </w:rPr>
            </w:pPr>
          </w:p>
        </w:tc>
        <w:tc>
          <w:tcPr>
            <w:tcW w:w="2672" w:type="dxa"/>
            <w:vAlign w:val="top"/>
          </w:tcPr>
          <w:p w14:paraId="085CDCEB">
            <w:pPr>
              <w:pStyle w:val="212"/>
              <w:spacing w:before="66" w:line="221" w:lineRule="auto"/>
              <w:ind w:left="103"/>
              <w:rPr>
                <w:color w:val="auto"/>
                <w:highlight w:val="none"/>
              </w:rPr>
            </w:pPr>
            <w:r>
              <w:rPr>
                <w:color w:val="auto"/>
                <w:highlight w:val="none"/>
              </w:rPr>
              <w:t>A10030704 炻质砖</w:t>
            </w:r>
          </w:p>
        </w:tc>
        <w:tc>
          <w:tcPr>
            <w:tcW w:w="2248" w:type="dxa"/>
            <w:vAlign w:val="top"/>
          </w:tcPr>
          <w:p w14:paraId="54861799">
            <w:pPr>
              <w:rPr>
                <w:rFonts w:ascii="Arial"/>
                <w:color w:val="auto"/>
                <w:sz w:val="21"/>
                <w:highlight w:val="none"/>
              </w:rPr>
            </w:pPr>
          </w:p>
        </w:tc>
        <w:tc>
          <w:tcPr>
            <w:tcW w:w="3543" w:type="dxa"/>
            <w:vAlign w:val="top"/>
          </w:tcPr>
          <w:p w14:paraId="01408A8A">
            <w:pPr>
              <w:pStyle w:val="212"/>
              <w:spacing w:before="66" w:line="219" w:lineRule="auto"/>
              <w:ind w:left="109"/>
              <w:rPr>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6DB39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14:paraId="37419E00">
            <w:pPr>
              <w:rPr>
                <w:rFonts w:ascii="Arial"/>
                <w:color w:val="auto"/>
                <w:sz w:val="21"/>
                <w:highlight w:val="none"/>
              </w:rPr>
            </w:pPr>
          </w:p>
        </w:tc>
        <w:tc>
          <w:tcPr>
            <w:tcW w:w="1542" w:type="dxa"/>
            <w:vMerge w:val="continue"/>
            <w:tcBorders>
              <w:top w:val="nil"/>
              <w:bottom w:val="nil"/>
            </w:tcBorders>
            <w:vAlign w:val="top"/>
          </w:tcPr>
          <w:p w14:paraId="215212B0">
            <w:pPr>
              <w:rPr>
                <w:rFonts w:ascii="Arial"/>
                <w:color w:val="auto"/>
                <w:sz w:val="21"/>
                <w:highlight w:val="none"/>
              </w:rPr>
            </w:pPr>
          </w:p>
        </w:tc>
        <w:tc>
          <w:tcPr>
            <w:tcW w:w="2672" w:type="dxa"/>
            <w:vAlign w:val="top"/>
          </w:tcPr>
          <w:p w14:paraId="63714F5F">
            <w:pPr>
              <w:pStyle w:val="212"/>
              <w:spacing w:before="66" w:line="221" w:lineRule="auto"/>
              <w:ind w:left="103"/>
              <w:rPr>
                <w:color w:val="auto"/>
                <w:highlight w:val="none"/>
              </w:rPr>
            </w:pPr>
            <w:r>
              <w:rPr>
                <w:color w:val="auto"/>
                <w:spacing w:val="-2"/>
                <w:highlight w:val="none"/>
              </w:rPr>
              <w:t>A10030705</w:t>
            </w:r>
            <w:r>
              <w:rPr>
                <w:color w:val="auto"/>
                <w:spacing w:val="-17"/>
                <w:highlight w:val="none"/>
              </w:rPr>
              <w:t xml:space="preserve"> </w:t>
            </w:r>
            <w:r>
              <w:rPr>
                <w:color w:val="auto"/>
                <w:spacing w:val="-2"/>
                <w:highlight w:val="none"/>
              </w:rPr>
              <w:t>陶质砖</w:t>
            </w:r>
          </w:p>
        </w:tc>
        <w:tc>
          <w:tcPr>
            <w:tcW w:w="2248" w:type="dxa"/>
            <w:vAlign w:val="top"/>
          </w:tcPr>
          <w:p w14:paraId="0FCA5C7A">
            <w:pPr>
              <w:rPr>
                <w:rFonts w:ascii="Arial"/>
                <w:color w:val="auto"/>
                <w:sz w:val="21"/>
                <w:highlight w:val="none"/>
              </w:rPr>
            </w:pPr>
          </w:p>
        </w:tc>
        <w:tc>
          <w:tcPr>
            <w:tcW w:w="3543" w:type="dxa"/>
            <w:vAlign w:val="top"/>
          </w:tcPr>
          <w:p w14:paraId="0FDD9E7E">
            <w:pPr>
              <w:pStyle w:val="212"/>
              <w:spacing w:before="66" w:line="219" w:lineRule="auto"/>
              <w:ind w:left="109"/>
              <w:rPr>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1A846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6F05D91F">
            <w:pPr>
              <w:rPr>
                <w:rFonts w:ascii="Arial"/>
                <w:color w:val="auto"/>
                <w:sz w:val="21"/>
                <w:highlight w:val="none"/>
              </w:rPr>
            </w:pPr>
          </w:p>
        </w:tc>
        <w:tc>
          <w:tcPr>
            <w:tcW w:w="1542" w:type="dxa"/>
            <w:vMerge w:val="continue"/>
            <w:tcBorders>
              <w:top w:val="nil"/>
            </w:tcBorders>
            <w:vAlign w:val="top"/>
          </w:tcPr>
          <w:p w14:paraId="0E276C34">
            <w:pPr>
              <w:rPr>
                <w:rFonts w:ascii="Arial"/>
                <w:color w:val="auto"/>
                <w:sz w:val="21"/>
                <w:highlight w:val="none"/>
              </w:rPr>
            </w:pPr>
          </w:p>
        </w:tc>
        <w:tc>
          <w:tcPr>
            <w:tcW w:w="2672" w:type="dxa"/>
            <w:vAlign w:val="top"/>
          </w:tcPr>
          <w:p w14:paraId="655ECBF3">
            <w:pPr>
              <w:pStyle w:val="212"/>
              <w:spacing w:before="66" w:line="221" w:lineRule="auto"/>
              <w:ind w:left="103"/>
              <w:rPr>
                <w:color w:val="auto"/>
                <w:highlight w:val="none"/>
              </w:rPr>
            </w:pPr>
            <w:r>
              <w:rPr>
                <w:color w:val="auto"/>
                <w:highlight w:val="none"/>
              </w:rPr>
              <w:t>A10030799 其他建筑陶瓷制品</w:t>
            </w:r>
          </w:p>
        </w:tc>
        <w:tc>
          <w:tcPr>
            <w:tcW w:w="2248" w:type="dxa"/>
            <w:vAlign w:val="top"/>
          </w:tcPr>
          <w:p w14:paraId="2ED97174">
            <w:pPr>
              <w:rPr>
                <w:rFonts w:ascii="Arial"/>
                <w:color w:val="auto"/>
                <w:sz w:val="21"/>
                <w:highlight w:val="none"/>
              </w:rPr>
            </w:pPr>
          </w:p>
        </w:tc>
        <w:tc>
          <w:tcPr>
            <w:tcW w:w="3543" w:type="dxa"/>
            <w:vAlign w:val="top"/>
          </w:tcPr>
          <w:p w14:paraId="7651FF70">
            <w:pPr>
              <w:pStyle w:val="212"/>
              <w:spacing w:before="66" w:line="219" w:lineRule="auto"/>
              <w:ind w:left="109"/>
              <w:rPr>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42316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vAlign w:val="top"/>
          </w:tcPr>
          <w:p w14:paraId="6779F663">
            <w:pPr>
              <w:pStyle w:val="212"/>
              <w:spacing w:before="66"/>
              <w:ind w:left="118"/>
              <w:rPr>
                <w:color w:val="auto"/>
                <w:highlight w:val="none"/>
              </w:rPr>
            </w:pPr>
            <w:r>
              <w:rPr>
                <w:color w:val="auto"/>
                <w:spacing w:val="-5"/>
                <w:highlight w:val="none"/>
              </w:rPr>
              <w:t>39</w:t>
            </w:r>
          </w:p>
        </w:tc>
        <w:tc>
          <w:tcPr>
            <w:tcW w:w="1542" w:type="dxa"/>
            <w:vMerge w:val="restart"/>
            <w:tcBorders>
              <w:bottom w:val="nil"/>
            </w:tcBorders>
            <w:vAlign w:val="top"/>
          </w:tcPr>
          <w:p w14:paraId="086D36DF">
            <w:pPr>
              <w:pStyle w:val="212"/>
              <w:spacing w:before="65" w:line="322" w:lineRule="auto"/>
              <w:ind w:left="109" w:right="108" w:hanging="7"/>
              <w:rPr>
                <w:color w:val="auto"/>
                <w:highlight w:val="none"/>
              </w:rPr>
            </w:pPr>
            <w:r>
              <w:rPr>
                <w:color w:val="auto"/>
                <w:spacing w:val="-1"/>
                <w:highlight w:val="none"/>
              </w:rPr>
              <w:t>A100309</w:t>
            </w:r>
            <w:r>
              <w:rPr>
                <w:color w:val="auto"/>
                <w:spacing w:val="34"/>
                <w:w w:val="101"/>
                <w:highlight w:val="none"/>
              </w:rPr>
              <w:t xml:space="preserve"> </w:t>
            </w:r>
            <w:r>
              <w:rPr>
                <w:color w:val="auto"/>
                <w:spacing w:val="-1"/>
                <w:highlight w:val="none"/>
              </w:rPr>
              <w:t>建筑</w:t>
            </w:r>
            <w:r>
              <w:rPr>
                <w:color w:val="auto"/>
                <w:spacing w:val="-51"/>
                <w:highlight w:val="none"/>
              </w:rPr>
              <w:t xml:space="preserve"> </w:t>
            </w:r>
            <w:r>
              <w:rPr>
                <w:color w:val="auto"/>
                <w:spacing w:val="-1"/>
                <w:highlight w:val="none"/>
              </w:rPr>
              <w:t>防</w:t>
            </w:r>
            <w:r>
              <w:rPr>
                <w:color w:val="auto"/>
                <w:highlight w:val="none"/>
              </w:rPr>
              <w:t xml:space="preserve"> </w:t>
            </w:r>
            <w:r>
              <w:rPr>
                <w:color w:val="auto"/>
                <w:spacing w:val="-2"/>
                <w:highlight w:val="none"/>
              </w:rPr>
              <w:t>水卷材及制品</w:t>
            </w:r>
          </w:p>
        </w:tc>
        <w:tc>
          <w:tcPr>
            <w:tcW w:w="2672" w:type="dxa"/>
            <w:vAlign w:val="top"/>
          </w:tcPr>
          <w:p w14:paraId="0DAE9208">
            <w:pPr>
              <w:pStyle w:val="212"/>
              <w:spacing w:before="66" w:line="283" w:lineRule="auto"/>
              <w:ind w:left="110" w:right="107" w:hanging="7"/>
              <w:rPr>
                <w:color w:val="auto"/>
                <w:highlight w:val="none"/>
              </w:rPr>
            </w:pPr>
            <w:r>
              <w:rPr>
                <w:color w:val="auto"/>
                <w:spacing w:val="-1"/>
                <w:highlight w:val="none"/>
              </w:rPr>
              <w:t>A10030901</w:t>
            </w:r>
            <w:r>
              <w:rPr>
                <w:color w:val="auto"/>
                <w:spacing w:val="-47"/>
                <w:highlight w:val="none"/>
              </w:rPr>
              <w:t xml:space="preserve"> </w:t>
            </w:r>
            <w:r>
              <w:rPr>
                <w:color w:val="auto"/>
                <w:spacing w:val="-1"/>
                <w:highlight w:val="none"/>
              </w:rPr>
              <w:t>沥青和改性沥青防水</w:t>
            </w:r>
            <w:r>
              <w:rPr>
                <w:color w:val="auto"/>
                <w:highlight w:val="none"/>
              </w:rPr>
              <w:t xml:space="preserve"> </w:t>
            </w:r>
            <w:r>
              <w:rPr>
                <w:color w:val="auto"/>
                <w:spacing w:val="-3"/>
                <w:highlight w:val="none"/>
              </w:rPr>
              <w:t>卷材</w:t>
            </w:r>
          </w:p>
        </w:tc>
        <w:tc>
          <w:tcPr>
            <w:tcW w:w="2248" w:type="dxa"/>
            <w:vAlign w:val="top"/>
          </w:tcPr>
          <w:p w14:paraId="257EA4D1">
            <w:pPr>
              <w:rPr>
                <w:rFonts w:ascii="Arial"/>
                <w:color w:val="auto"/>
                <w:sz w:val="21"/>
                <w:highlight w:val="none"/>
              </w:rPr>
            </w:pPr>
          </w:p>
        </w:tc>
        <w:tc>
          <w:tcPr>
            <w:tcW w:w="3543" w:type="dxa"/>
            <w:vAlign w:val="top"/>
          </w:tcPr>
          <w:p w14:paraId="0D8F955B">
            <w:pPr>
              <w:pStyle w:val="212"/>
              <w:spacing w:before="66" w:line="219" w:lineRule="auto"/>
              <w:ind w:left="109"/>
              <w:rPr>
                <w:color w:val="auto"/>
                <w:highlight w:val="none"/>
              </w:rPr>
            </w:pPr>
            <w:r>
              <w:rPr>
                <w:color w:val="auto"/>
                <w:spacing w:val="-2"/>
                <w:highlight w:val="none"/>
              </w:rPr>
              <w:t>HJ455</w:t>
            </w:r>
            <w:r>
              <w:rPr>
                <w:color w:val="auto"/>
                <w:spacing w:val="-25"/>
                <w:highlight w:val="none"/>
              </w:rPr>
              <w:t xml:space="preserve"> </w:t>
            </w:r>
            <w:r>
              <w:rPr>
                <w:color w:val="auto"/>
                <w:spacing w:val="-2"/>
                <w:highlight w:val="none"/>
              </w:rPr>
              <w:t>防水卷材</w:t>
            </w:r>
          </w:p>
        </w:tc>
      </w:tr>
      <w:tr w14:paraId="5DF39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52970568">
            <w:pPr>
              <w:rPr>
                <w:rFonts w:ascii="Arial"/>
                <w:color w:val="auto"/>
                <w:sz w:val="21"/>
                <w:highlight w:val="none"/>
              </w:rPr>
            </w:pPr>
          </w:p>
        </w:tc>
        <w:tc>
          <w:tcPr>
            <w:tcW w:w="1542" w:type="dxa"/>
            <w:vMerge w:val="continue"/>
            <w:tcBorders>
              <w:top w:val="nil"/>
              <w:bottom w:val="nil"/>
            </w:tcBorders>
            <w:vAlign w:val="top"/>
          </w:tcPr>
          <w:p w14:paraId="2917E20D">
            <w:pPr>
              <w:rPr>
                <w:rFonts w:ascii="Arial"/>
                <w:color w:val="auto"/>
                <w:sz w:val="21"/>
                <w:highlight w:val="none"/>
              </w:rPr>
            </w:pPr>
          </w:p>
        </w:tc>
        <w:tc>
          <w:tcPr>
            <w:tcW w:w="2672" w:type="dxa"/>
            <w:vAlign w:val="top"/>
          </w:tcPr>
          <w:p w14:paraId="302F306F">
            <w:pPr>
              <w:pStyle w:val="212"/>
              <w:spacing w:before="67" w:line="219" w:lineRule="auto"/>
              <w:ind w:left="103"/>
              <w:rPr>
                <w:color w:val="auto"/>
                <w:highlight w:val="none"/>
              </w:rPr>
            </w:pPr>
            <w:r>
              <w:rPr>
                <w:color w:val="auto"/>
                <w:spacing w:val="-2"/>
                <w:highlight w:val="none"/>
              </w:rPr>
              <w:t>A10030903</w:t>
            </w:r>
            <w:r>
              <w:rPr>
                <w:color w:val="auto"/>
                <w:spacing w:val="36"/>
                <w:highlight w:val="none"/>
              </w:rPr>
              <w:t xml:space="preserve"> </w:t>
            </w:r>
            <w:r>
              <w:rPr>
                <w:color w:val="auto"/>
                <w:spacing w:val="-2"/>
                <w:highlight w:val="none"/>
              </w:rPr>
              <w:t>自粘防水卷材</w:t>
            </w:r>
          </w:p>
        </w:tc>
        <w:tc>
          <w:tcPr>
            <w:tcW w:w="2248" w:type="dxa"/>
            <w:vAlign w:val="top"/>
          </w:tcPr>
          <w:p w14:paraId="5C33F6CF">
            <w:pPr>
              <w:rPr>
                <w:rFonts w:ascii="Arial"/>
                <w:color w:val="auto"/>
                <w:sz w:val="21"/>
                <w:highlight w:val="none"/>
              </w:rPr>
            </w:pPr>
          </w:p>
        </w:tc>
        <w:tc>
          <w:tcPr>
            <w:tcW w:w="3543" w:type="dxa"/>
            <w:vAlign w:val="top"/>
          </w:tcPr>
          <w:p w14:paraId="2747896A">
            <w:pPr>
              <w:pStyle w:val="212"/>
              <w:spacing w:before="66" w:line="219" w:lineRule="auto"/>
              <w:ind w:left="109"/>
              <w:rPr>
                <w:color w:val="auto"/>
                <w:highlight w:val="none"/>
              </w:rPr>
            </w:pPr>
            <w:r>
              <w:rPr>
                <w:color w:val="auto"/>
                <w:spacing w:val="-2"/>
                <w:highlight w:val="none"/>
              </w:rPr>
              <w:t>HJ455</w:t>
            </w:r>
            <w:r>
              <w:rPr>
                <w:color w:val="auto"/>
                <w:spacing w:val="-25"/>
                <w:highlight w:val="none"/>
              </w:rPr>
              <w:t xml:space="preserve"> </w:t>
            </w:r>
            <w:r>
              <w:rPr>
                <w:color w:val="auto"/>
                <w:spacing w:val="-2"/>
                <w:highlight w:val="none"/>
              </w:rPr>
              <w:t>防水卷材</w:t>
            </w:r>
          </w:p>
        </w:tc>
      </w:tr>
      <w:tr w14:paraId="23FDE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continue"/>
            <w:tcBorders>
              <w:top w:val="nil"/>
            </w:tcBorders>
            <w:vAlign w:val="top"/>
          </w:tcPr>
          <w:p w14:paraId="2A3B38B0">
            <w:pPr>
              <w:rPr>
                <w:rFonts w:ascii="Arial"/>
                <w:color w:val="auto"/>
                <w:sz w:val="21"/>
                <w:highlight w:val="none"/>
              </w:rPr>
            </w:pPr>
          </w:p>
        </w:tc>
        <w:tc>
          <w:tcPr>
            <w:tcW w:w="1542" w:type="dxa"/>
            <w:vMerge w:val="continue"/>
            <w:tcBorders>
              <w:top w:val="nil"/>
            </w:tcBorders>
            <w:vAlign w:val="top"/>
          </w:tcPr>
          <w:p w14:paraId="2CA83744">
            <w:pPr>
              <w:rPr>
                <w:rFonts w:ascii="Arial"/>
                <w:color w:val="auto"/>
                <w:sz w:val="21"/>
                <w:highlight w:val="none"/>
              </w:rPr>
            </w:pPr>
          </w:p>
        </w:tc>
        <w:tc>
          <w:tcPr>
            <w:tcW w:w="2672" w:type="dxa"/>
            <w:vAlign w:val="top"/>
          </w:tcPr>
          <w:p w14:paraId="11806FE6">
            <w:pPr>
              <w:pStyle w:val="212"/>
              <w:spacing w:before="66" w:line="283" w:lineRule="auto"/>
              <w:ind w:left="108" w:right="102" w:hanging="5"/>
              <w:rPr>
                <w:color w:val="auto"/>
                <w:highlight w:val="none"/>
              </w:rPr>
            </w:pPr>
            <w:r>
              <w:rPr>
                <w:color w:val="auto"/>
                <w:spacing w:val="-2"/>
                <w:highlight w:val="none"/>
              </w:rPr>
              <w:t>A10030906</w:t>
            </w:r>
            <w:r>
              <w:rPr>
                <w:color w:val="auto"/>
                <w:spacing w:val="-24"/>
                <w:highlight w:val="none"/>
              </w:rPr>
              <w:t xml:space="preserve"> </w:t>
            </w:r>
            <w:r>
              <w:rPr>
                <w:color w:val="auto"/>
                <w:spacing w:val="-2"/>
                <w:highlight w:val="none"/>
              </w:rPr>
              <w:t>高分子防水卷（片）</w:t>
            </w:r>
            <w:r>
              <w:rPr>
                <w:color w:val="auto"/>
                <w:highlight w:val="none"/>
              </w:rPr>
              <w:t xml:space="preserve"> 材</w:t>
            </w:r>
          </w:p>
        </w:tc>
        <w:tc>
          <w:tcPr>
            <w:tcW w:w="2248" w:type="dxa"/>
            <w:vAlign w:val="top"/>
          </w:tcPr>
          <w:p w14:paraId="16190BED">
            <w:pPr>
              <w:rPr>
                <w:rFonts w:ascii="Arial"/>
                <w:color w:val="auto"/>
                <w:sz w:val="21"/>
                <w:highlight w:val="none"/>
              </w:rPr>
            </w:pPr>
          </w:p>
        </w:tc>
        <w:tc>
          <w:tcPr>
            <w:tcW w:w="3543" w:type="dxa"/>
            <w:vAlign w:val="top"/>
          </w:tcPr>
          <w:p w14:paraId="76CBE2B5">
            <w:pPr>
              <w:pStyle w:val="212"/>
              <w:spacing w:before="66" w:line="219" w:lineRule="auto"/>
              <w:ind w:left="109"/>
              <w:rPr>
                <w:color w:val="auto"/>
                <w:highlight w:val="none"/>
              </w:rPr>
            </w:pPr>
            <w:r>
              <w:rPr>
                <w:color w:val="auto"/>
                <w:spacing w:val="-2"/>
                <w:highlight w:val="none"/>
              </w:rPr>
              <w:t>HJ455</w:t>
            </w:r>
            <w:r>
              <w:rPr>
                <w:color w:val="auto"/>
                <w:spacing w:val="-25"/>
                <w:highlight w:val="none"/>
              </w:rPr>
              <w:t xml:space="preserve"> </w:t>
            </w:r>
            <w:r>
              <w:rPr>
                <w:color w:val="auto"/>
                <w:spacing w:val="-2"/>
                <w:highlight w:val="none"/>
              </w:rPr>
              <w:t>防水卷材</w:t>
            </w:r>
          </w:p>
        </w:tc>
      </w:tr>
      <w:tr w14:paraId="09FB8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vAlign w:val="top"/>
          </w:tcPr>
          <w:p w14:paraId="4E29A8C3">
            <w:pPr>
              <w:pStyle w:val="212"/>
              <w:spacing w:before="67"/>
              <w:ind w:left="114"/>
              <w:rPr>
                <w:color w:val="auto"/>
                <w:highlight w:val="none"/>
              </w:rPr>
            </w:pPr>
            <w:r>
              <w:rPr>
                <w:color w:val="auto"/>
                <w:spacing w:val="-3"/>
                <w:highlight w:val="none"/>
              </w:rPr>
              <w:t>40</w:t>
            </w:r>
          </w:p>
        </w:tc>
        <w:tc>
          <w:tcPr>
            <w:tcW w:w="1542" w:type="dxa"/>
            <w:vMerge w:val="restart"/>
            <w:tcBorders>
              <w:bottom w:val="nil"/>
            </w:tcBorders>
            <w:vAlign w:val="top"/>
          </w:tcPr>
          <w:p w14:paraId="5FD779D4">
            <w:pPr>
              <w:pStyle w:val="212"/>
              <w:spacing w:before="66" w:line="322" w:lineRule="auto"/>
              <w:ind w:left="106" w:right="106" w:hanging="4"/>
              <w:jc w:val="both"/>
              <w:rPr>
                <w:color w:val="auto"/>
                <w:highlight w:val="none"/>
              </w:rPr>
            </w:pPr>
            <w:r>
              <w:rPr>
                <w:color w:val="auto"/>
                <w:spacing w:val="-8"/>
                <w:highlight w:val="none"/>
              </w:rPr>
              <w:t>A100310</w:t>
            </w:r>
            <w:r>
              <w:rPr>
                <w:color w:val="auto"/>
                <w:spacing w:val="-25"/>
                <w:highlight w:val="none"/>
              </w:rPr>
              <w:t xml:space="preserve"> </w:t>
            </w:r>
            <w:r>
              <w:rPr>
                <w:color w:val="auto"/>
                <w:spacing w:val="-8"/>
                <w:highlight w:val="none"/>
              </w:rPr>
              <w:t>隔热、隔</w:t>
            </w:r>
            <w:r>
              <w:rPr>
                <w:color w:val="auto"/>
                <w:highlight w:val="none"/>
              </w:rPr>
              <w:t xml:space="preserve"> </w:t>
            </w:r>
            <w:r>
              <w:rPr>
                <w:color w:val="auto"/>
                <w:spacing w:val="9"/>
                <w:highlight w:val="none"/>
              </w:rPr>
              <w:t>音人造矿物材料</w:t>
            </w:r>
            <w:r>
              <w:rPr>
                <w:color w:val="auto"/>
                <w:highlight w:val="none"/>
              </w:rPr>
              <w:t xml:space="preserve"> </w:t>
            </w:r>
            <w:r>
              <w:rPr>
                <w:color w:val="auto"/>
                <w:spacing w:val="-2"/>
                <w:highlight w:val="none"/>
              </w:rPr>
              <w:t>及其制品</w:t>
            </w:r>
          </w:p>
        </w:tc>
        <w:tc>
          <w:tcPr>
            <w:tcW w:w="2672" w:type="dxa"/>
            <w:vAlign w:val="top"/>
          </w:tcPr>
          <w:p w14:paraId="468631AB">
            <w:pPr>
              <w:pStyle w:val="212"/>
              <w:spacing w:before="68" w:line="282" w:lineRule="auto"/>
              <w:ind w:left="108" w:right="107" w:hanging="5"/>
              <w:rPr>
                <w:color w:val="auto"/>
                <w:highlight w:val="none"/>
              </w:rPr>
            </w:pPr>
            <w:r>
              <w:rPr>
                <w:color w:val="auto"/>
                <w:spacing w:val="6"/>
                <w:highlight w:val="none"/>
              </w:rPr>
              <w:t>A10031001 矿物绝热和吸声材</w:t>
            </w:r>
            <w:r>
              <w:rPr>
                <w:color w:val="auto"/>
                <w:spacing w:val="7"/>
                <w:highlight w:val="none"/>
              </w:rPr>
              <w:t xml:space="preserve"> </w:t>
            </w:r>
            <w:r>
              <w:rPr>
                <w:color w:val="auto"/>
                <w:highlight w:val="none"/>
              </w:rPr>
              <w:t>料</w:t>
            </w:r>
          </w:p>
        </w:tc>
        <w:tc>
          <w:tcPr>
            <w:tcW w:w="2248" w:type="dxa"/>
            <w:vAlign w:val="top"/>
          </w:tcPr>
          <w:p w14:paraId="3DCB54C4">
            <w:pPr>
              <w:rPr>
                <w:rFonts w:ascii="Arial"/>
                <w:color w:val="auto"/>
                <w:sz w:val="21"/>
                <w:highlight w:val="none"/>
              </w:rPr>
            </w:pPr>
          </w:p>
        </w:tc>
        <w:tc>
          <w:tcPr>
            <w:tcW w:w="3543" w:type="dxa"/>
            <w:vAlign w:val="top"/>
          </w:tcPr>
          <w:p w14:paraId="555281C6">
            <w:pPr>
              <w:pStyle w:val="212"/>
              <w:spacing w:before="67"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204D2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4506CB00">
            <w:pPr>
              <w:rPr>
                <w:rFonts w:ascii="Arial"/>
                <w:color w:val="auto"/>
                <w:sz w:val="21"/>
                <w:highlight w:val="none"/>
              </w:rPr>
            </w:pPr>
          </w:p>
        </w:tc>
        <w:tc>
          <w:tcPr>
            <w:tcW w:w="1542" w:type="dxa"/>
            <w:vMerge w:val="continue"/>
            <w:tcBorders>
              <w:top w:val="nil"/>
            </w:tcBorders>
            <w:vAlign w:val="top"/>
          </w:tcPr>
          <w:p w14:paraId="0BFE09A1">
            <w:pPr>
              <w:rPr>
                <w:rFonts w:ascii="Arial"/>
                <w:color w:val="auto"/>
                <w:sz w:val="21"/>
                <w:highlight w:val="none"/>
              </w:rPr>
            </w:pPr>
          </w:p>
        </w:tc>
        <w:tc>
          <w:tcPr>
            <w:tcW w:w="2672" w:type="dxa"/>
            <w:vAlign w:val="top"/>
          </w:tcPr>
          <w:p w14:paraId="12B704B3">
            <w:pPr>
              <w:pStyle w:val="212"/>
              <w:spacing w:before="68" w:line="219" w:lineRule="auto"/>
              <w:ind w:left="103"/>
              <w:rPr>
                <w:color w:val="auto"/>
                <w:highlight w:val="none"/>
              </w:rPr>
            </w:pPr>
            <w:r>
              <w:rPr>
                <w:color w:val="auto"/>
                <w:spacing w:val="-1"/>
                <w:highlight w:val="none"/>
              </w:rPr>
              <w:t>A10031002</w:t>
            </w:r>
            <w:r>
              <w:rPr>
                <w:color w:val="auto"/>
                <w:spacing w:val="-30"/>
                <w:highlight w:val="none"/>
              </w:rPr>
              <w:t xml:space="preserve"> </w:t>
            </w:r>
            <w:r>
              <w:rPr>
                <w:color w:val="auto"/>
                <w:spacing w:val="-1"/>
                <w:highlight w:val="none"/>
              </w:rPr>
              <w:t>矿物材料制品</w:t>
            </w:r>
          </w:p>
        </w:tc>
        <w:tc>
          <w:tcPr>
            <w:tcW w:w="2248" w:type="dxa"/>
            <w:vAlign w:val="top"/>
          </w:tcPr>
          <w:p w14:paraId="6D93CCD9">
            <w:pPr>
              <w:rPr>
                <w:rFonts w:ascii="Arial"/>
                <w:color w:val="auto"/>
                <w:sz w:val="21"/>
                <w:highlight w:val="none"/>
              </w:rPr>
            </w:pPr>
          </w:p>
        </w:tc>
        <w:tc>
          <w:tcPr>
            <w:tcW w:w="3543" w:type="dxa"/>
            <w:vAlign w:val="top"/>
          </w:tcPr>
          <w:p w14:paraId="5BBF2B41">
            <w:pPr>
              <w:pStyle w:val="212"/>
              <w:spacing w:before="67"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300A5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Borders>
              <w:bottom w:val="single" w:color="auto" w:sz="4" w:space="0"/>
            </w:tcBorders>
            <w:vAlign w:val="top"/>
          </w:tcPr>
          <w:p w14:paraId="4B814E34">
            <w:pPr>
              <w:pStyle w:val="212"/>
              <w:spacing w:before="67" w:line="242" w:lineRule="auto"/>
              <w:ind w:left="114"/>
              <w:rPr>
                <w:color w:val="auto"/>
                <w:highlight w:val="none"/>
              </w:rPr>
            </w:pPr>
            <w:r>
              <w:rPr>
                <w:color w:val="auto"/>
                <w:spacing w:val="-3"/>
                <w:highlight w:val="none"/>
              </w:rPr>
              <w:t>41</w:t>
            </w:r>
          </w:p>
        </w:tc>
        <w:tc>
          <w:tcPr>
            <w:tcW w:w="1542" w:type="dxa"/>
            <w:tcBorders>
              <w:bottom w:val="single" w:color="auto" w:sz="4" w:space="0"/>
            </w:tcBorders>
            <w:vAlign w:val="top"/>
          </w:tcPr>
          <w:p w14:paraId="183DF2DF">
            <w:pPr>
              <w:pStyle w:val="212"/>
              <w:spacing w:before="68" w:line="282" w:lineRule="auto"/>
              <w:ind w:left="109" w:right="108" w:hanging="7"/>
              <w:rPr>
                <w:color w:val="auto"/>
                <w:highlight w:val="none"/>
              </w:rPr>
            </w:pPr>
            <w:r>
              <w:rPr>
                <w:color w:val="auto"/>
                <w:spacing w:val="3"/>
                <w:highlight w:val="none"/>
              </w:rPr>
              <w:t>A100601</w:t>
            </w:r>
            <w:r>
              <w:rPr>
                <w:color w:val="auto"/>
                <w:spacing w:val="34"/>
                <w:highlight w:val="none"/>
              </w:rPr>
              <w:t xml:space="preserve"> </w:t>
            </w:r>
            <w:r>
              <w:rPr>
                <w:color w:val="auto"/>
                <w:spacing w:val="3"/>
                <w:highlight w:val="none"/>
              </w:rPr>
              <w:t>功能性</w:t>
            </w:r>
            <w:r>
              <w:rPr>
                <w:color w:val="auto"/>
                <w:highlight w:val="none"/>
              </w:rPr>
              <w:t xml:space="preserve"> </w:t>
            </w:r>
            <w:r>
              <w:rPr>
                <w:color w:val="auto"/>
                <w:spacing w:val="-2"/>
                <w:highlight w:val="none"/>
              </w:rPr>
              <w:t>建筑涂料</w:t>
            </w:r>
          </w:p>
        </w:tc>
        <w:tc>
          <w:tcPr>
            <w:tcW w:w="2672" w:type="dxa"/>
            <w:tcBorders>
              <w:bottom w:val="single" w:color="auto" w:sz="4" w:space="0"/>
            </w:tcBorders>
            <w:vAlign w:val="top"/>
          </w:tcPr>
          <w:p w14:paraId="34BCC6D5">
            <w:pPr>
              <w:rPr>
                <w:rFonts w:ascii="Arial"/>
                <w:color w:val="auto"/>
                <w:sz w:val="21"/>
                <w:highlight w:val="none"/>
              </w:rPr>
            </w:pPr>
          </w:p>
        </w:tc>
        <w:tc>
          <w:tcPr>
            <w:tcW w:w="2248" w:type="dxa"/>
            <w:tcBorders>
              <w:bottom w:val="single" w:color="auto" w:sz="4" w:space="0"/>
            </w:tcBorders>
            <w:vAlign w:val="top"/>
          </w:tcPr>
          <w:p w14:paraId="1681F88E">
            <w:pPr>
              <w:rPr>
                <w:rFonts w:ascii="Arial"/>
                <w:color w:val="auto"/>
                <w:sz w:val="21"/>
                <w:highlight w:val="none"/>
              </w:rPr>
            </w:pPr>
          </w:p>
        </w:tc>
        <w:tc>
          <w:tcPr>
            <w:tcW w:w="3543" w:type="dxa"/>
            <w:vAlign w:val="top"/>
          </w:tcPr>
          <w:p w14:paraId="3B8744EF">
            <w:pPr>
              <w:pStyle w:val="212"/>
              <w:spacing w:before="67"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4C244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Borders>
              <w:top w:val="single" w:color="auto" w:sz="4" w:space="0"/>
              <w:left w:val="single" w:color="auto" w:sz="4" w:space="0"/>
              <w:bottom w:val="single" w:color="auto" w:sz="4" w:space="0"/>
              <w:right w:val="single" w:color="auto" w:sz="4" w:space="0"/>
            </w:tcBorders>
            <w:vAlign w:val="top"/>
          </w:tcPr>
          <w:p w14:paraId="33954CF3">
            <w:pPr>
              <w:pStyle w:val="212"/>
              <w:spacing w:before="68" w:line="242" w:lineRule="auto"/>
              <w:ind w:left="114"/>
              <w:rPr>
                <w:color w:val="auto"/>
                <w:highlight w:val="none"/>
              </w:rPr>
            </w:pPr>
            <w:r>
              <w:rPr>
                <w:color w:val="auto"/>
                <w:spacing w:val="-3"/>
                <w:highlight w:val="none"/>
              </w:rPr>
              <w:t>42</w:t>
            </w:r>
          </w:p>
        </w:tc>
        <w:tc>
          <w:tcPr>
            <w:tcW w:w="1542" w:type="dxa"/>
            <w:tcBorders>
              <w:top w:val="single" w:color="auto" w:sz="4" w:space="0"/>
              <w:left w:val="single" w:color="auto" w:sz="4" w:space="0"/>
              <w:bottom w:val="single" w:color="auto" w:sz="4" w:space="0"/>
              <w:right w:val="single" w:color="auto" w:sz="4" w:space="0"/>
            </w:tcBorders>
            <w:vAlign w:val="top"/>
          </w:tcPr>
          <w:p w14:paraId="2F647228">
            <w:pPr>
              <w:pStyle w:val="212"/>
              <w:spacing w:before="69" w:line="284" w:lineRule="auto"/>
              <w:ind w:left="109" w:right="106" w:firstLine="84"/>
              <w:rPr>
                <w:color w:val="auto"/>
                <w:highlight w:val="none"/>
              </w:rPr>
            </w:pPr>
            <w:r>
              <w:rPr>
                <w:color w:val="auto"/>
                <w:spacing w:val="-1"/>
                <w:highlight w:val="none"/>
              </w:rPr>
              <w:t>A100399</w:t>
            </w:r>
            <w:r>
              <w:rPr>
                <w:color w:val="auto"/>
                <w:spacing w:val="-15"/>
                <w:highlight w:val="none"/>
              </w:rPr>
              <w:t xml:space="preserve"> </w:t>
            </w:r>
            <w:r>
              <w:rPr>
                <w:color w:val="auto"/>
                <w:spacing w:val="-1"/>
                <w:highlight w:val="none"/>
              </w:rPr>
              <w:t>其他非</w:t>
            </w:r>
            <w:r>
              <w:rPr>
                <w:color w:val="auto"/>
                <w:spacing w:val="-2"/>
                <w:highlight w:val="none"/>
              </w:rPr>
              <w:t>金属矿物制品</w:t>
            </w:r>
          </w:p>
        </w:tc>
        <w:tc>
          <w:tcPr>
            <w:tcW w:w="2672" w:type="dxa"/>
            <w:tcBorders>
              <w:top w:val="single" w:color="auto" w:sz="4" w:space="0"/>
              <w:left w:val="single" w:color="auto" w:sz="4" w:space="0"/>
              <w:bottom w:val="single" w:color="auto" w:sz="4" w:space="0"/>
              <w:right w:val="single" w:color="auto" w:sz="4" w:space="0"/>
            </w:tcBorders>
            <w:vAlign w:val="top"/>
          </w:tcPr>
          <w:p w14:paraId="79B5FD95">
            <w:pPr>
              <w:pStyle w:val="212"/>
              <w:spacing w:before="68" w:line="219" w:lineRule="auto"/>
              <w:ind w:left="103"/>
              <w:rPr>
                <w:color w:val="auto"/>
                <w:highlight w:val="none"/>
              </w:rPr>
            </w:pPr>
            <w:r>
              <w:rPr>
                <w:color w:val="auto"/>
                <w:spacing w:val="-1"/>
                <w:highlight w:val="none"/>
              </w:rPr>
              <w:t>A10039901</w:t>
            </w:r>
            <w:r>
              <w:rPr>
                <w:color w:val="auto"/>
                <w:spacing w:val="-45"/>
                <w:highlight w:val="none"/>
              </w:rPr>
              <w:t xml:space="preserve"> </w:t>
            </w:r>
            <w:r>
              <w:rPr>
                <w:color w:val="auto"/>
                <w:spacing w:val="-1"/>
                <w:highlight w:val="none"/>
              </w:rPr>
              <w:t>其他非金属建筑材料</w:t>
            </w:r>
          </w:p>
        </w:tc>
        <w:tc>
          <w:tcPr>
            <w:tcW w:w="2248" w:type="dxa"/>
            <w:tcBorders>
              <w:top w:val="single" w:color="auto" w:sz="4" w:space="0"/>
              <w:left w:val="single" w:color="auto" w:sz="4" w:space="0"/>
              <w:bottom w:val="single" w:color="auto" w:sz="4" w:space="0"/>
              <w:right w:val="single" w:color="auto" w:sz="4" w:space="0"/>
            </w:tcBorders>
            <w:vAlign w:val="top"/>
          </w:tcPr>
          <w:p w14:paraId="183E04E1">
            <w:pPr>
              <w:rPr>
                <w:rFonts w:ascii="Arial"/>
                <w:color w:val="auto"/>
                <w:sz w:val="21"/>
                <w:highlight w:val="none"/>
              </w:rPr>
            </w:pPr>
          </w:p>
        </w:tc>
        <w:tc>
          <w:tcPr>
            <w:tcW w:w="3543" w:type="dxa"/>
            <w:tcBorders>
              <w:left w:val="single" w:color="auto" w:sz="4" w:space="0"/>
            </w:tcBorders>
            <w:vAlign w:val="top"/>
          </w:tcPr>
          <w:p w14:paraId="7B485066">
            <w:pPr>
              <w:pStyle w:val="212"/>
              <w:spacing w:before="68" w:line="219" w:lineRule="auto"/>
              <w:ind w:left="109"/>
              <w:rPr>
                <w:color w:val="auto"/>
                <w:highlight w:val="none"/>
              </w:rPr>
            </w:pPr>
            <w:r>
              <w:rPr>
                <w:color w:val="auto"/>
                <w:spacing w:val="-2"/>
                <w:highlight w:val="none"/>
              </w:rPr>
              <w:t>HJ456</w:t>
            </w:r>
            <w:r>
              <w:rPr>
                <w:color w:val="auto"/>
                <w:spacing w:val="-23"/>
                <w:highlight w:val="none"/>
              </w:rPr>
              <w:t xml:space="preserve"> </w:t>
            </w:r>
            <w:r>
              <w:rPr>
                <w:color w:val="auto"/>
                <w:spacing w:val="-2"/>
                <w:highlight w:val="none"/>
              </w:rPr>
              <w:t>刚性防水材料</w:t>
            </w:r>
          </w:p>
        </w:tc>
      </w:tr>
      <w:tr w14:paraId="3FF8E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Merge w:val="restart"/>
            <w:tcBorders>
              <w:top w:val="single" w:color="auto" w:sz="4" w:space="0"/>
              <w:left w:val="single" w:color="auto" w:sz="4" w:space="0"/>
              <w:bottom w:val="single" w:color="auto" w:sz="4" w:space="0"/>
              <w:right w:val="single" w:color="auto" w:sz="4" w:space="0"/>
            </w:tcBorders>
            <w:vAlign w:val="top"/>
          </w:tcPr>
          <w:p w14:paraId="10207C1A">
            <w:pPr>
              <w:pStyle w:val="212"/>
              <w:spacing w:before="68"/>
              <w:ind w:left="114"/>
              <w:rPr>
                <w:color w:val="auto"/>
                <w:highlight w:val="none"/>
              </w:rPr>
            </w:pPr>
            <w:r>
              <w:rPr>
                <w:color w:val="auto"/>
                <w:spacing w:val="-3"/>
                <w:highlight w:val="none"/>
              </w:rPr>
              <w:t>43</w:t>
            </w:r>
          </w:p>
        </w:tc>
        <w:tc>
          <w:tcPr>
            <w:tcW w:w="1542" w:type="dxa"/>
            <w:vMerge w:val="restart"/>
            <w:tcBorders>
              <w:top w:val="single" w:color="auto" w:sz="4" w:space="0"/>
              <w:left w:val="single" w:color="auto" w:sz="4" w:space="0"/>
              <w:bottom w:val="single" w:color="auto" w:sz="4" w:space="0"/>
              <w:right w:val="single" w:color="auto" w:sz="4" w:space="0"/>
            </w:tcBorders>
            <w:vAlign w:val="top"/>
          </w:tcPr>
          <w:p w14:paraId="5EB07ED6">
            <w:pPr>
              <w:pStyle w:val="212"/>
              <w:spacing w:before="67" w:line="323" w:lineRule="auto"/>
              <w:ind w:left="107" w:right="108" w:hanging="5"/>
              <w:rPr>
                <w:color w:val="auto"/>
                <w:highlight w:val="none"/>
              </w:rPr>
            </w:pPr>
            <w:r>
              <w:rPr>
                <w:color w:val="auto"/>
                <w:spacing w:val="3"/>
                <w:highlight w:val="none"/>
              </w:rPr>
              <w:t>A100602</w:t>
            </w:r>
            <w:r>
              <w:rPr>
                <w:color w:val="auto"/>
                <w:spacing w:val="34"/>
                <w:highlight w:val="none"/>
              </w:rPr>
              <w:t xml:space="preserve"> </w:t>
            </w:r>
            <w:r>
              <w:rPr>
                <w:color w:val="auto"/>
                <w:spacing w:val="3"/>
                <w:highlight w:val="none"/>
              </w:rPr>
              <w:t>墙面涂</w:t>
            </w:r>
            <w:r>
              <w:rPr>
                <w:color w:val="auto"/>
                <w:highlight w:val="none"/>
              </w:rPr>
              <w:t xml:space="preserve"> 料</w:t>
            </w:r>
          </w:p>
        </w:tc>
        <w:tc>
          <w:tcPr>
            <w:tcW w:w="2672" w:type="dxa"/>
            <w:tcBorders>
              <w:top w:val="single" w:color="auto" w:sz="4" w:space="0"/>
              <w:left w:val="single" w:color="auto" w:sz="4" w:space="0"/>
              <w:bottom w:val="single" w:color="auto" w:sz="4" w:space="0"/>
              <w:right w:val="single" w:color="auto" w:sz="4" w:space="0"/>
            </w:tcBorders>
            <w:vAlign w:val="top"/>
          </w:tcPr>
          <w:p w14:paraId="30381269">
            <w:pPr>
              <w:pStyle w:val="212"/>
              <w:spacing w:before="69" w:line="284" w:lineRule="auto"/>
              <w:ind w:left="108" w:right="107" w:hanging="5"/>
              <w:rPr>
                <w:color w:val="auto"/>
                <w:highlight w:val="none"/>
              </w:rPr>
            </w:pPr>
            <w:r>
              <w:rPr>
                <w:color w:val="auto"/>
                <w:spacing w:val="-1"/>
                <w:highlight w:val="none"/>
              </w:rPr>
              <w:t>A10060202</w:t>
            </w:r>
            <w:r>
              <w:rPr>
                <w:color w:val="auto"/>
                <w:spacing w:val="-47"/>
                <w:highlight w:val="none"/>
              </w:rPr>
              <w:t xml:space="preserve"> </w:t>
            </w:r>
            <w:r>
              <w:rPr>
                <w:color w:val="auto"/>
                <w:spacing w:val="-1"/>
                <w:highlight w:val="none"/>
              </w:rPr>
              <w:t>合成树脂乳液内墙涂</w:t>
            </w:r>
            <w:r>
              <w:rPr>
                <w:color w:val="auto"/>
                <w:highlight w:val="none"/>
              </w:rPr>
              <w:t xml:space="preserve"> 料</w:t>
            </w:r>
          </w:p>
        </w:tc>
        <w:tc>
          <w:tcPr>
            <w:tcW w:w="2248" w:type="dxa"/>
            <w:tcBorders>
              <w:top w:val="single" w:color="auto" w:sz="4" w:space="0"/>
              <w:left w:val="single" w:color="auto" w:sz="4" w:space="0"/>
              <w:bottom w:val="single" w:color="auto" w:sz="4" w:space="0"/>
              <w:right w:val="single" w:color="auto" w:sz="4" w:space="0"/>
            </w:tcBorders>
            <w:vAlign w:val="top"/>
          </w:tcPr>
          <w:p w14:paraId="72A47172">
            <w:pPr>
              <w:rPr>
                <w:rFonts w:ascii="Arial"/>
                <w:color w:val="auto"/>
                <w:sz w:val="21"/>
                <w:highlight w:val="none"/>
              </w:rPr>
            </w:pPr>
          </w:p>
        </w:tc>
        <w:tc>
          <w:tcPr>
            <w:tcW w:w="3543" w:type="dxa"/>
            <w:tcBorders>
              <w:left w:val="single" w:color="auto" w:sz="4" w:space="0"/>
            </w:tcBorders>
            <w:vAlign w:val="top"/>
          </w:tcPr>
          <w:p w14:paraId="563BAD7D">
            <w:pPr>
              <w:pStyle w:val="212"/>
              <w:spacing w:before="67"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316C0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4D66BD2A">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7A52635C">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49AAA4F8">
            <w:pPr>
              <w:pStyle w:val="212"/>
              <w:spacing w:before="64" w:line="284" w:lineRule="auto"/>
              <w:ind w:left="108" w:right="107" w:hanging="5"/>
              <w:rPr>
                <w:color w:val="auto"/>
                <w:highlight w:val="none"/>
              </w:rPr>
            </w:pPr>
            <w:r>
              <w:rPr>
                <w:color w:val="auto"/>
                <w:spacing w:val="-1"/>
                <w:highlight w:val="none"/>
              </w:rPr>
              <w:t>A10060203</w:t>
            </w:r>
            <w:r>
              <w:rPr>
                <w:color w:val="auto"/>
                <w:spacing w:val="-47"/>
                <w:highlight w:val="none"/>
              </w:rPr>
              <w:t xml:space="preserve"> </w:t>
            </w:r>
            <w:r>
              <w:rPr>
                <w:color w:val="auto"/>
                <w:spacing w:val="-1"/>
                <w:highlight w:val="none"/>
              </w:rPr>
              <w:t>合成树脂乳液外墙涂</w:t>
            </w:r>
            <w:r>
              <w:rPr>
                <w:color w:val="auto"/>
                <w:highlight w:val="none"/>
              </w:rPr>
              <w:t xml:space="preserve"> 料</w:t>
            </w:r>
          </w:p>
        </w:tc>
        <w:tc>
          <w:tcPr>
            <w:tcW w:w="2248" w:type="dxa"/>
            <w:tcBorders>
              <w:top w:val="single" w:color="auto" w:sz="4" w:space="0"/>
              <w:left w:val="single" w:color="auto" w:sz="4" w:space="0"/>
              <w:bottom w:val="single" w:color="auto" w:sz="4" w:space="0"/>
              <w:right w:val="single" w:color="auto" w:sz="4" w:space="0"/>
            </w:tcBorders>
            <w:vAlign w:val="top"/>
          </w:tcPr>
          <w:p w14:paraId="78CE74D6">
            <w:pPr>
              <w:rPr>
                <w:rFonts w:ascii="Arial"/>
                <w:color w:val="auto"/>
                <w:sz w:val="21"/>
                <w:highlight w:val="none"/>
              </w:rPr>
            </w:pPr>
          </w:p>
        </w:tc>
        <w:tc>
          <w:tcPr>
            <w:tcW w:w="3543" w:type="dxa"/>
            <w:tcBorders>
              <w:left w:val="single" w:color="auto" w:sz="4" w:space="0"/>
            </w:tcBorders>
            <w:vAlign w:val="top"/>
          </w:tcPr>
          <w:p w14:paraId="6D61436D">
            <w:pPr>
              <w:pStyle w:val="212"/>
              <w:spacing w:before="63"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0F262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10101A8D">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0AAD2186">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4DF487A8">
            <w:pPr>
              <w:pStyle w:val="212"/>
              <w:spacing w:before="64" w:line="221" w:lineRule="auto"/>
              <w:ind w:left="103"/>
              <w:rPr>
                <w:color w:val="auto"/>
                <w:highlight w:val="none"/>
              </w:rPr>
            </w:pPr>
            <w:r>
              <w:rPr>
                <w:color w:val="auto"/>
                <w:spacing w:val="-1"/>
                <w:highlight w:val="none"/>
              </w:rPr>
              <w:t>A10060299</w:t>
            </w:r>
            <w:r>
              <w:rPr>
                <w:color w:val="auto"/>
                <w:spacing w:val="-30"/>
                <w:highlight w:val="none"/>
              </w:rPr>
              <w:t xml:space="preserve"> </w:t>
            </w:r>
            <w:r>
              <w:rPr>
                <w:color w:val="auto"/>
                <w:spacing w:val="-1"/>
                <w:highlight w:val="none"/>
              </w:rPr>
              <w:t>其他墙面涂料</w:t>
            </w:r>
          </w:p>
        </w:tc>
        <w:tc>
          <w:tcPr>
            <w:tcW w:w="2248" w:type="dxa"/>
            <w:tcBorders>
              <w:top w:val="single" w:color="auto" w:sz="4" w:space="0"/>
              <w:left w:val="single" w:color="auto" w:sz="4" w:space="0"/>
              <w:bottom w:val="single" w:color="auto" w:sz="4" w:space="0"/>
              <w:right w:val="single" w:color="auto" w:sz="4" w:space="0"/>
            </w:tcBorders>
            <w:vAlign w:val="top"/>
          </w:tcPr>
          <w:p w14:paraId="64F1E019">
            <w:pPr>
              <w:rPr>
                <w:rFonts w:ascii="Arial"/>
                <w:color w:val="auto"/>
                <w:sz w:val="21"/>
                <w:highlight w:val="none"/>
              </w:rPr>
            </w:pPr>
          </w:p>
        </w:tc>
        <w:tc>
          <w:tcPr>
            <w:tcW w:w="3543" w:type="dxa"/>
            <w:tcBorders>
              <w:left w:val="single" w:color="auto" w:sz="4" w:space="0"/>
            </w:tcBorders>
            <w:vAlign w:val="top"/>
          </w:tcPr>
          <w:p w14:paraId="426BA902">
            <w:pPr>
              <w:pStyle w:val="212"/>
              <w:spacing w:before="64"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768D3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Borders>
              <w:top w:val="single" w:color="auto" w:sz="4" w:space="0"/>
            </w:tcBorders>
            <w:vAlign w:val="top"/>
          </w:tcPr>
          <w:p w14:paraId="7EB7582E">
            <w:pPr>
              <w:pStyle w:val="212"/>
              <w:spacing w:before="65" w:line="242" w:lineRule="auto"/>
              <w:ind w:left="114"/>
              <w:rPr>
                <w:color w:val="auto"/>
                <w:highlight w:val="none"/>
              </w:rPr>
            </w:pPr>
            <w:r>
              <w:rPr>
                <w:color w:val="auto"/>
                <w:spacing w:val="-3"/>
                <w:highlight w:val="none"/>
              </w:rPr>
              <w:t>44</w:t>
            </w:r>
          </w:p>
        </w:tc>
        <w:tc>
          <w:tcPr>
            <w:tcW w:w="1542" w:type="dxa"/>
            <w:tcBorders>
              <w:top w:val="single" w:color="auto" w:sz="4" w:space="0"/>
            </w:tcBorders>
            <w:vAlign w:val="top"/>
          </w:tcPr>
          <w:p w14:paraId="7481B57C">
            <w:pPr>
              <w:pStyle w:val="212"/>
              <w:spacing w:before="66" w:line="283" w:lineRule="auto"/>
              <w:ind w:left="107" w:right="108" w:hanging="5"/>
              <w:rPr>
                <w:color w:val="auto"/>
                <w:highlight w:val="none"/>
              </w:rPr>
            </w:pPr>
            <w:r>
              <w:rPr>
                <w:color w:val="auto"/>
                <w:spacing w:val="2"/>
                <w:highlight w:val="none"/>
              </w:rPr>
              <w:t>A100604</w:t>
            </w:r>
            <w:r>
              <w:rPr>
                <w:color w:val="auto"/>
                <w:spacing w:val="44"/>
                <w:highlight w:val="none"/>
              </w:rPr>
              <w:t xml:space="preserve"> </w:t>
            </w:r>
            <w:r>
              <w:rPr>
                <w:color w:val="auto"/>
                <w:spacing w:val="2"/>
                <w:highlight w:val="none"/>
              </w:rPr>
              <w:t>防水涂</w:t>
            </w:r>
            <w:r>
              <w:rPr>
                <w:color w:val="auto"/>
                <w:highlight w:val="none"/>
              </w:rPr>
              <w:t xml:space="preserve"> 料</w:t>
            </w:r>
          </w:p>
        </w:tc>
        <w:tc>
          <w:tcPr>
            <w:tcW w:w="2672" w:type="dxa"/>
            <w:tcBorders>
              <w:top w:val="single" w:color="auto" w:sz="4" w:space="0"/>
            </w:tcBorders>
            <w:vAlign w:val="top"/>
          </w:tcPr>
          <w:p w14:paraId="535DF1A2">
            <w:pPr>
              <w:pStyle w:val="212"/>
              <w:spacing w:before="65" w:line="220" w:lineRule="auto"/>
              <w:ind w:left="103"/>
              <w:rPr>
                <w:color w:val="auto"/>
                <w:highlight w:val="none"/>
              </w:rPr>
            </w:pPr>
            <w:r>
              <w:rPr>
                <w:color w:val="auto"/>
                <w:spacing w:val="-1"/>
                <w:highlight w:val="none"/>
              </w:rPr>
              <w:t>A10060499</w:t>
            </w:r>
            <w:r>
              <w:rPr>
                <w:color w:val="auto"/>
                <w:spacing w:val="-30"/>
                <w:highlight w:val="none"/>
              </w:rPr>
              <w:t xml:space="preserve"> </w:t>
            </w:r>
            <w:r>
              <w:rPr>
                <w:color w:val="auto"/>
                <w:spacing w:val="-1"/>
                <w:highlight w:val="none"/>
              </w:rPr>
              <w:t>其他防水涂料</w:t>
            </w:r>
          </w:p>
        </w:tc>
        <w:tc>
          <w:tcPr>
            <w:tcW w:w="2248" w:type="dxa"/>
            <w:tcBorders>
              <w:top w:val="single" w:color="auto" w:sz="4" w:space="0"/>
            </w:tcBorders>
            <w:vAlign w:val="top"/>
          </w:tcPr>
          <w:p w14:paraId="1855E2A6">
            <w:pPr>
              <w:rPr>
                <w:rFonts w:ascii="Arial"/>
                <w:color w:val="auto"/>
                <w:sz w:val="21"/>
                <w:highlight w:val="none"/>
              </w:rPr>
            </w:pPr>
          </w:p>
        </w:tc>
        <w:tc>
          <w:tcPr>
            <w:tcW w:w="3543" w:type="dxa"/>
            <w:vAlign w:val="top"/>
          </w:tcPr>
          <w:p w14:paraId="1C6CE9A5">
            <w:pPr>
              <w:pStyle w:val="212"/>
              <w:spacing w:before="65"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632B5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743A4B4D">
            <w:pPr>
              <w:pStyle w:val="212"/>
              <w:spacing w:before="66"/>
              <w:ind w:left="114"/>
              <w:rPr>
                <w:color w:val="auto"/>
                <w:highlight w:val="none"/>
              </w:rPr>
            </w:pPr>
            <w:r>
              <w:rPr>
                <w:color w:val="auto"/>
                <w:spacing w:val="-3"/>
                <w:highlight w:val="none"/>
              </w:rPr>
              <w:t>45</w:t>
            </w:r>
          </w:p>
        </w:tc>
        <w:tc>
          <w:tcPr>
            <w:tcW w:w="1542" w:type="dxa"/>
            <w:vAlign w:val="top"/>
          </w:tcPr>
          <w:p w14:paraId="35C9BC36">
            <w:pPr>
              <w:pStyle w:val="212"/>
              <w:spacing w:before="66" w:line="283" w:lineRule="auto"/>
              <w:ind w:left="109" w:right="108" w:hanging="7"/>
              <w:rPr>
                <w:color w:val="auto"/>
                <w:highlight w:val="none"/>
              </w:rPr>
            </w:pPr>
            <w:r>
              <w:rPr>
                <w:color w:val="auto"/>
                <w:spacing w:val="3"/>
                <w:highlight w:val="none"/>
              </w:rPr>
              <w:t>A100699</w:t>
            </w:r>
            <w:r>
              <w:rPr>
                <w:color w:val="auto"/>
                <w:spacing w:val="34"/>
                <w:highlight w:val="none"/>
              </w:rPr>
              <w:t xml:space="preserve"> </w:t>
            </w:r>
            <w:r>
              <w:rPr>
                <w:color w:val="auto"/>
                <w:spacing w:val="3"/>
                <w:highlight w:val="none"/>
              </w:rPr>
              <w:t>其他建</w:t>
            </w:r>
            <w:r>
              <w:rPr>
                <w:color w:val="auto"/>
                <w:highlight w:val="none"/>
              </w:rPr>
              <w:t xml:space="preserve"> </w:t>
            </w:r>
            <w:r>
              <w:rPr>
                <w:color w:val="auto"/>
                <w:spacing w:val="-2"/>
                <w:highlight w:val="none"/>
              </w:rPr>
              <w:t>筑涂料</w:t>
            </w:r>
          </w:p>
        </w:tc>
        <w:tc>
          <w:tcPr>
            <w:tcW w:w="2672" w:type="dxa"/>
            <w:vAlign w:val="top"/>
          </w:tcPr>
          <w:p w14:paraId="23D38720">
            <w:pPr>
              <w:rPr>
                <w:rFonts w:ascii="Arial"/>
                <w:color w:val="auto"/>
                <w:sz w:val="21"/>
                <w:highlight w:val="none"/>
              </w:rPr>
            </w:pPr>
          </w:p>
        </w:tc>
        <w:tc>
          <w:tcPr>
            <w:tcW w:w="2248" w:type="dxa"/>
            <w:vAlign w:val="top"/>
          </w:tcPr>
          <w:p w14:paraId="0B70DE25">
            <w:pPr>
              <w:rPr>
                <w:rFonts w:ascii="Arial"/>
                <w:color w:val="auto"/>
                <w:sz w:val="21"/>
                <w:highlight w:val="none"/>
              </w:rPr>
            </w:pPr>
          </w:p>
        </w:tc>
        <w:tc>
          <w:tcPr>
            <w:tcW w:w="3543" w:type="dxa"/>
            <w:vAlign w:val="top"/>
          </w:tcPr>
          <w:p w14:paraId="660F1672">
            <w:pPr>
              <w:pStyle w:val="212"/>
              <w:spacing w:before="65"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38319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583" w:type="dxa"/>
            <w:vAlign w:val="top"/>
          </w:tcPr>
          <w:p w14:paraId="2F17EFB4">
            <w:pPr>
              <w:pStyle w:val="212"/>
              <w:spacing w:before="66"/>
              <w:ind w:left="114"/>
              <w:rPr>
                <w:color w:val="auto"/>
                <w:highlight w:val="none"/>
              </w:rPr>
            </w:pPr>
            <w:r>
              <w:rPr>
                <w:color w:val="auto"/>
                <w:spacing w:val="-3"/>
                <w:highlight w:val="none"/>
              </w:rPr>
              <w:t>46</w:t>
            </w:r>
          </w:p>
        </w:tc>
        <w:tc>
          <w:tcPr>
            <w:tcW w:w="1542" w:type="dxa"/>
            <w:vAlign w:val="top"/>
          </w:tcPr>
          <w:p w14:paraId="3F904A96">
            <w:pPr>
              <w:pStyle w:val="212"/>
              <w:spacing w:before="66" w:line="222" w:lineRule="auto"/>
              <w:ind w:left="102"/>
              <w:rPr>
                <w:color w:val="auto"/>
                <w:highlight w:val="none"/>
              </w:rPr>
            </w:pPr>
            <w:r>
              <w:rPr>
                <w:color w:val="auto"/>
                <w:spacing w:val="-8"/>
                <w:highlight w:val="none"/>
              </w:rPr>
              <w:t>A100701</w:t>
            </w:r>
            <w:r>
              <w:rPr>
                <w:color w:val="auto"/>
                <w:spacing w:val="-12"/>
                <w:highlight w:val="none"/>
              </w:rPr>
              <w:t xml:space="preserve"> </w:t>
            </w:r>
            <w:r>
              <w:rPr>
                <w:color w:val="auto"/>
                <w:spacing w:val="-8"/>
                <w:highlight w:val="none"/>
              </w:rPr>
              <w:t>门、门槛</w:t>
            </w:r>
          </w:p>
        </w:tc>
        <w:tc>
          <w:tcPr>
            <w:tcW w:w="2672" w:type="dxa"/>
            <w:vAlign w:val="top"/>
          </w:tcPr>
          <w:p w14:paraId="27EBC322">
            <w:pPr>
              <w:rPr>
                <w:rFonts w:ascii="Arial"/>
                <w:color w:val="auto"/>
                <w:sz w:val="21"/>
                <w:highlight w:val="none"/>
              </w:rPr>
            </w:pPr>
          </w:p>
        </w:tc>
        <w:tc>
          <w:tcPr>
            <w:tcW w:w="2248" w:type="dxa"/>
            <w:vAlign w:val="top"/>
          </w:tcPr>
          <w:p w14:paraId="5BDA538E">
            <w:pPr>
              <w:rPr>
                <w:rFonts w:ascii="Arial"/>
                <w:color w:val="auto"/>
                <w:sz w:val="21"/>
                <w:highlight w:val="none"/>
              </w:rPr>
            </w:pPr>
          </w:p>
        </w:tc>
        <w:tc>
          <w:tcPr>
            <w:tcW w:w="3543" w:type="dxa"/>
            <w:vAlign w:val="top"/>
          </w:tcPr>
          <w:p w14:paraId="2B02D3B7">
            <w:pPr>
              <w:pStyle w:val="212"/>
              <w:spacing w:before="66" w:line="219" w:lineRule="auto"/>
              <w:ind w:left="109"/>
              <w:rPr>
                <w:color w:val="auto"/>
                <w:highlight w:val="none"/>
              </w:rPr>
            </w:pPr>
            <w:r>
              <w:rPr>
                <w:color w:val="auto"/>
                <w:spacing w:val="-1"/>
                <w:highlight w:val="none"/>
              </w:rPr>
              <w:t>HJ/T 237</w:t>
            </w:r>
            <w:r>
              <w:rPr>
                <w:color w:val="auto"/>
                <w:spacing w:val="-32"/>
                <w:highlight w:val="none"/>
              </w:rPr>
              <w:t xml:space="preserve"> </w:t>
            </w:r>
            <w:r>
              <w:rPr>
                <w:color w:val="auto"/>
                <w:spacing w:val="-1"/>
                <w:highlight w:val="none"/>
              </w:rPr>
              <w:t>塑料门窗/HJ459</w:t>
            </w:r>
            <w:r>
              <w:rPr>
                <w:color w:val="auto"/>
                <w:spacing w:val="-37"/>
                <w:highlight w:val="none"/>
              </w:rPr>
              <w:t xml:space="preserve"> </w:t>
            </w:r>
            <w:r>
              <w:rPr>
                <w:color w:val="auto"/>
                <w:spacing w:val="-1"/>
                <w:highlight w:val="none"/>
              </w:rPr>
              <w:t>木</w:t>
            </w:r>
            <w:r>
              <w:rPr>
                <w:color w:val="auto"/>
                <w:spacing w:val="-2"/>
                <w:highlight w:val="none"/>
              </w:rPr>
              <w:t>质门和钢质门</w:t>
            </w:r>
          </w:p>
        </w:tc>
      </w:tr>
      <w:tr w14:paraId="0C4D9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Align w:val="top"/>
          </w:tcPr>
          <w:p w14:paraId="26CEAE9B">
            <w:pPr>
              <w:pStyle w:val="212"/>
              <w:spacing w:before="66"/>
              <w:ind w:left="114"/>
              <w:rPr>
                <w:color w:val="auto"/>
                <w:highlight w:val="none"/>
              </w:rPr>
            </w:pPr>
            <w:r>
              <w:rPr>
                <w:color w:val="auto"/>
                <w:spacing w:val="-3"/>
                <w:highlight w:val="none"/>
              </w:rPr>
              <w:t>47</w:t>
            </w:r>
          </w:p>
        </w:tc>
        <w:tc>
          <w:tcPr>
            <w:tcW w:w="1542" w:type="dxa"/>
            <w:vAlign w:val="top"/>
          </w:tcPr>
          <w:p w14:paraId="790141B8">
            <w:pPr>
              <w:pStyle w:val="212"/>
              <w:spacing w:before="66" w:line="221" w:lineRule="auto"/>
              <w:ind w:left="102"/>
              <w:rPr>
                <w:color w:val="auto"/>
                <w:highlight w:val="none"/>
              </w:rPr>
            </w:pPr>
            <w:r>
              <w:rPr>
                <w:color w:val="auto"/>
                <w:spacing w:val="-1"/>
                <w:highlight w:val="none"/>
              </w:rPr>
              <w:t>A100702</w:t>
            </w:r>
            <w:r>
              <w:rPr>
                <w:color w:val="auto"/>
                <w:spacing w:val="-24"/>
                <w:highlight w:val="none"/>
              </w:rPr>
              <w:t xml:space="preserve"> </w:t>
            </w:r>
            <w:r>
              <w:rPr>
                <w:color w:val="auto"/>
                <w:spacing w:val="-1"/>
                <w:highlight w:val="none"/>
              </w:rPr>
              <w:t>窗</w:t>
            </w:r>
          </w:p>
        </w:tc>
        <w:tc>
          <w:tcPr>
            <w:tcW w:w="2672" w:type="dxa"/>
            <w:vAlign w:val="top"/>
          </w:tcPr>
          <w:p w14:paraId="5BB1A806">
            <w:pPr>
              <w:rPr>
                <w:rFonts w:ascii="Arial"/>
                <w:color w:val="auto"/>
                <w:sz w:val="21"/>
                <w:highlight w:val="none"/>
              </w:rPr>
            </w:pPr>
          </w:p>
        </w:tc>
        <w:tc>
          <w:tcPr>
            <w:tcW w:w="2248" w:type="dxa"/>
            <w:vAlign w:val="top"/>
          </w:tcPr>
          <w:p w14:paraId="12F20AF9">
            <w:pPr>
              <w:rPr>
                <w:rFonts w:ascii="Arial"/>
                <w:color w:val="auto"/>
                <w:sz w:val="21"/>
                <w:highlight w:val="none"/>
              </w:rPr>
            </w:pPr>
          </w:p>
        </w:tc>
        <w:tc>
          <w:tcPr>
            <w:tcW w:w="3543" w:type="dxa"/>
            <w:vAlign w:val="top"/>
          </w:tcPr>
          <w:p w14:paraId="5122D3D0">
            <w:pPr>
              <w:pStyle w:val="212"/>
              <w:spacing w:before="66" w:line="219" w:lineRule="auto"/>
              <w:ind w:left="109"/>
              <w:rPr>
                <w:color w:val="auto"/>
                <w:highlight w:val="none"/>
              </w:rPr>
            </w:pPr>
            <w:r>
              <w:rPr>
                <w:color w:val="auto"/>
                <w:spacing w:val="-1"/>
                <w:highlight w:val="none"/>
              </w:rPr>
              <w:t>HJ/T237</w:t>
            </w:r>
            <w:r>
              <w:rPr>
                <w:color w:val="auto"/>
                <w:spacing w:val="-33"/>
                <w:highlight w:val="none"/>
              </w:rPr>
              <w:t xml:space="preserve"> </w:t>
            </w:r>
            <w:r>
              <w:rPr>
                <w:color w:val="auto"/>
                <w:spacing w:val="-1"/>
                <w:highlight w:val="none"/>
              </w:rPr>
              <w:t>塑料门窗</w:t>
            </w:r>
          </w:p>
        </w:tc>
      </w:tr>
      <w:tr w14:paraId="684C0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583" w:type="dxa"/>
            <w:vAlign w:val="top"/>
          </w:tcPr>
          <w:p w14:paraId="0FB2F36E">
            <w:pPr>
              <w:pStyle w:val="212"/>
              <w:spacing w:before="69"/>
              <w:ind w:left="114"/>
              <w:rPr>
                <w:color w:val="auto"/>
                <w:highlight w:val="none"/>
              </w:rPr>
            </w:pPr>
            <w:r>
              <w:rPr>
                <w:color w:val="auto"/>
                <w:spacing w:val="-3"/>
                <w:highlight w:val="none"/>
              </w:rPr>
              <w:t>48</w:t>
            </w:r>
          </w:p>
        </w:tc>
        <w:tc>
          <w:tcPr>
            <w:tcW w:w="1542" w:type="dxa"/>
            <w:vAlign w:val="top"/>
          </w:tcPr>
          <w:p w14:paraId="36F78E55">
            <w:pPr>
              <w:pStyle w:val="212"/>
              <w:spacing w:before="70" w:line="282" w:lineRule="auto"/>
              <w:ind w:left="109" w:right="106" w:hanging="7"/>
              <w:rPr>
                <w:color w:val="auto"/>
                <w:highlight w:val="none"/>
              </w:rPr>
            </w:pPr>
            <w:r>
              <w:rPr>
                <w:color w:val="auto"/>
                <w:spacing w:val="-8"/>
                <w:highlight w:val="none"/>
              </w:rPr>
              <w:t>A170108</w:t>
            </w:r>
            <w:r>
              <w:rPr>
                <w:color w:val="auto"/>
                <w:spacing w:val="-25"/>
                <w:highlight w:val="none"/>
              </w:rPr>
              <w:t xml:space="preserve"> </w:t>
            </w:r>
            <w:r>
              <w:rPr>
                <w:color w:val="auto"/>
                <w:spacing w:val="-8"/>
                <w:highlight w:val="none"/>
              </w:rPr>
              <w:t>涂料（建</w:t>
            </w:r>
            <w:r>
              <w:rPr>
                <w:color w:val="auto"/>
                <w:highlight w:val="none"/>
              </w:rPr>
              <w:t xml:space="preserve"> </w:t>
            </w:r>
            <w:r>
              <w:rPr>
                <w:color w:val="auto"/>
                <w:spacing w:val="-2"/>
                <w:highlight w:val="none"/>
              </w:rPr>
              <w:t>筑涂料除外）</w:t>
            </w:r>
          </w:p>
        </w:tc>
        <w:tc>
          <w:tcPr>
            <w:tcW w:w="2672" w:type="dxa"/>
            <w:vAlign w:val="top"/>
          </w:tcPr>
          <w:p w14:paraId="0E6B6EAA">
            <w:pPr>
              <w:rPr>
                <w:rFonts w:ascii="Arial"/>
                <w:color w:val="auto"/>
                <w:sz w:val="21"/>
                <w:highlight w:val="none"/>
              </w:rPr>
            </w:pPr>
          </w:p>
        </w:tc>
        <w:tc>
          <w:tcPr>
            <w:tcW w:w="2248" w:type="dxa"/>
            <w:vAlign w:val="top"/>
          </w:tcPr>
          <w:p w14:paraId="754BCD0F">
            <w:pPr>
              <w:rPr>
                <w:rFonts w:ascii="Arial"/>
                <w:color w:val="auto"/>
                <w:sz w:val="21"/>
                <w:highlight w:val="none"/>
              </w:rPr>
            </w:pPr>
          </w:p>
        </w:tc>
        <w:tc>
          <w:tcPr>
            <w:tcW w:w="3543" w:type="dxa"/>
            <w:vAlign w:val="top"/>
          </w:tcPr>
          <w:p w14:paraId="5DA8EBC0">
            <w:pPr>
              <w:pStyle w:val="212"/>
              <w:spacing w:before="69"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1C745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533A863C">
            <w:pPr>
              <w:pStyle w:val="212"/>
              <w:spacing w:before="68"/>
              <w:ind w:left="114"/>
              <w:rPr>
                <w:color w:val="auto"/>
                <w:highlight w:val="none"/>
              </w:rPr>
            </w:pPr>
            <w:r>
              <w:rPr>
                <w:color w:val="auto"/>
                <w:spacing w:val="-3"/>
                <w:highlight w:val="none"/>
              </w:rPr>
              <w:t>49</w:t>
            </w:r>
          </w:p>
        </w:tc>
        <w:tc>
          <w:tcPr>
            <w:tcW w:w="1542" w:type="dxa"/>
            <w:vAlign w:val="top"/>
          </w:tcPr>
          <w:p w14:paraId="13CB0C21">
            <w:pPr>
              <w:pStyle w:val="212"/>
              <w:spacing w:before="68" w:line="282" w:lineRule="auto"/>
              <w:ind w:left="109" w:right="108" w:hanging="7"/>
              <w:rPr>
                <w:color w:val="auto"/>
                <w:highlight w:val="none"/>
              </w:rPr>
            </w:pPr>
            <w:r>
              <w:rPr>
                <w:color w:val="auto"/>
                <w:spacing w:val="3"/>
                <w:highlight w:val="none"/>
              </w:rPr>
              <w:t>A170112</w:t>
            </w:r>
            <w:r>
              <w:rPr>
                <w:color w:val="auto"/>
                <w:spacing w:val="34"/>
                <w:highlight w:val="none"/>
              </w:rPr>
              <w:t xml:space="preserve"> </w:t>
            </w:r>
            <w:r>
              <w:rPr>
                <w:color w:val="auto"/>
                <w:spacing w:val="3"/>
                <w:highlight w:val="none"/>
              </w:rPr>
              <w:t>密封用</w:t>
            </w:r>
            <w:r>
              <w:rPr>
                <w:color w:val="auto"/>
                <w:highlight w:val="none"/>
              </w:rPr>
              <w:t xml:space="preserve"> </w:t>
            </w:r>
            <w:r>
              <w:rPr>
                <w:color w:val="auto"/>
                <w:spacing w:val="-2"/>
                <w:highlight w:val="none"/>
              </w:rPr>
              <w:t>填料及类似品</w:t>
            </w:r>
          </w:p>
        </w:tc>
        <w:tc>
          <w:tcPr>
            <w:tcW w:w="2672" w:type="dxa"/>
            <w:vAlign w:val="top"/>
          </w:tcPr>
          <w:p w14:paraId="1D94107C">
            <w:pPr>
              <w:rPr>
                <w:rFonts w:ascii="Arial"/>
                <w:color w:val="auto"/>
                <w:sz w:val="21"/>
                <w:highlight w:val="none"/>
              </w:rPr>
            </w:pPr>
          </w:p>
        </w:tc>
        <w:tc>
          <w:tcPr>
            <w:tcW w:w="2248" w:type="dxa"/>
            <w:vAlign w:val="top"/>
          </w:tcPr>
          <w:p w14:paraId="2D7DC984">
            <w:pPr>
              <w:rPr>
                <w:rFonts w:ascii="Arial"/>
                <w:color w:val="auto"/>
                <w:sz w:val="21"/>
                <w:highlight w:val="none"/>
              </w:rPr>
            </w:pPr>
          </w:p>
        </w:tc>
        <w:tc>
          <w:tcPr>
            <w:tcW w:w="3543" w:type="dxa"/>
            <w:vAlign w:val="top"/>
          </w:tcPr>
          <w:p w14:paraId="1DD66A27">
            <w:pPr>
              <w:pStyle w:val="212"/>
              <w:spacing w:before="67" w:line="219" w:lineRule="auto"/>
              <w:ind w:left="109"/>
              <w:rPr>
                <w:color w:val="auto"/>
                <w:highlight w:val="none"/>
              </w:rPr>
            </w:pPr>
            <w:r>
              <w:rPr>
                <w:color w:val="auto"/>
                <w:spacing w:val="-1"/>
                <w:highlight w:val="none"/>
              </w:rPr>
              <w:t>HJ2541</w:t>
            </w:r>
            <w:r>
              <w:rPr>
                <w:color w:val="auto"/>
                <w:spacing w:val="-35"/>
                <w:highlight w:val="none"/>
              </w:rPr>
              <w:t xml:space="preserve"> </w:t>
            </w:r>
            <w:r>
              <w:rPr>
                <w:color w:val="auto"/>
                <w:spacing w:val="-1"/>
                <w:highlight w:val="none"/>
              </w:rPr>
              <w:t>胶粘剂</w:t>
            </w:r>
          </w:p>
        </w:tc>
      </w:tr>
      <w:tr w14:paraId="213AD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Align w:val="top"/>
          </w:tcPr>
          <w:p w14:paraId="242B0303">
            <w:pPr>
              <w:pStyle w:val="212"/>
              <w:spacing w:before="69"/>
              <w:ind w:left="118"/>
              <w:rPr>
                <w:color w:val="auto"/>
                <w:highlight w:val="none"/>
              </w:rPr>
            </w:pPr>
            <w:r>
              <w:rPr>
                <w:color w:val="auto"/>
                <w:spacing w:val="-5"/>
                <w:highlight w:val="none"/>
              </w:rPr>
              <w:t>50</w:t>
            </w:r>
          </w:p>
        </w:tc>
        <w:tc>
          <w:tcPr>
            <w:tcW w:w="1542" w:type="dxa"/>
            <w:vAlign w:val="top"/>
          </w:tcPr>
          <w:p w14:paraId="53AC877B">
            <w:pPr>
              <w:pStyle w:val="212"/>
              <w:spacing w:before="69" w:line="284" w:lineRule="auto"/>
              <w:ind w:left="122" w:right="108" w:hanging="20"/>
              <w:rPr>
                <w:color w:val="auto"/>
                <w:highlight w:val="none"/>
              </w:rPr>
            </w:pPr>
            <w:r>
              <w:rPr>
                <w:color w:val="auto"/>
                <w:spacing w:val="3"/>
                <w:highlight w:val="none"/>
              </w:rPr>
              <w:t>A180201</w:t>
            </w:r>
            <w:r>
              <w:rPr>
                <w:color w:val="auto"/>
                <w:spacing w:val="34"/>
                <w:highlight w:val="none"/>
              </w:rPr>
              <w:t xml:space="preserve"> </w:t>
            </w:r>
            <w:r>
              <w:rPr>
                <w:color w:val="auto"/>
                <w:spacing w:val="3"/>
                <w:highlight w:val="none"/>
              </w:rPr>
              <w:t>塑料制</w:t>
            </w:r>
            <w:r>
              <w:rPr>
                <w:color w:val="auto"/>
                <w:highlight w:val="none"/>
              </w:rPr>
              <w:t xml:space="preserve"> 品</w:t>
            </w:r>
          </w:p>
        </w:tc>
        <w:tc>
          <w:tcPr>
            <w:tcW w:w="2672" w:type="dxa"/>
            <w:vAlign w:val="top"/>
          </w:tcPr>
          <w:p w14:paraId="214BE936">
            <w:pPr>
              <w:rPr>
                <w:rFonts w:ascii="Arial"/>
                <w:color w:val="auto"/>
                <w:sz w:val="21"/>
                <w:highlight w:val="none"/>
              </w:rPr>
            </w:pPr>
          </w:p>
        </w:tc>
        <w:tc>
          <w:tcPr>
            <w:tcW w:w="2248" w:type="dxa"/>
            <w:vAlign w:val="top"/>
          </w:tcPr>
          <w:p w14:paraId="302B59F9">
            <w:pPr>
              <w:rPr>
                <w:rFonts w:ascii="Arial"/>
                <w:color w:val="auto"/>
                <w:sz w:val="21"/>
                <w:highlight w:val="none"/>
              </w:rPr>
            </w:pPr>
          </w:p>
        </w:tc>
        <w:tc>
          <w:tcPr>
            <w:tcW w:w="3543" w:type="dxa"/>
            <w:vAlign w:val="top"/>
          </w:tcPr>
          <w:p w14:paraId="6970262A">
            <w:pPr>
              <w:pStyle w:val="212"/>
              <w:spacing w:before="69" w:line="284" w:lineRule="auto"/>
              <w:ind w:left="113" w:right="104" w:hanging="4"/>
              <w:rPr>
                <w:color w:val="auto"/>
                <w:highlight w:val="none"/>
              </w:rPr>
            </w:pPr>
            <w:r>
              <w:rPr>
                <w:color w:val="auto"/>
                <w:highlight w:val="none"/>
              </w:rPr>
              <w:t>HJ/T226 建筑用塑料管材/HJ/</w:t>
            </w:r>
            <w:r>
              <w:rPr>
                <w:color w:val="auto"/>
                <w:spacing w:val="-1"/>
                <w:highlight w:val="none"/>
              </w:rPr>
              <w:t>T231 再生塑</w:t>
            </w:r>
            <w:r>
              <w:rPr>
                <w:color w:val="auto"/>
                <w:highlight w:val="none"/>
              </w:rPr>
              <w:t xml:space="preserve"> </w:t>
            </w:r>
            <w:r>
              <w:rPr>
                <w:color w:val="auto"/>
                <w:spacing w:val="-2"/>
                <w:highlight w:val="none"/>
              </w:rPr>
              <w:t>料制品</w:t>
            </w:r>
          </w:p>
        </w:tc>
      </w:tr>
    </w:tbl>
    <w:p w14:paraId="0A940086">
      <w:pPr>
        <w:spacing w:after="120" w:line="360" w:lineRule="auto"/>
        <w:rPr>
          <w:rFonts w:hint="eastAsia" w:ascii="宋体" w:hAnsi="宋体" w:eastAsia="宋体" w:cs="Times New Roman"/>
          <w:color w:val="auto"/>
          <w:spacing w:val="-3"/>
          <w:szCs w:val="21"/>
          <w:highlight w:val="none"/>
          <w:lang w:val="en-US" w:eastAsia="zh-CN"/>
        </w:rPr>
        <w:sectPr>
          <w:pgSz w:w="11906" w:h="16838"/>
          <w:pgMar w:top="992" w:right="644" w:bottom="1247" w:left="667" w:header="850" w:footer="992" w:gutter="0"/>
          <w:pgBorders>
            <w:top w:val="none" w:sz="0" w:space="0"/>
            <w:left w:val="none" w:sz="0" w:space="0"/>
            <w:bottom w:val="none" w:sz="0" w:space="0"/>
            <w:right w:val="none" w:sz="0" w:space="0"/>
          </w:pgBorders>
          <w:pgNumType w:fmt="decimal"/>
          <w:cols w:space="720" w:num="1"/>
        </w:sectPr>
      </w:pPr>
      <w:r>
        <w:rPr>
          <w:rFonts w:hint="eastAsia" w:ascii="宋体" w:hAnsi="宋体" w:eastAsia="宋体" w:cs="Times New Roman"/>
          <w:color w:val="auto"/>
          <w:spacing w:val="-3"/>
          <w:szCs w:val="21"/>
          <w:highlight w:val="none"/>
        </w:rPr>
        <w:t>注：环境标志产品认证应依据相关标准的最新</w:t>
      </w:r>
      <w:r>
        <w:rPr>
          <w:rFonts w:hint="eastAsia" w:ascii="宋体" w:hAnsi="宋体" w:eastAsia="宋体" w:cs="Times New Roman"/>
          <w:color w:val="auto"/>
          <w:spacing w:val="-3"/>
          <w:szCs w:val="21"/>
          <w:highlight w:val="none"/>
          <w:lang w:val="en-US" w:eastAsia="zh-CN"/>
        </w:rPr>
        <w:t>版本。</w:t>
      </w:r>
    </w:p>
    <w:bookmarkEnd w:id="31"/>
    <w:bookmarkEnd w:id="33"/>
    <w:bookmarkEnd w:id="34"/>
    <w:bookmarkEnd w:id="38"/>
    <w:p w14:paraId="6CF07365">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39" w:name="_Toc13625"/>
      <w:r>
        <w:rPr>
          <w:rFonts w:ascii="Times New Roman" w:hAnsi="Times New Roman" w:cs="Times New Roman"/>
          <w:color w:val="auto"/>
          <w:sz w:val="32"/>
          <w:szCs w:val="32"/>
          <w:highlight w:val="none"/>
        </w:rPr>
        <w:t xml:space="preserve">第三章  </w:t>
      </w:r>
      <w:r>
        <w:rPr>
          <w:rFonts w:hint="eastAsia" w:ascii="Times New Roman" w:hAnsi="Times New Roman" w:cs="Times New Roman"/>
          <w:color w:val="auto"/>
          <w:sz w:val="32"/>
          <w:szCs w:val="32"/>
          <w:highlight w:val="none"/>
        </w:rPr>
        <w:t>投标人</w:t>
      </w:r>
      <w:r>
        <w:rPr>
          <w:rFonts w:ascii="Times New Roman" w:hAnsi="Times New Roman" w:cs="Times New Roman"/>
          <w:color w:val="auto"/>
          <w:sz w:val="32"/>
          <w:szCs w:val="32"/>
          <w:highlight w:val="none"/>
        </w:rPr>
        <w:t>须知</w:t>
      </w:r>
      <w:bookmarkEnd w:id="39"/>
      <w:bookmarkStart w:id="40" w:name="_Toc254970526"/>
      <w:bookmarkStart w:id="41" w:name="_Toc254970667"/>
    </w:p>
    <w:p w14:paraId="6E194D9B">
      <w:pPr>
        <w:pStyle w:val="3"/>
        <w:spacing w:before="40" w:after="40"/>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投标人</w:t>
      </w:r>
      <w:r>
        <w:rPr>
          <w:rFonts w:ascii="Times New Roman" w:hAnsi="Times New Roman" w:eastAsia="宋体"/>
          <w:color w:val="auto"/>
          <w:sz w:val="24"/>
          <w:szCs w:val="24"/>
          <w:highlight w:val="none"/>
        </w:rPr>
        <w:t>须知前附表</w:t>
      </w:r>
      <w:bookmarkEnd w:id="40"/>
      <w:bookmarkEnd w:id="41"/>
      <w:bookmarkStart w:id="42" w:name="_投标人须知前附表"/>
      <w:bookmarkEnd w:id="42"/>
      <w:bookmarkStart w:id="43" w:name="_Hlk19048934"/>
    </w:p>
    <w:tbl>
      <w:tblPr>
        <w:tblStyle w:val="51"/>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5"/>
        <w:gridCol w:w="1230"/>
        <w:gridCol w:w="7229"/>
      </w:tblGrid>
      <w:tr w14:paraId="709737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2B0E6F0F">
            <w:pPr>
              <w:jc w:val="center"/>
              <w:rPr>
                <w:b/>
                <w:color w:val="auto"/>
                <w:szCs w:val="21"/>
                <w:highlight w:val="none"/>
              </w:rPr>
            </w:pPr>
            <w:r>
              <w:rPr>
                <w:b/>
                <w:color w:val="auto"/>
                <w:szCs w:val="21"/>
                <w:highlight w:val="none"/>
              </w:rPr>
              <w:t>条款号</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B454F68">
            <w:pPr>
              <w:jc w:val="center"/>
              <w:rPr>
                <w:b/>
                <w:color w:val="auto"/>
                <w:szCs w:val="21"/>
                <w:highlight w:val="none"/>
              </w:rPr>
            </w:pPr>
            <w:r>
              <w:rPr>
                <w:b/>
                <w:color w:val="auto"/>
                <w:szCs w:val="21"/>
                <w:highlight w:val="none"/>
              </w:rPr>
              <w:t>要点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EAD9F8B">
            <w:pPr>
              <w:jc w:val="center"/>
              <w:rPr>
                <w:b/>
                <w:color w:val="auto"/>
                <w:szCs w:val="21"/>
                <w:highlight w:val="none"/>
              </w:rPr>
            </w:pPr>
            <w:r>
              <w:rPr>
                <w:b/>
                <w:color w:val="auto"/>
                <w:szCs w:val="21"/>
                <w:highlight w:val="none"/>
              </w:rPr>
              <w:t>内容、要求</w:t>
            </w:r>
          </w:p>
        </w:tc>
      </w:tr>
      <w:tr w14:paraId="15B9BD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64A872F4">
            <w:pPr>
              <w:spacing w:line="300" w:lineRule="exact"/>
              <w:jc w:val="center"/>
              <w:rPr>
                <w:b/>
                <w:color w:val="auto"/>
                <w:szCs w:val="21"/>
                <w:highlight w:val="none"/>
              </w:rPr>
            </w:pPr>
            <w:r>
              <w:rPr>
                <w:b/>
                <w:color w:val="auto"/>
                <w:szCs w:val="21"/>
                <w:highlight w:val="none"/>
              </w:rPr>
              <w:t>1.3.1</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89FCDB9">
            <w:pPr>
              <w:spacing w:line="300" w:lineRule="exact"/>
              <w:jc w:val="center"/>
              <w:rPr>
                <w:color w:val="auto"/>
                <w:szCs w:val="21"/>
                <w:highlight w:val="none"/>
              </w:rPr>
            </w:pPr>
            <w:r>
              <w:rPr>
                <w:color w:val="auto"/>
                <w:szCs w:val="21"/>
                <w:highlight w:val="none"/>
              </w:rPr>
              <w:t>项目基本信息</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69A70B3">
            <w:pPr>
              <w:spacing w:line="300" w:lineRule="exact"/>
              <w:jc w:val="left"/>
              <w:rPr>
                <w:rFonts w:hint="eastAsia" w:eastAsia="宋体"/>
                <w:color w:val="auto"/>
                <w:szCs w:val="21"/>
                <w:highlight w:val="none"/>
                <w:lang w:eastAsia="zh-CN"/>
              </w:rPr>
            </w:pPr>
            <w:r>
              <w:rPr>
                <w:color w:val="auto"/>
                <w:szCs w:val="21"/>
                <w:highlight w:val="none"/>
              </w:rPr>
              <w:t>项目名称：</w:t>
            </w:r>
            <w:r>
              <w:rPr>
                <w:rFonts w:hint="eastAsia"/>
                <w:color w:val="auto"/>
                <w:kern w:val="0"/>
                <w:szCs w:val="21"/>
                <w:highlight w:val="none"/>
                <w:lang w:eastAsia="zh-CN"/>
              </w:rPr>
              <w:t>广西壮族自治区人工影响天气水资源保障工程-机动集成作业系统</w:t>
            </w:r>
          </w:p>
          <w:p w14:paraId="4A8B034F">
            <w:pPr>
              <w:spacing w:line="300" w:lineRule="exact"/>
              <w:jc w:val="left"/>
              <w:rPr>
                <w:rFonts w:hint="eastAsia" w:eastAsia="宋体"/>
                <w:color w:val="auto"/>
                <w:szCs w:val="21"/>
                <w:highlight w:val="none"/>
                <w:lang w:eastAsia="zh-CN"/>
              </w:rPr>
            </w:pPr>
            <w:r>
              <w:rPr>
                <w:color w:val="auto"/>
                <w:szCs w:val="21"/>
                <w:highlight w:val="none"/>
              </w:rPr>
              <w:t>项目编号：</w:t>
            </w:r>
            <w:r>
              <w:rPr>
                <w:rFonts w:hint="eastAsia"/>
                <w:color w:val="auto"/>
                <w:szCs w:val="21"/>
                <w:highlight w:val="none"/>
                <w:lang w:eastAsia="zh-CN"/>
              </w:rPr>
              <w:t>GXZC2026-G1-001472-JDZB</w:t>
            </w:r>
          </w:p>
          <w:p w14:paraId="657D9DBA">
            <w:pPr>
              <w:spacing w:line="300" w:lineRule="exact"/>
              <w:jc w:val="left"/>
              <w:rPr>
                <w:color w:val="auto"/>
                <w:szCs w:val="21"/>
                <w:highlight w:val="none"/>
                <w:u w:val="single"/>
              </w:rPr>
            </w:pPr>
            <w:r>
              <w:rPr>
                <w:rFonts w:hint="eastAsia" w:eastAsia="宋体"/>
                <w:color w:val="auto"/>
                <w:kern w:val="0"/>
                <w:szCs w:val="21"/>
                <w:highlight w:val="none"/>
              </w:rPr>
              <w:t>采购计划号：广西政采[2026]10084号</w:t>
            </w:r>
            <w:r>
              <w:rPr>
                <w:rFonts w:hint="eastAsia"/>
                <w:color w:val="auto"/>
                <w:szCs w:val="21"/>
                <w:highlight w:val="none"/>
              </w:rPr>
              <w:t> </w:t>
            </w:r>
          </w:p>
        </w:tc>
      </w:tr>
      <w:tr w14:paraId="671566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3016FA6E">
            <w:pPr>
              <w:spacing w:line="300" w:lineRule="exact"/>
              <w:jc w:val="center"/>
              <w:rPr>
                <w:b/>
                <w:color w:val="auto"/>
                <w:szCs w:val="21"/>
                <w:highlight w:val="none"/>
              </w:rPr>
            </w:pPr>
            <w:r>
              <w:rPr>
                <w:b/>
                <w:color w:val="auto"/>
                <w:szCs w:val="21"/>
                <w:highlight w:val="none"/>
              </w:rPr>
              <w:t>1.3.2</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B4AAE2A">
            <w:pPr>
              <w:spacing w:line="300" w:lineRule="exact"/>
              <w:jc w:val="center"/>
              <w:rPr>
                <w:color w:val="auto"/>
                <w:szCs w:val="21"/>
                <w:highlight w:val="none"/>
                <w:lang w:val="zh-CN"/>
              </w:rPr>
            </w:pPr>
            <w:r>
              <w:rPr>
                <w:rFonts w:hint="eastAsia"/>
                <w:color w:val="auto"/>
                <w:szCs w:val="21"/>
                <w:highlight w:val="none"/>
                <w:lang w:val="zh-CN"/>
              </w:rPr>
              <w:t>采购方式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4A4AE7D">
            <w:pPr>
              <w:spacing w:line="300" w:lineRule="exact"/>
              <w:jc w:val="left"/>
              <w:rPr>
                <w:color w:val="auto"/>
                <w:szCs w:val="21"/>
                <w:highlight w:val="none"/>
              </w:rPr>
            </w:pPr>
            <w:r>
              <w:rPr>
                <w:rFonts w:hint="eastAsia"/>
                <w:color w:val="auto"/>
                <w:szCs w:val="21"/>
                <w:highlight w:val="none"/>
              </w:rPr>
              <w:t>公开招标</w:t>
            </w:r>
          </w:p>
        </w:tc>
      </w:tr>
      <w:tr w14:paraId="31DAC3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2BAABA71">
            <w:pPr>
              <w:spacing w:line="300" w:lineRule="exact"/>
              <w:jc w:val="center"/>
              <w:rPr>
                <w:b/>
                <w:color w:val="auto"/>
                <w:szCs w:val="21"/>
                <w:highlight w:val="none"/>
              </w:rPr>
            </w:pPr>
            <w:r>
              <w:rPr>
                <w:rFonts w:hint="eastAsia"/>
                <w:b/>
                <w:color w:val="auto"/>
                <w:szCs w:val="21"/>
                <w:highlight w:val="none"/>
              </w:rPr>
              <w:t>1</w:t>
            </w:r>
            <w:r>
              <w:rPr>
                <w:b/>
                <w:color w:val="auto"/>
                <w:szCs w:val="21"/>
                <w:highlight w:val="none"/>
              </w:rPr>
              <w:t>.4</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CB07FE8">
            <w:pPr>
              <w:spacing w:line="300" w:lineRule="exact"/>
              <w:jc w:val="center"/>
              <w:rPr>
                <w:color w:val="auto"/>
                <w:szCs w:val="21"/>
                <w:highlight w:val="none"/>
                <w:lang w:val="zh-CN"/>
              </w:rPr>
            </w:pPr>
            <w:r>
              <w:rPr>
                <w:rFonts w:hint="eastAsia"/>
                <w:color w:val="auto"/>
                <w:szCs w:val="21"/>
                <w:highlight w:val="none"/>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71C4898">
            <w:pPr>
              <w:spacing w:line="300" w:lineRule="exact"/>
              <w:jc w:val="left"/>
              <w:rPr>
                <w:rFonts w:hint="eastAsia" w:eastAsia="宋体"/>
                <w:color w:val="auto"/>
                <w:szCs w:val="21"/>
                <w:highlight w:val="none"/>
                <w:lang w:eastAsia="zh-CN"/>
              </w:rPr>
            </w:pPr>
            <w:r>
              <w:rPr>
                <w:rFonts w:hint="eastAsia"/>
                <w:color w:val="auto"/>
                <w:szCs w:val="21"/>
                <w:highlight w:val="none"/>
                <w:lang w:val="en-US" w:eastAsia="zh-CN"/>
              </w:rPr>
              <w:t>无。</w:t>
            </w:r>
          </w:p>
        </w:tc>
      </w:tr>
      <w:tr w14:paraId="5FD89A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noWrap w:val="0"/>
            <w:vAlign w:val="center"/>
          </w:tcPr>
          <w:p w14:paraId="7C3521A0">
            <w:pPr>
              <w:spacing w:line="300" w:lineRule="exact"/>
              <w:jc w:val="center"/>
              <w:rPr>
                <w:b/>
                <w:color w:val="auto"/>
                <w:szCs w:val="21"/>
                <w:highlight w:val="none"/>
              </w:rPr>
            </w:pPr>
            <w:r>
              <w:rPr>
                <w:b/>
                <w:color w:val="auto"/>
                <w:szCs w:val="21"/>
                <w:highlight w:val="none"/>
              </w:rPr>
              <w:t>1.5.1</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868EF80">
            <w:pPr>
              <w:spacing w:line="300" w:lineRule="exact"/>
              <w:jc w:val="center"/>
              <w:rPr>
                <w:color w:val="auto"/>
                <w:szCs w:val="21"/>
                <w:highlight w:val="none"/>
              </w:rPr>
            </w:pPr>
            <w:r>
              <w:rPr>
                <w:rFonts w:hint="eastAsia"/>
                <w:color w:val="auto"/>
                <w:szCs w:val="21"/>
                <w:highlight w:val="none"/>
                <w:lang w:val="zh-CN"/>
              </w:rPr>
              <w:t>投标人</w:t>
            </w:r>
            <w:r>
              <w:rPr>
                <w:color w:val="auto"/>
                <w:szCs w:val="21"/>
                <w:highlight w:val="none"/>
                <w:lang w:val="zh-CN"/>
              </w:rPr>
              <w:t>资格条件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0EBC947">
            <w:pPr>
              <w:spacing w:line="300" w:lineRule="exact"/>
              <w:jc w:val="left"/>
              <w:rPr>
                <w:color w:val="auto"/>
                <w:szCs w:val="21"/>
                <w:highlight w:val="none"/>
              </w:rPr>
            </w:pPr>
            <w:r>
              <w:rPr>
                <w:rFonts w:hint="eastAsia"/>
                <w:color w:val="auto"/>
                <w:szCs w:val="21"/>
                <w:highlight w:val="none"/>
              </w:rPr>
              <w:t>详</w:t>
            </w:r>
            <w:r>
              <w:rPr>
                <w:color w:val="auto"/>
                <w:szCs w:val="21"/>
                <w:highlight w:val="none"/>
              </w:rPr>
              <w:t>见招标公告</w:t>
            </w:r>
            <w:r>
              <w:rPr>
                <w:rFonts w:hint="eastAsia"/>
                <w:color w:val="auto"/>
                <w:szCs w:val="21"/>
                <w:highlight w:val="none"/>
              </w:rPr>
              <w:t>。</w:t>
            </w:r>
          </w:p>
        </w:tc>
      </w:tr>
      <w:tr w14:paraId="455B8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55" w:type="dxa"/>
            <w:tcBorders>
              <w:top w:val="single" w:color="auto" w:sz="4" w:space="0"/>
              <w:left w:val="single" w:color="auto" w:sz="4" w:space="0"/>
              <w:right w:val="single" w:color="auto" w:sz="4" w:space="0"/>
            </w:tcBorders>
            <w:noWrap w:val="0"/>
            <w:vAlign w:val="center"/>
          </w:tcPr>
          <w:p w14:paraId="3F89C4F1">
            <w:pPr>
              <w:spacing w:line="300" w:lineRule="exact"/>
              <w:jc w:val="center"/>
              <w:rPr>
                <w:b/>
                <w:color w:val="auto"/>
                <w:szCs w:val="21"/>
                <w:highlight w:val="none"/>
              </w:rPr>
            </w:pPr>
            <w:bookmarkStart w:id="44" w:name="_Hlk85555568"/>
            <w:r>
              <w:rPr>
                <w:b/>
                <w:color w:val="auto"/>
                <w:szCs w:val="21"/>
                <w:highlight w:val="none"/>
              </w:rPr>
              <w:t>1.5.3</w:t>
            </w:r>
          </w:p>
        </w:tc>
        <w:tc>
          <w:tcPr>
            <w:tcW w:w="1230" w:type="dxa"/>
            <w:tcBorders>
              <w:top w:val="single" w:color="auto" w:sz="4" w:space="0"/>
              <w:left w:val="single" w:color="auto" w:sz="4" w:space="0"/>
              <w:right w:val="single" w:color="auto" w:sz="4" w:space="0"/>
            </w:tcBorders>
            <w:noWrap w:val="0"/>
            <w:vAlign w:val="center"/>
          </w:tcPr>
          <w:p w14:paraId="5665CA90">
            <w:pPr>
              <w:spacing w:line="300" w:lineRule="exact"/>
              <w:jc w:val="center"/>
              <w:rPr>
                <w:color w:val="auto"/>
                <w:szCs w:val="21"/>
                <w:highlight w:val="none"/>
              </w:rPr>
            </w:pPr>
            <w:r>
              <w:rPr>
                <w:rFonts w:hint="eastAsia"/>
                <w:color w:val="auto"/>
                <w:szCs w:val="21"/>
                <w:highlight w:val="none"/>
              </w:rPr>
              <w:t>联合体</w:t>
            </w:r>
          </w:p>
        </w:tc>
        <w:tc>
          <w:tcPr>
            <w:tcW w:w="7229" w:type="dxa"/>
            <w:tcBorders>
              <w:top w:val="single" w:color="auto" w:sz="4" w:space="0"/>
              <w:left w:val="single" w:color="auto" w:sz="4" w:space="0"/>
              <w:right w:val="single" w:color="auto" w:sz="4" w:space="0"/>
            </w:tcBorders>
            <w:noWrap w:val="0"/>
            <w:vAlign w:val="center"/>
          </w:tcPr>
          <w:p w14:paraId="5CB855E4">
            <w:pPr>
              <w:spacing w:line="300" w:lineRule="exact"/>
              <w:jc w:val="left"/>
              <w:rPr>
                <w:color w:val="auto"/>
                <w:szCs w:val="21"/>
                <w:highlight w:val="none"/>
              </w:rPr>
            </w:pPr>
            <w:r>
              <w:rPr>
                <w:rFonts w:hint="eastAsia"/>
                <w:color w:val="auto"/>
                <w:szCs w:val="21"/>
                <w:highlight w:val="none"/>
              </w:rPr>
              <w:t>是否接受联合体详见招标公告</w:t>
            </w:r>
          </w:p>
        </w:tc>
      </w:tr>
      <w:bookmarkEnd w:id="44"/>
      <w:tr w14:paraId="2C1B2D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noWrap w:val="0"/>
            <w:vAlign w:val="center"/>
          </w:tcPr>
          <w:p w14:paraId="516C9B2B">
            <w:pPr>
              <w:spacing w:line="300" w:lineRule="exact"/>
              <w:jc w:val="center"/>
              <w:rPr>
                <w:b/>
                <w:color w:val="auto"/>
                <w:szCs w:val="21"/>
                <w:highlight w:val="none"/>
              </w:rPr>
            </w:pPr>
            <w:r>
              <w:rPr>
                <w:b/>
                <w:color w:val="auto"/>
                <w:szCs w:val="21"/>
                <w:highlight w:val="none"/>
              </w:rPr>
              <w:t>1.6</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DB2AD6A">
            <w:pPr>
              <w:spacing w:line="300" w:lineRule="exact"/>
              <w:jc w:val="center"/>
              <w:rPr>
                <w:color w:val="auto"/>
                <w:szCs w:val="21"/>
                <w:highlight w:val="none"/>
              </w:rPr>
            </w:pPr>
            <w:r>
              <w:rPr>
                <w:rFonts w:hint="eastAsia"/>
                <w:color w:val="auto"/>
                <w:szCs w:val="21"/>
                <w:highlight w:val="none"/>
              </w:rPr>
              <w:t>踏勘</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3CE51B5">
            <w:pPr>
              <w:pStyle w:val="17"/>
              <w:rPr>
                <w:color w:val="auto"/>
                <w:szCs w:val="21"/>
                <w:highlight w:val="none"/>
              </w:rPr>
            </w:pPr>
            <w:r>
              <w:rPr>
                <w:color w:val="auto"/>
                <w:szCs w:val="21"/>
                <w:highlight w:val="none"/>
              </w:rPr>
              <w:sym w:font="Wingdings 2" w:char="0052"/>
            </w:r>
            <w:r>
              <w:rPr>
                <w:rFonts w:hint="eastAsia"/>
                <w:color w:val="auto"/>
                <w:szCs w:val="21"/>
                <w:highlight w:val="none"/>
                <w:lang w:val="en-US" w:eastAsia="zh-CN"/>
              </w:rPr>
              <w:t>不组织</w:t>
            </w:r>
            <w:r>
              <w:rPr>
                <w:rFonts w:hint="eastAsia"/>
                <w:color w:val="auto"/>
                <w:szCs w:val="21"/>
                <w:highlight w:val="none"/>
              </w:rPr>
              <w:t xml:space="preserve"> </w:t>
            </w:r>
          </w:p>
        </w:tc>
      </w:tr>
      <w:tr w14:paraId="73E272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noWrap w:val="0"/>
            <w:vAlign w:val="center"/>
          </w:tcPr>
          <w:p w14:paraId="5CD4AFE4">
            <w:pPr>
              <w:spacing w:line="300" w:lineRule="exact"/>
              <w:jc w:val="center"/>
              <w:rPr>
                <w:b/>
                <w:color w:val="auto"/>
                <w:szCs w:val="21"/>
                <w:highlight w:val="none"/>
              </w:rPr>
            </w:pPr>
            <w:r>
              <w:rPr>
                <w:b/>
                <w:color w:val="auto"/>
                <w:szCs w:val="21"/>
                <w:highlight w:val="none"/>
              </w:rPr>
              <w:t>1.7.2</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B134C17">
            <w:pPr>
              <w:spacing w:line="300" w:lineRule="exact"/>
              <w:jc w:val="center"/>
              <w:rPr>
                <w:color w:val="auto"/>
                <w:szCs w:val="21"/>
                <w:highlight w:val="none"/>
              </w:rPr>
            </w:pPr>
            <w:r>
              <w:rPr>
                <w:color w:val="auto"/>
                <w:szCs w:val="21"/>
                <w:highlight w:val="none"/>
              </w:rPr>
              <w:t>分包</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78489F9">
            <w:pPr>
              <w:spacing w:line="300" w:lineRule="exact"/>
              <w:jc w:val="left"/>
              <w:rPr>
                <w:color w:val="auto"/>
                <w:szCs w:val="21"/>
                <w:highlight w:val="none"/>
              </w:rPr>
            </w:pPr>
            <w:r>
              <w:rPr>
                <w:rFonts w:hint="eastAsia"/>
                <w:color w:val="auto"/>
                <w:szCs w:val="21"/>
                <w:highlight w:val="none"/>
              </w:rPr>
              <w:t>是否接受分包详见招标公告</w:t>
            </w:r>
          </w:p>
        </w:tc>
      </w:tr>
      <w:tr w14:paraId="27294E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noWrap w:val="0"/>
            <w:vAlign w:val="center"/>
          </w:tcPr>
          <w:p w14:paraId="1329A871">
            <w:pPr>
              <w:spacing w:line="300" w:lineRule="exact"/>
              <w:jc w:val="center"/>
              <w:rPr>
                <w:rFonts w:hint="default" w:eastAsia="宋体"/>
                <w:b/>
                <w:color w:val="auto"/>
                <w:szCs w:val="21"/>
                <w:highlight w:val="none"/>
                <w:lang w:val="en-US" w:eastAsia="zh-CN"/>
              </w:rPr>
            </w:pPr>
            <w:r>
              <w:rPr>
                <w:rFonts w:hint="eastAsia"/>
                <w:b/>
                <w:color w:val="auto"/>
                <w:szCs w:val="21"/>
                <w:highlight w:val="none"/>
                <w:lang w:val="en-US" w:eastAsia="zh-CN"/>
              </w:rPr>
              <w:t>1.9</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638C5A2">
            <w:pPr>
              <w:spacing w:line="300" w:lineRule="exact"/>
              <w:jc w:val="center"/>
              <w:rPr>
                <w:color w:val="auto"/>
                <w:szCs w:val="21"/>
                <w:highlight w:val="none"/>
              </w:rPr>
            </w:pPr>
            <w:r>
              <w:rPr>
                <w:rFonts w:hint="eastAsia"/>
                <w:color w:val="auto"/>
                <w:szCs w:val="21"/>
                <w:highlight w:val="none"/>
                <w:lang w:val="en-US" w:eastAsia="zh-CN"/>
              </w:rPr>
              <w:t>对本国产品的支持政策</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15A3BBD">
            <w:pPr>
              <w:spacing w:line="300" w:lineRule="exact"/>
              <w:jc w:val="left"/>
              <w:rPr>
                <w:rFonts w:hint="eastAsia"/>
                <w:color w:val="auto"/>
                <w:szCs w:val="21"/>
                <w:highlight w:val="none"/>
              </w:rPr>
            </w:pPr>
            <w:r>
              <w:rPr>
                <w:rFonts w:hint="eastAsia"/>
                <w:color w:val="auto"/>
                <w:szCs w:val="21"/>
                <w:highlight w:val="none"/>
                <w:lang w:eastAsia="zh-CN"/>
              </w:rPr>
              <w:t>☑</w:t>
            </w:r>
            <w:r>
              <w:rPr>
                <w:rFonts w:hint="eastAsia"/>
                <w:color w:val="auto"/>
                <w:szCs w:val="21"/>
                <w:highlight w:val="none"/>
              </w:rPr>
              <w:t>适用</w:t>
            </w:r>
          </w:p>
          <w:p w14:paraId="28B17060">
            <w:pPr>
              <w:spacing w:line="300" w:lineRule="exact"/>
              <w:jc w:val="left"/>
              <w:rPr>
                <w:rFonts w:hint="eastAsia" w:eastAsia="宋体"/>
                <w:color w:val="auto"/>
                <w:szCs w:val="21"/>
                <w:highlight w:val="none"/>
                <w:lang w:val="en-US" w:eastAsia="zh-CN"/>
              </w:rPr>
            </w:pPr>
            <w:r>
              <w:rPr>
                <w:rFonts w:hint="eastAsia"/>
                <w:color w:val="auto"/>
                <w:szCs w:val="21"/>
                <w:highlight w:val="none"/>
              </w:rPr>
              <w:t>□不适用</w:t>
            </w:r>
          </w:p>
        </w:tc>
      </w:tr>
      <w:tr w14:paraId="35F5AB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noWrap w:val="0"/>
            <w:vAlign w:val="center"/>
          </w:tcPr>
          <w:p w14:paraId="7F3E827C">
            <w:pPr>
              <w:spacing w:line="300" w:lineRule="exact"/>
              <w:jc w:val="center"/>
              <w:rPr>
                <w:b/>
                <w:color w:val="auto"/>
                <w:szCs w:val="21"/>
                <w:highlight w:val="none"/>
              </w:rPr>
            </w:pPr>
            <w:r>
              <w:rPr>
                <w:b/>
                <w:color w:val="auto"/>
                <w:szCs w:val="21"/>
                <w:highlight w:val="none"/>
              </w:rPr>
              <w:t>2.3</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264A8F6">
            <w:pPr>
              <w:spacing w:line="300" w:lineRule="exact"/>
              <w:jc w:val="center"/>
              <w:rPr>
                <w:color w:val="auto"/>
                <w:szCs w:val="21"/>
                <w:highlight w:val="none"/>
              </w:rPr>
            </w:pPr>
            <w:r>
              <w:rPr>
                <w:color w:val="auto"/>
                <w:szCs w:val="21"/>
                <w:highlight w:val="none"/>
              </w:rPr>
              <w:t>招标文件澄清、修改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8B38744">
            <w:pPr>
              <w:spacing w:line="300" w:lineRule="exact"/>
              <w:jc w:val="left"/>
              <w:rPr>
                <w:color w:val="auto"/>
                <w:szCs w:val="21"/>
                <w:highlight w:val="none"/>
              </w:rPr>
            </w:pPr>
            <w:r>
              <w:rPr>
                <w:color w:val="auto"/>
                <w:szCs w:val="21"/>
                <w:highlight w:val="none"/>
              </w:rPr>
              <w:t>在招标公告发布媒介发布</w:t>
            </w:r>
            <w:r>
              <w:rPr>
                <w:rFonts w:hint="eastAsia"/>
                <w:color w:val="auto"/>
                <w:szCs w:val="21"/>
                <w:highlight w:val="none"/>
              </w:rPr>
              <w:t>。</w:t>
            </w:r>
          </w:p>
        </w:tc>
      </w:tr>
      <w:tr w14:paraId="24D1BA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27C9344F">
            <w:pPr>
              <w:spacing w:line="300" w:lineRule="exact"/>
              <w:jc w:val="center"/>
              <w:rPr>
                <w:b/>
                <w:color w:val="auto"/>
                <w:szCs w:val="21"/>
                <w:highlight w:val="none"/>
              </w:rPr>
            </w:pPr>
            <w:r>
              <w:rPr>
                <w:b/>
                <w:color w:val="auto"/>
                <w:szCs w:val="21"/>
                <w:highlight w:val="none"/>
              </w:rPr>
              <w:t>2.3</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2320B70">
            <w:pPr>
              <w:spacing w:line="300" w:lineRule="exact"/>
              <w:jc w:val="center"/>
              <w:rPr>
                <w:color w:val="auto"/>
                <w:szCs w:val="21"/>
                <w:highlight w:val="none"/>
              </w:rPr>
            </w:pPr>
            <w:r>
              <w:rPr>
                <w:color w:val="auto"/>
                <w:szCs w:val="21"/>
                <w:highlight w:val="none"/>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2A4DD16">
            <w:pPr>
              <w:spacing w:line="300" w:lineRule="exact"/>
              <w:jc w:val="left"/>
              <w:rPr>
                <w:color w:val="auto"/>
                <w:szCs w:val="21"/>
                <w:highlight w:val="none"/>
              </w:rPr>
            </w:pPr>
            <w:r>
              <w:rPr>
                <w:color w:val="auto"/>
                <w:szCs w:val="21"/>
                <w:highlight w:val="none"/>
              </w:rPr>
              <w:t>澄清、修改文件</w:t>
            </w:r>
            <w:r>
              <w:rPr>
                <w:rFonts w:hint="eastAsia"/>
                <w:color w:val="auto"/>
                <w:szCs w:val="21"/>
                <w:highlight w:val="none"/>
              </w:rPr>
              <w:t>自招标</w:t>
            </w:r>
            <w:r>
              <w:rPr>
                <w:color w:val="auto"/>
                <w:szCs w:val="21"/>
                <w:highlight w:val="none"/>
              </w:rPr>
              <w:t>公告发布媒</w:t>
            </w:r>
            <w:r>
              <w:rPr>
                <w:rFonts w:hint="eastAsia"/>
                <w:color w:val="auto"/>
                <w:szCs w:val="21"/>
                <w:highlight w:val="none"/>
              </w:rPr>
              <w:t>体</w:t>
            </w:r>
            <w:r>
              <w:rPr>
                <w:color w:val="auto"/>
                <w:szCs w:val="21"/>
                <w:highlight w:val="none"/>
              </w:rPr>
              <w:t>发布之日起，视为</w:t>
            </w:r>
            <w:r>
              <w:rPr>
                <w:rFonts w:hint="eastAsia"/>
                <w:color w:val="auto"/>
                <w:szCs w:val="21"/>
                <w:highlight w:val="none"/>
                <w:lang w:eastAsia="zh-CN"/>
              </w:rPr>
              <w:t>投标人</w:t>
            </w:r>
            <w:r>
              <w:rPr>
                <w:color w:val="auto"/>
                <w:szCs w:val="21"/>
                <w:highlight w:val="none"/>
              </w:rPr>
              <w:t>已收到该澄清、修改。</w:t>
            </w:r>
            <w:r>
              <w:rPr>
                <w:rFonts w:hint="eastAsia"/>
                <w:color w:val="auto"/>
                <w:szCs w:val="21"/>
                <w:highlight w:val="none"/>
                <w:lang w:eastAsia="zh-CN"/>
              </w:rPr>
              <w:t>投标人</w:t>
            </w:r>
            <w:r>
              <w:rPr>
                <w:color w:val="auto"/>
                <w:szCs w:val="21"/>
                <w:highlight w:val="none"/>
              </w:rPr>
              <w:t>未及时关注</w:t>
            </w:r>
            <w:r>
              <w:rPr>
                <w:rFonts w:hint="eastAsia"/>
                <w:color w:val="auto"/>
                <w:szCs w:val="21"/>
                <w:highlight w:val="none"/>
              </w:rPr>
              <w:t>招标</w:t>
            </w:r>
            <w:r>
              <w:rPr>
                <w:color w:val="auto"/>
                <w:szCs w:val="21"/>
                <w:highlight w:val="none"/>
              </w:rPr>
              <w:t>公告发布媒</w:t>
            </w:r>
            <w:r>
              <w:rPr>
                <w:rFonts w:hint="eastAsia"/>
                <w:color w:val="auto"/>
                <w:szCs w:val="21"/>
                <w:highlight w:val="none"/>
              </w:rPr>
              <w:t>体</w:t>
            </w:r>
            <w:r>
              <w:rPr>
                <w:color w:val="auto"/>
                <w:szCs w:val="21"/>
                <w:highlight w:val="none"/>
              </w:rPr>
              <w:t>造成的损失，由</w:t>
            </w:r>
            <w:r>
              <w:rPr>
                <w:rFonts w:hint="eastAsia"/>
                <w:color w:val="auto"/>
                <w:szCs w:val="21"/>
                <w:highlight w:val="none"/>
                <w:lang w:eastAsia="zh-CN"/>
              </w:rPr>
              <w:t>投标人</w:t>
            </w:r>
            <w:r>
              <w:rPr>
                <w:color w:val="auto"/>
                <w:szCs w:val="21"/>
                <w:highlight w:val="none"/>
              </w:rPr>
              <w:t>自行负责。</w:t>
            </w:r>
          </w:p>
        </w:tc>
      </w:tr>
      <w:tr w14:paraId="5161D7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3C54D425">
            <w:pPr>
              <w:spacing w:line="300" w:lineRule="exact"/>
              <w:jc w:val="center"/>
              <w:rPr>
                <w:b/>
                <w:color w:val="auto"/>
                <w:szCs w:val="21"/>
                <w:highlight w:val="none"/>
              </w:rPr>
            </w:pPr>
            <w:r>
              <w:rPr>
                <w:b/>
                <w:color w:val="auto"/>
                <w:szCs w:val="21"/>
                <w:highlight w:val="none"/>
              </w:rPr>
              <w:t>3.4.1</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D3D9FEC">
            <w:pPr>
              <w:spacing w:line="300" w:lineRule="exact"/>
              <w:jc w:val="center"/>
              <w:rPr>
                <w:color w:val="auto"/>
                <w:szCs w:val="21"/>
                <w:highlight w:val="none"/>
              </w:rPr>
            </w:pPr>
            <w:r>
              <w:rPr>
                <w:color w:val="auto"/>
                <w:szCs w:val="21"/>
                <w:highlight w:val="none"/>
              </w:rPr>
              <w:t>投标有效期</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7FEFC80">
            <w:pPr>
              <w:spacing w:line="300" w:lineRule="exact"/>
              <w:jc w:val="left"/>
              <w:rPr>
                <w:color w:val="auto"/>
                <w:szCs w:val="21"/>
                <w:highlight w:val="none"/>
              </w:rPr>
            </w:pPr>
            <w:r>
              <w:rPr>
                <w:color w:val="auto"/>
                <w:szCs w:val="21"/>
                <w:highlight w:val="none"/>
              </w:rPr>
              <w:t>投标截止之日起90天。</w:t>
            </w:r>
          </w:p>
        </w:tc>
      </w:tr>
      <w:tr w14:paraId="17AD04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755" w:type="dxa"/>
            <w:tcBorders>
              <w:top w:val="single" w:color="auto" w:sz="4" w:space="0"/>
              <w:left w:val="single" w:color="auto" w:sz="4" w:space="0"/>
              <w:bottom w:val="single" w:color="auto" w:sz="4" w:space="0"/>
              <w:right w:val="single" w:color="auto" w:sz="4" w:space="0"/>
            </w:tcBorders>
            <w:noWrap w:val="0"/>
            <w:vAlign w:val="center"/>
          </w:tcPr>
          <w:p w14:paraId="5D5D5CEC">
            <w:pPr>
              <w:spacing w:line="300" w:lineRule="exact"/>
              <w:jc w:val="center"/>
              <w:rPr>
                <w:b/>
                <w:color w:val="auto"/>
                <w:szCs w:val="21"/>
                <w:highlight w:val="none"/>
              </w:rPr>
            </w:pPr>
            <w:r>
              <w:rPr>
                <w:b/>
                <w:color w:val="auto"/>
                <w:szCs w:val="21"/>
                <w:highlight w:val="none"/>
              </w:rPr>
              <w:t>3.5</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98FD6A5">
            <w:pPr>
              <w:spacing w:line="300" w:lineRule="exact"/>
              <w:jc w:val="center"/>
              <w:rPr>
                <w:color w:val="auto"/>
                <w:szCs w:val="21"/>
                <w:highlight w:val="none"/>
              </w:rPr>
            </w:pPr>
            <w:r>
              <w:rPr>
                <w:color w:val="auto"/>
                <w:szCs w:val="21"/>
                <w:highlight w:val="none"/>
              </w:rPr>
              <w:t>投标保证金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6C7F8FE">
            <w:pPr>
              <w:spacing w:line="312" w:lineRule="auto"/>
              <w:jc w:val="left"/>
              <w:rPr>
                <w:rFonts w:hint="eastAsia"/>
                <w:color w:val="auto"/>
                <w:kern w:val="0"/>
                <w:szCs w:val="21"/>
                <w:highlight w:val="none"/>
              </w:rPr>
            </w:pPr>
            <w:r>
              <w:rPr>
                <w:color w:val="auto"/>
                <w:szCs w:val="21"/>
                <w:highlight w:val="none"/>
              </w:rPr>
              <w:t>投标保证</w:t>
            </w:r>
            <w:r>
              <w:rPr>
                <w:rFonts w:hint="eastAsia"/>
                <w:color w:val="auto"/>
                <w:szCs w:val="21"/>
                <w:highlight w:val="none"/>
              </w:rPr>
              <w:t>金金额：人民币</w:t>
            </w:r>
            <w:r>
              <w:rPr>
                <w:rFonts w:hint="eastAsia"/>
                <w:color w:val="auto"/>
                <w:szCs w:val="21"/>
                <w:highlight w:val="none"/>
                <w:lang w:val="en-US" w:eastAsia="zh-CN"/>
              </w:rPr>
              <w:t>伍拾万元整</w:t>
            </w:r>
            <w:r>
              <w:rPr>
                <w:rFonts w:hint="eastAsia"/>
                <w:color w:val="auto"/>
                <w:szCs w:val="21"/>
                <w:highlight w:val="none"/>
              </w:rPr>
              <w:t>（</w:t>
            </w:r>
            <w:r>
              <w:rPr>
                <w:color w:val="auto"/>
                <w:szCs w:val="21"/>
                <w:highlight w:val="none"/>
              </w:rPr>
              <w:t>¥</w:t>
            </w:r>
            <w:r>
              <w:rPr>
                <w:rFonts w:hint="eastAsia"/>
                <w:color w:val="auto"/>
                <w:szCs w:val="21"/>
                <w:highlight w:val="none"/>
                <w:lang w:val="en-US" w:eastAsia="zh-CN"/>
              </w:rPr>
              <w:t>50</w:t>
            </w:r>
            <w:r>
              <w:rPr>
                <w:color w:val="auto"/>
                <w:szCs w:val="21"/>
                <w:highlight w:val="none"/>
              </w:rPr>
              <w:t>0,000.00</w:t>
            </w:r>
            <w:r>
              <w:rPr>
                <w:rFonts w:hint="eastAsia"/>
                <w:color w:val="auto"/>
                <w:szCs w:val="21"/>
                <w:highlight w:val="none"/>
              </w:rPr>
              <w:t>）</w:t>
            </w:r>
          </w:p>
          <w:p w14:paraId="3513D6A0">
            <w:pPr>
              <w:spacing w:line="300" w:lineRule="exact"/>
              <w:jc w:val="left"/>
              <w:rPr>
                <w:color w:val="auto"/>
                <w:szCs w:val="21"/>
                <w:highlight w:val="none"/>
              </w:rPr>
            </w:pPr>
            <w:r>
              <w:rPr>
                <w:rFonts w:hint="eastAsia"/>
                <w:color w:val="auto"/>
                <w:szCs w:val="21"/>
                <w:highlight w:val="none"/>
              </w:rPr>
              <w:t>1、缴纳方式一：</w:t>
            </w:r>
          </w:p>
          <w:p w14:paraId="4BC53A98">
            <w:pPr>
              <w:spacing w:line="300" w:lineRule="exact"/>
              <w:jc w:val="left"/>
              <w:rPr>
                <w:color w:val="auto"/>
                <w:szCs w:val="21"/>
                <w:highlight w:val="none"/>
              </w:rPr>
            </w:pPr>
            <w:r>
              <w:rPr>
                <w:rFonts w:hint="eastAsia" w:ascii="宋体" w:hAnsi="宋体"/>
                <w:color w:val="auto"/>
                <w:szCs w:val="21"/>
                <w:highlight w:val="none"/>
              </w:rPr>
              <w:t>（1）</w:t>
            </w:r>
            <w:r>
              <w:rPr>
                <w:rFonts w:hint="eastAsia"/>
                <w:color w:val="auto"/>
                <w:szCs w:val="21"/>
                <w:highlight w:val="none"/>
                <w:lang w:eastAsia="zh-CN"/>
              </w:rPr>
              <w:t>投标人</w:t>
            </w:r>
            <w:r>
              <w:rPr>
                <w:color w:val="auto"/>
                <w:szCs w:val="21"/>
                <w:highlight w:val="none"/>
              </w:rPr>
              <w:t>应于</w:t>
            </w:r>
            <w:r>
              <w:rPr>
                <w:rFonts w:hint="eastAsia"/>
                <w:color w:val="auto"/>
                <w:szCs w:val="21"/>
                <w:highlight w:val="none"/>
              </w:rPr>
              <w:t>投标截止</w:t>
            </w:r>
            <w:r>
              <w:rPr>
                <w:color w:val="auto"/>
                <w:szCs w:val="21"/>
                <w:highlight w:val="none"/>
              </w:rPr>
              <w:t>时间前将投标保证金以电汇、转账形式从</w:t>
            </w:r>
            <w:r>
              <w:rPr>
                <w:rFonts w:hint="eastAsia"/>
                <w:color w:val="auto"/>
                <w:szCs w:val="21"/>
                <w:highlight w:val="none"/>
                <w:lang w:eastAsia="zh-CN"/>
              </w:rPr>
              <w:t>投标人</w:t>
            </w:r>
            <w:r>
              <w:rPr>
                <w:color w:val="auto"/>
                <w:szCs w:val="21"/>
                <w:highlight w:val="none"/>
              </w:rPr>
              <w:t>账户一次性足额</w:t>
            </w:r>
            <w:r>
              <w:rPr>
                <w:rFonts w:hint="eastAsia"/>
                <w:color w:val="auto"/>
                <w:szCs w:val="21"/>
                <w:highlight w:val="none"/>
              </w:rPr>
              <w:t>缴</w:t>
            </w:r>
            <w:r>
              <w:rPr>
                <w:color w:val="auto"/>
                <w:szCs w:val="21"/>
                <w:highlight w:val="none"/>
              </w:rPr>
              <w:t>纳至本项目（各</w:t>
            </w:r>
            <w:r>
              <w:rPr>
                <w:rFonts w:hint="eastAsia"/>
                <w:color w:val="auto"/>
                <w:szCs w:val="21"/>
                <w:highlight w:val="none"/>
              </w:rPr>
              <w:t>分标</w:t>
            </w:r>
            <w:r>
              <w:rPr>
                <w:color w:val="auto"/>
                <w:szCs w:val="21"/>
                <w:highlight w:val="none"/>
              </w:rPr>
              <w:t>）对应的专用虚拟账号，所交纳的投标保证金仅限当次项目（</w:t>
            </w:r>
            <w:r>
              <w:rPr>
                <w:rFonts w:hint="eastAsia"/>
                <w:color w:val="auto"/>
                <w:szCs w:val="21"/>
                <w:highlight w:val="none"/>
              </w:rPr>
              <w:t>分标</w:t>
            </w:r>
            <w:r>
              <w:rPr>
                <w:color w:val="auto"/>
                <w:szCs w:val="21"/>
                <w:highlight w:val="none"/>
              </w:rPr>
              <w:t>）有效，不得重复替代使用。本项目投标保证金</w:t>
            </w:r>
            <w:r>
              <w:rPr>
                <w:rFonts w:hint="eastAsia"/>
                <w:color w:val="auto"/>
                <w:szCs w:val="21"/>
                <w:highlight w:val="none"/>
              </w:rPr>
              <w:t>缴</w:t>
            </w:r>
            <w:r>
              <w:rPr>
                <w:color w:val="auto"/>
                <w:szCs w:val="21"/>
                <w:highlight w:val="none"/>
              </w:rPr>
              <w:t>纳专用虚拟账号信息</w:t>
            </w:r>
            <w:r>
              <w:rPr>
                <w:rFonts w:hint="eastAsia"/>
                <w:color w:val="auto"/>
                <w:szCs w:val="21"/>
                <w:highlight w:val="none"/>
              </w:rPr>
              <w:t>如下：</w:t>
            </w:r>
          </w:p>
          <w:p w14:paraId="330EE8F6">
            <w:pPr>
              <w:spacing w:line="300" w:lineRule="exact"/>
              <w:jc w:val="left"/>
              <w:rPr>
                <w:rFonts w:hint="eastAsia"/>
                <w:color w:val="auto"/>
                <w:szCs w:val="21"/>
                <w:highlight w:val="none"/>
              </w:rPr>
            </w:pPr>
            <w:r>
              <w:rPr>
                <w:rFonts w:hint="eastAsia"/>
                <w:color w:val="auto"/>
                <w:szCs w:val="21"/>
                <w:highlight w:val="none"/>
              </w:rPr>
              <w:t>开户银行：平安银行南宁分行营业部</w:t>
            </w:r>
          </w:p>
          <w:p w14:paraId="2A7DF278">
            <w:pPr>
              <w:spacing w:line="300" w:lineRule="exact"/>
              <w:jc w:val="left"/>
              <w:rPr>
                <w:rFonts w:hint="eastAsia"/>
                <w:color w:val="auto"/>
                <w:szCs w:val="21"/>
                <w:highlight w:val="none"/>
              </w:rPr>
            </w:pPr>
            <w:r>
              <w:rPr>
                <w:rFonts w:hint="eastAsia"/>
                <w:color w:val="auto"/>
                <w:szCs w:val="21"/>
                <w:highlight w:val="none"/>
              </w:rPr>
              <w:t>开户名称：广西机电设备招标有限公司</w:t>
            </w:r>
          </w:p>
          <w:p w14:paraId="5223D06F">
            <w:pPr>
              <w:spacing w:line="300" w:lineRule="exact"/>
              <w:jc w:val="left"/>
              <w:rPr>
                <w:rFonts w:hint="eastAsia"/>
                <w:color w:val="auto"/>
                <w:szCs w:val="21"/>
                <w:highlight w:val="none"/>
              </w:rPr>
            </w:pPr>
            <w:r>
              <w:rPr>
                <w:rFonts w:hint="eastAsia"/>
                <w:color w:val="auto"/>
                <w:szCs w:val="21"/>
                <w:highlight w:val="none"/>
              </w:rPr>
              <w:t>开户账户：30210485670280</w:t>
            </w:r>
          </w:p>
          <w:p w14:paraId="160BC2DC">
            <w:pPr>
              <w:spacing w:line="300" w:lineRule="exact"/>
              <w:jc w:val="left"/>
              <w:rPr>
                <w:color w:val="auto"/>
                <w:szCs w:val="21"/>
                <w:highlight w:val="none"/>
              </w:rPr>
            </w:pPr>
            <w:r>
              <w:rPr>
                <w:color w:val="auto"/>
                <w:szCs w:val="21"/>
                <w:highlight w:val="none"/>
              </w:rPr>
              <w:t>特别说明：本项目保证金采用虚拟账号，为保证投标保证金与项目一一对应，</w:t>
            </w:r>
            <w:r>
              <w:rPr>
                <w:rFonts w:hint="eastAsia"/>
                <w:color w:val="auto"/>
                <w:szCs w:val="21"/>
                <w:highlight w:val="none"/>
                <w:lang w:eastAsia="zh-CN"/>
              </w:rPr>
              <w:t>投标人</w:t>
            </w:r>
            <w:r>
              <w:rPr>
                <w:color w:val="auto"/>
                <w:szCs w:val="21"/>
                <w:highlight w:val="none"/>
              </w:rPr>
              <w:t>如</w:t>
            </w:r>
            <w:r>
              <w:rPr>
                <w:rFonts w:hint="eastAsia"/>
                <w:color w:val="auto"/>
                <w:szCs w:val="21"/>
                <w:highlight w:val="none"/>
              </w:rPr>
              <w:t>参加</w:t>
            </w:r>
            <w:r>
              <w:rPr>
                <w:color w:val="auto"/>
                <w:szCs w:val="21"/>
                <w:highlight w:val="none"/>
              </w:rPr>
              <w:t>本项目多个</w:t>
            </w:r>
            <w:r>
              <w:rPr>
                <w:rFonts w:hint="eastAsia"/>
                <w:color w:val="auto"/>
                <w:szCs w:val="21"/>
                <w:highlight w:val="none"/>
              </w:rPr>
              <w:t>分标</w:t>
            </w:r>
            <w:r>
              <w:rPr>
                <w:color w:val="auto"/>
                <w:szCs w:val="21"/>
                <w:highlight w:val="none"/>
              </w:rPr>
              <w:t>的</w:t>
            </w:r>
            <w:r>
              <w:rPr>
                <w:rFonts w:hint="eastAsia"/>
                <w:color w:val="auto"/>
                <w:szCs w:val="21"/>
                <w:highlight w:val="none"/>
              </w:rPr>
              <w:t>投标</w:t>
            </w:r>
            <w:r>
              <w:rPr>
                <w:color w:val="auto"/>
                <w:szCs w:val="21"/>
                <w:highlight w:val="none"/>
              </w:rPr>
              <w:t>，应按各</w:t>
            </w:r>
            <w:r>
              <w:rPr>
                <w:rFonts w:hint="eastAsia"/>
                <w:color w:val="auto"/>
                <w:szCs w:val="21"/>
                <w:highlight w:val="none"/>
              </w:rPr>
              <w:t>分标</w:t>
            </w:r>
            <w:r>
              <w:rPr>
                <w:color w:val="auto"/>
                <w:szCs w:val="21"/>
                <w:highlight w:val="none"/>
              </w:rPr>
              <w:t>对应的专用虚拟账号分别</w:t>
            </w:r>
            <w:r>
              <w:rPr>
                <w:rFonts w:hint="eastAsia"/>
                <w:color w:val="auto"/>
                <w:szCs w:val="21"/>
                <w:highlight w:val="none"/>
              </w:rPr>
              <w:t>缴纳</w:t>
            </w:r>
            <w:r>
              <w:rPr>
                <w:color w:val="auto"/>
                <w:szCs w:val="21"/>
                <w:highlight w:val="none"/>
              </w:rPr>
              <w:t>投标保证金。</w:t>
            </w:r>
          </w:p>
          <w:p w14:paraId="2CAA1715">
            <w:pPr>
              <w:spacing w:line="300" w:lineRule="exact"/>
              <w:jc w:val="left"/>
              <w:rPr>
                <w:color w:val="auto"/>
                <w:szCs w:val="21"/>
                <w:highlight w:val="none"/>
              </w:rPr>
            </w:pPr>
            <w:r>
              <w:rPr>
                <w:rFonts w:hint="eastAsia" w:ascii="宋体" w:hAnsi="宋体"/>
                <w:color w:val="auto"/>
                <w:szCs w:val="21"/>
                <w:highlight w:val="none"/>
              </w:rPr>
              <w:t>（2）</w:t>
            </w:r>
            <w:r>
              <w:rPr>
                <w:color w:val="auto"/>
                <w:szCs w:val="21"/>
                <w:highlight w:val="none"/>
              </w:rPr>
              <w:t>投标保证金币种应与投标报价币种相同。</w:t>
            </w:r>
            <w:r>
              <w:rPr>
                <w:rFonts w:hint="eastAsia"/>
                <w:color w:val="auto"/>
                <w:szCs w:val="21"/>
                <w:highlight w:val="none"/>
              </w:rPr>
              <w:t>投标</w:t>
            </w:r>
            <w:r>
              <w:rPr>
                <w:color w:val="auto"/>
                <w:szCs w:val="21"/>
                <w:highlight w:val="none"/>
              </w:rPr>
              <w:t>保证金</w:t>
            </w:r>
            <w:r>
              <w:rPr>
                <w:rFonts w:hint="eastAsia"/>
                <w:color w:val="auto"/>
                <w:szCs w:val="21"/>
                <w:highlight w:val="none"/>
              </w:rPr>
              <w:t>缴纳</w:t>
            </w:r>
            <w:r>
              <w:rPr>
                <w:color w:val="auto"/>
                <w:szCs w:val="21"/>
                <w:highlight w:val="none"/>
              </w:rPr>
              <w:t>后无需开具收据，</w:t>
            </w:r>
            <w:r>
              <w:rPr>
                <w:rFonts w:hint="eastAsia"/>
                <w:color w:val="auto"/>
                <w:szCs w:val="21"/>
                <w:highlight w:val="none"/>
                <w:lang w:eastAsia="zh-CN"/>
              </w:rPr>
              <w:t>投标人</w:t>
            </w:r>
            <w:r>
              <w:rPr>
                <w:rFonts w:hint="eastAsia"/>
                <w:color w:val="auto"/>
                <w:szCs w:val="21"/>
                <w:highlight w:val="none"/>
              </w:rPr>
              <w:t>应在投标文件中放入转账底单或电汇凭证的复印件，</w:t>
            </w:r>
            <w:r>
              <w:rPr>
                <w:color w:val="auto"/>
                <w:szCs w:val="21"/>
                <w:highlight w:val="none"/>
              </w:rPr>
              <w:t>必须在</w:t>
            </w:r>
            <w:r>
              <w:rPr>
                <w:rFonts w:hint="eastAsia"/>
                <w:color w:val="auto"/>
                <w:szCs w:val="21"/>
                <w:highlight w:val="none"/>
              </w:rPr>
              <w:t>投标</w:t>
            </w:r>
            <w:r>
              <w:rPr>
                <w:color w:val="auto"/>
                <w:szCs w:val="21"/>
                <w:highlight w:val="none"/>
              </w:rPr>
              <w:t>截</w:t>
            </w:r>
            <w:r>
              <w:rPr>
                <w:rFonts w:hint="eastAsia"/>
                <w:color w:val="auto"/>
                <w:szCs w:val="21"/>
                <w:highlight w:val="none"/>
              </w:rPr>
              <w:t>止</w:t>
            </w:r>
            <w:r>
              <w:rPr>
                <w:color w:val="auto"/>
                <w:szCs w:val="21"/>
                <w:highlight w:val="none"/>
              </w:rPr>
              <w:t>时间之前到达指定账号，其到账时间以银行确认的到账时间为准。</w:t>
            </w:r>
          </w:p>
          <w:p w14:paraId="7DF3EAF0">
            <w:pPr>
              <w:spacing w:line="300" w:lineRule="exact"/>
              <w:jc w:val="left"/>
              <w:rPr>
                <w:color w:val="auto"/>
                <w:szCs w:val="21"/>
                <w:highlight w:val="none"/>
              </w:rPr>
            </w:pPr>
            <w:r>
              <w:rPr>
                <w:rFonts w:hint="eastAsia" w:ascii="宋体" w:hAnsi="宋体"/>
                <w:color w:val="auto"/>
                <w:szCs w:val="21"/>
                <w:highlight w:val="none"/>
              </w:rPr>
              <w:t>（3）</w:t>
            </w:r>
            <w:r>
              <w:rPr>
                <w:color w:val="auto"/>
                <w:szCs w:val="21"/>
                <w:highlight w:val="none"/>
              </w:rPr>
              <w:t>除</w:t>
            </w:r>
            <w:r>
              <w:rPr>
                <w:rFonts w:hint="eastAsia"/>
                <w:color w:val="auto"/>
                <w:szCs w:val="21"/>
                <w:highlight w:val="none"/>
              </w:rPr>
              <w:t>招标文件</w:t>
            </w:r>
            <w:r>
              <w:rPr>
                <w:color w:val="auto"/>
                <w:szCs w:val="21"/>
                <w:highlight w:val="none"/>
              </w:rPr>
              <w:t>规定不予退还保证金的情形外，采购代理机构</w:t>
            </w:r>
            <w:r>
              <w:rPr>
                <w:rFonts w:hint="eastAsia"/>
                <w:color w:val="auto"/>
                <w:szCs w:val="21"/>
                <w:highlight w:val="none"/>
              </w:rPr>
              <w:t>在法定时间内通过银行原路</w:t>
            </w:r>
            <w:r>
              <w:rPr>
                <w:color w:val="auto"/>
                <w:szCs w:val="21"/>
                <w:highlight w:val="none"/>
              </w:rPr>
              <w:t>退</w:t>
            </w:r>
            <w:r>
              <w:rPr>
                <w:rFonts w:hint="eastAsia"/>
                <w:color w:val="auto"/>
                <w:szCs w:val="21"/>
                <w:highlight w:val="none"/>
              </w:rPr>
              <w:t>还保证金至</w:t>
            </w:r>
            <w:r>
              <w:rPr>
                <w:rFonts w:hint="eastAsia"/>
                <w:color w:val="auto"/>
                <w:szCs w:val="21"/>
                <w:highlight w:val="none"/>
                <w:lang w:eastAsia="zh-CN"/>
              </w:rPr>
              <w:t>投标人</w:t>
            </w:r>
            <w:r>
              <w:rPr>
                <w:rFonts w:hint="eastAsia"/>
                <w:color w:val="auto"/>
                <w:szCs w:val="21"/>
                <w:highlight w:val="none"/>
              </w:rPr>
              <w:t>缴纳账户。</w:t>
            </w:r>
            <w:r>
              <w:rPr>
                <w:rFonts w:hint="eastAsia"/>
                <w:color w:val="auto"/>
                <w:szCs w:val="21"/>
                <w:highlight w:val="none"/>
                <w:lang w:eastAsia="zh-CN"/>
              </w:rPr>
              <w:t>投标人</w:t>
            </w:r>
            <w:r>
              <w:rPr>
                <w:color w:val="auto"/>
                <w:szCs w:val="21"/>
                <w:highlight w:val="none"/>
              </w:rPr>
              <w:t>自行承担</w:t>
            </w:r>
            <w:r>
              <w:rPr>
                <w:rFonts w:hint="eastAsia"/>
                <w:color w:val="auto"/>
                <w:szCs w:val="21"/>
                <w:highlight w:val="none"/>
              </w:rPr>
              <w:t>交纳保证金后未参加投标活动或投标保证金缴纳错误而</w:t>
            </w:r>
            <w:r>
              <w:rPr>
                <w:color w:val="auto"/>
                <w:szCs w:val="21"/>
                <w:highlight w:val="none"/>
              </w:rPr>
              <w:t>导致</w:t>
            </w:r>
            <w:r>
              <w:rPr>
                <w:rFonts w:hint="eastAsia"/>
                <w:color w:val="auto"/>
                <w:szCs w:val="21"/>
                <w:highlight w:val="none"/>
              </w:rPr>
              <w:t>投标</w:t>
            </w:r>
            <w:r>
              <w:rPr>
                <w:color w:val="auto"/>
                <w:szCs w:val="21"/>
                <w:highlight w:val="none"/>
              </w:rPr>
              <w:t>保证金无法及时退还的责任</w:t>
            </w:r>
            <w:r>
              <w:rPr>
                <w:rFonts w:hint="eastAsia"/>
                <w:color w:val="auto"/>
                <w:szCs w:val="21"/>
                <w:highlight w:val="none"/>
              </w:rPr>
              <w:t>。</w:t>
            </w:r>
          </w:p>
          <w:p w14:paraId="159F205F">
            <w:pPr>
              <w:spacing w:line="300" w:lineRule="exact"/>
              <w:jc w:val="left"/>
              <w:rPr>
                <w:color w:val="auto"/>
                <w:szCs w:val="21"/>
                <w:highlight w:val="none"/>
              </w:rPr>
            </w:pPr>
            <w:r>
              <w:rPr>
                <w:rFonts w:hint="eastAsia"/>
                <w:color w:val="auto"/>
                <w:szCs w:val="21"/>
                <w:highlight w:val="none"/>
              </w:rPr>
              <w:t>2、缴纳方式二：</w:t>
            </w:r>
          </w:p>
          <w:p w14:paraId="548EACC4">
            <w:pPr>
              <w:spacing w:line="300" w:lineRule="exact"/>
              <w:jc w:val="left"/>
              <w:rPr>
                <w:color w:val="auto"/>
                <w:szCs w:val="21"/>
                <w:highlight w:val="none"/>
              </w:rPr>
            </w:pPr>
            <w:r>
              <w:rPr>
                <w:rFonts w:hint="eastAsia"/>
                <w:color w:val="auto"/>
                <w:szCs w:val="21"/>
                <w:highlight w:val="none"/>
                <w:lang w:eastAsia="zh-CN"/>
              </w:rPr>
              <w:t>投标人</w:t>
            </w:r>
            <w:r>
              <w:rPr>
                <w:rFonts w:hint="eastAsia"/>
                <w:color w:val="auto"/>
                <w:szCs w:val="21"/>
                <w:highlight w:val="none"/>
              </w:rPr>
              <w:t>可于投标截止时间前选择支票、汇票、本票或金融机构、担保机构出具的保函等非现金形式缴纳的，</w:t>
            </w:r>
            <w:r>
              <w:rPr>
                <w:rFonts w:hint="eastAsia"/>
                <w:color w:val="auto"/>
                <w:szCs w:val="21"/>
                <w:highlight w:val="none"/>
                <w:lang w:eastAsia="zh-CN"/>
              </w:rPr>
              <w:t>投标人</w:t>
            </w:r>
            <w:r>
              <w:rPr>
                <w:rFonts w:hint="eastAsia"/>
                <w:color w:val="auto"/>
                <w:szCs w:val="21"/>
                <w:highlight w:val="none"/>
              </w:rPr>
              <w:t>应在投标文件中放入支票、汇票、本票或金融机构、担保机构出具的保函的复印件，保函出具格式详见第六章投标文件格式，在投标截止时间前，</w:t>
            </w:r>
            <w:r>
              <w:rPr>
                <w:rFonts w:hint="eastAsia"/>
                <w:color w:val="auto"/>
                <w:szCs w:val="21"/>
                <w:highlight w:val="none"/>
                <w:lang w:eastAsia="zh-CN"/>
              </w:rPr>
              <w:t>投标人</w:t>
            </w:r>
            <w:r>
              <w:rPr>
                <w:rFonts w:hint="eastAsia"/>
                <w:color w:val="auto"/>
                <w:szCs w:val="21"/>
                <w:highlight w:val="none"/>
              </w:rPr>
              <w:t>必须以现场提交或邮寄方式向采购代理机构递交支票、汇票、本票或者保函原件，保证金原件放入一个密封袋中，并在封口处加盖</w:t>
            </w:r>
            <w:r>
              <w:rPr>
                <w:rFonts w:hint="eastAsia"/>
                <w:color w:val="auto"/>
                <w:szCs w:val="21"/>
                <w:highlight w:val="none"/>
                <w:lang w:eastAsia="zh-CN"/>
              </w:rPr>
              <w:t>投标人</w:t>
            </w:r>
            <w:r>
              <w:rPr>
                <w:rFonts w:hint="eastAsia"/>
                <w:color w:val="auto"/>
                <w:szCs w:val="21"/>
                <w:highlight w:val="none"/>
              </w:rPr>
              <w:t>公章或被授权人签字，在封套上标记“项目名称（项目编号）投标保证金”字样。具体收件地址、收件人及联系电话详见招标公告。</w:t>
            </w:r>
          </w:p>
          <w:p w14:paraId="1685BA7E">
            <w:pPr>
              <w:spacing w:line="300" w:lineRule="exact"/>
              <w:jc w:val="left"/>
              <w:rPr>
                <w:color w:val="auto"/>
                <w:szCs w:val="21"/>
                <w:highlight w:val="none"/>
              </w:rPr>
            </w:pPr>
            <w:r>
              <w:rPr>
                <w:rFonts w:hint="eastAsia"/>
                <w:color w:val="auto"/>
                <w:szCs w:val="21"/>
                <w:highlight w:val="none"/>
              </w:rPr>
              <w:t>3、投标保证金有下列情形之一的，视为保证金无效：</w:t>
            </w:r>
          </w:p>
          <w:p w14:paraId="31789495">
            <w:pPr>
              <w:spacing w:line="300" w:lineRule="exact"/>
              <w:jc w:val="left"/>
              <w:rPr>
                <w:color w:val="auto"/>
                <w:szCs w:val="21"/>
                <w:highlight w:val="none"/>
              </w:rPr>
            </w:pPr>
            <w:r>
              <w:rPr>
                <w:rFonts w:hint="eastAsia"/>
                <w:color w:val="auto"/>
                <w:szCs w:val="21"/>
                <w:highlight w:val="none"/>
              </w:rPr>
              <w:t>（1）保证金在投标截止时间后提交的，或者不按规定交纳方式交纳的，或者未足额交纳的（包含保函额度不足的）的；</w:t>
            </w:r>
          </w:p>
          <w:p w14:paraId="01C7390B">
            <w:pPr>
              <w:spacing w:line="300" w:lineRule="exact"/>
              <w:jc w:val="left"/>
              <w:rPr>
                <w:color w:val="auto"/>
                <w:szCs w:val="21"/>
                <w:highlight w:val="none"/>
              </w:rPr>
            </w:pPr>
            <w:r>
              <w:rPr>
                <w:rFonts w:hint="eastAsia"/>
                <w:color w:val="auto"/>
                <w:szCs w:val="21"/>
                <w:highlight w:val="none"/>
              </w:rPr>
              <w:t>（2）支票、汇票或者本票出现无效或者背书情形的；</w:t>
            </w:r>
          </w:p>
          <w:p w14:paraId="0A9F5134">
            <w:pPr>
              <w:spacing w:line="300" w:lineRule="exact"/>
              <w:jc w:val="left"/>
              <w:rPr>
                <w:color w:val="auto"/>
                <w:szCs w:val="21"/>
                <w:highlight w:val="none"/>
              </w:rPr>
            </w:pPr>
            <w:r>
              <w:rPr>
                <w:rFonts w:hint="eastAsia"/>
                <w:color w:val="auto"/>
                <w:szCs w:val="21"/>
                <w:highlight w:val="none"/>
              </w:rPr>
              <w:t>（3）保函有效期低于投标有效期的；</w:t>
            </w:r>
          </w:p>
          <w:p w14:paraId="4F8CB6DF">
            <w:pPr>
              <w:spacing w:line="300" w:lineRule="exact"/>
              <w:jc w:val="left"/>
              <w:rPr>
                <w:color w:val="auto"/>
                <w:szCs w:val="21"/>
                <w:highlight w:val="none"/>
              </w:rPr>
            </w:pPr>
            <w:r>
              <w:rPr>
                <w:rFonts w:hint="eastAsia"/>
                <w:color w:val="auto"/>
                <w:szCs w:val="21"/>
                <w:highlight w:val="none"/>
              </w:rPr>
              <w:t>（4）非金融机构、担保机构出具保函的、非无条件保函的。</w:t>
            </w:r>
          </w:p>
          <w:p w14:paraId="4F7BFF19">
            <w:pPr>
              <w:spacing w:line="300" w:lineRule="exact"/>
              <w:jc w:val="left"/>
              <w:rPr>
                <w:color w:val="auto"/>
                <w:szCs w:val="21"/>
                <w:highlight w:val="none"/>
              </w:rPr>
            </w:pPr>
            <w:r>
              <w:rPr>
                <w:rFonts w:hint="eastAsia"/>
                <w:color w:val="auto"/>
                <w:szCs w:val="21"/>
                <w:highlight w:val="none"/>
              </w:rPr>
              <w:t>4、</w:t>
            </w:r>
            <w:r>
              <w:rPr>
                <w:color w:val="auto"/>
                <w:szCs w:val="21"/>
                <w:highlight w:val="none"/>
              </w:rPr>
              <w:t>财务部联系电话：0771-2821398</w:t>
            </w:r>
          </w:p>
          <w:p w14:paraId="6E691BE0">
            <w:pPr>
              <w:spacing w:line="300" w:lineRule="exact"/>
              <w:jc w:val="left"/>
              <w:rPr>
                <w:b/>
                <w:bCs/>
                <w:color w:val="auto"/>
                <w:szCs w:val="21"/>
                <w:highlight w:val="none"/>
              </w:rPr>
            </w:pPr>
            <w:r>
              <w:rPr>
                <w:rFonts w:hint="eastAsia"/>
                <w:b/>
                <w:bCs/>
                <w:color w:val="auto"/>
                <w:szCs w:val="21"/>
                <w:highlight w:val="none"/>
              </w:rPr>
              <w:t>注：为保证投标保证金退还的及时性与便利性，鼓励优先采用方式一递交投标保证金。</w:t>
            </w:r>
          </w:p>
        </w:tc>
      </w:tr>
      <w:tr w14:paraId="2E6918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55" w:type="dxa"/>
            <w:tcBorders>
              <w:left w:val="single" w:color="auto" w:sz="4" w:space="0"/>
              <w:right w:val="single" w:color="auto" w:sz="4" w:space="0"/>
            </w:tcBorders>
            <w:noWrap w:val="0"/>
            <w:vAlign w:val="center"/>
          </w:tcPr>
          <w:p w14:paraId="6B1BC2C2">
            <w:pPr>
              <w:spacing w:line="300" w:lineRule="exact"/>
              <w:jc w:val="center"/>
              <w:rPr>
                <w:b/>
                <w:color w:val="auto"/>
                <w:szCs w:val="21"/>
                <w:highlight w:val="none"/>
              </w:rPr>
            </w:pPr>
            <w:r>
              <w:rPr>
                <w:rFonts w:hint="eastAsia"/>
                <w:b/>
                <w:color w:val="auto"/>
                <w:szCs w:val="21"/>
                <w:highlight w:val="none"/>
              </w:rPr>
              <w:t>3</w:t>
            </w:r>
            <w:r>
              <w:rPr>
                <w:b/>
                <w:color w:val="auto"/>
                <w:szCs w:val="21"/>
                <w:highlight w:val="none"/>
              </w:rPr>
              <w:t>.6</w:t>
            </w:r>
          </w:p>
        </w:tc>
        <w:tc>
          <w:tcPr>
            <w:tcW w:w="1230" w:type="dxa"/>
            <w:tcBorders>
              <w:top w:val="single" w:color="auto" w:sz="4" w:space="0"/>
              <w:left w:val="single" w:color="auto" w:sz="4" w:space="0"/>
              <w:right w:val="single" w:color="auto" w:sz="4" w:space="0"/>
            </w:tcBorders>
            <w:noWrap w:val="0"/>
            <w:vAlign w:val="center"/>
          </w:tcPr>
          <w:p w14:paraId="4E9B417C">
            <w:pPr>
              <w:spacing w:line="300" w:lineRule="exact"/>
              <w:jc w:val="center"/>
              <w:rPr>
                <w:color w:val="auto"/>
                <w:szCs w:val="21"/>
                <w:highlight w:val="none"/>
              </w:rPr>
            </w:pPr>
            <w:r>
              <w:rPr>
                <w:rFonts w:hint="eastAsia"/>
                <w:color w:val="auto"/>
                <w:szCs w:val="21"/>
                <w:highlight w:val="none"/>
              </w:rPr>
              <w:t>投标文件的编制</w:t>
            </w:r>
          </w:p>
        </w:tc>
        <w:tc>
          <w:tcPr>
            <w:tcW w:w="7229" w:type="dxa"/>
            <w:tcBorders>
              <w:top w:val="single" w:color="auto" w:sz="4" w:space="0"/>
              <w:left w:val="single" w:color="auto" w:sz="4" w:space="0"/>
              <w:right w:val="single" w:color="auto" w:sz="4" w:space="0"/>
            </w:tcBorders>
            <w:noWrap w:val="0"/>
            <w:vAlign w:val="center"/>
          </w:tcPr>
          <w:p w14:paraId="16D3036E">
            <w:pPr>
              <w:spacing w:line="300" w:lineRule="exact"/>
              <w:jc w:val="left"/>
              <w:rPr>
                <w:color w:val="auto"/>
                <w:szCs w:val="21"/>
                <w:highlight w:val="none"/>
              </w:rPr>
            </w:pPr>
            <w:r>
              <w:rPr>
                <w:rFonts w:hint="eastAsia" w:hAnsi="宋体"/>
                <w:color w:val="auto"/>
                <w:szCs w:val="21"/>
                <w:highlight w:val="none"/>
              </w:rPr>
              <w:t>投标文件应按第六章投标文件格式分别编制并使用下载的</w:t>
            </w:r>
            <w:r>
              <w:rPr>
                <w:rFonts w:hint="eastAsia"/>
                <w:color w:val="auto"/>
                <w:szCs w:val="21"/>
                <w:highlight w:val="none"/>
              </w:rPr>
              <w:t>广西政府采购云平台新版客户端</w:t>
            </w:r>
            <w:r>
              <w:rPr>
                <w:rFonts w:hint="eastAsia" w:hAnsi="宋体"/>
                <w:color w:val="auto"/>
                <w:szCs w:val="21"/>
                <w:highlight w:val="none"/>
              </w:rPr>
              <w:t>制作并上传。</w:t>
            </w:r>
          </w:p>
        </w:tc>
      </w:tr>
      <w:tr w14:paraId="074921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55101AB3">
            <w:pPr>
              <w:spacing w:line="300" w:lineRule="exact"/>
              <w:jc w:val="center"/>
              <w:rPr>
                <w:b/>
                <w:color w:val="auto"/>
                <w:szCs w:val="21"/>
                <w:highlight w:val="none"/>
              </w:rPr>
            </w:pPr>
            <w:r>
              <w:rPr>
                <w:b/>
                <w:color w:val="auto"/>
                <w:szCs w:val="21"/>
                <w:highlight w:val="none"/>
              </w:rPr>
              <w:t>3.7</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E570421">
            <w:pPr>
              <w:spacing w:line="300" w:lineRule="exact"/>
              <w:jc w:val="center"/>
              <w:rPr>
                <w:color w:val="auto"/>
                <w:szCs w:val="21"/>
                <w:highlight w:val="none"/>
              </w:rPr>
            </w:pPr>
            <w:r>
              <w:rPr>
                <w:color w:val="auto"/>
                <w:szCs w:val="21"/>
                <w:highlight w:val="none"/>
              </w:rPr>
              <w:t>投标文件递交</w:t>
            </w:r>
            <w:r>
              <w:rPr>
                <w:rFonts w:hint="eastAsia"/>
                <w:color w:val="auto"/>
                <w:szCs w:val="21"/>
                <w:highlight w:val="none"/>
              </w:rPr>
              <w:t>截止时间及开标时间</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F2A0A2B">
            <w:pPr>
              <w:spacing w:line="300" w:lineRule="exact"/>
              <w:jc w:val="left"/>
              <w:rPr>
                <w:color w:val="auto"/>
                <w:szCs w:val="21"/>
                <w:highlight w:val="none"/>
              </w:rPr>
            </w:pPr>
            <w:r>
              <w:rPr>
                <w:rFonts w:hint="eastAsia"/>
                <w:color w:val="auto"/>
                <w:kern w:val="0"/>
                <w:szCs w:val="21"/>
                <w:highlight w:val="none"/>
              </w:rPr>
              <w:t>见招标公告要求</w:t>
            </w:r>
            <w:r>
              <w:rPr>
                <w:rFonts w:hint="eastAsia"/>
                <w:color w:val="auto"/>
                <w:szCs w:val="21"/>
                <w:highlight w:val="none"/>
              </w:rPr>
              <w:t>。</w:t>
            </w:r>
          </w:p>
        </w:tc>
      </w:tr>
      <w:tr w14:paraId="154B08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5C0FD28D">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.2</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6FF7DDE">
            <w:pPr>
              <w:spacing w:line="300" w:lineRule="exact"/>
              <w:jc w:val="center"/>
              <w:rPr>
                <w:color w:val="auto"/>
                <w:szCs w:val="20"/>
                <w:highlight w:val="none"/>
              </w:rPr>
            </w:pPr>
            <w:r>
              <w:rPr>
                <w:rFonts w:hint="eastAsia"/>
                <w:color w:val="auto"/>
                <w:szCs w:val="21"/>
                <w:highlight w:val="none"/>
              </w:rPr>
              <w:t>备份投标文件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4B4A3A9">
            <w:pPr>
              <w:spacing w:line="276" w:lineRule="auto"/>
              <w:rPr>
                <w:rFonts w:hint="eastAsia" w:ascii="宋体" w:hAnsi="宋体"/>
                <w:color w:val="auto"/>
                <w:szCs w:val="21"/>
                <w:highlight w:val="none"/>
              </w:rPr>
            </w:pPr>
            <w:r>
              <w:rPr>
                <w:rFonts w:hint="eastAsia" w:ascii="宋体" w:hAnsi="宋体"/>
                <w:color w:val="auto"/>
                <w:szCs w:val="21"/>
                <w:highlight w:val="none"/>
              </w:rPr>
              <w:t>本项目</w:t>
            </w:r>
            <w:r>
              <w:rPr>
                <w:color w:val="auto"/>
                <w:sz w:val="22"/>
                <w:szCs w:val="22"/>
                <w:highlight w:val="none"/>
              </w:rPr>
              <w:sym w:font="Wingdings 2" w:char="F052"/>
            </w:r>
            <w:r>
              <w:rPr>
                <w:rFonts w:hint="eastAsia"/>
                <w:color w:val="auto"/>
                <w:szCs w:val="21"/>
                <w:highlight w:val="none"/>
              </w:rPr>
              <w:t>接受   □不接受</w:t>
            </w:r>
            <w:r>
              <w:rPr>
                <w:rFonts w:hint="eastAsia" w:ascii="宋体" w:hAnsi="宋体"/>
                <w:color w:val="auto"/>
                <w:szCs w:val="21"/>
                <w:highlight w:val="none"/>
              </w:rPr>
              <w:t>备份投标文件</w:t>
            </w:r>
          </w:p>
          <w:p w14:paraId="289208AD">
            <w:pPr>
              <w:spacing w:line="276" w:lineRule="auto"/>
              <w:rPr>
                <w:color w:val="auto"/>
                <w:sz w:val="22"/>
                <w:szCs w:val="22"/>
                <w:highlight w:val="none"/>
              </w:rPr>
            </w:pPr>
            <w:r>
              <w:rPr>
                <w:rFonts w:hint="eastAsia" w:ascii="宋体" w:hAnsi="宋体"/>
                <w:color w:val="auto"/>
                <w:szCs w:val="21"/>
                <w:highlight w:val="none"/>
              </w:rPr>
              <w:t>以</w:t>
            </w:r>
            <w:r>
              <w:rPr>
                <w:rFonts w:ascii="Arial" w:hAnsi="Arial" w:cs="Arial"/>
                <w:color w:val="auto"/>
                <w:kern w:val="0"/>
                <w:szCs w:val="21"/>
                <w:highlight w:val="none"/>
              </w:rPr>
              <w:t>广西政府采购云平台</w:t>
            </w:r>
            <w:r>
              <w:rPr>
                <w:rFonts w:hint="eastAsia" w:ascii="宋体" w:hAnsi="宋体"/>
                <w:color w:val="auto"/>
                <w:szCs w:val="21"/>
                <w:highlight w:val="none"/>
              </w:rPr>
              <w:t>自动生成的备份文件为依据，当项目允许接受备份响应文件时，投标人才可以按规定上传备份投标文件。</w:t>
            </w:r>
          </w:p>
        </w:tc>
      </w:tr>
      <w:tr w14:paraId="4F781D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4C2A0C64">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.3</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3FA3C83">
            <w:pPr>
              <w:spacing w:line="300" w:lineRule="exact"/>
              <w:jc w:val="center"/>
              <w:rPr>
                <w:color w:val="auto"/>
                <w:szCs w:val="21"/>
                <w:highlight w:val="none"/>
              </w:rPr>
            </w:pPr>
            <w:r>
              <w:rPr>
                <w:rFonts w:hint="eastAsia"/>
                <w:color w:val="auto"/>
                <w:szCs w:val="20"/>
                <w:highlight w:val="none"/>
              </w:rPr>
              <w:t>演示</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57EA5B1">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否   □是</w:t>
            </w:r>
          </w:p>
          <w:p w14:paraId="2E25C637">
            <w:pPr>
              <w:spacing w:line="276" w:lineRule="auto"/>
              <w:rPr>
                <w:color w:val="auto"/>
                <w:szCs w:val="21"/>
                <w:highlight w:val="none"/>
                <w:u w:val="single"/>
              </w:rPr>
            </w:pPr>
            <w:r>
              <w:rPr>
                <w:rFonts w:hint="eastAsia"/>
                <w:color w:val="auto"/>
                <w:szCs w:val="21"/>
                <w:highlight w:val="none"/>
              </w:rPr>
              <w:t>演示内容：</w:t>
            </w:r>
            <w:r>
              <w:rPr>
                <w:rFonts w:hint="eastAsia"/>
                <w:color w:val="auto"/>
                <w:szCs w:val="21"/>
                <w:highlight w:val="none"/>
                <w:u w:val="single"/>
              </w:rPr>
              <w:t xml:space="preserve"> </w:t>
            </w:r>
            <w:r>
              <w:rPr>
                <w:color w:val="auto"/>
                <w:szCs w:val="21"/>
                <w:highlight w:val="none"/>
                <w:u w:val="single"/>
              </w:rPr>
              <w:t xml:space="preserve">              </w:t>
            </w:r>
          </w:p>
          <w:p w14:paraId="4716C1F8">
            <w:pPr>
              <w:spacing w:line="276" w:lineRule="auto"/>
              <w:rPr>
                <w:color w:val="auto"/>
                <w:szCs w:val="21"/>
                <w:highlight w:val="none"/>
              </w:rPr>
            </w:pPr>
            <w:r>
              <w:rPr>
                <w:rFonts w:hint="eastAsia"/>
                <w:color w:val="auto"/>
                <w:szCs w:val="21"/>
                <w:highlight w:val="none"/>
              </w:rPr>
              <w:t>演示形式：</w:t>
            </w:r>
            <w:r>
              <w:rPr>
                <w:color w:val="auto"/>
                <w:szCs w:val="21"/>
                <w:highlight w:val="none"/>
              </w:rPr>
              <w:t xml:space="preserve"> </w:t>
            </w:r>
          </w:p>
        </w:tc>
      </w:tr>
      <w:tr w14:paraId="1C3557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52885C12">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.4</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A32DB3A">
            <w:pPr>
              <w:spacing w:line="300" w:lineRule="exact"/>
              <w:jc w:val="center"/>
              <w:rPr>
                <w:color w:val="auto"/>
                <w:szCs w:val="21"/>
                <w:highlight w:val="none"/>
              </w:rPr>
            </w:pPr>
            <w:r>
              <w:rPr>
                <w:rFonts w:hint="eastAsia"/>
                <w:color w:val="auto"/>
                <w:szCs w:val="20"/>
                <w:highlight w:val="none"/>
              </w:rPr>
              <w:t>样品</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E48EBC7">
            <w:pPr>
              <w:spacing w:line="276" w:lineRule="auto"/>
              <w:rPr>
                <w:color w:val="auto"/>
                <w:szCs w:val="21"/>
                <w:highlight w:val="none"/>
              </w:rPr>
            </w:pPr>
            <w:r>
              <w:rPr>
                <w:color w:val="auto"/>
                <w:sz w:val="24"/>
                <w:highlight w:val="none"/>
              </w:rPr>
              <w:sym w:font="Wingdings 2" w:char="F052"/>
            </w:r>
            <w:r>
              <w:rPr>
                <w:rFonts w:hint="eastAsia"/>
                <w:color w:val="auto"/>
                <w:szCs w:val="21"/>
                <w:highlight w:val="none"/>
              </w:rPr>
              <w:t>否   □是</w:t>
            </w:r>
          </w:p>
          <w:p w14:paraId="28359025">
            <w:pPr>
              <w:spacing w:line="276" w:lineRule="auto"/>
              <w:rPr>
                <w:color w:val="auto"/>
                <w:szCs w:val="21"/>
                <w:highlight w:val="none"/>
                <w:u w:val="single"/>
              </w:rPr>
            </w:pPr>
            <w:r>
              <w:rPr>
                <w:rFonts w:hint="eastAsia"/>
                <w:color w:val="auto"/>
                <w:szCs w:val="21"/>
                <w:highlight w:val="none"/>
              </w:rPr>
              <w:t>样品制作的标准和要求：</w:t>
            </w:r>
            <w:r>
              <w:rPr>
                <w:rFonts w:hint="eastAsia"/>
                <w:color w:val="auto"/>
                <w:szCs w:val="21"/>
                <w:highlight w:val="none"/>
                <w:u w:val="single"/>
              </w:rPr>
              <w:t xml:space="preserve"> </w:t>
            </w:r>
            <w:r>
              <w:rPr>
                <w:color w:val="auto"/>
                <w:szCs w:val="21"/>
                <w:highlight w:val="none"/>
                <w:u w:val="single"/>
              </w:rPr>
              <w:t xml:space="preserve">              </w:t>
            </w:r>
          </w:p>
          <w:p w14:paraId="0E38B455">
            <w:pPr>
              <w:spacing w:line="276" w:lineRule="auto"/>
              <w:rPr>
                <w:color w:val="auto"/>
                <w:szCs w:val="21"/>
                <w:highlight w:val="none"/>
                <w:u w:val="single"/>
              </w:rPr>
            </w:pPr>
            <w:r>
              <w:rPr>
                <w:rFonts w:hint="eastAsia"/>
                <w:color w:val="auto"/>
                <w:szCs w:val="21"/>
                <w:highlight w:val="none"/>
              </w:rPr>
              <w:t>样品检测机构的要求：</w:t>
            </w:r>
            <w:r>
              <w:rPr>
                <w:rFonts w:hint="eastAsia"/>
                <w:color w:val="auto"/>
                <w:szCs w:val="21"/>
                <w:highlight w:val="none"/>
                <w:u w:val="single"/>
              </w:rPr>
              <w:t xml:space="preserve"> </w:t>
            </w:r>
            <w:r>
              <w:rPr>
                <w:color w:val="auto"/>
                <w:szCs w:val="21"/>
                <w:highlight w:val="none"/>
                <w:u w:val="single"/>
              </w:rPr>
              <w:t xml:space="preserve">               </w:t>
            </w:r>
          </w:p>
          <w:p w14:paraId="57B29636">
            <w:pPr>
              <w:spacing w:line="276" w:lineRule="auto"/>
              <w:rPr>
                <w:color w:val="auto"/>
                <w:szCs w:val="21"/>
                <w:highlight w:val="none"/>
                <w:u w:val="single"/>
              </w:rPr>
            </w:pPr>
            <w:r>
              <w:rPr>
                <w:rFonts w:hint="eastAsia"/>
                <w:color w:val="auto"/>
                <w:szCs w:val="21"/>
                <w:highlight w:val="none"/>
              </w:rPr>
              <w:t>检测内容：</w:t>
            </w:r>
            <w:r>
              <w:rPr>
                <w:rFonts w:hint="eastAsia"/>
                <w:color w:val="auto"/>
                <w:szCs w:val="21"/>
                <w:highlight w:val="none"/>
                <w:u w:val="single"/>
              </w:rPr>
              <w:t xml:space="preserve"> </w:t>
            </w:r>
            <w:r>
              <w:rPr>
                <w:color w:val="auto"/>
                <w:szCs w:val="21"/>
                <w:highlight w:val="none"/>
                <w:u w:val="single"/>
              </w:rPr>
              <w:t xml:space="preserve">                    </w:t>
            </w:r>
          </w:p>
          <w:p w14:paraId="4E4A2E05">
            <w:pPr>
              <w:spacing w:line="276" w:lineRule="auto"/>
              <w:rPr>
                <w:color w:val="auto"/>
                <w:szCs w:val="21"/>
                <w:highlight w:val="none"/>
              </w:rPr>
            </w:pPr>
            <w:r>
              <w:rPr>
                <w:rFonts w:hint="eastAsia"/>
                <w:color w:val="auto"/>
                <w:szCs w:val="21"/>
                <w:highlight w:val="none"/>
              </w:rPr>
              <w:t>样品递交方式：</w:t>
            </w:r>
            <w:r>
              <w:rPr>
                <w:color w:val="auto"/>
                <w:szCs w:val="21"/>
                <w:highlight w:val="none"/>
              </w:rPr>
              <w:t xml:space="preserve"> </w:t>
            </w:r>
          </w:p>
        </w:tc>
      </w:tr>
      <w:tr w14:paraId="6D5A3A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3A51A8">
            <w:pPr>
              <w:spacing w:line="300" w:lineRule="exact"/>
              <w:jc w:val="center"/>
              <w:rPr>
                <w:rFonts w:hint="default" w:eastAsia="宋体"/>
                <w:b/>
                <w:color w:val="auto"/>
                <w:szCs w:val="21"/>
                <w:highlight w:val="none"/>
                <w:lang w:val="en-US" w:eastAsia="zh-CN"/>
              </w:rPr>
            </w:pPr>
            <w:r>
              <w:rPr>
                <w:rFonts w:hint="eastAsia"/>
                <w:b/>
                <w:color w:val="auto"/>
                <w:szCs w:val="21"/>
                <w:highlight w:val="none"/>
                <w:lang w:val="en-US" w:eastAsia="zh-CN"/>
              </w:rPr>
              <w:t>5.3.1</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E0B7D9">
            <w:pPr>
              <w:spacing w:line="300"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信用查询规则</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170BBFA">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采购人或者采购代理机构在资格审查结束前，对</w:t>
            </w:r>
            <w:r>
              <w:rPr>
                <w:rFonts w:hint="eastAsia" w:ascii="宋体" w:hAnsi="宋体"/>
                <w:color w:val="auto"/>
                <w:szCs w:val="21"/>
                <w:highlight w:val="none"/>
                <w:lang w:val="en-US" w:eastAsia="zh-CN"/>
              </w:rPr>
              <w:t>投标人</w:t>
            </w:r>
            <w:r>
              <w:rPr>
                <w:rFonts w:hint="eastAsia" w:ascii="宋体" w:hAnsi="宋体"/>
                <w:color w:val="auto"/>
                <w:szCs w:val="21"/>
                <w:highlight w:val="none"/>
                <w:lang w:eastAsia="zh-CN"/>
              </w:rPr>
              <w:t>进行信用查询。</w:t>
            </w:r>
          </w:p>
          <w:p w14:paraId="3029BDC8">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）查询渠道：</w:t>
            </w:r>
            <w:r>
              <w:rPr>
                <w:rFonts w:hint="eastAsia" w:ascii="宋体" w:hAnsi="宋体"/>
                <w:color w:val="auto"/>
                <w:szCs w:val="21"/>
                <w:highlight w:val="none"/>
                <w:lang w:val="en-US" w:eastAsia="zh-CN"/>
              </w:rPr>
              <w:t>广西政府采购云平台</w:t>
            </w:r>
            <w:r>
              <w:rPr>
                <w:rFonts w:hint="eastAsia" w:ascii="宋体" w:hAnsi="宋体"/>
                <w:color w:val="auto"/>
                <w:szCs w:val="21"/>
                <w:highlight w:val="none"/>
                <w:lang w:eastAsia="zh-CN"/>
              </w:rPr>
              <w:t>“信用中国”网站(www.creditchina.gov.cn) 、中国政府采购网(www.ccgp.gov.cn)</w:t>
            </w:r>
            <w:r>
              <w:rPr>
                <w:rFonts w:hint="eastAsia" w:ascii="宋体" w:hAnsi="宋体"/>
                <w:color w:val="auto"/>
                <w:szCs w:val="21"/>
                <w:highlight w:val="none"/>
                <w:lang w:val="en-US" w:eastAsia="zh-CN"/>
              </w:rPr>
              <w:t>链接入口</w:t>
            </w:r>
            <w:r>
              <w:rPr>
                <w:rFonts w:hint="eastAsia" w:ascii="宋体" w:hAnsi="宋体"/>
                <w:color w:val="auto"/>
                <w:szCs w:val="21"/>
                <w:highlight w:val="none"/>
                <w:lang w:eastAsia="zh-CN"/>
              </w:rPr>
              <w:t>。</w:t>
            </w:r>
          </w:p>
          <w:p w14:paraId="7FED8076">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）信用查询截止时点：</w:t>
            </w:r>
            <w:r>
              <w:rPr>
                <w:rFonts w:hint="eastAsia" w:ascii="宋体" w:hAnsi="宋体"/>
                <w:color w:val="auto"/>
                <w:szCs w:val="21"/>
                <w:highlight w:val="none"/>
                <w:lang w:val="en-US" w:eastAsia="zh-CN"/>
              </w:rPr>
              <w:t>资</w:t>
            </w:r>
            <w:r>
              <w:rPr>
                <w:rFonts w:hint="eastAsia" w:ascii="宋体" w:hAnsi="宋体"/>
                <w:color w:val="auto"/>
                <w:szCs w:val="21"/>
                <w:highlight w:val="none"/>
                <w:lang w:eastAsia="zh-CN"/>
              </w:rPr>
              <w:t>格审查结束前</w:t>
            </w:r>
          </w:p>
          <w:p w14:paraId="7E3C689C">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）查询记录和证据留存方式：在查询网站中直接截图查询记录，截图作为在“广西政府采购云”平台作为附件上传保存。</w:t>
            </w:r>
          </w:p>
          <w:p w14:paraId="01C1BF98">
            <w:pPr>
              <w:snapToGrid w:val="0"/>
              <w:spacing w:line="380" w:lineRule="exact"/>
              <w:rPr>
                <w:rFonts w:hint="eastAsia" w:ascii="宋体" w:hAnsi="宋体" w:eastAsia="宋体"/>
                <w:color w:val="auto"/>
                <w:szCs w:val="21"/>
                <w:highlight w:val="none"/>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投标人，采购人或者采购代理机构应当拒绝其参与政府采购活动。两个以上的自然人、法人或者其他组织组成一个联合体，以一个投标人的身份共同参加政府采购活动的，应当对所有联合体成员进行信用记录查询，联合体成员存在不良信用记录的，视同联合体存在不良信用记录。</w:t>
            </w:r>
          </w:p>
        </w:tc>
      </w:tr>
      <w:tr w14:paraId="0C56D3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81188E">
            <w:pPr>
              <w:spacing w:line="300" w:lineRule="exact"/>
              <w:jc w:val="center"/>
              <w:rPr>
                <w:rFonts w:hint="eastAsia" w:ascii="Times New Roman" w:hAnsi="Times New Roman" w:eastAsia="宋体" w:cs="Times New Roman"/>
                <w:b/>
                <w:color w:val="auto"/>
                <w:kern w:val="2"/>
                <w:sz w:val="21"/>
                <w:szCs w:val="21"/>
                <w:highlight w:val="none"/>
                <w:lang w:val="en-US" w:eastAsia="zh-CN" w:bidi="ar-SA"/>
              </w:rPr>
            </w:pPr>
            <w:r>
              <w:rPr>
                <w:rFonts w:hint="eastAsia"/>
                <w:b/>
                <w:color w:val="auto"/>
                <w:szCs w:val="21"/>
                <w:highlight w:val="none"/>
              </w:rPr>
              <w:t>6.</w:t>
            </w:r>
            <w:r>
              <w:rPr>
                <w:b/>
                <w:color w:val="auto"/>
                <w:szCs w:val="21"/>
                <w:highlight w:val="none"/>
              </w:rPr>
              <w:t>3</w:t>
            </w:r>
            <w:r>
              <w:rPr>
                <w:rFonts w:hint="eastAsia"/>
                <w:b/>
                <w:color w:val="auto"/>
                <w:szCs w:val="21"/>
                <w:highlight w:val="none"/>
              </w:rPr>
              <w:t>.</w:t>
            </w:r>
            <w:r>
              <w:rPr>
                <w:b/>
                <w:color w:val="auto"/>
                <w:szCs w:val="21"/>
                <w:highlight w:val="none"/>
              </w:rPr>
              <w:t>5</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F8E0F5">
            <w:pPr>
              <w:spacing w:line="300" w:lineRule="exact"/>
              <w:jc w:val="center"/>
              <w:rPr>
                <w:rFonts w:hint="eastAsia"/>
                <w:color w:val="auto"/>
                <w:szCs w:val="21"/>
                <w:highlight w:val="none"/>
                <w:lang w:val="en-US" w:eastAsia="zh-CN"/>
              </w:rPr>
            </w:pPr>
            <w:r>
              <w:rPr>
                <w:rFonts w:hint="eastAsia"/>
                <w:color w:val="auto"/>
                <w:szCs w:val="21"/>
                <w:highlight w:val="none"/>
                <w:lang w:val="en-US" w:eastAsia="zh-CN"/>
              </w:rPr>
              <w:t>异常低价审查</w:t>
            </w:r>
          </w:p>
          <w:p w14:paraId="1F71E171">
            <w:pPr>
              <w:spacing w:line="300" w:lineRule="exact"/>
              <w:jc w:val="center"/>
              <w:rPr>
                <w:rFonts w:hint="eastAsia" w:ascii="Times New Roman" w:hAnsi="Times New Roman" w:eastAsia="宋体" w:cs="Times New Roman"/>
                <w:color w:val="auto"/>
                <w:kern w:val="2"/>
                <w:sz w:val="21"/>
                <w:szCs w:val="21"/>
                <w:highlight w:val="none"/>
                <w:lang w:val="en-US" w:eastAsia="zh-CN" w:bidi="ar-SA"/>
              </w:rPr>
            </w:pP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865A420">
            <w:pPr>
              <w:spacing w:line="300" w:lineRule="exact"/>
              <w:jc w:val="left"/>
              <w:rPr>
                <w:rFonts w:hint="eastAsia"/>
                <w:color w:val="auto"/>
                <w:szCs w:val="21"/>
                <w:highlight w:val="none"/>
                <w:lang w:val="en-US" w:eastAsia="zh-CN"/>
              </w:rPr>
            </w:pPr>
            <w:r>
              <w:rPr>
                <w:rFonts w:hint="eastAsia"/>
                <w:color w:val="auto"/>
                <w:szCs w:val="21"/>
                <w:highlight w:val="none"/>
                <w:lang w:eastAsia="zh-CN"/>
              </w:rPr>
              <w:t>☑</w:t>
            </w:r>
            <w:r>
              <w:rPr>
                <w:rFonts w:hint="eastAsia"/>
                <w:color w:val="auto"/>
                <w:szCs w:val="21"/>
                <w:highlight w:val="none"/>
                <w:lang w:val="en-US" w:eastAsia="zh-CN"/>
              </w:rPr>
              <w:t>评审中出现下列情形之一的，评审委员会应当启动异常低价响应审查程序：</w:t>
            </w:r>
          </w:p>
          <w:p w14:paraId="7EC3DC4F">
            <w:pPr>
              <w:spacing w:line="276" w:lineRule="auto"/>
              <w:rPr>
                <w:rFonts w:hint="default"/>
                <w:color w:val="auto"/>
                <w:szCs w:val="21"/>
                <w:highlight w:val="none"/>
                <w:lang w:val="en-US" w:eastAsia="zh-CN"/>
              </w:rPr>
            </w:pPr>
            <w:r>
              <w:rPr>
                <w:rFonts w:hint="eastAsia"/>
                <w:color w:val="auto"/>
                <w:szCs w:val="21"/>
                <w:highlight w:val="none"/>
                <w:lang w:val="en-US" w:eastAsia="zh-CN"/>
              </w:rPr>
              <w:t>（1）投标（响应）报价低于全部通过符合性审查投标人投标（响应）报价平均值50%的，即投标（响应）报价&lt;全部通过符合性审查投标人投标（响应）报价平均值×50%；</w:t>
            </w:r>
          </w:p>
          <w:p w14:paraId="3992AA4A">
            <w:pPr>
              <w:spacing w:line="276" w:lineRule="auto"/>
              <w:rPr>
                <w:rFonts w:hint="eastAsia"/>
                <w:color w:val="auto"/>
                <w:szCs w:val="21"/>
                <w:highlight w:val="none"/>
                <w:lang w:val="en-US" w:eastAsia="zh-CN"/>
              </w:rPr>
            </w:pPr>
            <w:r>
              <w:rPr>
                <w:rFonts w:hint="eastAsia"/>
                <w:color w:val="auto"/>
                <w:szCs w:val="21"/>
                <w:highlight w:val="none"/>
                <w:lang w:val="en-US" w:eastAsia="zh-CN"/>
              </w:rPr>
              <w:t>（2）投标（响应）报价低于通过符合性审查的次低报价投标人投标（响应）报价50%的，即投标（响应）报价&lt;通过符合性审查的次低报价投标人投标（响应）报价×50%；</w:t>
            </w:r>
          </w:p>
          <w:p w14:paraId="2D895AA7">
            <w:pPr>
              <w:spacing w:line="276" w:lineRule="auto"/>
              <w:rPr>
                <w:rFonts w:hint="eastAsia"/>
                <w:color w:val="auto"/>
                <w:szCs w:val="21"/>
                <w:highlight w:val="none"/>
                <w:lang w:val="en-US" w:eastAsia="zh-CN"/>
              </w:rPr>
            </w:pPr>
            <w:r>
              <w:rPr>
                <w:rFonts w:hint="eastAsia"/>
                <w:color w:val="auto"/>
                <w:szCs w:val="21"/>
                <w:highlight w:val="none"/>
                <w:lang w:val="en-US" w:eastAsia="zh-CN"/>
              </w:rPr>
              <w:t>（3）投标（响应）报价低于采购项目最高限价45%的，即投标（响应）报价&lt;采购项目最高限价×45%；</w:t>
            </w:r>
          </w:p>
          <w:p w14:paraId="0DD08688">
            <w:pPr>
              <w:spacing w:line="276" w:lineRule="auto"/>
              <w:rPr>
                <w:color w:val="auto"/>
                <w:highlight w:val="none"/>
              </w:rPr>
            </w:pPr>
            <w:r>
              <w:rPr>
                <w:rFonts w:hint="eastAsia"/>
                <w:color w:val="auto"/>
                <w:szCs w:val="21"/>
                <w:highlight w:val="none"/>
                <w:lang w:val="en-US" w:eastAsia="zh-CN"/>
              </w:rPr>
              <w:t>（4）评审委员会基于专业判断，认为投标人报价过低，有可能影响产品质量或者不能诚信履约的其他情形。</w:t>
            </w:r>
          </w:p>
        </w:tc>
      </w:tr>
      <w:tr w14:paraId="3617CA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226EC6D6">
            <w:pPr>
              <w:spacing w:line="300" w:lineRule="exact"/>
              <w:jc w:val="center"/>
              <w:rPr>
                <w:rFonts w:hint="eastAsia" w:eastAsia="宋体"/>
                <w:b/>
                <w:color w:val="auto"/>
                <w:szCs w:val="21"/>
                <w:highlight w:val="none"/>
                <w:lang w:eastAsia="zh-CN"/>
              </w:rPr>
            </w:pPr>
            <w:r>
              <w:rPr>
                <w:rFonts w:hint="eastAsia"/>
                <w:b/>
                <w:color w:val="auto"/>
                <w:szCs w:val="21"/>
                <w:highlight w:val="none"/>
              </w:rPr>
              <w:t>6.</w:t>
            </w:r>
            <w:r>
              <w:rPr>
                <w:b/>
                <w:color w:val="auto"/>
                <w:szCs w:val="21"/>
                <w:highlight w:val="none"/>
              </w:rPr>
              <w:t>3</w:t>
            </w:r>
            <w:r>
              <w:rPr>
                <w:rFonts w:hint="eastAsia"/>
                <w:b/>
                <w:color w:val="auto"/>
                <w:szCs w:val="21"/>
                <w:highlight w:val="none"/>
              </w:rPr>
              <w:t>.</w:t>
            </w:r>
            <w:r>
              <w:rPr>
                <w:rFonts w:hint="eastAsia"/>
                <w:b/>
                <w:color w:val="auto"/>
                <w:szCs w:val="21"/>
                <w:highlight w:val="none"/>
                <w:lang w:val="en-US" w:eastAsia="zh-CN"/>
              </w:rPr>
              <w:t>6</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FC4D6BE">
            <w:pPr>
              <w:spacing w:line="300" w:lineRule="exact"/>
              <w:jc w:val="center"/>
              <w:rPr>
                <w:color w:val="auto"/>
                <w:szCs w:val="21"/>
                <w:highlight w:val="none"/>
              </w:rPr>
            </w:pPr>
            <w:r>
              <w:rPr>
                <w:rFonts w:hint="eastAsia"/>
                <w:color w:val="auto"/>
                <w:szCs w:val="21"/>
                <w:highlight w:val="none"/>
              </w:rPr>
              <w:t>相同品牌推荐方式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53E2948">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采购人委托评审委员会确定   □采购人确定</w:t>
            </w:r>
          </w:p>
        </w:tc>
      </w:tr>
      <w:tr w14:paraId="7A535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64C9C4FF">
            <w:pPr>
              <w:spacing w:line="300" w:lineRule="exact"/>
              <w:jc w:val="center"/>
              <w:rPr>
                <w:b/>
                <w:color w:val="auto"/>
                <w:szCs w:val="21"/>
                <w:highlight w:val="none"/>
              </w:rPr>
            </w:pPr>
            <w:r>
              <w:rPr>
                <w:b/>
                <w:color w:val="auto"/>
                <w:szCs w:val="21"/>
                <w:highlight w:val="none"/>
              </w:rPr>
              <w:t>6.5</w:t>
            </w:r>
            <w:r>
              <w:rPr>
                <w:rFonts w:hint="eastAsia"/>
                <w:b/>
                <w:color w:val="auto"/>
                <w:szCs w:val="21"/>
                <w:highlight w:val="none"/>
              </w:rPr>
              <w:t>.1</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0008721">
            <w:pPr>
              <w:spacing w:line="300" w:lineRule="exact"/>
              <w:jc w:val="center"/>
              <w:rPr>
                <w:color w:val="auto"/>
                <w:szCs w:val="21"/>
                <w:highlight w:val="none"/>
              </w:rPr>
            </w:pPr>
            <w:r>
              <w:rPr>
                <w:rFonts w:hint="eastAsia"/>
                <w:color w:val="auto"/>
                <w:szCs w:val="21"/>
                <w:highlight w:val="none"/>
              </w:rPr>
              <w:t>结果</w:t>
            </w:r>
            <w:r>
              <w:rPr>
                <w:color w:val="auto"/>
                <w:szCs w:val="21"/>
                <w:highlight w:val="none"/>
              </w:rPr>
              <w:t>公告</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FCB05E6">
            <w:pPr>
              <w:spacing w:line="300" w:lineRule="exact"/>
              <w:jc w:val="left"/>
              <w:rPr>
                <w:color w:val="auto"/>
                <w:szCs w:val="21"/>
                <w:highlight w:val="none"/>
              </w:rPr>
            </w:pPr>
            <w:r>
              <w:rPr>
                <w:color w:val="auto"/>
                <w:szCs w:val="21"/>
                <w:highlight w:val="none"/>
              </w:rPr>
              <w:t>采购代理机构在采购人依法确认中标人后2个工作日内在招标公告发布的媒体上发布</w:t>
            </w:r>
            <w:r>
              <w:rPr>
                <w:rFonts w:hint="eastAsia"/>
                <w:color w:val="auto"/>
                <w:szCs w:val="21"/>
                <w:highlight w:val="none"/>
              </w:rPr>
              <w:t>结果</w:t>
            </w:r>
            <w:r>
              <w:rPr>
                <w:color w:val="auto"/>
                <w:szCs w:val="21"/>
                <w:highlight w:val="none"/>
              </w:rPr>
              <w:t>公告</w:t>
            </w:r>
            <w:r>
              <w:rPr>
                <w:rFonts w:hint="eastAsia"/>
                <w:color w:val="auto"/>
                <w:szCs w:val="21"/>
                <w:highlight w:val="none"/>
              </w:rPr>
              <w:t>。</w:t>
            </w:r>
          </w:p>
        </w:tc>
      </w:tr>
      <w:tr w14:paraId="291667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68D4D2C2">
            <w:pPr>
              <w:spacing w:line="300" w:lineRule="exact"/>
              <w:jc w:val="center"/>
              <w:rPr>
                <w:b/>
                <w:color w:val="auto"/>
                <w:szCs w:val="21"/>
                <w:highlight w:val="none"/>
              </w:rPr>
            </w:pPr>
            <w:r>
              <w:rPr>
                <w:b/>
                <w:color w:val="auto"/>
                <w:szCs w:val="21"/>
                <w:highlight w:val="none"/>
              </w:rPr>
              <w:t>6.5.2</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B421C90">
            <w:pPr>
              <w:spacing w:line="300" w:lineRule="exact"/>
              <w:jc w:val="center"/>
              <w:rPr>
                <w:color w:val="auto"/>
                <w:szCs w:val="21"/>
                <w:highlight w:val="none"/>
              </w:rPr>
            </w:pPr>
            <w:r>
              <w:rPr>
                <w:rFonts w:hint="eastAsia"/>
                <w:color w:val="auto"/>
                <w:szCs w:val="21"/>
                <w:highlight w:val="none"/>
              </w:rPr>
              <w:t>中标通知书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2AE24D8">
            <w:pPr>
              <w:spacing w:line="300" w:lineRule="exact"/>
              <w:jc w:val="left"/>
              <w:rPr>
                <w:color w:val="auto"/>
                <w:szCs w:val="21"/>
                <w:highlight w:val="none"/>
              </w:rPr>
            </w:pPr>
            <w:r>
              <w:rPr>
                <w:rFonts w:hint="eastAsia"/>
                <w:color w:val="auto"/>
                <w:szCs w:val="21"/>
                <w:highlight w:val="none"/>
              </w:rPr>
              <w:t>采购代理机构通过广西政府采购云平台发出</w:t>
            </w:r>
            <w:r>
              <w:rPr>
                <w:color w:val="auto"/>
                <w:szCs w:val="21"/>
                <w:highlight w:val="none"/>
              </w:rPr>
              <w:t>中标通知书。</w:t>
            </w:r>
          </w:p>
          <w:p w14:paraId="517E6667">
            <w:pPr>
              <w:spacing w:line="300" w:lineRule="exact"/>
              <w:jc w:val="left"/>
              <w:rPr>
                <w:color w:val="auto"/>
                <w:szCs w:val="21"/>
                <w:highlight w:val="none"/>
              </w:rPr>
            </w:pPr>
            <w:r>
              <w:rPr>
                <w:rFonts w:hint="eastAsia"/>
                <w:color w:val="auto"/>
                <w:szCs w:val="21"/>
                <w:highlight w:val="none"/>
              </w:rPr>
              <w:t>中标通知书在广西政府采购云平台推送之日起，视为中标人已收到，中标人自行承担未及时查收的后果。</w:t>
            </w:r>
          </w:p>
        </w:tc>
      </w:tr>
      <w:tr w14:paraId="494AEB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69A2227D">
            <w:pPr>
              <w:spacing w:line="300" w:lineRule="exact"/>
              <w:jc w:val="center"/>
              <w:rPr>
                <w:b/>
                <w:color w:val="auto"/>
                <w:szCs w:val="21"/>
                <w:highlight w:val="none"/>
              </w:rPr>
            </w:pPr>
            <w:r>
              <w:rPr>
                <w:b/>
                <w:color w:val="auto"/>
                <w:szCs w:val="21"/>
                <w:highlight w:val="none"/>
              </w:rPr>
              <w:t>6.5.3</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AC1A416">
            <w:pPr>
              <w:spacing w:line="300" w:lineRule="exact"/>
              <w:jc w:val="center"/>
              <w:rPr>
                <w:color w:val="auto"/>
                <w:szCs w:val="21"/>
                <w:highlight w:val="none"/>
              </w:rPr>
            </w:pPr>
            <w:r>
              <w:rPr>
                <w:rFonts w:hint="eastAsia"/>
                <w:color w:val="auto"/>
                <w:szCs w:val="21"/>
                <w:highlight w:val="none"/>
              </w:rPr>
              <w:t>招标结果通知书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8370505">
            <w:pPr>
              <w:spacing w:line="300" w:lineRule="exact"/>
              <w:jc w:val="left"/>
              <w:rPr>
                <w:color w:val="auto"/>
                <w:szCs w:val="21"/>
                <w:highlight w:val="none"/>
              </w:rPr>
            </w:pPr>
            <w:r>
              <w:rPr>
                <w:rFonts w:hint="eastAsia"/>
                <w:color w:val="auto"/>
                <w:szCs w:val="21"/>
                <w:highlight w:val="none"/>
              </w:rPr>
              <w:t>采购代理机构通过</w:t>
            </w:r>
            <w:r>
              <w:rPr>
                <w:rFonts w:ascii="Arial" w:hAnsi="Arial" w:cs="Arial"/>
                <w:color w:val="auto"/>
                <w:kern w:val="0"/>
                <w:szCs w:val="21"/>
                <w:highlight w:val="none"/>
              </w:rPr>
              <w:t>广西政府采购云平台</w:t>
            </w:r>
            <w:r>
              <w:rPr>
                <w:rFonts w:hint="eastAsia"/>
                <w:color w:val="auto"/>
                <w:szCs w:val="21"/>
                <w:highlight w:val="none"/>
              </w:rPr>
              <w:t>发出招标结果</w:t>
            </w:r>
            <w:r>
              <w:rPr>
                <w:color w:val="auto"/>
                <w:szCs w:val="21"/>
                <w:highlight w:val="none"/>
              </w:rPr>
              <w:t>通知书</w:t>
            </w:r>
          </w:p>
          <w:p w14:paraId="2355E840">
            <w:pPr>
              <w:spacing w:line="300" w:lineRule="exact"/>
              <w:jc w:val="left"/>
              <w:rPr>
                <w:color w:val="auto"/>
                <w:szCs w:val="21"/>
                <w:highlight w:val="none"/>
              </w:rPr>
            </w:pPr>
            <w:r>
              <w:rPr>
                <w:rFonts w:hint="eastAsia"/>
                <w:color w:val="auto"/>
                <w:szCs w:val="21"/>
                <w:highlight w:val="none"/>
              </w:rPr>
              <w:t>招标结果通知书在广西政府采购云平台推送之日起，视为中标人已收到，中标人自行承担未及时查收的后果。</w:t>
            </w:r>
          </w:p>
        </w:tc>
      </w:tr>
      <w:tr w14:paraId="145EC5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3494EE7A">
            <w:pPr>
              <w:spacing w:line="300" w:lineRule="exact"/>
              <w:jc w:val="center"/>
              <w:rPr>
                <w:b/>
                <w:color w:val="auto"/>
                <w:szCs w:val="21"/>
                <w:highlight w:val="none"/>
              </w:rPr>
            </w:pPr>
            <w:r>
              <w:rPr>
                <w:b/>
                <w:color w:val="auto"/>
                <w:szCs w:val="21"/>
                <w:highlight w:val="none"/>
              </w:rPr>
              <w:t>8.1</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E2EE85E">
            <w:pPr>
              <w:spacing w:line="300" w:lineRule="exact"/>
              <w:jc w:val="center"/>
              <w:rPr>
                <w:color w:val="auto"/>
                <w:szCs w:val="21"/>
                <w:highlight w:val="none"/>
              </w:rPr>
            </w:pPr>
            <w:r>
              <w:rPr>
                <w:rFonts w:hint="eastAsia"/>
                <w:color w:val="auto"/>
                <w:szCs w:val="21"/>
                <w:highlight w:val="none"/>
              </w:rPr>
              <w:t>质疑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D1C98D8">
            <w:pPr>
              <w:spacing w:line="300" w:lineRule="exact"/>
              <w:jc w:val="left"/>
              <w:rPr>
                <w:color w:val="auto"/>
                <w:szCs w:val="21"/>
                <w:highlight w:val="none"/>
              </w:rPr>
            </w:pPr>
            <w:r>
              <w:rPr>
                <w:rFonts w:hint="eastAsia"/>
                <w:color w:val="auto"/>
                <w:szCs w:val="21"/>
                <w:highlight w:val="none"/>
              </w:rPr>
              <w:t>（1）</w:t>
            </w:r>
            <w:r>
              <w:rPr>
                <w:rFonts w:hint="eastAsia"/>
                <w:color w:val="auto"/>
                <w:szCs w:val="21"/>
                <w:highlight w:val="none"/>
                <w:lang w:eastAsia="zh-CN"/>
              </w:rPr>
              <w:t>投标人</w:t>
            </w:r>
            <w:r>
              <w:rPr>
                <w:color w:val="auto"/>
                <w:szCs w:val="21"/>
                <w:highlight w:val="none"/>
              </w:rPr>
              <w:t>认为</w:t>
            </w:r>
            <w:r>
              <w:rPr>
                <w:rFonts w:hint="eastAsia"/>
                <w:color w:val="auto"/>
                <w:szCs w:val="21"/>
                <w:highlight w:val="none"/>
              </w:rPr>
              <w:t>招标文件</w:t>
            </w:r>
            <w:r>
              <w:rPr>
                <w:color w:val="auto"/>
                <w:szCs w:val="21"/>
                <w:highlight w:val="none"/>
              </w:rPr>
              <w:t>、</w:t>
            </w:r>
            <w:r>
              <w:rPr>
                <w:rFonts w:hint="eastAsia"/>
                <w:color w:val="auto"/>
                <w:szCs w:val="21"/>
                <w:highlight w:val="none"/>
              </w:rPr>
              <w:t>采购</w:t>
            </w:r>
            <w:r>
              <w:rPr>
                <w:color w:val="auto"/>
                <w:szCs w:val="21"/>
                <w:highlight w:val="none"/>
              </w:rPr>
              <w:t>过程、中标</w:t>
            </w:r>
            <w:r>
              <w:rPr>
                <w:rFonts w:hint="eastAsia"/>
                <w:color w:val="auto"/>
                <w:szCs w:val="21"/>
                <w:highlight w:val="none"/>
              </w:rPr>
              <w:t>或者成交</w:t>
            </w:r>
            <w:r>
              <w:rPr>
                <w:color w:val="auto"/>
                <w:szCs w:val="21"/>
                <w:highlight w:val="none"/>
              </w:rPr>
              <w:t>结果使自己的权益受到损害的，可以在知道或者应知其权益受到损害之日起7个工作日内，</w:t>
            </w:r>
            <w:r>
              <w:rPr>
                <w:rFonts w:hint="eastAsia"/>
                <w:color w:val="auto"/>
                <w:szCs w:val="21"/>
                <w:highlight w:val="none"/>
              </w:rPr>
              <w:t>通过以下方式</w:t>
            </w:r>
            <w:r>
              <w:rPr>
                <w:color w:val="auto"/>
                <w:szCs w:val="21"/>
                <w:highlight w:val="none"/>
              </w:rPr>
              <w:t>向采购人、采购代理机构提出质疑。提出质疑的</w:t>
            </w:r>
            <w:r>
              <w:rPr>
                <w:rFonts w:hint="eastAsia"/>
                <w:color w:val="auto"/>
                <w:szCs w:val="21"/>
                <w:highlight w:val="none"/>
                <w:lang w:eastAsia="zh-CN"/>
              </w:rPr>
              <w:t>投标人</w:t>
            </w:r>
            <w:r>
              <w:rPr>
                <w:color w:val="auto"/>
                <w:szCs w:val="21"/>
                <w:highlight w:val="none"/>
              </w:rPr>
              <w:t>必须是参与本项目采购活动的</w:t>
            </w:r>
            <w:r>
              <w:rPr>
                <w:rFonts w:hint="eastAsia"/>
                <w:color w:val="auto"/>
                <w:szCs w:val="21"/>
                <w:highlight w:val="none"/>
                <w:lang w:eastAsia="zh-CN"/>
              </w:rPr>
              <w:t>投标人</w:t>
            </w:r>
            <w:r>
              <w:rPr>
                <w:rFonts w:hint="eastAsia"/>
                <w:color w:val="auto"/>
                <w:szCs w:val="21"/>
                <w:highlight w:val="none"/>
              </w:rPr>
              <w:t>，并须在</w:t>
            </w:r>
            <w:r>
              <w:rPr>
                <w:color w:val="auto"/>
                <w:szCs w:val="21"/>
                <w:highlight w:val="none"/>
              </w:rPr>
              <w:t>法定质疑期内一次性提出针对同一采购程序环节的质疑。质疑函应使用财政部发布的</w:t>
            </w:r>
            <w:r>
              <w:rPr>
                <w:rFonts w:hint="eastAsia"/>
                <w:color w:val="auto"/>
                <w:szCs w:val="21"/>
                <w:highlight w:val="none"/>
              </w:rPr>
              <w:t>政府采购</w:t>
            </w:r>
            <w:r>
              <w:rPr>
                <w:rFonts w:hint="eastAsia"/>
                <w:color w:val="auto"/>
                <w:szCs w:val="21"/>
                <w:highlight w:val="none"/>
                <w:lang w:eastAsia="zh-CN"/>
              </w:rPr>
              <w:t>投标人</w:t>
            </w:r>
            <w:r>
              <w:rPr>
                <w:rFonts w:hint="eastAsia"/>
                <w:color w:val="auto"/>
                <w:szCs w:val="21"/>
                <w:highlight w:val="none"/>
              </w:rPr>
              <w:t>质疑函范本，并应按照“质疑函制作说明”进行制作。</w:t>
            </w:r>
          </w:p>
          <w:p w14:paraId="31C48BE8">
            <w:pPr>
              <w:spacing w:line="300" w:lineRule="exact"/>
              <w:jc w:val="left"/>
              <w:rPr>
                <w:color w:val="auto"/>
                <w:szCs w:val="21"/>
                <w:highlight w:val="none"/>
              </w:rPr>
            </w:pPr>
            <w:r>
              <w:rPr>
                <w:rFonts w:hint="eastAsia"/>
                <w:color w:val="auto"/>
                <w:szCs w:val="21"/>
                <w:highlight w:val="none"/>
              </w:rPr>
              <w:t>（2）</w:t>
            </w:r>
            <w:r>
              <w:rPr>
                <w:color w:val="auto"/>
                <w:szCs w:val="21"/>
                <w:highlight w:val="none"/>
              </w:rPr>
              <w:t>本项目不接受传真、移动通信</w:t>
            </w:r>
            <w:r>
              <w:rPr>
                <w:rFonts w:hint="eastAsia"/>
                <w:color w:val="auto"/>
                <w:szCs w:val="21"/>
                <w:highlight w:val="none"/>
              </w:rPr>
              <w:t>、广西政府采购云平台</w:t>
            </w:r>
            <w:r>
              <w:rPr>
                <w:color w:val="auto"/>
                <w:szCs w:val="21"/>
                <w:highlight w:val="none"/>
              </w:rPr>
              <w:t>等</w:t>
            </w:r>
            <w:r>
              <w:rPr>
                <w:rFonts w:hint="eastAsia"/>
                <w:color w:val="auto"/>
                <w:szCs w:val="21"/>
                <w:highlight w:val="none"/>
              </w:rPr>
              <w:t>方式</w:t>
            </w:r>
            <w:r>
              <w:rPr>
                <w:color w:val="auto"/>
                <w:szCs w:val="21"/>
                <w:highlight w:val="none"/>
              </w:rPr>
              <w:t>送达的质疑材料</w:t>
            </w:r>
            <w:r>
              <w:rPr>
                <w:rFonts w:hint="eastAsia"/>
                <w:color w:val="auto"/>
                <w:szCs w:val="21"/>
                <w:highlight w:val="none"/>
              </w:rPr>
              <w:t>，</w:t>
            </w:r>
            <w:r>
              <w:rPr>
                <w:rFonts w:hint="eastAsia"/>
                <w:color w:val="auto"/>
                <w:szCs w:val="21"/>
                <w:highlight w:val="none"/>
                <w:lang w:eastAsia="zh-CN"/>
              </w:rPr>
              <w:t>投标人</w:t>
            </w:r>
            <w:r>
              <w:rPr>
                <w:rFonts w:hint="eastAsia"/>
                <w:color w:val="auto"/>
                <w:szCs w:val="21"/>
                <w:highlight w:val="none"/>
              </w:rPr>
              <w:t>可通过现场或邮寄方式递交书面质疑材料。</w:t>
            </w:r>
            <w:r>
              <w:rPr>
                <w:rFonts w:hint="eastAsia"/>
                <w:color w:val="auto"/>
                <w:szCs w:val="21"/>
                <w:highlight w:val="none"/>
                <w:lang w:eastAsia="zh-CN"/>
              </w:rPr>
              <w:t>投标人</w:t>
            </w:r>
            <w:r>
              <w:rPr>
                <w:rFonts w:hint="eastAsia"/>
                <w:color w:val="auto"/>
                <w:szCs w:val="21"/>
                <w:highlight w:val="none"/>
              </w:rPr>
              <w:t>应于质疑有效期内将质疑函原件递交或邮寄至招标公告中采购代理机构信息中的联系人。</w:t>
            </w:r>
          </w:p>
        </w:tc>
      </w:tr>
      <w:tr w14:paraId="37A784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8"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6220DFF9">
            <w:pPr>
              <w:spacing w:line="300" w:lineRule="exact"/>
              <w:jc w:val="center"/>
              <w:rPr>
                <w:b/>
                <w:color w:val="auto"/>
                <w:szCs w:val="21"/>
                <w:highlight w:val="none"/>
              </w:rPr>
            </w:pPr>
            <w:r>
              <w:rPr>
                <w:b/>
                <w:color w:val="auto"/>
                <w:szCs w:val="21"/>
                <w:highlight w:val="none"/>
              </w:rPr>
              <w:t>9.1</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BCC00E2">
            <w:pPr>
              <w:spacing w:line="300" w:lineRule="exact"/>
              <w:jc w:val="center"/>
              <w:rPr>
                <w:color w:val="auto"/>
                <w:szCs w:val="21"/>
                <w:highlight w:val="none"/>
              </w:rPr>
            </w:pPr>
            <w:r>
              <w:rPr>
                <w:color w:val="auto"/>
                <w:szCs w:val="20"/>
                <w:highlight w:val="none"/>
              </w:rPr>
              <w:t>代理服务费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BA078DD">
            <w:pPr>
              <w:rPr>
                <w:color w:val="auto"/>
                <w:szCs w:val="21"/>
                <w:highlight w:val="none"/>
              </w:rPr>
            </w:pPr>
            <w:r>
              <w:rPr>
                <w:color w:val="auto"/>
                <w:szCs w:val="21"/>
                <w:highlight w:val="none"/>
              </w:rPr>
              <w:t>（1）</w:t>
            </w:r>
            <w:r>
              <w:rPr>
                <w:color w:val="auto"/>
                <w:szCs w:val="20"/>
                <w:highlight w:val="none"/>
              </w:rPr>
              <w:t>代理服务费</w:t>
            </w:r>
          </w:p>
          <w:p w14:paraId="61AA3C50">
            <w:pPr>
              <w:spacing w:line="300" w:lineRule="exact"/>
              <w:jc w:val="left"/>
              <w:rPr>
                <w:color w:val="auto"/>
                <w:szCs w:val="21"/>
                <w:highlight w:val="none"/>
              </w:rPr>
            </w:pPr>
            <w:r>
              <w:rPr>
                <w:color w:val="auto"/>
                <w:szCs w:val="21"/>
                <w:highlight w:val="none"/>
              </w:rPr>
              <w:sym w:font="Wingdings 2" w:char="F052"/>
            </w:r>
            <w:r>
              <w:rPr>
                <w:color w:val="auto"/>
                <w:szCs w:val="21"/>
                <w:highlight w:val="none"/>
              </w:rPr>
              <w:t>采购代理机构向中标人收取代理服务费。本项目代理服务费</w:t>
            </w:r>
            <w:r>
              <w:rPr>
                <w:rFonts w:hint="eastAsia"/>
                <w:color w:val="auto"/>
                <w:szCs w:val="21"/>
                <w:highlight w:val="none"/>
              </w:rPr>
              <w:t>按照</w:t>
            </w:r>
            <w:r>
              <w:rPr>
                <w:color w:val="auto"/>
                <w:szCs w:val="21"/>
                <w:highlight w:val="none"/>
              </w:rPr>
              <w:t>《招标代理服务费管理暂行办法》 (计价格﹝2002﹞1980号)、《国家发展改革委关于降低部分建设项目收费标准规范收费行为等有关问题的通知》(发改价格﹝2011﹞534号)</w:t>
            </w:r>
            <w:r>
              <w:rPr>
                <w:rFonts w:hint="eastAsia"/>
                <w:color w:val="auto"/>
                <w:szCs w:val="21"/>
                <w:highlight w:val="none"/>
              </w:rPr>
              <w:t>的</w:t>
            </w:r>
            <w:r>
              <w:rPr>
                <w:color w:val="auto"/>
                <w:szCs w:val="21"/>
                <w:highlight w:val="none"/>
              </w:rPr>
              <w:t>规定</w:t>
            </w:r>
            <w:r>
              <w:rPr>
                <w:rFonts w:hint="eastAsia"/>
                <w:color w:val="auto"/>
                <w:szCs w:val="21"/>
                <w:highlight w:val="none"/>
              </w:rPr>
              <w:t>采用</w:t>
            </w: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w:t>
            </w:r>
            <w:r>
              <w:rPr>
                <w:color w:val="auto"/>
                <w:szCs w:val="21"/>
                <w:highlight w:val="none"/>
              </w:rPr>
              <w:t>具体费率</w:t>
            </w:r>
            <w:r>
              <w:rPr>
                <w:rFonts w:hint="eastAsia"/>
                <w:color w:val="auto"/>
                <w:szCs w:val="21"/>
                <w:highlight w:val="none"/>
              </w:rPr>
              <w:t>如下：</w:t>
            </w:r>
          </w:p>
          <w:p w14:paraId="5A099856">
            <w:pPr>
              <w:spacing w:line="300" w:lineRule="exact"/>
              <w:jc w:val="left"/>
              <w:rPr>
                <w:color w:val="auto"/>
                <w:szCs w:val="21"/>
                <w:highlight w:val="none"/>
              </w:rPr>
            </w:pPr>
            <w:r>
              <w:rPr>
                <w:rFonts w:hint="eastAsia"/>
                <w:color w:val="auto"/>
                <w:szCs w:val="21"/>
                <w:highlight w:val="none"/>
              </w:rPr>
              <w:t>①中标金额在1</w:t>
            </w:r>
            <w:r>
              <w:rPr>
                <w:color w:val="auto"/>
                <w:szCs w:val="21"/>
                <w:highlight w:val="none"/>
              </w:rPr>
              <w:t>00</w:t>
            </w:r>
            <w:r>
              <w:rPr>
                <w:rFonts w:hint="eastAsia"/>
                <w:color w:val="auto"/>
                <w:szCs w:val="21"/>
                <w:highlight w:val="none"/>
              </w:rPr>
              <w:t>万元以下的：</w:t>
            </w:r>
          </w:p>
          <w:p w14:paraId="3BB96527">
            <w:pPr>
              <w:spacing w:line="300" w:lineRule="exact"/>
              <w:jc w:val="left"/>
              <w:rPr>
                <w:color w:val="auto"/>
                <w:szCs w:val="21"/>
                <w:highlight w:val="none"/>
              </w:rPr>
            </w:pPr>
            <w:r>
              <w:rPr>
                <w:rFonts w:hint="eastAsia"/>
                <w:color w:val="auto"/>
                <w:szCs w:val="21"/>
                <w:highlight w:val="none"/>
              </w:rPr>
              <w:t>货物</w:t>
            </w:r>
            <w:r>
              <w:rPr>
                <w:color w:val="auto"/>
                <w:szCs w:val="21"/>
                <w:highlight w:val="none"/>
              </w:rPr>
              <w:t>1.5％</w:t>
            </w:r>
            <w:r>
              <w:rPr>
                <w:rFonts w:hint="eastAsia"/>
                <w:color w:val="auto"/>
                <w:szCs w:val="21"/>
                <w:highlight w:val="none"/>
              </w:rPr>
              <w:t>；</w:t>
            </w:r>
            <w:r>
              <w:rPr>
                <w:color w:val="auto"/>
                <w:szCs w:val="21"/>
                <w:highlight w:val="none"/>
              </w:rPr>
              <w:t>服务招标1.5％</w:t>
            </w:r>
            <w:r>
              <w:rPr>
                <w:rFonts w:hint="eastAsia"/>
                <w:color w:val="auto"/>
                <w:szCs w:val="21"/>
                <w:highlight w:val="none"/>
              </w:rPr>
              <w:t>；</w:t>
            </w:r>
            <w:r>
              <w:rPr>
                <w:color w:val="auto"/>
                <w:szCs w:val="21"/>
                <w:highlight w:val="none"/>
              </w:rPr>
              <w:t>工程招标1.0％</w:t>
            </w:r>
            <w:r>
              <w:rPr>
                <w:rFonts w:hint="eastAsia"/>
                <w:color w:val="auto"/>
                <w:szCs w:val="21"/>
                <w:highlight w:val="none"/>
              </w:rPr>
              <w:t>；</w:t>
            </w:r>
          </w:p>
          <w:p w14:paraId="18879C03">
            <w:pPr>
              <w:spacing w:line="300" w:lineRule="exact"/>
              <w:jc w:val="left"/>
              <w:rPr>
                <w:color w:val="auto"/>
                <w:szCs w:val="21"/>
                <w:highlight w:val="none"/>
              </w:rPr>
            </w:pPr>
            <w:r>
              <w:rPr>
                <w:rFonts w:hint="eastAsia"/>
                <w:color w:val="auto"/>
                <w:szCs w:val="21"/>
                <w:highlight w:val="none"/>
              </w:rPr>
              <w:t>②中标金额在</w:t>
            </w:r>
            <w:r>
              <w:rPr>
                <w:color w:val="auto"/>
                <w:szCs w:val="21"/>
                <w:highlight w:val="none"/>
              </w:rPr>
              <w:t>100-500</w:t>
            </w:r>
            <w:r>
              <w:rPr>
                <w:rFonts w:hint="eastAsia"/>
                <w:color w:val="auto"/>
                <w:szCs w:val="21"/>
                <w:highlight w:val="none"/>
              </w:rPr>
              <w:t>万元之间：</w:t>
            </w:r>
          </w:p>
          <w:p w14:paraId="34A263CA">
            <w:pPr>
              <w:spacing w:line="300" w:lineRule="exact"/>
              <w:jc w:val="left"/>
              <w:rPr>
                <w:color w:val="auto"/>
                <w:szCs w:val="21"/>
                <w:highlight w:val="none"/>
              </w:rPr>
            </w:pPr>
            <w:r>
              <w:rPr>
                <w:rFonts w:hint="eastAsia"/>
                <w:color w:val="auto"/>
                <w:szCs w:val="21"/>
                <w:highlight w:val="none"/>
              </w:rPr>
              <w:t>货物</w:t>
            </w:r>
            <w:r>
              <w:rPr>
                <w:color w:val="auto"/>
                <w:szCs w:val="21"/>
                <w:highlight w:val="none"/>
              </w:rPr>
              <w:t>1.1％</w:t>
            </w:r>
            <w:r>
              <w:rPr>
                <w:rFonts w:hint="eastAsia"/>
                <w:color w:val="auto"/>
                <w:szCs w:val="21"/>
                <w:highlight w:val="none"/>
              </w:rPr>
              <w:t>；</w:t>
            </w:r>
            <w:r>
              <w:rPr>
                <w:color w:val="auto"/>
                <w:szCs w:val="21"/>
                <w:highlight w:val="none"/>
              </w:rPr>
              <w:t>服务招标0.8％</w:t>
            </w:r>
            <w:r>
              <w:rPr>
                <w:rFonts w:hint="eastAsia"/>
                <w:color w:val="auto"/>
                <w:szCs w:val="21"/>
                <w:highlight w:val="none"/>
              </w:rPr>
              <w:t>；</w:t>
            </w:r>
            <w:r>
              <w:rPr>
                <w:color w:val="auto"/>
                <w:szCs w:val="21"/>
                <w:highlight w:val="none"/>
              </w:rPr>
              <w:t>工程招标0.7％</w:t>
            </w:r>
            <w:r>
              <w:rPr>
                <w:rFonts w:hint="eastAsia"/>
                <w:color w:val="auto"/>
                <w:szCs w:val="21"/>
                <w:highlight w:val="none"/>
              </w:rPr>
              <w:t>；</w:t>
            </w:r>
          </w:p>
          <w:p w14:paraId="710B8E9D">
            <w:pPr>
              <w:spacing w:line="300" w:lineRule="exact"/>
              <w:jc w:val="left"/>
              <w:rPr>
                <w:color w:val="auto"/>
                <w:szCs w:val="21"/>
                <w:highlight w:val="none"/>
              </w:rPr>
            </w:pPr>
            <w:r>
              <w:rPr>
                <w:rFonts w:hint="eastAsia"/>
                <w:color w:val="auto"/>
                <w:szCs w:val="21"/>
                <w:highlight w:val="none"/>
              </w:rPr>
              <w:t>③中标金额在</w:t>
            </w:r>
            <w:r>
              <w:rPr>
                <w:color w:val="auto"/>
                <w:szCs w:val="21"/>
                <w:highlight w:val="none"/>
              </w:rPr>
              <w:t>5</w:t>
            </w:r>
            <w:r>
              <w:rPr>
                <w:rFonts w:hint="eastAsia"/>
                <w:color w:val="auto"/>
                <w:szCs w:val="21"/>
                <w:highlight w:val="none"/>
              </w:rPr>
              <w:t>0</w:t>
            </w:r>
            <w:r>
              <w:rPr>
                <w:color w:val="auto"/>
                <w:szCs w:val="21"/>
                <w:highlight w:val="none"/>
              </w:rPr>
              <w:t>0-1</w:t>
            </w:r>
            <w:r>
              <w:rPr>
                <w:rFonts w:hint="eastAsia"/>
                <w:color w:val="auto"/>
                <w:szCs w:val="21"/>
                <w:highlight w:val="none"/>
              </w:rPr>
              <w:t>00</w:t>
            </w:r>
            <w:r>
              <w:rPr>
                <w:color w:val="auto"/>
                <w:szCs w:val="21"/>
                <w:highlight w:val="none"/>
              </w:rPr>
              <w:t>0</w:t>
            </w:r>
            <w:r>
              <w:rPr>
                <w:rFonts w:hint="eastAsia"/>
                <w:color w:val="auto"/>
                <w:szCs w:val="21"/>
                <w:highlight w:val="none"/>
              </w:rPr>
              <w:t>万元之间：</w:t>
            </w:r>
          </w:p>
          <w:p w14:paraId="79F1859F">
            <w:pPr>
              <w:spacing w:line="300" w:lineRule="exact"/>
              <w:jc w:val="left"/>
              <w:rPr>
                <w:color w:val="auto"/>
                <w:szCs w:val="21"/>
                <w:highlight w:val="none"/>
              </w:rPr>
            </w:pPr>
            <w:r>
              <w:rPr>
                <w:rFonts w:hint="eastAsia"/>
                <w:color w:val="auto"/>
                <w:szCs w:val="21"/>
                <w:highlight w:val="none"/>
              </w:rPr>
              <w:t>货物</w:t>
            </w:r>
            <w:r>
              <w:rPr>
                <w:color w:val="auto"/>
                <w:szCs w:val="21"/>
                <w:highlight w:val="none"/>
              </w:rPr>
              <w:t>0.8％</w:t>
            </w:r>
            <w:r>
              <w:rPr>
                <w:rFonts w:hint="eastAsia"/>
                <w:color w:val="auto"/>
                <w:szCs w:val="21"/>
                <w:highlight w:val="none"/>
              </w:rPr>
              <w:t>；</w:t>
            </w:r>
            <w:r>
              <w:rPr>
                <w:color w:val="auto"/>
                <w:szCs w:val="21"/>
                <w:highlight w:val="none"/>
              </w:rPr>
              <w:t>服务招标0.45％</w:t>
            </w:r>
            <w:r>
              <w:rPr>
                <w:rFonts w:hint="eastAsia"/>
                <w:color w:val="auto"/>
                <w:szCs w:val="21"/>
                <w:highlight w:val="none"/>
              </w:rPr>
              <w:t>；</w:t>
            </w:r>
            <w:r>
              <w:rPr>
                <w:color w:val="auto"/>
                <w:szCs w:val="21"/>
                <w:highlight w:val="none"/>
              </w:rPr>
              <w:t>工程招标0.55％</w:t>
            </w:r>
            <w:r>
              <w:rPr>
                <w:rFonts w:hint="eastAsia"/>
                <w:color w:val="auto"/>
                <w:szCs w:val="21"/>
                <w:highlight w:val="none"/>
              </w:rPr>
              <w:t>；</w:t>
            </w:r>
          </w:p>
          <w:p w14:paraId="6EC2FAB8">
            <w:pPr>
              <w:spacing w:line="300" w:lineRule="exact"/>
              <w:jc w:val="left"/>
              <w:rPr>
                <w:color w:val="auto"/>
                <w:szCs w:val="21"/>
                <w:highlight w:val="none"/>
              </w:rPr>
            </w:pPr>
            <w:r>
              <w:rPr>
                <w:rFonts w:hint="eastAsia"/>
                <w:color w:val="auto"/>
                <w:szCs w:val="21"/>
                <w:highlight w:val="none"/>
              </w:rPr>
              <w:t>④中标金额在</w:t>
            </w:r>
            <w:r>
              <w:rPr>
                <w:color w:val="auto"/>
                <w:szCs w:val="21"/>
                <w:highlight w:val="none"/>
              </w:rPr>
              <w:t>1000-5000</w:t>
            </w:r>
            <w:r>
              <w:rPr>
                <w:rFonts w:hint="eastAsia"/>
                <w:color w:val="auto"/>
                <w:szCs w:val="21"/>
                <w:highlight w:val="none"/>
              </w:rPr>
              <w:t>万元之间：</w:t>
            </w:r>
          </w:p>
          <w:p w14:paraId="6956F8B1">
            <w:pPr>
              <w:spacing w:line="300" w:lineRule="exact"/>
              <w:jc w:val="left"/>
              <w:rPr>
                <w:color w:val="auto"/>
                <w:szCs w:val="21"/>
                <w:highlight w:val="none"/>
              </w:rPr>
            </w:pPr>
            <w:r>
              <w:rPr>
                <w:rFonts w:hint="eastAsia"/>
                <w:color w:val="auto"/>
                <w:szCs w:val="21"/>
                <w:highlight w:val="none"/>
              </w:rPr>
              <w:t>货物</w:t>
            </w:r>
            <w:r>
              <w:rPr>
                <w:color w:val="auto"/>
                <w:szCs w:val="21"/>
                <w:highlight w:val="none"/>
              </w:rPr>
              <w:t>0.5％</w:t>
            </w:r>
            <w:r>
              <w:rPr>
                <w:rFonts w:hint="eastAsia"/>
                <w:color w:val="auto"/>
                <w:szCs w:val="21"/>
                <w:highlight w:val="none"/>
              </w:rPr>
              <w:t>；</w:t>
            </w:r>
            <w:r>
              <w:rPr>
                <w:color w:val="auto"/>
                <w:szCs w:val="21"/>
                <w:highlight w:val="none"/>
              </w:rPr>
              <w:t>服务招标0.25％</w:t>
            </w:r>
            <w:r>
              <w:rPr>
                <w:rFonts w:hint="eastAsia"/>
                <w:color w:val="auto"/>
                <w:szCs w:val="21"/>
                <w:highlight w:val="none"/>
              </w:rPr>
              <w:t>；</w:t>
            </w:r>
            <w:r>
              <w:rPr>
                <w:color w:val="auto"/>
                <w:szCs w:val="21"/>
                <w:highlight w:val="none"/>
              </w:rPr>
              <w:t>工程招标0.35％</w:t>
            </w:r>
            <w:r>
              <w:rPr>
                <w:rFonts w:hint="eastAsia"/>
                <w:color w:val="auto"/>
                <w:szCs w:val="21"/>
                <w:highlight w:val="none"/>
              </w:rPr>
              <w:t>；</w:t>
            </w:r>
          </w:p>
          <w:p w14:paraId="58963BFF">
            <w:pPr>
              <w:spacing w:line="300" w:lineRule="exact"/>
              <w:jc w:val="left"/>
              <w:rPr>
                <w:color w:val="auto"/>
                <w:szCs w:val="21"/>
                <w:highlight w:val="none"/>
              </w:rPr>
            </w:pPr>
            <w:r>
              <w:rPr>
                <w:rFonts w:hint="eastAsia"/>
                <w:color w:val="auto"/>
                <w:szCs w:val="21"/>
                <w:highlight w:val="none"/>
              </w:rPr>
              <w:t>……</w:t>
            </w:r>
          </w:p>
          <w:p w14:paraId="6E22FD29">
            <w:pPr>
              <w:spacing w:line="300" w:lineRule="exact"/>
              <w:jc w:val="left"/>
              <w:rPr>
                <w:color w:val="auto"/>
                <w:szCs w:val="21"/>
                <w:highlight w:val="none"/>
              </w:rPr>
            </w:pP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过程示例：</w:t>
            </w:r>
          </w:p>
          <w:p w14:paraId="6D9F9640">
            <w:pPr>
              <w:spacing w:line="300" w:lineRule="exact"/>
              <w:jc w:val="left"/>
              <w:rPr>
                <w:color w:val="auto"/>
                <w:szCs w:val="21"/>
                <w:highlight w:val="none"/>
              </w:rPr>
            </w:pPr>
            <w:r>
              <w:rPr>
                <w:color w:val="auto"/>
                <w:szCs w:val="21"/>
                <w:highlight w:val="none"/>
              </w:rPr>
              <w:t>例如：某货物招标代理业务</w:t>
            </w:r>
            <w:r>
              <w:rPr>
                <w:rFonts w:hint="eastAsia"/>
                <w:color w:val="auto"/>
                <w:szCs w:val="21"/>
                <w:highlight w:val="none"/>
              </w:rPr>
              <w:t>中标</w:t>
            </w:r>
            <w:r>
              <w:rPr>
                <w:color w:val="auto"/>
                <w:szCs w:val="21"/>
                <w:highlight w:val="none"/>
              </w:rPr>
              <w:t>金额为300万元，招标代理服务费金额按如下计算：</w:t>
            </w:r>
          </w:p>
          <w:p w14:paraId="76244402">
            <w:pPr>
              <w:spacing w:line="300" w:lineRule="exact"/>
              <w:jc w:val="left"/>
              <w:rPr>
                <w:color w:val="auto"/>
                <w:szCs w:val="21"/>
                <w:highlight w:val="none"/>
              </w:rPr>
            </w:pPr>
            <w:r>
              <w:rPr>
                <w:color w:val="auto"/>
                <w:szCs w:val="21"/>
                <w:highlight w:val="none"/>
              </w:rPr>
              <w:t>100万元×1.5%＝1.5万元</w:t>
            </w:r>
          </w:p>
          <w:p w14:paraId="32BDD8B3">
            <w:pPr>
              <w:spacing w:line="300" w:lineRule="exact"/>
              <w:jc w:val="left"/>
              <w:rPr>
                <w:color w:val="auto"/>
                <w:szCs w:val="21"/>
                <w:highlight w:val="none"/>
              </w:rPr>
            </w:pPr>
            <w:r>
              <w:rPr>
                <w:color w:val="auto"/>
                <w:szCs w:val="21"/>
                <w:highlight w:val="none"/>
              </w:rPr>
              <w:t>（300－100）万元×1.1%＝2.2万元</w:t>
            </w:r>
          </w:p>
          <w:p w14:paraId="75C07BEE">
            <w:pPr>
              <w:spacing w:line="300" w:lineRule="exact"/>
              <w:jc w:val="left"/>
              <w:rPr>
                <w:color w:val="auto"/>
                <w:szCs w:val="21"/>
                <w:highlight w:val="none"/>
              </w:rPr>
            </w:pPr>
            <w:r>
              <w:rPr>
                <w:color w:val="auto"/>
                <w:szCs w:val="21"/>
                <w:highlight w:val="none"/>
              </w:rPr>
              <w:t>合计收费＝1.5＋2.2=3.7万元</w:t>
            </w:r>
          </w:p>
          <w:p w14:paraId="28BF1E6F">
            <w:pPr>
              <w:spacing w:line="300" w:lineRule="exact"/>
              <w:jc w:val="left"/>
              <w:rPr>
                <w:color w:val="auto"/>
                <w:szCs w:val="21"/>
                <w:highlight w:val="none"/>
                <w:u w:val="single"/>
              </w:rPr>
            </w:pPr>
            <w:r>
              <w:rPr>
                <w:color w:val="auto"/>
                <w:szCs w:val="21"/>
                <w:highlight w:val="none"/>
              </w:rPr>
              <w:sym w:font="Wingdings 2" w:char="F0A3"/>
            </w:r>
            <w:r>
              <w:rPr>
                <w:color w:val="auto"/>
                <w:szCs w:val="21"/>
                <w:highlight w:val="none"/>
              </w:rPr>
              <w:t>采购代理机构</w:t>
            </w:r>
            <w:r>
              <w:rPr>
                <w:color w:val="auto"/>
                <w:szCs w:val="20"/>
                <w:highlight w:val="none"/>
              </w:rPr>
              <w:t>向中标人收取代理服务费</w:t>
            </w:r>
            <w:r>
              <w:rPr>
                <w:rFonts w:hint="eastAsia"/>
                <w:color w:val="auto"/>
                <w:szCs w:val="20"/>
                <w:highlight w:val="none"/>
              </w:rPr>
              <w:t>，</w:t>
            </w:r>
            <w:r>
              <w:rPr>
                <w:color w:val="auto"/>
                <w:szCs w:val="20"/>
                <w:highlight w:val="none"/>
              </w:rPr>
              <w:t>具体金额为</w:t>
            </w:r>
            <w:r>
              <w:rPr>
                <w:rFonts w:hint="eastAsia"/>
                <w:color w:val="auto"/>
                <w:szCs w:val="20"/>
                <w:highlight w:val="none"/>
                <w:u w:val="single"/>
              </w:rPr>
              <w:t xml:space="preserve">             </w:t>
            </w:r>
            <w:r>
              <w:rPr>
                <w:rFonts w:hint="eastAsia"/>
                <w:color w:val="auto"/>
                <w:szCs w:val="20"/>
                <w:highlight w:val="none"/>
              </w:rPr>
              <w:t>。</w:t>
            </w:r>
          </w:p>
          <w:p w14:paraId="77230AE9">
            <w:pPr>
              <w:spacing w:line="300" w:lineRule="exact"/>
              <w:jc w:val="left"/>
              <w:rPr>
                <w:color w:val="auto"/>
                <w:szCs w:val="21"/>
                <w:highlight w:val="none"/>
              </w:rPr>
            </w:pPr>
            <w:r>
              <w:rPr>
                <w:color w:val="auto"/>
                <w:szCs w:val="21"/>
                <w:highlight w:val="none"/>
              </w:rPr>
              <w:t>（2）中标人在中标通知书发出前以银行转账或现金形式支付代理服务费；采购代理机构也可以从中标人的投标保证金中扣除上述金额的代理服务费，余款按</w:t>
            </w:r>
            <w:r>
              <w:rPr>
                <w:rFonts w:hint="eastAsia"/>
                <w:color w:val="auto"/>
                <w:szCs w:val="21"/>
                <w:highlight w:val="none"/>
                <w:lang w:eastAsia="zh-CN"/>
              </w:rPr>
              <w:t>投标人</w:t>
            </w:r>
            <w:r>
              <w:rPr>
                <w:color w:val="auto"/>
                <w:szCs w:val="21"/>
                <w:highlight w:val="none"/>
              </w:rPr>
              <w:t>所汇入投标保证金的账户原路退回，如无法原路返回，则按《代理服务费承诺书》列明的账户退回。</w:t>
            </w:r>
          </w:p>
          <w:p w14:paraId="23688B53">
            <w:pPr>
              <w:spacing w:line="300" w:lineRule="exact"/>
              <w:jc w:val="left"/>
              <w:rPr>
                <w:color w:val="auto"/>
                <w:kern w:val="0"/>
                <w:szCs w:val="21"/>
                <w:highlight w:val="none"/>
              </w:rPr>
            </w:pPr>
            <w:r>
              <w:rPr>
                <w:rFonts w:hint="eastAsia"/>
                <w:color w:val="auto"/>
                <w:kern w:val="0"/>
                <w:szCs w:val="21"/>
                <w:highlight w:val="none"/>
              </w:rPr>
              <w:t>开户银行：广西北部湾银行南宁市金湖支行</w:t>
            </w:r>
          </w:p>
          <w:p w14:paraId="1B1112E3">
            <w:pPr>
              <w:spacing w:line="300" w:lineRule="exact"/>
              <w:jc w:val="left"/>
              <w:rPr>
                <w:color w:val="auto"/>
                <w:kern w:val="0"/>
                <w:szCs w:val="21"/>
                <w:highlight w:val="none"/>
              </w:rPr>
            </w:pPr>
            <w:r>
              <w:rPr>
                <w:rFonts w:hint="eastAsia"/>
                <w:color w:val="auto"/>
                <w:kern w:val="0"/>
                <w:szCs w:val="21"/>
                <w:highlight w:val="none"/>
              </w:rPr>
              <w:t>（银行地址：南宁市金湖路57号文德大厦1楼）</w:t>
            </w:r>
          </w:p>
          <w:p w14:paraId="15A0B909">
            <w:pPr>
              <w:spacing w:line="300" w:lineRule="exact"/>
              <w:jc w:val="left"/>
              <w:rPr>
                <w:color w:val="auto"/>
                <w:kern w:val="0"/>
                <w:szCs w:val="21"/>
                <w:highlight w:val="none"/>
              </w:rPr>
            </w:pPr>
            <w:r>
              <w:rPr>
                <w:rFonts w:hint="eastAsia"/>
                <w:color w:val="auto"/>
                <w:kern w:val="0"/>
                <w:szCs w:val="21"/>
                <w:highlight w:val="none"/>
              </w:rPr>
              <w:t>开户名称：广西机电设备招标有限公司</w:t>
            </w:r>
          </w:p>
          <w:p w14:paraId="54A85D1E">
            <w:pPr>
              <w:spacing w:line="300" w:lineRule="exact"/>
              <w:jc w:val="left"/>
              <w:rPr>
                <w:color w:val="auto"/>
                <w:kern w:val="0"/>
                <w:szCs w:val="21"/>
                <w:highlight w:val="none"/>
              </w:rPr>
            </w:pPr>
            <w:r>
              <w:rPr>
                <w:rFonts w:hint="eastAsia"/>
                <w:color w:val="auto"/>
                <w:kern w:val="0"/>
                <w:szCs w:val="21"/>
                <w:highlight w:val="none"/>
              </w:rPr>
              <w:t>银行账号：1705012090027723 (联行号 313611017053)</w:t>
            </w:r>
          </w:p>
          <w:p w14:paraId="6639BD39">
            <w:pPr>
              <w:spacing w:line="300" w:lineRule="exact"/>
              <w:jc w:val="left"/>
              <w:rPr>
                <w:color w:val="auto"/>
                <w:kern w:val="0"/>
                <w:szCs w:val="21"/>
                <w:highlight w:val="none"/>
              </w:rPr>
            </w:pPr>
            <w:r>
              <w:rPr>
                <w:rFonts w:hint="eastAsia"/>
                <w:color w:val="auto"/>
                <w:kern w:val="0"/>
                <w:szCs w:val="21"/>
                <w:highlight w:val="none"/>
              </w:rPr>
              <w:t>财务联系人：吴茜（电话：0771-2821398）</w:t>
            </w:r>
          </w:p>
        </w:tc>
      </w:tr>
      <w:tr w14:paraId="458D45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47798599">
            <w:pPr>
              <w:spacing w:line="300" w:lineRule="exact"/>
              <w:jc w:val="center"/>
              <w:rPr>
                <w:b/>
                <w:color w:val="auto"/>
                <w:szCs w:val="21"/>
                <w:highlight w:val="none"/>
              </w:rPr>
            </w:pPr>
            <w:r>
              <w:rPr>
                <w:b/>
                <w:color w:val="auto"/>
                <w:szCs w:val="21"/>
                <w:highlight w:val="none"/>
              </w:rPr>
              <w:t>9.3</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2E25880">
            <w:pPr>
              <w:spacing w:line="300" w:lineRule="exact"/>
              <w:jc w:val="center"/>
              <w:rPr>
                <w:color w:val="auto"/>
                <w:szCs w:val="20"/>
                <w:highlight w:val="none"/>
              </w:rPr>
            </w:pPr>
            <w:r>
              <w:rPr>
                <w:rFonts w:hint="eastAsia"/>
                <w:color w:val="auto"/>
                <w:szCs w:val="20"/>
                <w:highlight w:val="none"/>
              </w:rPr>
              <w:t>附件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C39FDA8">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6168C054">
            <w:pPr>
              <w:spacing w:line="276"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779847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6C41BDD5">
            <w:pPr>
              <w:spacing w:line="300" w:lineRule="exact"/>
              <w:jc w:val="center"/>
              <w:rPr>
                <w:b/>
                <w:color w:val="auto"/>
                <w:szCs w:val="21"/>
                <w:highlight w:val="none"/>
              </w:rPr>
            </w:pPr>
            <w:r>
              <w:rPr>
                <w:b/>
                <w:color w:val="auto"/>
                <w:szCs w:val="21"/>
                <w:highlight w:val="none"/>
              </w:rPr>
              <w:t>9.3</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B29BDA1">
            <w:pPr>
              <w:spacing w:line="300" w:lineRule="exact"/>
              <w:jc w:val="center"/>
              <w:rPr>
                <w:color w:val="auto"/>
                <w:szCs w:val="20"/>
                <w:highlight w:val="none"/>
              </w:rPr>
            </w:pPr>
            <w:r>
              <w:rPr>
                <w:rFonts w:hint="eastAsia"/>
                <w:color w:val="auto"/>
                <w:szCs w:val="20"/>
                <w:highlight w:val="none"/>
              </w:rPr>
              <w:t>图纸</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AC14236">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64FAB9ED">
            <w:pPr>
              <w:spacing w:line="276"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7612E2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056D7B82">
            <w:pPr>
              <w:spacing w:line="300" w:lineRule="exact"/>
              <w:jc w:val="center"/>
              <w:rPr>
                <w:b/>
                <w:color w:val="auto"/>
                <w:szCs w:val="21"/>
                <w:highlight w:val="none"/>
              </w:rPr>
            </w:pPr>
            <w:r>
              <w:rPr>
                <w:b/>
                <w:color w:val="auto"/>
                <w:szCs w:val="21"/>
                <w:highlight w:val="none"/>
              </w:rPr>
              <w:t>9.4</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65C318D">
            <w:pPr>
              <w:spacing w:line="300" w:lineRule="exact"/>
              <w:jc w:val="center"/>
              <w:rPr>
                <w:color w:val="auto"/>
                <w:szCs w:val="20"/>
                <w:highlight w:val="none"/>
              </w:rPr>
            </w:pPr>
            <w:r>
              <w:rPr>
                <w:rFonts w:hint="eastAsia"/>
                <w:color w:val="auto"/>
                <w:szCs w:val="20"/>
                <w:highlight w:val="none"/>
              </w:rPr>
              <w:t>其他事项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5101C74">
            <w:pPr>
              <w:spacing w:line="276" w:lineRule="auto"/>
              <w:rPr>
                <w:color w:val="auto"/>
                <w:szCs w:val="21"/>
                <w:highlight w:val="none"/>
              </w:rPr>
            </w:pPr>
            <w:r>
              <w:rPr>
                <w:rFonts w:hint="eastAsia"/>
                <w:color w:val="auto"/>
                <w:szCs w:val="21"/>
                <w:highlight w:val="none"/>
              </w:rPr>
              <w:t>构成本招标文件的各个组成文件应互为解释，互为说明：</w:t>
            </w:r>
          </w:p>
          <w:p w14:paraId="645E5F3A">
            <w:pPr>
              <w:spacing w:line="276" w:lineRule="auto"/>
              <w:rPr>
                <w:color w:val="auto"/>
                <w:sz w:val="24"/>
                <w:highlight w:val="none"/>
              </w:rPr>
            </w:pPr>
            <w:r>
              <w:rPr>
                <w:rFonts w:hint="eastAsia"/>
                <w:color w:val="auto"/>
                <w:szCs w:val="21"/>
                <w:highlight w:val="none"/>
              </w:rPr>
              <w:t>除招标文件中有特别规定外，仅适用于招标投标阶段的规定，按更正公告（澄清公告）、招标公告、采购需求、投标人须知、评审方法及标准、合同条款格式、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bookmarkEnd w:id="43"/>
    </w:tbl>
    <w:p w14:paraId="3CE64C5B">
      <w:pPr>
        <w:spacing w:before="120" w:line="320" w:lineRule="atLeast"/>
        <w:outlineLvl w:val="1"/>
        <w:rPr>
          <w:bCs/>
          <w:color w:val="auto"/>
          <w:kern w:val="0"/>
          <w:sz w:val="28"/>
          <w:szCs w:val="28"/>
          <w:highlight w:val="none"/>
        </w:rPr>
        <w:sectPr>
          <w:footerReference r:id="rId12" w:type="first"/>
          <w:footerReference r:id="rId11" w:type="default"/>
          <w:pgSz w:w="11906" w:h="16838"/>
          <w:pgMar w:top="993" w:right="1133" w:bottom="1246"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122AF67D">
      <w:pPr>
        <w:spacing w:before="120" w:line="320" w:lineRule="atLeast"/>
        <w:outlineLvl w:val="1"/>
        <w:rPr>
          <w:b/>
          <w:bCs/>
          <w:color w:val="auto"/>
          <w:kern w:val="0"/>
          <w:szCs w:val="21"/>
          <w:highlight w:val="none"/>
        </w:rPr>
      </w:pPr>
      <w:bookmarkStart w:id="45" w:name="_Hlk88949215"/>
      <w:r>
        <w:rPr>
          <w:b/>
          <w:bCs/>
          <w:color w:val="auto"/>
          <w:kern w:val="0"/>
          <w:szCs w:val="21"/>
          <w:highlight w:val="none"/>
        </w:rPr>
        <w:t>1．总则</w:t>
      </w:r>
    </w:p>
    <w:p w14:paraId="40CAC1E0">
      <w:pPr>
        <w:spacing w:before="120" w:line="320" w:lineRule="atLeast"/>
        <w:ind w:firstLine="422" w:firstLineChars="200"/>
        <w:outlineLvl w:val="2"/>
        <w:rPr>
          <w:b/>
          <w:bCs/>
          <w:color w:val="auto"/>
          <w:kern w:val="0"/>
          <w:szCs w:val="21"/>
          <w:highlight w:val="none"/>
        </w:rPr>
      </w:pPr>
      <w:bookmarkStart w:id="46" w:name="_Toc254970527"/>
      <w:bookmarkStart w:id="47" w:name="_Toc254970668"/>
      <w:r>
        <w:rPr>
          <w:b/>
          <w:bCs/>
          <w:color w:val="auto"/>
          <w:kern w:val="0"/>
          <w:szCs w:val="21"/>
          <w:highlight w:val="none"/>
        </w:rPr>
        <w:t>1.1适用范围</w:t>
      </w:r>
      <w:bookmarkEnd w:id="46"/>
      <w:bookmarkEnd w:id="47"/>
    </w:p>
    <w:p w14:paraId="64E11681">
      <w:pPr>
        <w:spacing w:before="120" w:line="320" w:lineRule="atLeast"/>
        <w:ind w:firstLine="420" w:firstLineChars="200"/>
        <w:rPr>
          <w:color w:val="auto"/>
          <w:szCs w:val="21"/>
          <w:highlight w:val="none"/>
        </w:rPr>
      </w:pPr>
      <w:r>
        <w:rPr>
          <w:color w:val="auto"/>
          <w:szCs w:val="21"/>
          <w:highlight w:val="none"/>
        </w:rPr>
        <w:t>本招标文件适用于</w:t>
      </w:r>
      <w:r>
        <w:rPr>
          <w:rFonts w:hint="eastAsia"/>
          <w:color w:val="auto"/>
          <w:szCs w:val="21"/>
          <w:highlight w:val="none"/>
        </w:rPr>
        <w:t>投标人</w:t>
      </w:r>
      <w:r>
        <w:rPr>
          <w:color w:val="auto"/>
          <w:szCs w:val="21"/>
          <w:highlight w:val="none"/>
        </w:rPr>
        <w:t>须知前附表所述项目的</w:t>
      </w:r>
      <w:r>
        <w:rPr>
          <w:rFonts w:hint="eastAsia"/>
          <w:color w:val="auto"/>
          <w:szCs w:val="21"/>
          <w:highlight w:val="none"/>
        </w:rPr>
        <w:t>政府采购活动。</w:t>
      </w:r>
    </w:p>
    <w:p w14:paraId="54867457">
      <w:pPr>
        <w:spacing w:before="120" w:line="320" w:lineRule="atLeast"/>
        <w:ind w:firstLine="422" w:firstLineChars="200"/>
        <w:outlineLvl w:val="2"/>
        <w:rPr>
          <w:b/>
          <w:bCs/>
          <w:color w:val="auto"/>
          <w:kern w:val="0"/>
          <w:szCs w:val="21"/>
          <w:highlight w:val="none"/>
        </w:rPr>
      </w:pPr>
      <w:bookmarkStart w:id="48" w:name="_Toc254970669"/>
      <w:bookmarkStart w:id="49" w:name="_Toc254970528"/>
      <w:r>
        <w:rPr>
          <w:b/>
          <w:bCs/>
          <w:color w:val="auto"/>
          <w:kern w:val="0"/>
          <w:szCs w:val="21"/>
          <w:highlight w:val="none"/>
        </w:rPr>
        <w:t>1.2定义</w:t>
      </w:r>
      <w:bookmarkEnd w:id="48"/>
      <w:bookmarkEnd w:id="49"/>
    </w:p>
    <w:p w14:paraId="43D57520">
      <w:pPr>
        <w:spacing w:before="120" w:line="320" w:lineRule="atLeast"/>
        <w:ind w:firstLine="420" w:firstLineChars="200"/>
        <w:rPr>
          <w:color w:val="auto"/>
          <w:szCs w:val="21"/>
          <w:highlight w:val="none"/>
        </w:rPr>
      </w:pPr>
      <w:r>
        <w:rPr>
          <w:color w:val="auto"/>
          <w:szCs w:val="21"/>
          <w:highlight w:val="none"/>
        </w:rPr>
        <w:t>1.2.1</w:t>
      </w:r>
      <w:r>
        <w:rPr>
          <w:rFonts w:hint="eastAsia"/>
          <w:color w:val="auto"/>
          <w:szCs w:val="21"/>
          <w:highlight w:val="none"/>
        </w:rPr>
        <w:t>“</w:t>
      </w:r>
      <w:r>
        <w:rPr>
          <w:color w:val="auto"/>
          <w:szCs w:val="21"/>
          <w:highlight w:val="none"/>
        </w:rPr>
        <w:t>采购人</w:t>
      </w:r>
      <w:r>
        <w:rPr>
          <w:rFonts w:hint="eastAsia"/>
          <w:color w:val="auto"/>
          <w:szCs w:val="21"/>
          <w:highlight w:val="none"/>
        </w:rPr>
        <w:t>”</w:t>
      </w:r>
      <w:r>
        <w:rPr>
          <w:color w:val="auto"/>
          <w:szCs w:val="21"/>
          <w:highlight w:val="none"/>
        </w:rPr>
        <w:t>系指依法进行政府采购的国家机关、事业单位、团体组织。</w:t>
      </w:r>
    </w:p>
    <w:p w14:paraId="3CF20218">
      <w:pPr>
        <w:spacing w:before="120" w:line="320" w:lineRule="atLeast"/>
        <w:ind w:firstLine="420" w:firstLineChars="200"/>
        <w:rPr>
          <w:color w:val="auto"/>
          <w:szCs w:val="21"/>
          <w:highlight w:val="none"/>
        </w:rPr>
      </w:pPr>
      <w:r>
        <w:rPr>
          <w:rFonts w:hint="eastAsia"/>
          <w:color w:val="auto"/>
          <w:szCs w:val="21"/>
          <w:highlight w:val="none"/>
        </w:rPr>
        <w:t>1.2.2“</w:t>
      </w:r>
      <w:r>
        <w:rPr>
          <w:rFonts w:hint="eastAsia"/>
          <w:color w:val="auto"/>
          <w:szCs w:val="21"/>
          <w:highlight w:val="none"/>
          <w:lang w:val="en-US" w:eastAsia="zh-CN"/>
        </w:rPr>
        <w:t>供应商</w:t>
      </w:r>
      <w:r>
        <w:rPr>
          <w:rFonts w:hint="eastAsia"/>
          <w:color w:val="auto"/>
          <w:szCs w:val="21"/>
          <w:highlight w:val="none"/>
        </w:rPr>
        <w:t>”系</w:t>
      </w:r>
      <w:r>
        <w:rPr>
          <w:color w:val="auto"/>
          <w:szCs w:val="21"/>
          <w:highlight w:val="none"/>
        </w:rPr>
        <w:t>指向采购人提供货物、工程或者服务的法人、其他组织或者自然人。</w:t>
      </w:r>
    </w:p>
    <w:p w14:paraId="602C4CBE">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3“投标人”</w:t>
      </w:r>
      <w:r>
        <w:rPr>
          <w:color w:val="auto"/>
          <w:szCs w:val="21"/>
          <w:highlight w:val="none"/>
        </w:rPr>
        <w:t>系</w:t>
      </w:r>
      <w:r>
        <w:rPr>
          <w:color w:val="auto"/>
          <w:highlight w:val="none"/>
        </w:rPr>
        <w:t>指响应招标、参加投标竞争的法人、其他组织或者自然人</w:t>
      </w:r>
      <w:r>
        <w:rPr>
          <w:color w:val="auto"/>
          <w:szCs w:val="21"/>
          <w:highlight w:val="none"/>
        </w:rPr>
        <w:t>。</w:t>
      </w:r>
    </w:p>
    <w:p w14:paraId="50191897">
      <w:pPr>
        <w:spacing w:before="120" w:line="360" w:lineRule="auto"/>
        <w:ind w:firstLine="420" w:firstLineChars="200"/>
        <w:rPr>
          <w:color w:val="auto"/>
          <w:highlight w:val="none"/>
        </w:rPr>
      </w:pPr>
      <w:r>
        <w:rPr>
          <w:rFonts w:hint="eastAsia"/>
          <w:color w:val="auto"/>
          <w:highlight w:val="none"/>
        </w:rPr>
        <w:t>1.2.4</w:t>
      </w:r>
      <w:r>
        <w:rPr>
          <w:color w:val="auto"/>
          <w:highlight w:val="none"/>
        </w:rPr>
        <w:t>本</w:t>
      </w:r>
      <w:r>
        <w:rPr>
          <w:rFonts w:hint="eastAsia"/>
          <w:color w:val="auto"/>
          <w:highlight w:val="none"/>
        </w:rPr>
        <w:t>文件</w:t>
      </w:r>
      <w:r>
        <w:rPr>
          <w:color w:val="auto"/>
          <w:highlight w:val="none"/>
        </w:rPr>
        <w:t>中的</w:t>
      </w:r>
      <w:r>
        <w:rPr>
          <w:rFonts w:hint="eastAsia"/>
          <w:color w:val="auto"/>
          <w:highlight w:val="none"/>
        </w:rPr>
        <w:t>“法定代表人”若无特别说明，当</w:t>
      </w:r>
      <w:r>
        <w:rPr>
          <w:rFonts w:hint="eastAsia"/>
          <w:color w:val="auto"/>
          <w:highlight w:val="none"/>
          <w:lang w:eastAsia="zh-CN"/>
        </w:rPr>
        <w:t>投标人</w:t>
      </w:r>
      <w:r>
        <w:rPr>
          <w:color w:val="auto"/>
          <w:highlight w:val="none"/>
        </w:rPr>
        <w:t>是</w:t>
      </w:r>
      <w:r>
        <w:rPr>
          <w:rFonts w:hint="eastAsia"/>
          <w:color w:val="auto"/>
          <w:highlight w:val="none"/>
        </w:rPr>
        <w:t>企业的，是指企业法人营业执照上的法定代表人；当</w:t>
      </w:r>
      <w:r>
        <w:rPr>
          <w:rFonts w:hint="eastAsia"/>
          <w:color w:val="auto"/>
          <w:highlight w:val="none"/>
          <w:lang w:eastAsia="zh-CN"/>
        </w:rPr>
        <w:t>投标人</w:t>
      </w:r>
      <w:r>
        <w:rPr>
          <w:color w:val="auto"/>
          <w:highlight w:val="none"/>
        </w:rPr>
        <w:t>是</w:t>
      </w:r>
      <w:r>
        <w:rPr>
          <w:rFonts w:hint="eastAsia"/>
          <w:color w:val="auto"/>
          <w:highlight w:val="none"/>
        </w:rPr>
        <w:t>事业单位的，是指事业单位法人证书上的法定代表人；当</w:t>
      </w:r>
      <w:r>
        <w:rPr>
          <w:rFonts w:hint="eastAsia"/>
          <w:color w:val="auto"/>
          <w:highlight w:val="none"/>
          <w:lang w:eastAsia="zh-CN"/>
        </w:rPr>
        <w:t>投标人</w:t>
      </w:r>
      <w:r>
        <w:rPr>
          <w:color w:val="auto"/>
          <w:highlight w:val="none"/>
        </w:rPr>
        <w:t>是</w:t>
      </w:r>
      <w:r>
        <w:rPr>
          <w:rFonts w:hint="eastAsia"/>
          <w:color w:val="auto"/>
          <w:highlight w:val="none"/>
        </w:rPr>
        <w:t>社会团体、民办非企业的，是指法人登记证书中的法定代表人；当</w:t>
      </w:r>
      <w:r>
        <w:rPr>
          <w:rFonts w:hint="eastAsia"/>
          <w:color w:val="auto"/>
          <w:highlight w:val="none"/>
          <w:lang w:eastAsia="zh-CN"/>
        </w:rPr>
        <w:t>投标人</w:t>
      </w:r>
      <w:r>
        <w:rPr>
          <w:color w:val="auto"/>
          <w:highlight w:val="none"/>
        </w:rPr>
        <w:t>是</w:t>
      </w:r>
      <w:r>
        <w:rPr>
          <w:rFonts w:hint="eastAsia"/>
          <w:color w:val="auto"/>
          <w:highlight w:val="none"/>
        </w:rPr>
        <w:t>个体工商户的，是指个体工商户营业执照上的经营者；</w:t>
      </w:r>
      <w:r>
        <w:rPr>
          <w:color w:val="auto"/>
          <w:highlight w:val="none"/>
        </w:rPr>
        <w:t>当</w:t>
      </w:r>
      <w:r>
        <w:rPr>
          <w:rFonts w:hint="eastAsia"/>
          <w:color w:val="auto"/>
          <w:highlight w:val="none"/>
          <w:lang w:eastAsia="zh-CN"/>
        </w:rPr>
        <w:t>投标人</w:t>
      </w:r>
      <w:r>
        <w:rPr>
          <w:color w:val="auto"/>
          <w:highlight w:val="none"/>
        </w:rPr>
        <w:t>是自然人</w:t>
      </w:r>
      <w:r>
        <w:rPr>
          <w:rFonts w:hint="eastAsia"/>
          <w:color w:val="auto"/>
          <w:highlight w:val="none"/>
        </w:rPr>
        <w:t>的，是指参与本项目响应的自然人本人。</w:t>
      </w:r>
    </w:p>
    <w:p w14:paraId="5764673C">
      <w:pPr>
        <w:spacing w:before="120" w:line="360" w:lineRule="auto"/>
        <w:ind w:firstLine="420" w:firstLineChars="200"/>
        <w:rPr>
          <w:color w:val="auto"/>
          <w:highlight w:val="none"/>
        </w:rPr>
      </w:pPr>
      <w:r>
        <w:rPr>
          <w:rFonts w:hint="eastAsia"/>
          <w:color w:val="auto"/>
          <w:highlight w:val="none"/>
        </w:rPr>
        <w:t>1.2.5本文件中的“公章”是指根据我国对公章的管理规定，用</w:t>
      </w:r>
      <w:r>
        <w:rPr>
          <w:rFonts w:hint="eastAsia"/>
          <w:color w:val="auto"/>
          <w:highlight w:val="none"/>
          <w:lang w:eastAsia="zh-CN"/>
        </w:rPr>
        <w:t>投标人</w:t>
      </w:r>
      <w:r>
        <w:rPr>
          <w:rFonts w:hint="eastAsia"/>
          <w:color w:val="auto"/>
          <w:highlight w:val="none"/>
        </w:rPr>
        <w:t>法定主体行为名称制作的印章，除本文件有特殊规定外，</w:t>
      </w:r>
      <w:r>
        <w:rPr>
          <w:rFonts w:hint="eastAsia"/>
          <w:color w:val="auto"/>
          <w:highlight w:val="none"/>
          <w:lang w:eastAsia="zh-CN"/>
        </w:rPr>
        <w:t>投标人</w:t>
      </w:r>
      <w:r>
        <w:rPr>
          <w:rFonts w:hint="eastAsia"/>
          <w:color w:val="auto"/>
          <w:highlight w:val="none"/>
        </w:rPr>
        <w:t>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125A8869">
      <w:pPr>
        <w:widowControl/>
        <w:spacing w:line="360" w:lineRule="auto"/>
        <w:ind w:firstLine="420" w:firstLineChars="200"/>
        <w:jc w:val="left"/>
        <w:rPr>
          <w:color w:val="auto"/>
          <w:szCs w:val="21"/>
          <w:highlight w:val="none"/>
        </w:rPr>
      </w:pPr>
      <w:r>
        <w:rPr>
          <w:color w:val="auto"/>
          <w:szCs w:val="21"/>
          <w:highlight w:val="none"/>
        </w:rPr>
        <w:t>1.2.</w:t>
      </w:r>
      <w:r>
        <w:rPr>
          <w:rFonts w:hint="eastAsia"/>
          <w:color w:val="auto"/>
          <w:szCs w:val="21"/>
          <w:highlight w:val="none"/>
        </w:rPr>
        <w:t>6</w:t>
      </w:r>
      <w:r>
        <w:rPr>
          <w:color w:val="auto"/>
          <w:szCs w:val="21"/>
          <w:highlight w:val="none"/>
        </w:rPr>
        <w:t>“书面形式”如无特殊规定，</w:t>
      </w:r>
      <w:r>
        <w:rPr>
          <w:rFonts w:hint="eastAsia"/>
          <w:color w:val="auto"/>
          <w:szCs w:val="21"/>
          <w:highlight w:val="none"/>
        </w:rPr>
        <w:t>书面形式是合同书、信件、电报、电传等可以有形地表现所载内容的形式。以电子数据交换、电子邮件等方式能够有形地表现所载内容，并可以随时调取查用的数据电文，视为书面形式。</w:t>
      </w:r>
      <w:r>
        <w:rPr>
          <w:color w:val="auto"/>
          <w:szCs w:val="21"/>
          <w:highlight w:val="none"/>
        </w:rPr>
        <w:t xml:space="preserve">招标文件如有特殊规定，以招标文件规定为准。 </w:t>
      </w:r>
    </w:p>
    <w:p w14:paraId="7582EAB6">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7本项目的技术商务要求重要性分为“▲”（如有）、“#”（如有）和一般无标识指标。▲代表实质性要求指标，</w:t>
      </w:r>
      <w:r>
        <w:rPr>
          <w:rFonts w:hint="eastAsia"/>
          <w:b/>
          <w:bCs/>
          <w:color w:val="auto"/>
          <w:szCs w:val="21"/>
          <w:highlight w:val="none"/>
        </w:rPr>
        <w:t>不满足该指标项将导致投标被否决</w:t>
      </w:r>
      <w:r>
        <w:rPr>
          <w:rFonts w:hint="eastAsia"/>
          <w:color w:val="auto"/>
          <w:szCs w:val="21"/>
          <w:highlight w:val="none"/>
        </w:rPr>
        <w:t>，#代表重要指标，无标识则表示一般指标项。</w:t>
      </w:r>
    </w:p>
    <w:p w14:paraId="2D85FB36">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8 本</w:t>
      </w:r>
      <w:r>
        <w:rPr>
          <w:color w:val="auto"/>
          <w:szCs w:val="21"/>
          <w:highlight w:val="none"/>
        </w:rPr>
        <w:t>招标文件</w:t>
      </w:r>
      <w:r>
        <w:rPr>
          <w:rFonts w:hint="eastAsia"/>
          <w:color w:val="auto"/>
          <w:szCs w:val="21"/>
          <w:highlight w:val="none"/>
        </w:rPr>
        <w:t>出现多种选项的条款，以“</w:t>
      </w:r>
      <w:r>
        <w:rPr>
          <w:color w:val="auto"/>
          <w:highlight w:val="none"/>
        </w:rPr>
        <w:sym w:font="Wingdings 2" w:char="F052"/>
      </w:r>
      <w:r>
        <w:rPr>
          <w:rFonts w:hint="eastAsia"/>
          <w:color w:val="auto"/>
          <w:szCs w:val="21"/>
          <w:highlight w:val="none"/>
        </w:rPr>
        <w:t>”表示本条款所选择的方式。</w:t>
      </w:r>
    </w:p>
    <w:p w14:paraId="4051B27F">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2</w:t>
      </w:r>
      <w:r>
        <w:rPr>
          <w:rFonts w:hint="eastAsia"/>
          <w:color w:val="auto"/>
          <w:szCs w:val="21"/>
          <w:highlight w:val="none"/>
        </w:rPr>
        <w:t>.9</w:t>
      </w:r>
      <w:r>
        <w:rPr>
          <w:color w:val="auto"/>
          <w:szCs w:val="21"/>
          <w:highlight w:val="none"/>
        </w:rPr>
        <w:t xml:space="preserve"> “</w:t>
      </w:r>
      <w:r>
        <w:rPr>
          <w:rFonts w:hint="eastAsia"/>
          <w:color w:val="auto"/>
          <w:szCs w:val="21"/>
          <w:highlight w:val="none"/>
        </w:rPr>
        <w:t>电子交易平台</w:t>
      </w:r>
      <w:r>
        <w:rPr>
          <w:color w:val="auto"/>
          <w:szCs w:val="21"/>
          <w:highlight w:val="none"/>
        </w:rPr>
        <w:t>”</w:t>
      </w:r>
      <w:r>
        <w:rPr>
          <w:rFonts w:hint="eastAsia"/>
          <w:color w:val="auto"/>
          <w:szCs w:val="21"/>
          <w:highlight w:val="none"/>
        </w:rPr>
        <w:t>是指以数据电文形式在线完成采购活动的信息平台，本招标文件中也称</w:t>
      </w:r>
      <w:r>
        <w:rPr>
          <w:color w:val="auto"/>
          <w:szCs w:val="21"/>
          <w:highlight w:val="none"/>
        </w:rPr>
        <w:t>“</w:t>
      </w:r>
      <w:r>
        <w:rPr>
          <w:rFonts w:hint="eastAsia"/>
          <w:color w:val="auto"/>
          <w:szCs w:val="21"/>
          <w:highlight w:val="none"/>
        </w:rPr>
        <w:t>广西政府采购云平台</w:t>
      </w:r>
      <w:r>
        <w:rPr>
          <w:color w:val="auto"/>
          <w:szCs w:val="21"/>
          <w:highlight w:val="none"/>
        </w:rPr>
        <w:t>”</w:t>
      </w:r>
      <w:r>
        <w:rPr>
          <w:rFonts w:hint="eastAsia"/>
          <w:color w:val="auto"/>
          <w:szCs w:val="21"/>
          <w:highlight w:val="none"/>
        </w:rPr>
        <w:t>。</w:t>
      </w:r>
    </w:p>
    <w:p w14:paraId="1ADF1854">
      <w:pPr>
        <w:spacing w:before="120" w:line="320" w:lineRule="atLeast"/>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.3</w:t>
      </w:r>
      <w:r>
        <w:rPr>
          <w:rFonts w:hint="eastAsia"/>
          <w:b/>
          <w:bCs/>
          <w:color w:val="auto"/>
          <w:kern w:val="0"/>
          <w:szCs w:val="21"/>
          <w:highlight w:val="none"/>
        </w:rPr>
        <w:t>项目信息</w:t>
      </w:r>
    </w:p>
    <w:p w14:paraId="65DD4DB0">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.3.1</w:t>
      </w:r>
      <w:r>
        <w:rPr>
          <w:rFonts w:hint="eastAsia"/>
          <w:color w:val="auto"/>
          <w:szCs w:val="21"/>
          <w:highlight w:val="none"/>
        </w:rPr>
        <w:t>项目名称及编号：详见投标人须知前附表</w:t>
      </w:r>
    </w:p>
    <w:p w14:paraId="419515F5">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.3.2</w:t>
      </w:r>
      <w:r>
        <w:rPr>
          <w:rFonts w:hint="eastAsia"/>
          <w:color w:val="auto"/>
          <w:szCs w:val="21"/>
          <w:highlight w:val="none"/>
        </w:rPr>
        <w:t>采购方式：详见投标人须知前附表</w:t>
      </w:r>
    </w:p>
    <w:p w14:paraId="59E29085">
      <w:pPr>
        <w:spacing w:before="120" w:line="320" w:lineRule="atLeast"/>
        <w:ind w:firstLine="422" w:firstLineChars="200"/>
        <w:outlineLvl w:val="2"/>
        <w:rPr>
          <w:b/>
          <w:bCs/>
          <w:color w:val="auto"/>
          <w:kern w:val="0"/>
          <w:szCs w:val="21"/>
          <w:highlight w:val="none"/>
        </w:rPr>
      </w:pPr>
      <w:bookmarkStart w:id="50" w:name="_Hlk132812137"/>
      <w:r>
        <w:rPr>
          <w:rFonts w:hint="eastAsia"/>
          <w:b/>
          <w:bCs/>
          <w:color w:val="auto"/>
          <w:kern w:val="0"/>
          <w:szCs w:val="21"/>
          <w:highlight w:val="none"/>
        </w:rPr>
        <w:t>1</w:t>
      </w:r>
      <w:r>
        <w:rPr>
          <w:b/>
          <w:bCs/>
          <w:color w:val="auto"/>
          <w:kern w:val="0"/>
          <w:szCs w:val="21"/>
          <w:highlight w:val="none"/>
        </w:rPr>
        <w:t>.4</w:t>
      </w:r>
      <w:r>
        <w:rPr>
          <w:rFonts w:hint="eastAsia"/>
          <w:b/>
          <w:bCs/>
          <w:color w:val="auto"/>
          <w:kern w:val="0"/>
          <w:szCs w:val="21"/>
          <w:highlight w:val="none"/>
        </w:rPr>
        <w:t>促进中小企业发展政策</w:t>
      </w:r>
    </w:p>
    <w:p w14:paraId="61521DC3">
      <w:pPr>
        <w:spacing w:before="120" w:line="320" w:lineRule="atLeast"/>
        <w:ind w:left="2" w:leftChars="1" w:firstLine="420" w:firstLineChars="200"/>
        <w:rPr>
          <w:color w:val="auto"/>
          <w:szCs w:val="21"/>
          <w:highlight w:val="none"/>
        </w:rPr>
      </w:pPr>
      <w:r>
        <w:rPr>
          <w:color w:val="auto"/>
          <w:szCs w:val="21"/>
          <w:highlight w:val="none"/>
        </w:rPr>
        <w:t>1.4.1</w:t>
      </w:r>
      <w:r>
        <w:rPr>
          <w:rFonts w:hint="eastAsia"/>
          <w:color w:val="auto"/>
          <w:szCs w:val="21"/>
          <w:highlight w:val="none"/>
        </w:rPr>
        <w:t>本项目落实促进中小企业发展政策措施在前附表规定。依据促进中小企业发展政策获得政府采购合同的，小微企业不得将合同分包给大中型企业，中型企业不得将合同分包给大型企业。</w:t>
      </w:r>
    </w:p>
    <w:p w14:paraId="7DF20942">
      <w:pPr>
        <w:spacing w:before="120" w:line="320" w:lineRule="atLeast"/>
        <w:ind w:left="2" w:leftChars="1" w:firstLine="420" w:firstLineChars="200"/>
        <w:rPr>
          <w:color w:val="auto"/>
          <w:szCs w:val="21"/>
          <w:highlight w:val="none"/>
        </w:rPr>
      </w:pPr>
      <w:bookmarkStart w:id="51" w:name="_Hlk138842976"/>
      <w:r>
        <w:rPr>
          <w:rFonts w:hint="eastAsia"/>
          <w:color w:val="auto"/>
          <w:szCs w:val="21"/>
          <w:highlight w:val="none"/>
        </w:rPr>
        <w:t>根据《政府采购促进中小企业发展管理办法》（财库</w:t>
      </w:r>
      <w:r>
        <w:rPr>
          <w:rFonts w:hint="eastAsia"/>
          <w:color w:val="auto"/>
          <w:szCs w:val="21"/>
          <w:highlight w:val="none"/>
          <w:lang w:eastAsia="zh-CN"/>
        </w:rPr>
        <w:t>〔2020〕46号</w:t>
      </w:r>
      <w:r>
        <w:rPr>
          <w:rFonts w:hint="eastAsia"/>
          <w:color w:val="auto"/>
          <w:szCs w:val="21"/>
          <w:highlight w:val="none"/>
        </w:rPr>
        <w:t>）第九条以及《广西壮族自治区财政厅 广西壮族自治区工业和信息化厅转发财政部 工业和信息化部政府采购促进中小企业发展管理办法的通知》（桂财采</w:t>
      </w:r>
      <w:r>
        <w:rPr>
          <w:rFonts w:hint="eastAsia"/>
          <w:color w:val="auto"/>
          <w:szCs w:val="21"/>
          <w:highlight w:val="none"/>
          <w:lang w:eastAsia="zh-CN"/>
        </w:rPr>
        <w:t>〔2021〕70号</w:t>
      </w:r>
      <w:r>
        <w:rPr>
          <w:rFonts w:hint="eastAsia"/>
          <w:color w:val="auto"/>
          <w:szCs w:val="21"/>
          <w:highlight w:val="none"/>
        </w:rPr>
        <w:t>）规定，</w:t>
      </w:r>
      <w:bookmarkEnd w:id="51"/>
      <w:bookmarkStart w:id="52" w:name="_Hlk92205820"/>
      <w:r>
        <w:rPr>
          <w:rFonts w:hint="eastAsia"/>
          <w:color w:val="auto"/>
          <w:szCs w:val="21"/>
          <w:highlight w:val="none"/>
        </w:rPr>
        <w:t>价格扣除比例在第四章评审方法及标准中规定，对小型企业和微型企业同等对待，不作区分。</w:t>
      </w:r>
    </w:p>
    <w:p w14:paraId="07EC8E94">
      <w:pPr>
        <w:spacing w:before="120" w:line="320" w:lineRule="atLeast"/>
        <w:ind w:left="2" w:leftChars="1" w:firstLine="420" w:firstLineChars="200"/>
        <w:rPr>
          <w:color w:val="auto"/>
          <w:szCs w:val="21"/>
          <w:highlight w:val="none"/>
        </w:rPr>
      </w:pPr>
      <w:r>
        <w:rPr>
          <w:color w:val="auto"/>
          <w:szCs w:val="21"/>
          <w:highlight w:val="none"/>
        </w:rPr>
        <w:t>1.4.2</w:t>
      </w:r>
      <w:r>
        <w:rPr>
          <w:rFonts w:hint="eastAsia"/>
          <w:color w:val="auto"/>
          <w:szCs w:val="21"/>
          <w:highlight w:val="none"/>
        </w:rPr>
        <w:t>中小企业定义</w:t>
      </w:r>
    </w:p>
    <w:p w14:paraId="006252E7">
      <w:pPr>
        <w:spacing w:before="120" w:line="320" w:lineRule="atLeast"/>
        <w:ind w:firstLine="420" w:firstLineChars="200"/>
        <w:rPr>
          <w:color w:val="auto"/>
          <w:szCs w:val="21"/>
          <w:highlight w:val="none"/>
        </w:rPr>
      </w:pPr>
      <w:r>
        <w:rPr>
          <w:color w:val="auto"/>
          <w:szCs w:val="21"/>
          <w:highlight w:val="none"/>
        </w:rPr>
        <w:t>1.4.2.1</w:t>
      </w:r>
      <w:r>
        <w:rPr>
          <w:rFonts w:hint="eastAsia"/>
          <w:color w:val="auto"/>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2E0576FA">
      <w:pPr>
        <w:spacing w:before="120" w:line="320" w:lineRule="atLeast"/>
        <w:ind w:left="2" w:leftChars="1" w:firstLine="420" w:firstLineChars="200"/>
        <w:rPr>
          <w:color w:val="auto"/>
          <w:szCs w:val="21"/>
          <w:highlight w:val="none"/>
        </w:rPr>
      </w:pPr>
      <w:r>
        <w:rPr>
          <w:color w:val="auto"/>
          <w:szCs w:val="21"/>
          <w:highlight w:val="none"/>
        </w:rPr>
        <w:t>1.4.2.2</w:t>
      </w:r>
      <w:r>
        <w:rPr>
          <w:rFonts w:hint="eastAsia"/>
          <w:color w:val="auto"/>
          <w:szCs w:val="21"/>
          <w:highlight w:val="none"/>
          <w:lang w:eastAsia="zh-CN"/>
        </w:rPr>
        <w:t>投标人</w:t>
      </w:r>
      <w:r>
        <w:rPr>
          <w:rFonts w:hint="eastAsia"/>
          <w:color w:val="auto"/>
          <w:szCs w:val="21"/>
          <w:highlight w:val="none"/>
        </w:rPr>
        <w:t>提供的货物、工程或者服务符合下列情形的，享受本款规定的促进中小企业发展政策：</w:t>
      </w:r>
    </w:p>
    <w:p w14:paraId="48E3772E">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在货物采购项目中，货物由中小企业制造，即货物由中小企业生产且使用该中小企业商号或者注册商标；</w:t>
      </w:r>
    </w:p>
    <w:p w14:paraId="48415164">
      <w:pPr>
        <w:spacing w:before="120" w:line="320" w:lineRule="atLeast"/>
        <w:ind w:left="2" w:leftChars="1" w:firstLine="420" w:firstLineChars="200"/>
        <w:rPr>
          <w:color w:val="auto"/>
          <w:szCs w:val="21"/>
          <w:highlight w:val="none"/>
        </w:rPr>
      </w:pPr>
      <w:r>
        <w:rPr>
          <w:rFonts w:hint="eastAsia"/>
          <w:color w:val="auto"/>
          <w:szCs w:val="21"/>
          <w:highlight w:val="none"/>
        </w:rPr>
        <w:t>在工程采购项目中，工程由中小企业承建，即工程施工单位为中小企业；</w:t>
      </w:r>
    </w:p>
    <w:p w14:paraId="688739E1">
      <w:pPr>
        <w:spacing w:before="120" w:line="320" w:lineRule="atLeast"/>
        <w:ind w:left="2" w:leftChars="1" w:firstLine="420" w:firstLineChars="200"/>
        <w:rPr>
          <w:color w:val="auto"/>
          <w:szCs w:val="21"/>
          <w:highlight w:val="none"/>
        </w:rPr>
      </w:pPr>
      <w:r>
        <w:rPr>
          <w:rFonts w:hint="eastAsia"/>
          <w:color w:val="auto"/>
          <w:szCs w:val="21"/>
          <w:highlight w:val="none"/>
        </w:rPr>
        <w:t>在服务采购项目中，服务由中小企业承接，即提供服务的人员为中小企业依照《中华人民共和国劳动合同法》订立劳动合同的从业人员。</w:t>
      </w:r>
    </w:p>
    <w:p w14:paraId="11EEDCA3">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w:t>
      </w:r>
      <w:r>
        <w:rPr>
          <w:rFonts w:hint="eastAsia"/>
          <w:color w:val="auto"/>
          <w:szCs w:val="21"/>
          <w:highlight w:val="none"/>
          <w:lang w:eastAsia="zh-CN"/>
        </w:rPr>
        <w:t>投标人</w:t>
      </w:r>
      <w:r>
        <w:rPr>
          <w:rFonts w:hint="eastAsia"/>
          <w:color w:val="auto"/>
          <w:szCs w:val="21"/>
          <w:highlight w:val="none"/>
        </w:rPr>
        <w:t>提供的货物既有中小企业制造货物，也有大型企业制造货物的，不享受本款规定的促进中小企业发展政策。</w:t>
      </w:r>
    </w:p>
    <w:p w14:paraId="049AE436">
      <w:pPr>
        <w:spacing w:before="120" w:line="320" w:lineRule="atLeast"/>
        <w:ind w:firstLine="420" w:firstLineChars="200"/>
        <w:rPr>
          <w:color w:val="auto"/>
          <w:szCs w:val="21"/>
          <w:highlight w:val="none"/>
        </w:rPr>
      </w:pPr>
      <w:r>
        <w:rPr>
          <w:color w:val="auto"/>
          <w:szCs w:val="21"/>
          <w:highlight w:val="none"/>
        </w:rPr>
        <w:t>1.4.2</w:t>
      </w:r>
      <w:r>
        <w:rPr>
          <w:rFonts w:hint="eastAsia"/>
          <w:color w:val="auto"/>
          <w:szCs w:val="21"/>
          <w:highlight w:val="none"/>
        </w:rPr>
        <w:t>.</w:t>
      </w:r>
      <w:r>
        <w:rPr>
          <w:color w:val="auto"/>
          <w:szCs w:val="21"/>
          <w:highlight w:val="none"/>
        </w:rPr>
        <w:t>3</w:t>
      </w:r>
      <w:r>
        <w:rPr>
          <w:rFonts w:hint="eastAsia"/>
          <w:color w:val="auto"/>
          <w:szCs w:val="21"/>
          <w:highlight w:val="none"/>
        </w:rPr>
        <w:t>本项目标的所属行业在第二章采购需求中规定。</w:t>
      </w:r>
      <w:r>
        <w:rPr>
          <w:rFonts w:hint="eastAsia"/>
          <w:color w:val="auto"/>
          <w:szCs w:val="21"/>
          <w:highlight w:val="none"/>
          <w:lang w:eastAsia="zh-CN"/>
        </w:rPr>
        <w:t>投标人</w:t>
      </w:r>
      <w:r>
        <w:rPr>
          <w:rFonts w:hint="eastAsia"/>
          <w:color w:val="auto"/>
          <w:szCs w:val="21"/>
          <w:highlight w:val="none"/>
        </w:rPr>
        <w:t>根据中小企业划分标准（《关于印发中小企业划型标准规定的通知》（工信部联企业〔2011〕300号）判断是否为中小企业。（见附件）</w:t>
      </w:r>
    </w:p>
    <w:p w14:paraId="2ACBC7E6">
      <w:pPr>
        <w:spacing w:before="120" w:line="320" w:lineRule="atLeast"/>
        <w:ind w:firstLine="420" w:firstLineChars="200"/>
        <w:rPr>
          <w:color w:val="auto"/>
          <w:szCs w:val="21"/>
          <w:highlight w:val="none"/>
        </w:rPr>
      </w:pPr>
      <w:r>
        <w:rPr>
          <w:rFonts w:hint="eastAsia"/>
          <w:color w:val="auto"/>
          <w:szCs w:val="21"/>
          <w:highlight w:val="none"/>
        </w:rPr>
        <w:t>符合条件的货物制造商、工程施工单位、服务承接单位为中小企业的，应按招标文件规定在投标文件中提供声明函。</w:t>
      </w:r>
    </w:p>
    <w:p w14:paraId="6FA8B56D">
      <w:pPr>
        <w:spacing w:before="120" w:line="320" w:lineRule="atLeast"/>
        <w:ind w:firstLine="420" w:firstLineChars="200"/>
        <w:rPr>
          <w:color w:val="auto"/>
          <w:szCs w:val="21"/>
          <w:highlight w:val="none"/>
        </w:rPr>
      </w:pPr>
      <w:r>
        <w:rPr>
          <w:color w:val="auto"/>
          <w:szCs w:val="21"/>
          <w:highlight w:val="none"/>
        </w:rPr>
        <w:t>1.4</w:t>
      </w:r>
      <w:r>
        <w:rPr>
          <w:rFonts w:hint="eastAsia"/>
          <w:color w:val="auto"/>
          <w:szCs w:val="21"/>
          <w:highlight w:val="none"/>
        </w:rPr>
        <w:t>.</w:t>
      </w:r>
      <w:r>
        <w:rPr>
          <w:color w:val="auto"/>
          <w:szCs w:val="21"/>
          <w:highlight w:val="none"/>
        </w:rPr>
        <w:t>2</w:t>
      </w:r>
      <w:r>
        <w:rPr>
          <w:rFonts w:hint="eastAsia"/>
          <w:color w:val="auto"/>
          <w:szCs w:val="21"/>
          <w:highlight w:val="none"/>
        </w:rPr>
        <w:t>.</w:t>
      </w:r>
      <w:r>
        <w:rPr>
          <w:color w:val="auto"/>
          <w:szCs w:val="21"/>
          <w:highlight w:val="none"/>
        </w:rPr>
        <w:t>4</w:t>
      </w:r>
      <w:r>
        <w:rPr>
          <w:rFonts w:hint="eastAsia"/>
          <w:color w:val="auto"/>
          <w:szCs w:val="21"/>
          <w:highlight w:val="none"/>
        </w:rPr>
        <w:t>视同中小企业情形</w:t>
      </w:r>
    </w:p>
    <w:p w14:paraId="29512987">
      <w:pPr>
        <w:spacing w:before="120" w:line="320" w:lineRule="atLeast"/>
        <w:ind w:firstLine="420" w:firstLineChars="200"/>
        <w:rPr>
          <w:color w:val="auto"/>
          <w:szCs w:val="21"/>
          <w:highlight w:val="none"/>
        </w:rPr>
      </w:pPr>
      <w:r>
        <w:rPr>
          <w:rFonts w:hint="eastAsia"/>
          <w:color w:val="auto"/>
          <w:szCs w:val="21"/>
          <w:highlight w:val="none"/>
        </w:rPr>
        <w:t>（1）符合中小企业划分标准的个体工商户，视同中小企业。</w:t>
      </w:r>
    </w:p>
    <w:p w14:paraId="3064198E">
      <w:pPr>
        <w:spacing w:before="120" w:line="320" w:lineRule="atLeast"/>
        <w:ind w:firstLine="420" w:firstLineChars="200"/>
        <w:rPr>
          <w:color w:val="auto"/>
          <w:szCs w:val="21"/>
          <w:highlight w:val="none"/>
        </w:rPr>
      </w:pPr>
      <w:r>
        <w:rPr>
          <w:rFonts w:hint="eastAsia"/>
          <w:color w:val="auto"/>
          <w:szCs w:val="21"/>
          <w:highlight w:val="none"/>
        </w:rPr>
        <w:t>（2）以联合体形式参加政府采购活动，联合体各方均为中小企业的，联合体视同中小企业。其中，联合体各方均为小微企业的，联合体视同小微企业。</w:t>
      </w:r>
    </w:p>
    <w:p w14:paraId="08B293B0">
      <w:pPr>
        <w:spacing w:before="120" w:line="320" w:lineRule="atLeast"/>
        <w:ind w:firstLine="420" w:firstLineChars="200"/>
        <w:rPr>
          <w:color w:val="auto"/>
          <w:szCs w:val="21"/>
          <w:highlight w:val="none"/>
        </w:rPr>
      </w:pPr>
      <w:r>
        <w:rPr>
          <w:rFonts w:hint="eastAsia"/>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2B8DB929">
      <w:pPr>
        <w:spacing w:before="120" w:line="320" w:lineRule="atLeast"/>
        <w:ind w:left="2" w:leftChars="1" w:firstLine="420" w:firstLineChars="200"/>
        <w:rPr>
          <w:rFonts w:hint="eastAsia"/>
          <w:color w:val="auto"/>
          <w:szCs w:val="21"/>
          <w:highlight w:val="none"/>
        </w:rPr>
      </w:pPr>
      <w:r>
        <w:rPr>
          <w:rFonts w:hint="eastAsia"/>
          <w:color w:val="auto"/>
          <w:szCs w:val="21"/>
          <w:highlight w:val="none"/>
        </w:rPr>
        <w:t>符合条件的货物制造商、工程施工单位、服务承接单位为监狱企业或残疾人福利性单位的，应按招标文件规定在投标文件中提供相关证明文件。</w:t>
      </w:r>
      <w:bookmarkEnd w:id="52"/>
    </w:p>
    <w:bookmarkEnd w:id="50"/>
    <w:p w14:paraId="01CA86F8">
      <w:pPr>
        <w:spacing w:before="120" w:line="320" w:lineRule="atLeast"/>
        <w:ind w:firstLine="422" w:firstLineChars="200"/>
        <w:outlineLvl w:val="2"/>
        <w:rPr>
          <w:b/>
          <w:bCs/>
          <w:color w:val="auto"/>
          <w:kern w:val="0"/>
          <w:szCs w:val="21"/>
          <w:highlight w:val="none"/>
        </w:rPr>
      </w:pPr>
      <w:r>
        <w:rPr>
          <w:b/>
          <w:bCs/>
          <w:color w:val="auto"/>
          <w:kern w:val="0"/>
          <w:szCs w:val="21"/>
          <w:highlight w:val="none"/>
        </w:rPr>
        <w:t>1.5</w:t>
      </w:r>
      <w:r>
        <w:rPr>
          <w:rFonts w:hint="eastAsia"/>
          <w:b/>
          <w:bCs/>
          <w:color w:val="auto"/>
          <w:kern w:val="0"/>
          <w:szCs w:val="21"/>
          <w:highlight w:val="none"/>
        </w:rPr>
        <w:t>投标人</w:t>
      </w:r>
      <w:r>
        <w:rPr>
          <w:b/>
          <w:bCs/>
          <w:color w:val="auto"/>
          <w:kern w:val="0"/>
          <w:szCs w:val="21"/>
          <w:highlight w:val="none"/>
        </w:rPr>
        <w:t>资格</w:t>
      </w:r>
      <w:r>
        <w:rPr>
          <w:rFonts w:hint="eastAsia"/>
          <w:b/>
          <w:bCs/>
          <w:color w:val="auto"/>
          <w:kern w:val="0"/>
          <w:szCs w:val="21"/>
          <w:highlight w:val="none"/>
        </w:rPr>
        <w:t>要求</w:t>
      </w:r>
    </w:p>
    <w:p w14:paraId="0548A51F">
      <w:pPr>
        <w:spacing w:before="120" w:line="320" w:lineRule="atLeast"/>
        <w:ind w:firstLine="420" w:firstLineChars="200"/>
        <w:rPr>
          <w:color w:val="auto"/>
          <w:szCs w:val="21"/>
          <w:highlight w:val="none"/>
        </w:rPr>
      </w:pPr>
      <w:r>
        <w:rPr>
          <w:color w:val="auto"/>
          <w:szCs w:val="21"/>
          <w:highlight w:val="none"/>
        </w:rPr>
        <w:t>1.5.1</w:t>
      </w:r>
      <w:r>
        <w:rPr>
          <w:rFonts w:hint="eastAsia"/>
          <w:color w:val="auto"/>
          <w:szCs w:val="21"/>
          <w:highlight w:val="none"/>
        </w:rPr>
        <w:t>投标人资格要求：详见投标人须知前附表</w:t>
      </w:r>
    </w:p>
    <w:p w14:paraId="55600B3B">
      <w:pPr>
        <w:spacing w:before="120" w:line="320" w:lineRule="atLeast"/>
        <w:ind w:firstLine="420" w:firstLineChars="200"/>
        <w:rPr>
          <w:color w:val="auto"/>
          <w:szCs w:val="21"/>
          <w:highlight w:val="none"/>
        </w:rPr>
      </w:pPr>
      <w:r>
        <w:rPr>
          <w:color w:val="auto"/>
          <w:szCs w:val="21"/>
          <w:highlight w:val="none"/>
        </w:rPr>
        <w:t>1.5.2按照招标公告的规定获得招标文件。</w:t>
      </w:r>
    </w:p>
    <w:p w14:paraId="59F822DF">
      <w:pPr>
        <w:spacing w:before="120" w:line="320" w:lineRule="atLeast"/>
        <w:ind w:firstLine="420" w:firstLineChars="200"/>
        <w:rPr>
          <w:color w:val="auto"/>
          <w:szCs w:val="21"/>
          <w:highlight w:val="none"/>
        </w:rPr>
      </w:pPr>
      <w:r>
        <w:rPr>
          <w:color w:val="auto"/>
          <w:szCs w:val="21"/>
          <w:highlight w:val="none"/>
        </w:rPr>
        <w:t>1.5.3本项目是否接受联合体投标，见“</w:t>
      </w:r>
      <w:r>
        <w:rPr>
          <w:rFonts w:hint="eastAsia"/>
          <w:color w:val="auto"/>
          <w:szCs w:val="21"/>
          <w:highlight w:val="none"/>
        </w:rPr>
        <w:t>投标人</w:t>
      </w:r>
      <w:r>
        <w:rPr>
          <w:color w:val="auto"/>
          <w:szCs w:val="21"/>
          <w:highlight w:val="none"/>
        </w:rPr>
        <w:t>须知前附表”规定。</w:t>
      </w:r>
    </w:p>
    <w:p w14:paraId="4018D206">
      <w:pPr>
        <w:spacing w:before="120" w:line="320" w:lineRule="atLeast"/>
        <w:ind w:firstLine="420" w:firstLineChars="200"/>
        <w:rPr>
          <w:color w:val="auto"/>
          <w:szCs w:val="21"/>
          <w:highlight w:val="none"/>
        </w:rPr>
      </w:pPr>
      <w:r>
        <w:rPr>
          <w:rFonts w:hint="eastAsia"/>
          <w:color w:val="auto"/>
          <w:szCs w:val="21"/>
          <w:highlight w:val="none"/>
        </w:rPr>
        <w:t xml:space="preserve">如接受联合体投标，联合体投标要求如下： </w:t>
      </w:r>
    </w:p>
    <w:p w14:paraId="104F16F3">
      <w:pPr>
        <w:spacing w:before="120" w:line="320" w:lineRule="atLeast"/>
        <w:ind w:firstLine="420" w:firstLineChars="200"/>
        <w:rPr>
          <w:color w:val="auto"/>
          <w:szCs w:val="21"/>
          <w:highlight w:val="none"/>
        </w:rPr>
      </w:pPr>
      <w:r>
        <w:rPr>
          <w:color w:val="auto"/>
          <w:szCs w:val="21"/>
          <w:highlight w:val="none"/>
        </w:rPr>
        <w:t>（1</w:t>
      </w:r>
      <w:r>
        <w:rPr>
          <w:rFonts w:hint="eastAsia"/>
          <w:color w:val="auto"/>
          <w:szCs w:val="21"/>
          <w:highlight w:val="none"/>
        </w:rPr>
        <w:t>）</w:t>
      </w:r>
      <w:r>
        <w:rPr>
          <w:rFonts w:hint="eastAsia"/>
          <w:color w:val="auto"/>
          <w:szCs w:val="21"/>
          <w:highlight w:val="none"/>
          <w:lang w:eastAsia="zh-CN"/>
        </w:rPr>
        <w:t>投标人</w:t>
      </w:r>
      <w:r>
        <w:rPr>
          <w:rFonts w:hint="eastAsia"/>
          <w:color w:val="auto"/>
          <w:szCs w:val="21"/>
          <w:highlight w:val="none"/>
        </w:rPr>
        <w:t>可以组成一个投标联合体，以一个</w:t>
      </w:r>
      <w:r>
        <w:rPr>
          <w:rFonts w:hint="eastAsia"/>
          <w:color w:val="auto"/>
          <w:szCs w:val="21"/>
          <w:highlight w:val="none"/>
          <w:lang w:eastAsia="zh-CN"/>
        </w:rPr>
        <w:t>投标人</w:t>
      </w:r>
      <w:r>
        <w:rPr>
          <w:rFonts w:hint="eastAsia"/>
          <w:color w:val="auto"/>
          <w:szCs w:val="21"/>
          <w:highlight w:val="none"/>
        </w:rPr>
        <w:t>的身份共同参加投标。联合体投标的，须提供《联合体协议书》（格式后附）</w:t>
      </w:r>
    </w:p>
    <w:p w14:paraId="1FCBA63F">
      <w:pPr>
        <w:spacing w:before="120" w:line="320" w:lineRule="atLeast"/>
        <w:ind w:firstLine="420" w:firstLineChars="200"/>
        <w:rPr>
          <w:color w:val="auto"/>
          <w:szCs w:val="21"/>
          <w:highlight w:val="none"/>
        </w:rPr>
      </w:pPr>
      <w:r>
        <w:rPr>
          <w:color w:val="auto"/>
          <w:szCs w:val="21"/>
          <w:highlight w:val="none"/>
        </w:rPr>
        <w:t>（2</w:t>
      </w:r>
      <w:r>
        <w:rPr>
          <w:rFonts w:hint="eastAsia"/>
          <w:color w:val="auto"/>
          <w:szCs w:val="21"/>
          <w:highlight w:val="none"/>
        </w:rPr>
        <w:t>）以联合体形式参加投标的，联合体各方均必须具备《中华人民共和国政府采购法》第二十二条第一款规定的基本条件。本项目有特殊要求规定</w:t>
      </w:r>
      <w:r>
        <w:rPr>
          <w:rFonts w:hint="eastAsia"/>
          <w:color w:val="auto"/>
          <w:szCs w:val="21"/>
          <w:highlight w:val="none"/>
          <w:lang w:eastAsia="zh-CN"/>
        </w:rPr>
        <w:t>投标人</w:t>
      </w:r>
      <w:r>
        <w:rPr>
          <w:rFonts w:hint="eastAsia"/>
          <w:color w:val="auto"/>
          <w:szCs w:val="21"/>
          <w:highlight w:val="none"/>
        </w:rPr>
        <w:t>特定条件的，联合体各方中至少有一方必须符合招标文件规定的特定条件。</w:t>
      </w:r>
    </w:p>
    <w:p w14:paraId="76324481">
      <w:pPr>
        <w:spacing w:before="120" w:line="320" w:lineRule="atLeast"/>
        <w:ind w:firstLine="420" w:firstLineChars="200"/>
        <w:rPr>
          <w:color w:val="auto"/>
          <w:szCs w:val="21"/>
          <w:highlight w:val="none"/>
        </w:rPr>
      </w:pPr>
      <w:r>
        <w:rPr>
          <w:color w:val="auto"/>
          <w:szCs w:val="21"/>
          <w:highlight w:val="none"/>
        </w:rPr>
        <w:t>（3</w:t>
      </w:r>
      <w:r>
        <w:rPr>
          <w:rFonts w:hint="eastAsia"/>
          <w:color w:val="auto"/>
          <w:szCs w:val="21"/>
          <w:highlight w:val="none"/>
        </w:rPr>
        <w:t>）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26805064">
      <w:pPr>
        <w:spacing w:before="120" w:line="320" w:lineRule="atLeast"/>
        <w:ind w:firstLine="420" w:firstLineChars="200"/>
        <w:rPr>
          <w:color w:val="auto"/>
          <w:szCs w:val="21"/>
          <w:highlight w:val="none"/>
        </w:rPr>
      </w:pPr>
      <w:r>
        <w:rPr>
          <w:color w:val="auto"/>
          <w:szCs w:val="21"/>
          <w:highlight w:val="none"/>
        </w:rPr>
        <w:t>（4</w:t>
      </w:r>
      <w:r>
        <w:rPr>
          <w:rFonts w:hint="eastAsia"/>
          <w:color w:val="auto"/>
          <w:szCs w:val="21"/>
          <w:highlight w:val="none"/>
        </w:rPr>
        <w:t>）以联合体形式参加政府采购活动的，联合体各方不得再单独参加或者与其他</w:t>
      </w:r>
      <w:r>
        <w:rPr>
          <w:rFonts w:hint="eastAsia"/>
          <w:color w:val="auto"/>
          <w:szCs w:val="21"/>
          <w:highlight w:val="none"/>
          <w:lang w:eastAsia="zh-CN"/>
        </w:rPr>
        <w:t>投标人</w:t>
      </w:r>
      <w:r>
        <w:rPr>
          <w:rFonts w:hint="eastAsia"/>
          <w:color w:val="auto"/>
          <w:szCs w:val="21"/>
          <w:highlight w:val="none"/>
        </w:rPr>
        <w:t>另外组成联合体参加同一合同项下的政府采购活动。</w:t>
      </w:r>
    </w:p>
    <w:p w14:paraId="6B7F0EE3">
      <w:pPr>
        <w:spacing w:before="120" w:line="320" w:lineRule="atLeast"/>
        <w:ind w:firstLine="420" w:firstLineChars="200"/>
        <w:rPr>
          <w:color w:val="auto"/>
          <w:szCs w:val="21"/>
          <w:highlight w:val="none"/>
        </w:rPr>
      </w:pPr>
      <w:r>
        <w:rPr>
          <w:color w:val="auto"/>
          <w:szCs w:val="21"/>
          <w:highlight w:val="none"/>
        </w:rPr>
        <w:t>（5</w:t>
      </w:r>
      <w:r>
        <w:rPr>
          <w:rFonts w:hint="eastAsia"/>
          <w:color w:val="auto"/>
          <w:szCs w:val="21"/>
          <w:highlight w:val="none"/>
        </w:rPr>
        <w:t>）联合体中有同类资质的</w:t>
      </w:r>
      <w:r>
        <w:rPr>
          <w:rFonts w:hint="eastAsia"/>
          <w:color w:val="auto"/>
          <w:szCs w:val="21"/>
          <w:highlight w:val="none"/>
          <w:lang w:eastAsia="zh-CN"/>
        </w:rPr>
        <w:t>投标人</w:t>
      </w:r>
      <w:r>
        <w:rPr>
          <w:rFonts w:hint="eastAsia"/>
          <w:color w:val="auto"/>
          <w:szCs w:val="21"/>
          <w:highlight w:val="none"/>
        </w:rPr>
        <w:t>按照联合体分工承担相同工作的，应当按照资质等级较低的</w:t>
      </w:r>
      <w:r>
        <w:rPr>
          <w:rFonts w:hint="eastAsia"/>
          <w:color w:val="auto"/>
          <w:szCs w:val="21"/>
          <w:highlight w:val="none"/>
          <w:lang w:eastAsia="zh-CN"/>
        </w:rPr>
        <w:t>投标人</w:t>
      </w:r>
      <w:r>
        <w:rPr>
          <w:rFonts w:hint="eastAsia"/>
          <w:color w:val="auto"/>
          <w:szCs w:val="21"/>
          <w:highlight w:val="none"/>
        </w:rPr>
        <w:t>确定资质等级。</w:t>
      </w:r>
    </w:p>
    <w:p w14:paraId="553229EA">
      <w:pPr>
        <w:spacing w:before="120" w:line="320" w:lineRule="atLeast"/>
        <w:ind w:firstLine="420" w:firstLineChars="200"/>
        <w:rPr>
          <w:color w:val="auto"/>
          <w:szCs w:val="21"/>
          <w:highlight w:val="none"/>
        </w:rPr>
      </w:pPr>
      <w:r>
        <w:rPr>
          <w:color w:val="auto"/>
          <w:szCs w:val="21"/>
          <w:highlight w:val="none"/>
        </w:rPr>
        <w:t>（6</w:t>
      </w:r>
      <w:r>
        <w:rPr>
          <w:rFonts w:hint="eastAsia"/>
          <w:color w:val="auto"/>
          <w:szCs w:val="21"/>
          <w:highlight w:val="none"/>
        </w:rPr>
        <w:t>）联合体投标业绩、履约能力按照联合体各方其中较高的一方认定并计算（招标文件其他章节另有规定的除外）。</w:t>
      </w:r>
    </w:p>
    <w:p w14:paraId="0DAA6E8A">
      <w:pPr>
        <w:spacing w:before="120" w:line="320" w:lineRule="atLeast"/>
        <w:ind w:firstLine="420" w:firstLineChars="200"/>
        <w:rPr>
          <w:color w:val="auto"/>
          <w:szCs w:val="21"/>
          <w:highlight w:val="none"/>
        </w:rPr>
      </w:pPr>
      <w:r>
        <w:rPr>
          <w:color w:val="auto"/>
          <w:szCs w:val="21"/>
          <w:highlight w:val="none"/>
        </w:rPr>
        <w:t>（7</w:t>
      </w:r>
      <w:r>
        <w:rPr>
          <w:rFonts w:hint="eastAsia"/>
          <w:color w:val="auto"/>
          <w:szCs w:val="21"/>
          <w:highlight w:val="none"/>
        </w:rPr>
        <w:t>）</w:t>
      </w:r>
      <w:r>
        <w:rPr>
          <w:rFonts w:hint="eastAsia"/>
          <w:color w:val="auto"/>
          <w:szCs w:val="21"/>
          <w:highlight w:val="none"/>
          <w:lang w:eastAsia="zh-CN"/>
        </w:rPr>
        <w:t>投标人</w:t>
      </w:r>
      <w:r>
        <w:rPr>
          <w:rFonts w:hint="eastAsia"/>
          <w:color w:val="auto"/>
          <w:szCs w:val="21"/>
          <w:highlight w:val="none"/>
        </w:rPr>
        <w:t>为联合体的，可以由联合体中的一方或者多方共同交纳投标保证金，其交纳的保证金对联合体各方均具有约束力。</w:t>
      </w:r>
    </w:p>
    <w:p w14:paraId="366C1CBB">
      <w:pPr>
        <w:spacing w:before="120" w:line="320" w:lineRule="atLeast"/>
        <w:ind w:firstLine="420" w:firstLineChars="200"/>
        <w:rPr>
          <w:color w:val="auto"/>
          <w:szCs w:val="21"/>
          <w:highlight w:val="none"/>
        </w:rPr>
      </w:pPr>
      <w:r>
        <w:rPr>
          <w:color w:val="auto"/>
          <w:szCs w:val="21"/>
          <w:highlight w:val="none"/>
        </w:rPr>
        <w:t>（8</w:t>
      </w:r>
      <w:r>
        <w:rPr>
          <w:rFonts w:hint="eastAsia"/>
          <w:color w:val="auto"/>
          <w:szCs w:val="21"/>
          <w:highlight w:val="none"/>
        </w:rPr>
        <w:t>）联合体各方均应按照招标文件的规定提交资格证明文件。</w:t>
      </w:r>
    </w:p>
    <w:p w14:paraId="78F43105">
      <w:pPr>
        <w:spacing w:before="120" w:line="320" w:lineRule="atLeast"/>
        <w:ind w:firstLine="422" w:firstLineChars="200"/>
        <w:outlineLvl w:val="2"/>
        <w:rPr>
          <w:b/>
          <w:bCs/>
          <w:color w:val="auto"/>
          <w:kern w:val="0"/>
          <w:szCs w:val="21"/>
          <w:highlight w:val="none"/>
        </w:rPr>
      </w:pPr>
      <w:bookmarkStart w:id="53" w:name="_Toc254970531"/>
      <w:bookmarkStart w:id="54" w:name="_Toc254970672"/>
      <w:r>
        <w:rPr>
          <w:b/>
          <w:bCs/>
          <w:color w:val="auto"/>
          <w:kern w:val="0"/>
          <w:szCs w:val="21"/>
          <w:highlight w:val="none"/>
        </w:rPr>
        <w:t>1.6现场踏勘及投标费用</w:t>
      </w:r>
      <w:bookmarkEnd w:id="53"/>
      <w:bookmarkEnd w:id="54"/>
    </w:p>
    <w:p w14:paraId="61C796CB">
      <w:pPr>
        <w:spacing w:before="120" w:line="320" w:lineRule="atLeast"/>
        <w:ind w:firstLine="420" w:firstLineChars="200"/>
        <w:rPr>
          <w:color w:val="auto"/>
          <w:szCs w:val="21"/>
          <w:highlight w:val="none"/>
        </w:rPr>
      </w:pPr>
      <w:r>
        <w:rPr>
          <w:color w:val="auto"/>
          <w:szCs w:val="21"/>
          <w:highlight w:val="none"/>
        </w:rPr>
        <w:t>1.6.1前附表如规定现场踏勘的，</w:t>
      </w:r>
      <w:r>
        <w:rPr>
          <w:rFonts w:hint="eastAsia"/>
          <w:color w:val="auto"/>
          <w:szCs w:val="21"/>
          <w:highlight w:val="none"/>
          <w:lang w:eastAsia="zh-CN"/>
        </w:rPr>
        <w:t>投标人</w:t>
      </w:r>
      <w:r>
        <w:rPr>
          <w:color w:val="auto"/>
          <w:szCs w:val="21"/>
          <w:highlight w:val="none"/>
        </w:rPr>
        <w:t>应按规定时间地点参加踏勘。</w:t>
      </w:r>
    </w:p>
    <w:p w14:paraId="385D1FD6">
      <w:pPr>
        <w:spacing w:before="120" w:line="320" w:lineRule="atLeast"/>
        <w:ind w:firstLine="420" w:firstLineChars="200"/>
        <w:rPr>
          <w:color w:val="auto"/>
          <w:szCs w:val="21"/>
          <w:highlight w:val="none"/>
        </w:rPr>
      </w:pPr>
      <w:r>
        <w:rPr>
          <w:color w:val="auto"/>
          <w:szCs w:val="21"/>
          <w:highlight w:val="none"/>
        </w:rPr>
        <w:t>1.6.2</w:t>
      </w:r>
      <w:r>
        <w:rPr>
          <w:rFonts w:hint="eastAsia"/>
          <w:color w:val="auto"/>
          <w:szCs w:val="21"/>
          <w:highlight w:val="none"/>
          <w:lang w:eastAsia="zh-CN"/>
        </w:rPr>
        <w:t>投标人</w:t>
      </w:r>
      <w:r>
        <w:rPr>
          <w:color w:val="auto"/>
          <w:szCs w:val="21"/>
          <w:highlight w:val="none"/>
        </w:rPr>
        <w:t>均应自行承担所有与投标有关的全部费用（招标文件有相关的规定除外）。</w:t>
      </w:r>
    </w:p>
    <w:p w14:paraId="35AECF66">
      <w:pPr>
        <w:spacing w:before="120" w:line="320" w:lineRule="atLeast"/>
        <w:ind w:firstLine="422" w:firstLineChars="200"/>
        <w:outlineLvl w:val="2"/>
        <w:rPr>
          <w:b/>
          <w:bCs/>
          <w:color w:val="auto"/>
          <w:kern w:val="0"/>
          <w:szCs w:val="21"/>
          <w:highlight w:val="none"/>
        </w:rPr>
      </w:pPr>
      <w:r>
        <w:rPr>
          <w:b/>
          <w:bCs/>
          <w:color w:val="auto"/>
          <w:kern w:val="0"/>
          <w:szCs w:val="21"/>
          <w:highlight w:val="none"/>
        </w:rPr>
        <w:t>1.7转包与分包</w:t>
      </w:r>
    </w:p>
    <w:p w14:paraId="28735EAA">
      <w:pPr>
        <w:spacing w:before="120" w:line="320" w:lineRule="atLeast"/>
        <w:ind w:firstLine="420" w:firstLineChars="200"/>
        <w:rPr>
          <w:color w:val="auto"/>
          <w:szCs w:val="21"/>
          <w:highlight w:val="none"/>
        </w:rPr>
      </w:pPr>
      <w:r>
        <w:rPr>
          <w:color w:val="auto"/>
          <w:szCs w:val="21"/>
          <w:highlight w:val="none"/>
        </w:rPr>
        <w:t>1.7.1如</w:t>
      </w:r>
      <w:r>
        <w:rPr>
          <w:rFonts w:hint="eastAsia"/>
          <w:color w:val="auto"/>
          <w:szCs w:val="21"/>
          <w:highlight w:val="none"/>
        </w:rPr>
        <w:t>招标</w:t>
      </w:r>
      <w:r>
        <w:rPr>
          <w:color w:val="auto"/>
          <w:szCs w:val="21"/>
          <w:highlight w:val="none"/>
        </w:rPr>
        <w:t>文件其他地方无特别规定</w:t>
      </w:r>
      <w:r>
        <w:rPr>
          <w:rFonts w:hint="eastAsia"/>
          <w:color w:val="auto"/>
          <w:szCs w:val="21"/>
          <w:highlight w:val="none"/>
        </w:rPr>
        <w:t>，</w:t>
      </w:r>
      <w:r>
        <w:rPr>
          <w:color w:val="auto"/>
          <w:szCs w:val="21"/>
          <w:highlight w:val="none"/>
        </w:rPr>
        <w:t>本项目不允许转包。</w:t>
      </w:r>
    </w:p>
    <w:p w14:paraId="12E2C050">
      <w:pPr>
        <w:spacing w:before="120" w:line="320" w:lineRule="atLeast"/>
        <w:ind w:firstLine="420" w:firstLineChars="200"/>
        <w:rPr>
          <w:color w:val="auto"/>
          <w:szCs w:val="21"/>
          <w:highlight w:val="none"/>
        </w:rPr>
      </w:pPr>
      <w:r>
        <w:rPr>
          <w:color w:val="auto"/>
          <w:szCs w:val="21"/>
          <w:highlight w:val="none"/>
        </w:rPr>
        <w:t>1.7.2</w:t>
      </w:r>
      <w:r>
        <w:rPr>
          <w:rFonts w:hint="eastAsia"/>
          <w:color w:val="auto"/>
          <w:szCs w:val="21"/>
          <w:highlight w:val="none"/>
        </w:rPr>
        <w:t>本项目是否允许分包详见“投标人须知前附表”，本项目不允许违法分包。</w:t>
      </w:r>
      <w:r>
        <w:rPr>
          <w:rFonts w:hint="eastAsia"/>
          <w:color w:val="auto"/>
          <w:szCs w:val="21"/>
          <w:highlight w:val="none"/>
          <w:lang w:eastAsia="zh-CN"/>
        </w:rPr>
        <w:t>投标人</w:t>
      </w:r>
      <w:r>
        <w:rPr>
          <w:rFonts w:hint="eastAsia"/>
          <w:color w:val="auto"/>
          <w:szCs w:val="21"/>
          <w:highlight w:val="none"/>
        </w:rPr>
        <w:t>根据招标文件的规定和采购项目的实际情况，拟在中标后将中标项目的非主体、非关键性工作分包的，应当在投标文件中载明分包承担主体，分包承担主体应当具备相应资质条件且不得再次分包。</w:t>
      </w:r>
    </w:p>
    <w:p w14:paraId="1F8B2B3C">
      <w:pPr>
        <w:spacing w:before="120" w:line="276" w:lineRule="auto"/>
        <w:ind w:firstLine="422" w:firstLineChars="200"/>
        <w:outlineLvl w:val="2"/>
        <w:rPr>
          <w:b/>
          <w:bCs/>
          <w:color w:val="auto"/>
          <w:kern w:val="0"/>
          <w:szCs w:val="21"/>
          <w:highlight w:val="none"/>
        </w:rPr>
      </w:pPr>
      <w:bookmarkStart w:id="55" w:name="_Toc254970673"/>
      <w:bookmarkStart w:id="56" w:name="_Toc254970532"/>
      <w:r>
        <w:rPr>
          <w:b/>
          <w:bCs/>
          <w:color w:val="auto"/>
          <w:kern w:val="0"/>
          <w:szCs w:val="21"/>
          <w:highlight w:val="none"/>
        </w:rPr>
        <w:t>1.8特别说明</w:t>
      </w:r>
      <w:bookmarkEnd w:id="55"/>
      <w:bookmarkEnd w:id="56"/>
    </w:p>
    <w:p w14:paraId="7083123A">
      <w:pPr>
        <w:spacing w:line="276" w:lineRule="auto"/>
        <w:ind w:firstLine="420" w:firstLineChars="200"/>
        <w:rPr>
          <w:color w:val="auto"/>
          <w:szCs w:val="21"/>
          <w:highlight w:val="none"/>
        </w:rPr>
      </w:pPr>
      <w:r>
        <w:rPr>
          <w:color w:val="auto"/>
          <w:szCs w:val="21"/>
          <w:highlight w:val="none"/>
        </w:rPr>
        <w:t xml:space="preserve">1.8.1 </w:t>
      </w:r>
      <w:r>
        <w:rPr>
          <w:rFonts w:hint="eastAsia"/>
          <w:color w:val="auto"/>
          <w:szCs w:val="21"/>
          <w:highlight w:val="none"/>
          <w:lang w:eastAsia="zh-CN"/>
        </w:rPr>
        <w:t>投标人</w:t>
      </w:r>
      <w:r>
        <w:rPr>
          <w:color w:val="auto"/>
          <w:szCs w:val="21"/>
          <w:highlight w:val="none"/>
        </w:rPr>
        <w:t>应保证其提供的联系方式（电话、传真、电子邮件）有效，以保证往来函件（澄清、修改等）能及时通知</w:t>
      </w:r>
      <w:r>
        <w:rPr>
          <w:rFonts w:hint="eastAsia"/>
          <w:color w:val="auto"/>
          <w:szCs w:val="21"/>
          <w:highlight w:val="none"/>
          <w:lang w:eastAsia="zh-CN"/>
        </w:rPr>
        <w:t>投标人</w:t>
      </w:r>
      <w:r>
        <w:rPr>
          <w:color w:val="auto"/>
          <w:szCs w:val="21"/>
          <w:highlight w:val="none"/>
        </w:rPr>
        <w:t>，并能及时反馈，否则采购人</w:t>
      </w:r>
      <w:r>
        <w:rPr>
          <w:rFonts w:hint="eastAsia"/>
          <w:color w:val="auto"/>
          <w:szCs w:val="21"/>
          <w:highlight w:val="none"/>
        </w:rPr>
        <w:t>及代理机构</w:t>
      </w:r>
      <w:r>
        <w:rPr>
          <w:color w:val="auto"/>
          <w:szCs w:val="21"/>
          <w:highlight w:val="none"/>
        </w:rPr>
        <w:t>不承担由此引起的一切后果。</w:t>
      </w:r>
    </w:p>
    <w:p w14:paraId="31366033">
      <w:pPr>
        <w:spacing w:before="120" w:line="320" w:lineRule="atLeast"/>
        <w:ind w:firstLine="420" w:firstLineChars="200"/>
        <w:rPr>
          <w:color w:val="auto"/>
          <w:szCs w:val="21"/>
          <w:highlight w:val="none"/>
        </w:rPr>
      </w:pPr>
      <w:r>
        <w:rPr>
          <w:color w:val="auto"/>
          <w:szCs w:val="21"/>
          <w:highlight w:val="none"/>
        </w:rPr>
        <w:t>1.8.2</w:t>
      </w:r>
      <w:r>
        <w:rPr>
          <w:rFonts w:hint="eastAsia"/>
          <w:color w:val="auto"/>
          <w:szCs w:val="21"/>
          <w:highlight w:val="none"/>
          <w:lang w:eastAsia="zh-CN"/>
        </w:rPr>
        <w:t>投标人</w:t>
      </w:r>
      <w:r>
        <w:rPr>
          <w:color w:val="auto"/>
          <w:szCs w:val="21"/>
          <w:highlight w:val="none"/>
        </w:rPr>
        <w:t>应仔细阅读招标文件的所有内容，按照招标文件的要求提交投标文件，并对所提供的全部资料的真实性承担法律责任。</w:t>
      </w:r>
    </w:p>
    <w:p w14:paraId="62F4C6E5">
      <w:pPr>
        <w:spacing w:before="120" w:line="320" w:lineRule="atLeast"/>
        <w:ind w:firstLine="420" w:firstLineChars="200"/>
        <w:rPr>
          <w:color w:val="auto"/>
          <w:szCs w:val="21"/>
          <w:highlight w:val="none"/>
        </w:rPr>
      </w:pPr>
      <w:r>
        <w:rPr>
          <w:color w:val="auto"/>
          <w:szCs w:val="21"/>
          <w:highlight w:val="none"/>
        </w:rPr>
        <w:t>1.8.3</w:t>
      </w:r>
      <w:r>
        <w:rPr>
          <w:rFonts w:hint="eastAsia"/>
          <w:color w:val="auto"/>
          <w:szCs w:val="21"/>
          <w:highlight w:val="none"/>
          <w:lang w:eastAsia="zh-CN"/>
        </w:rPr>
        <w:t>投标人</w:t>
      </w:r>
      <w:r>
        <w:rPr>
          <w:color w:val="auto"/>
          <w:szCs w:val="21"/>
          <w:highlight w:val="none"/>
        </w:rPr>
        <w:t>在投标活动中提供任何虚假材料，</w:t>
      </w:r>
      <w:r>
        <w:rPr>
          <w:rFonts w:hint="eastAsia"/>
          <w:color w:val="auto"/>
          <w:szCs w:val="21"/>
          <w:highlight w:val="none"/>
        </w:rPr>
        <w:t>将</w:t>
      </w:r>
      <w:r>
        <w:rPr>
          <w:color w:val="auto"/>
          <w:szCs w:val="21"/>
          <w:highlight w:val="none"/>
        </w:rPr>
        <w:t xml:space="preserve">报监管部门查处； </w:t>
      </w:r>
    </w:p>
    <w:p w14:paraId="4572B661">
      <w:pPr>
        <w:spacing w:before="120" w:line="276" w:lineRule="auto"/>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w:t>
      </w:r>
      <w:r>
        <w:rPr>
          <w:rFonts w:hint="eastAsia"/>
          <w:b/>
          <w:bCs/>
          <w:color w:val="auto"/>
          <w:kern w:val="0"/>
          <w:szCs w:val="21"/>
          <w:highlight w:val="none"/>
          <w:lang w:val="en-US" w:eastAsia="zh-CN"/>
        </w:rPr>
        <w:t xml:space="preserve">9 </w:t>
      </w:r>
      <w:r>
        <w:rPr>
          <w:rFonts w:hint="eastAsia"/>
          <w:b/>
          <w:bCs/>
          <w:color w:val="auto"/>
          <w:kern w:val="0"/>
          <w:szCs w:val="21"/>
          <w:highlight w:val="none"/>
        </w:rPr>
        <w:t>对本国产品的支持政策</w:t>
      </w:r>
    </w:p>
    <w:p w14:paraId="1735F010">
      <w:pPr>
        <w:spacing w:before="120" w:line="360" w:lineRule="auto"/>
        <w:ind w:left="819" w:leftChars="190" w:hanging="420" w:hangingChars="200"/>
        <w:rPr>
          <w:rFonts w:hint="default"/>
          <w:color w:val="auto"/>
          <w:szCs w:val="21"/>
          <w:highlight w:val="none"/>
          <w:lang w:val="en-US" w:eastAsia="zh-CN"/>
        </w:rPr>
      </w:pPr>
      <w:r>
        <w:rPr>
          <w:rFonts w:hint="eastAsia"/>
          <w:color w:val="auto"/>
          <w:szCs w:val="21"/>
          <w:highlight w:val="none"/>
          <w:lang w:val="en-US" w:eastAsia="zh-CN"/>
        </w:rPr>
        <w:t>1.9.1</w:t>
      </w:r>
      <w:r>
        <w:rPr>
          <w:rFonts w:hint="default"/>
          <w:color w:val="auto"/>
          <w:szCs w:val="21"/>
          <w:highlight w:val="none"/>
          <w:lang w:val="en-US" w:eastAsia="zh-CN"/>
        </w:rPr>
        <w:t>本国产品标准</w:t>
      </w:r>
    </w:p>
    <w:p w14:paraId="5C03F088">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“本国产品标准的产品”是指：符合《国务院办公厅关于在政府采购中实施本国产品标准及相关政策的通知》（国办发〔2025〕34号）规定的本国产品标准的产品。</w:t>
      </w:r>
    </w:p>
    <w:p w14:paraId="6558729A">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本国产品标准的产品应当符合以下条件：</w:t>
      </w:r>
    </w:p>
    <w:p w14:paraId="56BD0AAB">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（1）</w:t>
      </w:r>
      <w:r>
        <w:rPr>
          <w:rFonts w:hint="default"/>
          <w:color w:val="auto"/>
          <w:szCs w:val="21"/>
          <w:highlight w:val="none"/>
          <w:lang w:val="en-US" w:eastAsia="zh-CN"/>
        </w:rPr>
        <w:t>在中国境内生产</w:t>
      </w:r>
      <w:r>
        <w:rPr>
          <w:rFonts w:hint="eastAsia"/>
          <w:color w:val="auto"/>
          <w:szCs w:val="21"/>
          <w:highlight w:val="none"/>
          <w:lang w:val="en-US" w:eastAsia="zh-CN"/>
        </w:rPr>
        <w:t>。</w:t>
      </w:r>
      <w:r>
        <w:rPr>
          <w:rFonts w:hint="default"/>
          <w:color w:val="auto"/>
          <w:szCs w:val="21"/>
          <w:highlight w:val="none"/>
          <w:lang w:val="en-US" w:eastAsia="zh-CN"/>
        </w:rPr>
        <w:t>产品应当在中国境内生产，即在中华人民共和国关境内</w:t>
      </w:r>
      <w:r>
        <w:rPr>
          <w:rFonts w:hint="eastAsia" w:ascii="Times New Roman" w:hAnsi="Times New Roman" w:eastAsia="宋体" w:cs="Times New Roman"/>
          <w:color w:val="auto"/>
          <w:kern w:val="2"/>
          <w:sz w:val="21"/>
          <w:szCs w:val="21"/>
          <w:highlight w:val="none"/>
          <w:lang w:val="en-US" w:eastAsia="zh-CN" w:bidi="ar-SA"/>
        </w:rPr>
        <w:t>（含保税区、综合保税区等海关特殊监管区域）</w:t>
      </w:r>
      <w:r>
        <w:rPr>
          <w:rFonts w:hint="default"/>
          <w:color w:val="auto"/>
          <w:szCs w:val="21"/>
          <w:highlight w:val="none"/>
          <w:lang w:val="en-US" w:eastAsia="zh-CN"/>
        </w:rPr>
        <w:t>实现从原材料、组件到产品的属性改变；属性改变是指经过制造、加工或者组装等工序，产生完全不同于原材料、组件的新产品，并具有新的名称和特征（用途），属性改变不包括以下细微操作：</w:t>
      </w:r>
    </w:p>
    <w:p w14:paraId="0102001E">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①为确保产品在运输或者储存期间保持某种状态而进行的操作；</w:t>
      </w:r>
    </w:p>
    <w:p w14:paraId="4A58D069">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②为产品运输或者销售进行的包装或者展示；</w:t>
      </w:r>
    </w:p>
    <w:p w14:paraId="3272DA22">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③在产品或者其包装上粘贴或者印刷品牌、标志、标识以及其他用于区别的标记；</w:t>
      </w:r>
    </w:p>
    <w:p w14:paraId="153A2491">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④简单的上漆、磨光和分装；</w:t>
      </w:r>
    </w:p>
    <w:p w14:paraId="7D1505C8">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⑤其他不属于属性改变的情形；</w:t>
      </w:r>
    </w:p>
    <w:p w14:paraId="2FE38ACE">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（2）</w:t>
      </w:r>
      <w:r>
        <w:rPr>
          <w:rFonts w:hint="default"/>
          <w:color w:val="auto"/>
          <w:szCs w:val="21"/>
          <w:highlight w:val="none"/>
          <w:lang w:val="en-US" w:eastAsia="zh-CN"/>
        </w:rPr>
        <w:t>中国境内生产的组件成本占比达到规定比例</w:t>
      </w:r>
      <w:r>
        <w:rPr>
          <w:rFonts w:hint="eastAsia"/>
          <w:color w:val="auto"/>
          <w:szCs w:val="21"/>
          <w:highlight w:val="none"/>
          <w:lang w:val="en-US" w:eastAsia="zh-CN"/>
        </w:rPr>
        <w:t>。</w:t>
      </w:r>
    </w:p>
    <w:p w14:paraId="35274560">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①产品在中国境内生产的组件成本占比应当达到规定比例，计算公式为：产品在中国境内生产的组件成本/产品总成本≥规定比例；</w:t>
      </w:r>
    </w:p>
    <w:p w14:paraId="2761051E">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②产品在中国境内生产的组件成本，按照《中国境内生产的组件成本核算基本规则》计算；</w:t>
      </w:r>
    </w:p>
    <w:p w14:paraId="27020F74">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③中国境内生产的组件成本占比相关要求实施前，符合第（1）项条件的产品在政府采购活动中视同本国产品。</w:t>
      </w:r>
    </w:p>
    <w:p w14:paraId="6178B395">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（3）</w:t>
      </w:r>
      <w:r>
        <w:rPr>
          <w:rFonts w:hint="default"/>
          <w:color w:val="auto"/>
          <w:szCs w:val="21"/>
          <w:highlight w:val="none"/>
          <w:lang w:val="en-US" w:eastAsia="zh-CN"/>
        </w:rPr>
        <w:t>特定产品的关键组件和工序在中国境内完成。</w:t>
      </w:r>
    </w:p>
    <w:p w14:paraId="423F8CFB">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①对特定产品，在符合第（1）项和第（2）项条件的基础上，应当符合财政部会同有关行业主管部门确定的其关键组件、关键工序在中国境内生产、完成等要求；</w:t>
      </w:r>
    </w:p>
    <w:p w14:paraId="29E41AF2">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②特定产品的关键组件、关键工序符合相关要求实施前，符合第（1）项和第（2）项条件的产品在政府采购活动中视同本国产品。</w:t>
      </w:r>
    </w:p>
    <w:p w14:paraId="42F34A8A">
      <w:pPr>
        <w:spacing w:before="120" w:line="360" w:lineRule="auto"/>
        <w:ind w:left="819" w:leftChars="190" w:hanging="420" w:hangingChars="200"/>
        <w:rPr>
          <w:rFonts w:hint="eastAsia"/>
          <w:color w:val="auto"/>
          <w:szCs w:val="21"/>
          <w:highlight w:val="none"/>
          <w:lang w:val="en-US" w:eastAsia="zh-CN"/>
        </w:rPr>
      </w:pPr>
      <w:r>
        <w:rPr>
          <w:rFonts w:hint="eastAsia"/>
          <w:color w:val="auto"/>
          <w:szCs w:val="21"/>
          <w:highlight w:val="none"/>
          <w:lang w:val="en-US" w:eastAsia="zh-CN"/>
        </w:rPr>
        <w:t>1.9.2 本国产品标准的适用范围</w:t>
      </w:r>
    </w:p>
    <w:p w14:paraId="59B82F87">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9E8DF9B">
      <w:pPr>
        <w:spacing w:line="276" w:lineRule="auto"/>
        <w:ind w:firstLine="422" w:firstLineChars="200"/>
        <w:rPr>
          <w:rFonts w:hint="default"/>
          <w:color w:val="auto"/>
          <w:szCs w:val="21"/>
          <w:highlight w:val="none"/>
          <w:lang w:val="en-US" w:eastAsia="zh-CN"/>
        </w:rPr>
      </w:pPr>
      <w:r>
        <w:rPr>
          <w:rFonts w:hint="eastAsia"/>
          <w:b/>
          <w:bCs/>
          <w:color w:val="auto"/>
          <w:szCs w:val="21"/>
          <w:highlight w:val="none"/>
          <w:lang w:val="en-US" w:eastAsia="zh-CN"/>
        </w:rPr>
        <w:t>本项目是否适用对本国产品的支持政策详见投标人须知前附表。</w:t>
      </w:r>
    </w:p>
    <w:p w14:paraId="6F1D138A">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中华人民共和国缔结或者共同参加的国际条约、协定对政府采购中本国产品政策另有规定的，按照有关条约、协定执行。</w:t>
      </w:r>
    </w:p>
    <w:p w14:paraId="18FAB59F">
      <w:pPr>
        <w:spacing w:before="120" w:line="320" w:lineRule="atLeast"/>
        <w:ind w:firstLine="420" w:firstLineChars="200"/>
        <w:rPr>
          <w:rFonts w:hint="default"/>
          <w:color w:val="auto"/>
          <w:szCs w:val="21"/>
          <w:highlight w:val="none"/>
          <w:lang w:val="en-US" w:eastAsia="zh-CN"/>
        </w:rPr>
      </w:pPr>
      <w:r>
        <w:rPr>
          <w:rFonts w:hint="eastAsia"/>
          <w:color w:val="auto"/>
          <w:szCs w:val="21"/>
          <w:highlight w:val="none"/>
          <w:lang w:val="en-US" w:eastAsia="zh-CN"/>
        </w:rPr>
        <w:t>1.9.3 价格评审优惠</w:t>
      </w:r>
    </w:p>
    <w:p w14:paraId="4B3D05C6">
      <w:pPr>
        <w:spacing w:before="120" w:line="320" w:lineRule="atLeast"/>
        <w:ind w:firstLine="420" w:firstLineChars="200"/>
        <w:rPr>
          <w:rFonts w:hint="eastAsia"/>
          <w:color w:val="auto"/>
          <w:szCs w:val="21"/>
          <w:highlight w:val="none"/>
        </w:rPr>
      </w:pPr>
      <w:r>
        <w:rPr>
          <w:rFonts w:hint="eastAsia"/>
          <w:color w:val="auto"/>
          <w:szCs w:val="21"/>
          <w:highlight w:val="none"/>
        </w:rPr>
        <w:t>既有本国产品又有非本国产品参与竞争的，依法对本国产品给予价格评审优惠，对本国产品的报价给予20%的价格扣除，用扣除后的价格参与评审。</w:t>
      </w:r>
    </w:p>
    <w:p w14:paraId="5E760CD3">
      <w:pPr>
        <w:spacing w:before="120" w:line="320" w:lineRule="atLeast"/>
        <w:ind w:firstLine="420" w:firstLineChars="200"/>
        <w:rPr>
          <w:rFonts w:hint="eastAsia"/>
          <w:color w:val="auto"/>
          <w:szCs w:val="21"/>
          <w:highlight w:val="none"/>
        </w:rPr>
      </w:pPr>
      <w:r>
        <w:rPr>
          <w:rFonts w:hint="eastAsia"/>
          <w:color w:val="auto"/>
          <w:szCs w:val="21"/>
          <w:highlight w:val="none"/>
        </w:rPr>
        <w:t>当采购项目或者采购包中含有多种产品，</w:t>
      </w:r>
      <w:r>
        <w:rPr>
          <w:rFonts w:hint="eastAsia"/>
          <w:color w:val="auto"/>
          <w:szCs w:val="21"/>
          <w:highlight w:val="none"/>
          <w:lang w:eastAsia="zh-CN"/>
        </w:rPr>
        <w:t>投标人</w:t>
      </w:r>
      <w:r>
        <w:rPr>
          <w:rFonts w:hint="eastAsia"/>
          <w:color w:val="auto"/>
          <w:szCs w:val="21"/>
          <w:highlight w:val="none"/>
        </w:rPr>
        <w:t>为该采购项目或者采购包提供的符合本国产品标准的产品成本之和占该</w:t>
      </w:r>
      <w:r>
        <w:rPr>
          <w:rFonts w:hint="eastAsia"/>
          <w:color w:val="auto"/>
          <w:szCs w:val="21"/>
          <w:highlight w:val="none"/>
          <w:lang w:eastAsia="zh-CN"/>
        </w:rPr>
        <w:t>投标人</w:t>
      </w:r>
      <w:r>
        <w:rPr>
          <w:rFonts w:hint="eastAsia"/>
          <w:color w:val="auto"/>
          <w:szCs w:val="21"/>
          <w:highlight w:val="none"/>
        </w:rPr>
        <w:t>提供的全部产品成本之和的比例达到80%以上时，依法对该</w:t>
      </w:r>
      <w:r>
        <w:rPr>
          <w:rFonts w:hint="eastAsia"/>
          <w:color w:val="auto"/>
          <w:szCs w:val="21"/>
          <w:highlight w:val="none"/>
          <w:lang w:eastAsia="zh-CN"/>
        </w:rPr>
        <w:t>投标人</w:t>
      </w:r>
      <w:r>
        <w:rPr>
          <w:rFonts w:hint="eastAsia"/>
          <w:color w:val="auto"/>
          <w:szCs w:val="21"/>
          <w:highlight w:val="none"/>
        </w:rPr>
        <w:t>提供的全部产品给予价格评审优惠，即对该</w:t>
      </w:r>
      <w:r>
        <w:rPr>
          <w:rFonts w:hint="eastAsia"/>
          <w:color w:val="auto"/>
          <w:szCs w:val="21"/>
          <w:highlight w:val="none"/>
          <w:lang w:eastAsia="zh-CN"/>
        </w:rPr>
        <w:t>投标人</w:t>
      </w:r>
      <w:r>
        <w:rPr>
          <w:rFonts w:hint="eastAsia"/>
          <w:color w:val="auto"/>
          <w:szCs w:val="21"/>
          <w:highlight w:val="none"/>
        </w:rPr>
        <w:t>提供的全部产品的总报价给予20%的价格扣除，用扣除后的价格参与评审。</w:t>
      </w:r>
    </w:p>
    <w:p w14:paraId="2CB8898D">
      <w:pPr>
        <w:spacing w:before="120" w:line="320" w:lineRule="atLeast"/>
        <w:ind w:firstLine="420" w:firstLineChars="200"/>
        <w:rPr>
          <w:rFonts w:hint="eastAsia"/>
          <w:color w:val="auto"/>
          <w:szCs w:val="21"/>
          <w:highlight w:val="none"/>
          <w:lang w:eastAsia="zh-CN"/>
        </w:rPr>
      </w:pPr>
      <w:r>
        <w:rPr>
          <w:rFonts w:hint="eastAsia"/>
          <w:color w:val="auto"/>
          <w:szCs w:val="21"/>
          <w:highlight w:val="none"/>
        </w:rPr>
        <w:t>价格扣除比例在第四章评审方法及标准中规定</w:t>
      </w:r>
      <w:r>
        <w:rPr>
          <w:rFonts w:hint="eastAsia"/>
          <w:color w:val="auto"/>
          <w:szCs w:val="21"/>
          <w:highlight w:val="none"/>
          <w:lang w:eastAsia="zh-CN"/>
        </w:rPr>
        <w:t>。</w:t>
      </w:r>
    </w:p>
    <w:p w14:paraId="5851C88A">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1.9.4政策执行要求</w:t>
      </w:r>
    </w:p>
    <w:p w14:paraId="0BCF661E">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1.9.4.1产品在中国境内生产的组件成本核算规则：产品在中国境内生产的组件成本，按照《中国境内生产的组件成本核算基本规则》计算。</w:t>
      </w:r>
    </w:p>
    <w:p w14:paraId="0E3E6822">
      <w:pPr>
        <w:spacing w:before="120" w:line="360" w:lineRule="auto"/>
        <w:ind w:firstLine="2520" w:firstLineChars="1200"/>
        <w:rPr>
          <w:rFonts w:hint="eastAsia"/>
          <w:color w:val="auto"/>
          <w:szCs w:val="21"/>
          <w:highlight w:val="none"/>
          <w:lang w:eastAsia="zh-CN"/>
        </w:rPr>
      </w:pPr>
      <w:r>
        <w:rPr>
          <w:rFonts w:hint="eastAsia" w:eastAsia="宋体"/>
          <w:color w:val="auto"/>
          <w:szCs w:val="21"/>
          <w:highlight w:val="none"/>
          <w:lang w:eastAsia="zh-CN"/>
        </w:rPr>
        <w:t>《中国境内生产的组件成本核算基本规则》</w:t>
      </w:r>
    </w:p>
    <w:p w14:paraId="26FF60BE">
      <w:pPr>
        <w:spacing w:before="120" w:line="240" w:lineRule="auto"/>
        <w:ind w:firstLine="420" w:firstLineChars="200"/>
        <w:rPr>
          <w:rFonts w:hint="eastAsia"/>
          <w:color w:val="auto"/>
          <w:szCs w:val="21"/>
          <w:highlight w:val="none"/>
        </w:rPr>
      </w:pPr>
      <w:r>
        <w:rPr>
          <w:rFonts w:hint="eastAsia"/>
          <w:color w:val="auto"/>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128A678">
      <w:pPr>
        <w:numPr>
          <w:ilvl w:val="0"/>
          <w:numId w:val="0"/>
        </w:numPr>
        <w:spacing w:before="120" w:line="240" w:lineRule="auto"/>
        <w:ind w:firstLine="420" w:firstLineChars="200"/>
        <w:rPr>
          <w:rFonts w:hint="eastAsia"/>
          <w:color w:val="auto"/>
          <w:szCs w:val="21"/>
          <w:highlight w:val="none"/>
        </w:rPr>
      </w:pPr>
      <w:r>
        <w:rPr>
          <w:rFonts w:hint="eastAsia"/>
          <w:color w:val="auto"/>
          <w:szCs w:val="21"/>
          <w:highlight w:val="none"/>
          <w:lang w:val="en-US" w:eastAsia="zh-CN"/>
        </w:rPr>
        <w:t>1.</w:t>
      </w:r>
      <w:r>
        <w:rPr>
          <w:rFonts w:hint="eastAsia"/>
          <w:color w:val="auto"/>
          <w:szCs w:val="21"/>
          <w:highlight w:val="none"/>
        </w:rPr>
        <w:t>产品的一级组件是指直接组成产品的组件。产品的二级组件是指直接组成产品一级组件的组件。一级组件不可分解的，视同二级组件。</w:t>
      </w:r>
    </w:p>
    <w:p w14:paraId="5262BAC1">
      <w:pPr>
        <w:numPr>
          <w:ilvl w:val="0"/>
          <w:numId w:val="0"/>
        </w:num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2.</w:t>
      </w:r>
      <w:r>
        <w:rPr>
          <w:rFonts w:hint="eastAsia"/>
          <w:color w:val="auto"/>
          <w:szCs w:val="21"/>
          <w:highlight w:val="none"/>
        </w:rPr>
        <w:t>二级组件在中国境内生产的，其全部成本计入中国境内生产的组件成本；二级组件不在中国境内生产的，其成本不计入中国境内生产的组件成本。</w:t>
      </w:r>
    </w:p>
    <w:p w14:paraId="17470F88">
      <w:p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3.</w:t>
      </w:r>
      <w:r>
        <w:rPr>
          <w:rFonts w:hint="eastAsia"/>
          <w:color w:val="auto"/>
          <w:szCs w:val="21"/>
          <w:highlight w:val="none"/>
        </w:rPr>
        <w:t>产品总成本和组件成本以相关会计核算数据、采购合同、进货记录等为基础进行计算。</w:t>
      </w:r>
    </w:p>
    <w:p w14:paraId="7B0DA4B9">
      <w:pPr>
        <w:spacing w:before="120" w:line="240" w:lineRule="auto"/>
        <w:ind w:firstLine="420" w:firstLineChars="200"/>
        <w:rPr>
          <w:rFonts w:hint="eastAsia"/>
          <w:color w:val="auto"/>
          <w:szCs w:val="21"/>
          <w:highlight w:val="none"/>
          <w:lang w:val="en-US" w:eastAsia="zh-CN"/>
        </w:rPr>
      </w:pPr>
      <w:r>
        <w:rPr>
          <w:rFonts w:hint="eastAsia" w:ascii="Times New Roman" w:eastAsia="宋体"/>
          <w:color w:val="auto"/>
          <w:szCs w:val="21"/>
          <w:highlight w:val="none"/>
          <w:lang w:val="en-US" w:eastAsia="zh-CN"/>
        </w:rPr>
        <w:t>4.</w:t>
      </w:r>
      <w:r>
        <w:rPr>
          <w:rFonts w:hint="eastAsia"/>
          <w:color w:val="auto"/>
          <w:szCs w:val="21"/>
          <w:highlight w:val="none"/>
        </w:rPr>
        <w:t>需要对成本核算规则予以进一步明确的其他有关事项，由财政部会同有关部门另行规定。</w:t>
      </w:r>
    </w:p>
    <w:p w14:paraId="5A5BAF2D">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1.9.4.2证明材料提交与审查：投标人需在投标（响应）文件中对其提供的产品出具《关于符合本国产品标准的声明函》（样式见投标文件格式）或财政部会同有关部门规定的有关证明文件。</w:t>
      </w:r>
      <w:r>
        <w:rPr>
          <w:rFonts w:hint="eastAsia"/>
          <w:b/>
          <w:bCs/>
          <w:color w:val="auto"/>
          <w:szCs w:val="21"/>
          <w:highlight w:val="none"/>
          <w:lang w:val="en-US" w:eastAsia="zh-CN"/>
        </w:rPr>
        <w:t>医疗器械产品凭药品监督管理部门授予的准字号注册证直接认定属于在中国境内生产的产品。</w:t>
      </w:r>
      <w:r>
        <w:rPr>
          <w:rFonts w:hint="eastAsia"/>
          <w:color w:val="auto"/>
          <w:szCs w:val="21"/>
          <w:highlight w:val="none"/>
          <w:lang w:val="en-US" w:eastAsia="zh-CN"/>
        </w:rPr>
        <w:t>出具符合要求的《声明函》或有关证明文件的，该产品视为本国产品，采购人、采购代理机构不得再要求投标人提供其他证明材料。投标人提供虚假《声明函》、虚假证明文件谋取中标、成交的，依照《中华人民共和国政府采购法》等法律法规规定追究相应责任。采购人、采购代理机构应当随中标、成交结果同时公告中标、成交投标人提供的《声明函》或有关证明文件。</w:t>
      </w:r>
    </w:p>
    <w:p w14:paraId="1D2E3370">
      <w:pPr>
        <w:pStyle w:val="19"/>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评审委员会应对《声明函》的完整性、准确性进行审查，对《声明函》内容含义不明确、同类事项与投标（响应）文件表述不一致或存在明显文字错误的，应</w:t>
      </w:r>
      <w:r>
        <w:rPr>
          <w:rFonts w:hint="eastAsia" w:cs="Times New Roman"/>
          <w:color w:val="auto"/>
          <w:kern w:val="2"/>
          <w:sz w:val="21"/>
          <w:szCs w:val="21"/>
          <w:highlight w:val="none"/>
          <w:lang w:val="en-US" w:eastAsia="zh-CN" w:bidi="ar-SA"/>
        </w:rPr>
        <w:t>当</w:t>
      </w:r>
      <w:r>
        <w:rPr>
          <w:rFonts w:hint="eastAsia" w:ascii="Times New Roman" w:hAnsi="Times New Roman" w:eastAsia="宋体" w:cs="Times New Roman"/>
          <w:color w:val="auto"/>
          <w:kern w:val="2"/>
          <w:sz w:val="21"/>
          <w:szCs w:val="21"/>
          <w:highlight w:val="none"/>
          <w:lang w:val="en-US" w:eastAsia="zh-CN" w:bidi="ar-SA"/>
        </w:rPr>
        <w:t>以书面形式要求</w:t>
      </w:r>
      <w:r>
        <w:rPr>
          <w:rFonts w:hint="eastAsia" w:cs="Times New Roman"/>
          <w:color w:val="auto"/>
          <w:kern w:val="2"/>
          <w:sz w:val="21"/>
          <w:szCs w:val="21"/>
          <w:highlight w:val="none"/>
          <w:lang w:val="en-US" w:eastAsia="zh-CN" w:bidi="ar-SA"/>
        </w:rPr>
        <w:t>投标人</w:t>
      </w:r>
      <w:r>
        <w:rPr>
          <w:rFonts w:hint="eastAsia" w:ascii="Times New Roman" w:hAnsi="Times New Roman" w:eastAsia="宋体" w:cs="Times New Roman"/>
          <w:color w:val="auto"/>
          <w:kern w:val="2"/>
          <w:sz w:val="21"/>
          <w:szCs w:val="21"/>
          <w:highlight w:val="none"/>
          <w:lang w:val="en-US" w:eastAsia="zh-CN" w:bidi="ar-SA"/>
        </w:rPr>
        <w:t>澄清、说明或者补正；</w:t>
      </w:r>
      <w:r>
        <w:rPr>
          <w:rFonts w:hint="eastAsia" w:cs="Times New Roman"/>
          <w:color w:val="auto"/>
          <w:kern w:val="2"/>
          <w:sz w:val="21"/>
          <w:szCs w:val="21"/>
          <w:highlight w:val="none"/>
          <w:lang w:val="en-US" w:eastAsia="zh-CN" w:bidi="ar-SA"/>
        </w:rPr>
        <w:t>经</w:t>
      </w:r>
      <w:r>
        <w:rPr>
          <w:rFonts w:hint="eastAsia" w:ascii="Times New Roman" w:hAnsi="Times New Roman" w:eastAsia="宋体" w:cs="Times New Roman"/>
          <w:color w:val="auto"/>
          <w:kern w:val="2"/>
          <w:sz w:val="21"/>
          <w:szCs w:val="21"/>
          <w:highlight w:val="none"/>
          <w:lang w:val="en-US" w:eastAsia="zh-CN" w:bidi="ar-SA"/>
        </w:rPr>
        <w:t>澄清、说明或者补正后仍不符合要求的，不认定为本国产品。</w:t>
      </w:r>
    </w:p>
    <w:p w14:paraId="69C1BF47">
      <w:pPr>
        <w:pStyle w:val="19"/>
        <w:ind w:firstLine="420" w:firstLineChars="200"/>
        <w:rPr>
          <w:rFonts w:hint="default"/>
          <w:color w:val="auto"/>
          <w:sz w:val="21"/>
          <w:szCs w:val="21"/>
          <w:highlight w:val="none"/>
          <w:lang w:val="en-US" w:eastAsia="zh-CN"/>
        </w:rPr>
      </w:pPr>
      <w:r>
        <w:rPr>
          <w:rFonts w:hint="eastAsia"/>
          <w:color w:val="auto"/>
          <w:sz w:val="21"/>
          <w:szCs w:val="21"/>
          <w:highlight w:val="none"/>
          <w:lang w:val="en-US" w:eastAsia="zh-CN"/>
        </w:rPr>
        <w:t>澄清补正应当按照“6.3.3澄清、说明或补正”的规定提交。</w:t>
      </w:r>
    </w:p>
    <w:p w14:paraId="1C22056C">
      <w:pPr>
        <w:pStyle w:val="19"/>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1.9.4.3成本核算与承诺</w:t>
      </w:r>
    </w:p>
    <w:p w14:paraId="36EC83CE">
      <w:pPr>
        <w:pStyle w:val="19"/>
        <w:ind w:firstLine="420" w:firstLineChars="200"/>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投标人</w:t>
      </w:r>
      <w:r>
        <w:rPr>
          <w:rFonts w:hint="default" w:ascii="Times New Roman" w:hAnsi="Times New Roman" w:eastAsia="宋体" w:cs="Times New Roman"/>
          <w:color w:val="auto"/>
          <w:kern w:val="2"/>
          <w:sz w:val="21"/>
          <w:szCs w:val="21"/>
          <w:highlight w:val="none"/>
          <w:lang w:val="en-US" w:eastAsia="zh-CN" w:bidi="ar-SA"/>
        </w:rPr>
        <w:t>应依据《中国境内生产的组件成本核算基本规则》核算产品成本占比，并对核算结果负责，按要求提交《</w:t>
      </w:r>
      <w:r>
        <w:rPr>
          <w:rFonts w:hint="eastAsia" w:cs="Times New Roman"/>
          <w:color w:val="auto"/>
          <w:kern w:val="2"/>
          <w:sz w:val="21"/>
          <w:szCs w:val="21"/>
          <w:highlight w:val="none"/>
          <w:lang w:val="en-US" w:eastAsia="zh-CN" w:bidi="ar-SA"/>
        </w:rPr>
        <w:t>关于符合</w:t>
      </w:r>
      <w:r>
        <w:rPr>
          <w:rFonts w:hint="default" w:ascii="Times New Roman" w:hAnsi="Times New Roman" w:eastAsia="宋体" w:cs="Times New Roman"/>
          <w:color w:val="auto"/>
          <w:kern w:val="2"/>
          <w:sz w:val="21"/>
          <w:szCs w:val="21"/>
          <w:highlight w:val="none"/>
          <w:lang w:val="en-US" w:eastAsia="zh-CN" w:bidi="ar-SA"/>
        </w:rPr>
        <w:t>本国产品</w:t>
      </w:r>
      <w:r>
        <w:rPr>
          <w:rFonts w:hint="eastAsia" w:cs="Times New Roman"/>
          <w:color w:val="auto"/>
          <w:kern w:val="2"/>
          <w:sz w:val="21"/>
          <w:szCs w:val="21"/>
          <w:highlight w:val="none"/>
          <w:lang w:val="en-US" w:eastAsia="zh-CN" w:bidi="ar-SA"/>
        </w:rPr>
        <w:t>标准的</w:t>
      </w:r>
      <w:r>
        <w:rPr>
          <w:rFonts w:hint="default" w:ascii="Times New Roman" w:hAnsi="Times New Roman" w:eastAsia="宋体" w:cs="Times New Roman"/>
          <w:color w:val="auto"/>
          <w:kern w:val="2"/>
          <w:sz w:val="21"/>
          <w:szCs w:val="21"/>
          <w:highlight w:val="none"/>
          <w:lang w:val="en-US" w:eastAsia="zh-CN" w:bidi="ar-SA"/>
        </w:rPr>
        <w:t>成本占比承诺函》</w:t>
      </w:r>
      <w:r>
        <w:rPr>
          <w:rFonts w:hint="eastAsia" w:cs="Times New Roman"/>
          <w:color w:val="auto"/>
          <w:kern w:val="2"/>
          <w:sz w:val="21"/>
          <w:szCs w:val="21"/>
          <w:highlight w:val="none"/>
          <w:lang w:val="en-US" w:eastAsia="zh-CN" w:bidi="ar-SA"/>
        </w:rPr>
        <w:t>（如适用）</w:t>
      </w:r>
      <w:r>
        <w:rPr>
          <w:rFonts w:hint="default" w:ascii="Times New Roman" w:hAnsi="Times New Roman" w:eastAsia="宋体" w:cs="Times New Roman"/>
          <w:color w:val="auto"/>
          <w:kern w:val="2"/>
          <w:sz w:val="21"/>
          <w:szCs w:val="21"/>
          <w:highlight w:val="none"/>
          <w:lang w:val="en-US" w:eastAsia="zh-CN" w:bidi="ar-SA"/>
        </w:rPr>
        <w:t>（参考模板</w:t>
      </w:r>
      <w:r>
        <w:rPr>
          <w:rFonts w:hint="eastAsia" w:cs="Times New Roman"/>
          <w:color w:val="auto"/>
          <w:kern w:val="2"/>
          <w:sz w:val="21"/>
          <w:szCs w:val="21"/>
          <w:highlight w:val="none"/>
          <w:lang w:val="en-US" w:eastAsia="zh-CN" w:bidi="ar-SA"/>
        </w:rPr>
        <w:t>详见投标文件格式</w:t>
      </w:r>
      <w:r>
        <w:rPr>
          <w:rFonts w:hint="default" w:ascii="Times New Roman" w:hAnsi="Times New Roman" w:eastAsia="宋体" w:cs="Times New Roman"/>
          <w:color w:val="auto"/>
          <w:kern w:val="2"/>
          <w:sz w:val="21"/>
          <w:szCs w:val="21"/>
          <w:highlight w:val="none"/>
          <w:lang w:val="en-US" w:eastAsia="zh-CN" w:bidi="ar-SA"/>
        </w:rPr>
        <w:t>）。相关成本核算的原始凭证应妥善留存，以备核查。采购人可在履约验收环节对相关材料进行抽查。</w:t>
      </w:r>
    </w:p>
    <w:p w14:paraId="333F5497">
      <w:pPr>
        <w:spacing w:before="120" w:line="320" w:lineRule="atLeast"/>
        <w:ind w:firstLine="420" w:firstLineChars="200"/>
        <w:rPr>
          <w:rFonts w:hint="default"/>
          <w:color w:val="auto"/>
          <w:szCs w:val="21"/>
          <w:highlight w:val="none"/>
          <w:lang w:val="en-US" w:eastAsia="zh-CN"/>
        </w:rPr>
      </w:pPr>
      <w:r>
        <w:rPr>
          <w:rFonts w:hint="eastAsia"/>
          <w:color w:val="auto"/>
          <w:szCs w:val="21"/>
          <w:highlight w:val="none"/>
          <w:lang w:val="en-US" w:eastAsia="zh-CN"/>
        </w:rPr>
        <w:t>1.9.5 争议处理</w:t>
      </w:r>
    </w:p>
    <w:p w14:paraId="3846620F">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政府采购投诉处理、监督检查中，相关投标人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270E85D0">
      <w:pPr>
        <w:spacing w:before="120" w:line="320" w:lineRule="atLeast"/>
        <w:ind w:left="2" w:leftChars="1" w:firstLine="422" w:firstLineChars="200"/>
        <w:outlineLvl w:val="1"/>
        <w:rPr>
          <w:b/>
          <w:bCs/>
          <w:color w:val="auto"/>
          <w:kern w:val="0"/>
          <w:szCs w:val="21"/>
          <w:highlight w:val="none"/>
        </w:rPr>
      </w:pPr>
      <w:bookmarkStart w:id="57" w:name="_Toc254970534"/>
      <w:bookmarkStart w:id="58" w:name="_Toc254970675"/>
      <w:r>
        <w:rPr>
          <w:b/>
          <w:bCs/>
          <w:color w:val="auto"/>
          <w:kern w:val="0"/>
          <w:szCs w:val="21"/>
          <w:highlight w:val="none"/>
        </w:rPr>
        <w:t>2．招标文件</w:t>
      </w:r>
      <w:bookmarkEnd w:id="57"/>
      <w:bookmarkEnd w:id="58"/>
    </w:p>
    <w:p w14:paraId="1D0E762B">
      <w:pPr>
        <w:spacing w:before="120" w:line="320" w:lineRule="atLeast"/>
        <w:ind w:firstLine="422" w:firstLineChars="200"/>
        <w:outlineLvl w:val="2"/>
        <w:rPr>
          <w:b/>
          <w:bCs/>
          <w:color w:val="auto"/>
          <w:kern w:val="0"/>
          <w:szCs w:val="21"/>
          <w:highlight w:val="none"/>
        </w:rPr>
      </w:pPr>
      <w:r>
        <w:rPr>
          <w:b/>
          <w:bCs/>
          <w:color w:val="auto"/>
          <w:kern w:val="0"/>
          <w:szCs w:val="21"/>
          <w:highlight w:val="none"/>
        </w:rPr>
        <w:t>2.1招标文件的构成</w:t>
      </w:r>
    </w:p>
    <w:p w14:paraId="25E9068D">
      <w:pPr>
        <w:spacing w:before="120" w:line="320" w:lineRule="atLeast"/>
        <w:ind w:firstLine="420" w:firstLineChars="200"/>
        <w:rPr>
          <w:color w:val="auto"/>
          <w:szCs w:val="21"/>
          <w:highlight w:val="none"/>
        </w:rPr>
      </w:pPr>
      <w:r>
        <w:rPr>
          <w:color w:val="auto"/>
          <w:szCs w:val="21"/>
          <w:highlight w:val="none"/>
        </w:rPr>
        <w:t>第一章 招标公告</w:t>
      </w:r>
    </w:p>
    <w:p w14:paraId="35093529">
      <w:pPr>
        <w:spacing w:before="120" w:line="320" w:lineRule="atLeast"/>
        <w:ind w:firstLine="420" w:firstLineChars="200"/>
        <w:rPr>
          <w:color w:val="auto"/>
          <w:szCs w:val="21"/>
          <w:highlight w:val="none"/>
        </w:rPr>
      </w:pPr>
      <w:r>
        <w:rPr>
          <w:color w:val="auto"/>
          <w:szCs w:val="21"/>
          <w:highlight w:val="none"/>
        </w:rPr>
        <w:t>第二章 采购需求</w:t>
      </w:r>
    </w:p>
    <w:p w14:paraId="743FCC22">
      <w:pPr>
        <w:spacing w:before="120" w:line="320" w:lineRule="atLeast"/>
        <w:ind w:firstLine="420" w:firstLineChars="200"/>
        <w:rPr>
          <w:color w:val="auto"/>
          <w:szCs w:val="21"/>
          <w:highlight w:val="none"/>
        </w:rPr>
      </w:pPr>
      <w:r>
        <w:rPr>
          <w:color w:val="auto"/>
          <w:szCs w:val="21"/>
          <w:highlight w:val="none"/>
        </w:rPr>
        <w:t xml:space="preserve">第三章 </w:t>
      </w:r>
      <w:r>
        <w:rPr>
          <w:rFonts w:hint="eastAsia"/>
          <w:color w:val="auto"/>
          <w:szCs w:val="21"/>
          <w:highlight w:val="none"/>
        </w:rPr>
        <w:t>投标人</w:t>
      </w:r>
      <w:r>
        <w:rPr>
          <w:color w:val="auto"/>
          <w:szCs w:val="21"/>
          <w:highlight w:val="none"/>
        </w:rPr>
        <w:t>须知</w:t>
      </w:r>
    </w:p>
    <w:p w14:paraId="6B699570">
      <w:pPr>
        <w:spacing w:before="120" w:line="320" w:lineRule="atLeast"/>
        <w:ind w:firstLine="420" w:firstLineChars="200"/>
        <w:rPr>
          <w:color w:val="auto"/>
          <w:szCs w:val="21"/>
          <w:highlight w:val="none"/>
        </w:rPr>
      </w:pPr>
      <w:r>
        <w:rPr>
          <w:color w:val="auto"/>
          <w:szCs w:val="21"/>
          <w:highlight w:val="none"/>
        </w:rPr>
        <w:t>第四章 评审方法及标准</w:t>
      </w:r>
    </w:p>
    <w:p w14:paraId="3385409F">
      <w:pPr>
        <w:spacing w:before="120" w:line="320" w:lineRule="atLeast"/>
        <w:ind w:firstLine="420" w:firstLineChars="200"/>
        <w:rPr>
          <w:color w:val="auto"/>
          <w:szCs w:val="21"/>
          <w:highlight w:val="none"/>
        </w:rPr>
      </w:pPr>
      <w:r>
        <w:rPr>
          <w:color w:val="auto"/>
          <w:szCs w:val="21"/>
          <w:highlight w:val="none"/>
        </w:rPr>
        <w:t>第五章 合同主要条款格式</w:t>
      </w:r>
    </w:p>
    <w:p w14:paraId="7DE04479">
      <w:pPr>
        <w:spacing w:before="120" w:line="320" w:lineRule="atLeast"/>
        <w:ind w:firstLine="420" w:firstLineChars="200"/>
        <w:rPr>
          <w:color w:val="auto"/>
          <w:szCs w:val="21"/>
          <w:highlight w:val="none"/>
        </w:rPr>
      </w:pPr>
      <w:r>
        <w:rPr>
          <w:color w:val="auto"/>
          <w:szCs w:val="21"/>
          <w:highlight w:val="none"/>
        </w:rPr>
        <w:t>第六章 投标文件格式</w:t>
      </w:r>
    </w:p>
    <w:p w14:paraId="21E068B9">
      <w:pPr>
        <w:spacing w:before="120" w:line="320" w:lineRule="atLeast"/>
        <w:ind w:firstLine="422" w:firstLineChars="200"/>
        <w:outlineLvl w:val="2"/>
        <w:rPr>
          <w:b/>
          <w:bCs/>
          <w:color w:val="auto"/>
          <w:kern w:val="0"/>
          <w:szCs w:val="21"/>
          <w:highlight w:val="none"/>
        </w:rPr>
      </w:pPr>
      <w:r>
        <w:rPr>
          <w:b/>
          <w:bCs/>
          <w:color w:val="auto"/>
          <w:kern w:val="0"/>
          <w:szCs w:val="21"/>
          <w:highlight w:val="none"/>
        </w:rPr>
        <w:t>2.2</w:t>
      </w:r>
      <w:r>
        <w:rPr>
          <w:rFonts w:hint="eastAsia"/>
          <w:b/>
          <w:bCs/>
          <w:color w:val="auto"/>
          <w:kern w:val="0"/>
          <w:szCs w:val="21"/>
          <w:highlight w:val="none"/>
        </w:rPr>
        <w:t>投标人</w:t>
      </w:r>
      <w:r>
        <w:rPr>
          <w:b/>
          <w:bCs/>
          <w:color w:val="auto"/>
          <w:kern w:val="0"/>
          <w:szCs w:val="21"/>
          <w:highlight w:val="none"/>
        </w:rPr>
        <w:t>的风险</w:t>
      </w:r>
    </w:p>
    <w:p w14:paraId="7BE49901">
      <w:pPr>
        <w:spacing w:before="120" w:line="320" w:lineRule="atLeast"/>
        <w:ind w:firstLine="420" w:firstLineChars="200"/>
        <w:rPr>
          <w:color w:val="auto"/>
          <w:szCs w:val="21"/>
          <w:highlight w:val="none"/>
        </w:rPr>
      </w:pPr>
      <w:r>
        <w:rPr>
          <w:rFonts w:hint="eastAsia"/>
          <w:color w:val="auto"/>
          <w:szCs w:val="21"/>
          <w:highlight w:val="none"/>
        </w:rPr>
        <w:t>投标人</w:t>
      </w:r>
      <w:r>
        <w:rPr>
          <w:color w:val="auto"/>
          <w:szCs w:val="21"/>
          <w:highlight w:val="none"/>
        </w:rPr>
        <w:t>没有按照招标文件要求提供全部资料，或者</w:t>
      </w:r>
      <w:r>
        <w:rPr>
          <w:rFonts w:hint="eastAsia"/>
          <w:color w:val="auto"/>
          <w:szCs w:val="21"/>
          <w:highlight w:val="none"/>
        </w:rPr>
        <w:t>投标人</w:t>
      </w:r>
      <w:r>
        <w:rPr>
          <w:color w:val="auto"/>
          <w:szCs w:val="21"/>
          <w:highlight w:val="none"/>
        </w:rPr>
        <w:t>没有对招标文件在各方面作出实质性响应是</w:t>
      </w:r>
      <w:r>
        <w:rPr>
          <w:rFonts w:hint="eastAsia"/>
          <w:color w:val="auto"/>
          <w:szCs w:val="21"/>
          <w:highlight w:val="none"/>
        </w:rPr>
        <w:t>投标人</w:t>
      </w:r>
      <w:r>
        <w:rPr>
          <w:color w:val="auto"/>
          <w:szCs w:val="21"/>
          <w:highlight w:val="none"/>
        </w:rPr>
        <w:t>的风险，并可能导致其投标被否决。</w:t>
      </w:r>
    </w:p>
    <w:p w14:paraId="1C754BAE">
      <w:pPr>
        <w:spacing w:before="120" w:line="320" w:lineRule="atLeast"/>
        <w:ind w:firstLine="422" w:firstLineChars="200"/>
        <w:outlineLvl w:val="2"/>
        <w:rPr>
          <w:b/>
          <w:color w:val="auto"/>
          <w:szCs w:val="21"/>
          <w:highlight w:val="none"/>
        </w:rPr>
      </w:pPr>
      <w:r>
        <w:rPr>
          <w:b/>
          <w:bCs/>
          <w:color w:val="auto"/>
          <w:kern w:val="0"/>
          <w:szCs w:val="21"/>
          <w:highlight w:val="none"/>
        </w:rPr>
        <w:t>2.3招标文件的澄清与修改</w:t>
      </w:r>
    </w:p>
    <w:p w14:paraId="64BF78FB">
      <w:pPr>
        <w:spacing w:before="120" w:line="320" w:lineRule="atLeast"/>
        <w:ind w:firstLine="420" w:firstLineChars="200"/>
        <w:rPr>
          <w:color w:val="auto"/>
          <w:szCs w:val="21"/>
          <w:highlight w:val="none"/>
        </w:rPr>
      </w:pPr>
      <w:r>
        <w:rPr>
          <w:color w:val="auto"/>
          <w:szCs w:val="21"/>
          <w:highlight w:val="none"/>
        </w:rPr>
        <w:t>2.3.1</w:t>
      </w:r>
      <w:r>
        <w:rPr>
          <w:rFonts w:hint="eastAsia"/>
          <w:color w:val="auto"/>
          <w:szCs w:val="21"/>
          <w:highlight w:val="none"/>
        </w:rPr>
        <w:t>任何已获得招标文件的潜在投标人，均可</w:t>
      </w:r>
      <w:r>
        <w:rPr>
          <w:color w:val="auto"/>
          <w:szCs w:val="21"/>
          <w:highlight w:val="none"/>
        </w:rPr>
        <w:t>以书面形式要求采购代理机构作出书面解释、澄清</w:t>
      </w:r>
      <w:r>
        <w:rPr>
          <w:rFonts w:hint="eastAsia"/>
          <w:color w:val="auto"/>
          <w:szCs w:val="21"/>
          <w:highlight w:val="none"/>
        </w:rPr>
        <w:t>。</w:t>
      </w:r>
    </w:p>
    <w:p w14:paraId="0CE94C93">
      <w:pPr>
        <w:spacing w:before="120" w:line="320" w:lineRule="atLeast"/>
        <w:ind w:firstLine="420" w:firstLineChars="200"/>
        <w:rPr>
          <w:color w:val="auto"/>
          <w:szCs w:val="21"/>
          <w:highlight w:val="none"/>
        </w:rPr>
      </w:pPr>
      <w:r>
        <w:rPr>
          <w:color w:val="auto"/>
          <w:szCs w:val="21"/>
          <w:highlight w:val="none"/>
        </w:rPr>
        <w:t>2.3.2</w:t>
      </w:r>
      <w:r>
        <w:rPr>
          <w:rFonts w:hint="eastAsia"/>
          <w:color w:val="auto"/>
          <w:szCs w:val="21"/>
          <w:highlight w:val="none"/>
        </w:rPr>
        <w:t>采购人或者采购代理机构可以对已发出的招标文件进行必要的澄清或者修改。澄清或者修改的内容可能影响投标文件编制的，采购人或者采购代理机构应当在投标截止时间至少15日前，</w:t>
      </w:r>
      <w:bookmarkStart w:id="59" w:name="_Hlk132790706"/>
      <w:r>
        <w:rPr>
          <w:rFonts w:hint="eastAsia"/>
          <w:color w:val="auto"/>
          <w:szCs w:val="21"/>
          <w:highlight w:val="none"/>
        </w:rPr>
        <w:t>在投标人须知前附表规定的方式通知所有获取招标文件的潜在投标人</w:t>
      </w:r>
      <w:bookmarkEnd w:id="59"/>
      <w:r>
        <w:rPr>
          <w:rFonts w:hint="eastAsia"/>
          <w:color w:val="auto"/>
          <w:szCs w:val="21"/>
          <w:highlight w:val="none"/>
        </w:rPr>
        <w:t>；不足15日的，采购人或者采购代理机构应当顺延提交投标文件的截止时间。</w:t>
      </w:r>
    </w:p>
    <w:p w14:paraId="2D8D745F">
      <w:pPr>
        <w:spacing w:before="120" w:line="320" w:lineRule="atLeast"/>
        <w:ind w:firstLine="420" w:firstLineChars="200"/>
        <w:rPr>
          <w:color w:val="auto"/>
          <w:szCs w:val="21"/>
          <w:highlight w:val="none"/>
        </w:rPr>
      </w:pPr>
      <w:r>
        <w:rPr>
          <w:color w:val="auto"/>
          <w:szCs w:val="21"/>
          <w:highlight w:val="none"/>
        </w:rPr>
        <w:t>2.3.3招标文件澄清、答复、修改、补充的内容为招标文件的组成部分。当招标文件与招标文件的答复、澄清、修改、补充通知就同一内容的表述不一致时，以最后发出的公告或书面文件为准。</w:t>
      </w:r>
    </w:p>
    <w:p w14:paraId="160F9701">
      <w:pPr>
        <w:spacing w:before="120" w:line="320" w:lineRule="atLeast"/>
        <w:ind w:left="2" w:leftChars="1" w:firstLine="422" w:firstLineChars="200"/>
        <w:outlineLvl w:val="1"/>
        <w:rPr>
          <w:b/>
          <w:bCs/>
          <w:color w:val="auto"/>
          <w:kern w:val="0"/>
          <w:szCs w:val="21"/>
          <w:highlight w:val="none"/>
        </w:rPr>
      </w:pPr>
      <w:bookmarkStart w:id="60" w:name="_Toc254970676"/>
      <w:bookmarkStart w:id="61" w:name="_Toc254970535"/>
      <w:r>
        <w:rPr>
          <w:b/>
          <w:bCs/>
          <w:color w:val="auto"/>
          <w:kern w:val="0"/>
          <w:szCs w:val="21"/>
          <w:highlight w:val="none"/>
        </w:rPr>
        <w:t>3．投标文件</w:t>
      </w:r>
      <w:bookmarkEnd w:id="60"/>
      <w:bookmarkEnd w:id="61"/>
    </w:p>
    <w:p w14:paraId="0335BDD9">
      <w:pPr>
        <w:spacing w:before="120" w:line="320" w:lineRule="atLeast"/>
        <w:ind w:firstLine="422" w:firstLineChars="200"/>
        <w:outlineLvl w:val="2"/>
        <w:rPr>
          <w:b/>
          <w:bCs/>
          <w:color w:val="auto"/>
          <w:kern w:val="0"/>
          <w:szCs w:val="21"/>
          <w:highlight w:val="none"/>
        </w:rPr>
      </w:pPr>
      <w:bookmarkStart w:id="62" w:name="_Toc254970536"/>
      <w:bookmarkStart w:id="63" w:name="_Toc254970677"/>
      <w:r>
        <w:rPr>
          <w:b/>
          <w:bCs/>
          <w:color w:val="auto"/>
          <w:kern w:val="0"/>
          <w:szCs w:val="21"/>
          <w:highlight w:val="none"/>
        </w:rPr>
        <w:t>3.1投标文件的组成</w:t>
      </w:r>
      <w:bookmarkEnd w:id="62"/>
      <w:bookmarkEnd w:id="63"/>
    </w:p>
    <w:p w14:paraId="32D4612A">
      <w:pPr>
        <w:spacing w:before="120" w:line="320" w:lineRule="atLeast"/>
        <w:ind w:firstLine="420" w:firstLineChars="200"/>
        <w:rPr>
          <w:color w:val="auto"/>
          <w:szCs w:val="21"/>
          <w:highlight w:val="none"/>
        </w:rPr>
      </w:pPr>
      <w:r>
        <w:rPr>
          <w:color w:val="auto"/>
          <w:szCs w:val="21"/>
          <w:highlight w:val="none"/>
        </w:rPr>
        <w:t>投标文件由第六章“投标文件格式”规定的</w:t>
      </w:r>
      <w:r>
        <w:rPr>
          <w:rFonts w:hint="eastAsia"/>
          <w:color w:val="auto"/>
          <w:szCs w:val="21"/>
          <w:highlight w:val="none"/>
        </w:rPr>
        <w:t>内容</w:t>
      </w:r>
      <w:r>
        <w:rPr>
          <w:color w:val="auto"/>
          <w:szCs w:val="21"/>
          <w:highlight w:val="none"/>
        </w:rPr>
        <w:t>和</w:t>
      </w:r>
      <w:r>
        <w:rPr>
          <w:rFonts w:hint="eastAsia"/>
          <w:color w:val="auto"/>
          <w:szCs w:val="21"/>
          <w:highlight w:val="none"/>
        </w:rPr>
        <w:t>投标人</w:t>
      </w:r>
      <w:r>
        <w:rPr>
          <w:color w:val="auto"/>
          <w:szCs w:val="21"/>
          <w:highlight w:val="none"/>
        </w:rPr>
        <w:t>所作的一切有效补充、修改和承诺等文件组成</w:t>
      </w:r>
      <w:r>
        <w:rPr>
          <w:rFonts w:hint="eastAsia"/>
          <w:color w:val="auto"/>
          <w:szCs w:val="21"/>
          <w:highlight w:val="none"/>
        </w:rPr>
        <w:t>。</w:t>
      </w:r>
    </w:p>
    <w:p w14:paraId="4C43688F">
      <w:pPr>
        <w:spacing w:before="120" w:line="320" w:lineRule="atLeast"/>
        <w:ind w:firstLine="422" w:firstLineChars="200"/>
        <w:outlineLvl w:val="2"/>
        <w:rPr>
          <w:b/>
          <w:bCs/>
          <w:color w:val="auto"/>
          <w:kern w:val="0"/>
          <w:szCs w:val="21"/>
          <w:highlight w:val="none"/>
        </w:rPr>
      </w:pPr>
      <w:bookmarkStart w:id="64" w:name="_Toc254970537"/>
      <w:bookmarkStart w:id="65" w:name="_Toc254970678"/>
      <w:r>
        <w:rPr>
          <w:b/>
          <w:color w:val="auto"/>
          <w:szCs w:val="21"/>
          <w:highlight w:val="none"/>
        </w:rPr>
        <w:t>3.2</w:t>
      </w:r>
      <w:r>
        <w:rPr>
          <w:b/>
          <w:bCs/>
          <w:color w:val="auto"/>
          <w:kern w:val="0"/>
          <w:szCs w:val="21"/>
          <w:highlight w:val="none"/>
        </w:rPr>
        <w:t>投标文件的语言及计量</w:t>
      </w:r>
      <w:bookmarkEnd w:id="64"/>
      <w:bookmarkEnd w:id="65"/>
    </w:p>
    <w:p w14:paraId="0167F91B">
      <w:pPr>
        <w:spacing w:before="120" w:line="320" w:lineRule="atLeast"/>
        <w:ind w:firstLine="420" w:firstLineChars="200"/>
        <w:rPr>
          <w:color w:val="auto"/>
          <w:szCs w:val="21"/>
          <w:highlight w:val="none"/>
        </w:rPr>
      </w:pPr>
      <w:r>
        <w:rPr>
          <w:color w:val="auto"/>
          <w:szCs w:val="21"/>
          <w:highlight w:val="none"/>
        </w:rPr>
        <w:t>3.2.1</w:t>
      </w:r>
      <w:r>
        <w:rPr>
          <w:rFonts w:hint="eastAsia"/>
          <w:color w:val="auto"/>
          <w:szCs w:val="21"/>
          <w:highlight w:val="none"/>
        </w:rPr>
        <w:t>投标文件以及投标人与采购人就有关投标事宜的所有来往函电，均应以中文书写（除专用术语外，与招标投标有关的语言均使用中文。必要时专用术语应附有中文注释）。</w:t>
      </w:r>
      <w:r>
        <w:rPr>
          <w:rFonts w:hint="eastAsia"/>
          <w:color w:val="auto"/>
          <w:szCs w:val="21"/>
          <w:highlight w:val="none"/>
          <w:lang w:eastAsia="zh-CN"/>
        </w:rPr>
        <w:t>投标人</w:t>
      </w:r>
      <w:r>
        <w:rPr>
          <w:rFonts w:hint="eastAsia"/>
          <w:color w:val="auto"/>
          <w:szCs w:val="21"/>
          <w:highlight w:val="none"/>
        </w:rPr>
        <w:t>提交的支持文件和印刷的文献可以使用别的语言，但其相应内容应同时附中文翻译文本，在解释投标文件时以中文翻译文本为主。对不同文字文本投标文件的解释发生异议的，以中文文本为准。</w:t>
      </w:r>
    </w:p>
    <w:p w14:paraId="0B4AD02A">
      <w:pPr>
        <w:spacing w:before="120" w:line="320" w:lineRule="atLeast"/>
        <w:ind w:firstLine="420" w:firstLineChars="200"/>
        <w:rPr>
          <w:color w:val="auto"/>
          <w:szCs w:val="21"/>
          <w:highlight w:val="none"/>
        </w:rPr>
      </w:pPr>
      <w:r>
        <w:rPr>
          <w:color w:val="auto"/>
          <w:szCs w:val="21"/>
          <w:highlight w:val="none"/>
        </w:rPr>
        <w:t>3.2.2计量单位招标文件已有明确规定的，投标使用招标文件规定的计量单位；招标文件没有规定的，应采用中华人民共和国法定计量单位。</w:t>
      </w:r>
    </w:p>
    <w:p w14:paraId="1FF47B4F">
      <w:pPr>
        <w:spacing w:before="120" w:line="320" w:lineRule="atLeast"/>
        <w:ind w:firstLine="422" w:firstLineChars="200"/>
        <w:outlineLvl w:val="2"/>
        <w:rPr>
          <w:b/>
          <w:bCs/>
          <w:color w:val="auto"/>
          <w:kern w:val="0"/>
          <w:szCs w:val="21"/>
          <w:highlight w:val="none"/>
        </w:rPr>
      </w:pPr>
      <w:bookmarkStart w:id="66" w:name="_Toc254970679"/>
      <w:bookmarkStart w:id="67" w:name="_Toc254970538"/>
      <w:r>
        <w:rPr>
          <w:b/>
          <w:bCs/>
          <w:color w:val="auto"/>
          <w:kern w:val="0"/>
          <w:szCs w:val="21"/>
          <w:highlight w:val="none"/>
        </w:rPr>
        <w:t>3.3投标报价</w:t>
      </w:r>
      <w:bookmarkEnd w:id="66"/>
      <w:bookmarkEnd w:id="67"/>
    </w:p>
    <w:p w14:paraId="345F2C6E">
      <w:pPr>
        <w:spacing w:before="120" w:line="320" w:lineRule="atLeast"/>
        <w:ind w:firstLine="420" w:firstLineChars="200"/>
        <w:rPr>
          <w:color w:val="auto"/>
          <w:szCs w:val="21"/>
          <w:highlight w:val="none"/>
        </w:rPr>
      </w:pPr>
      <w:r>
        <w:rPr>
          <w:color w:val="auto"/>
          <w:szCs w:val="21"/>
          <w:highlight w:val="none"/>
        </w:rPr>
        <w:t>3.3.1投标报价应按招标文件中相关附表格式填写。</w:t>
      </w:r>
    </w:p>
    <w:p w14:paraId="1BFE9F46">
      <w:pPr>
        <w:spacing w:before="120" w:line="320" w:lineRule="atLeast"/>
        <w:ind w:firstLine="420" w:firstLineChars="200"/>
        <w:rPr>
          <w:color w:val="auto"/>
          <w:szCs w:val="21"/>
          <w:highlight w:val="none"/>
        </w:rPr>
      </w:pPr>
      <w:r>
        <w:rPr>
          <w:color w:val="auto"/>
          <w:szCs w:val="21"/>
          <w:highlight w:val="none"/>
        </w:rPr>
        <w:t>3.3.2投标文件只允许有一个报价，有选择的或有条件的报价将不予接受。</w:t>
      </w:r>
    </w:p>
    <w:p w14:paraId="43C529F2">
      <w:pPr>
        <w:suppressAutoHyphens/>
        <w:spacing w:before="120" w:line="320" w:lineRule="atLeast"/>
        <w:ind w:firstLine="420" w:firstLineChars="200"/>
        <w:rPr>
          <w:color w:val="auto"/>
          <w:kern w:val="1"/>
          <w:szCs w:val="21"/>
          <w:highlight w:val="none"/>
        </w:rPr>
      </w:pPr>
      <w:r>
        <w:rPr>
          <w:color w:val="auto"/>
          <w:kern w:val="1"/>
          <w:szCs w:val="21"/>
          <w:highlight w:val="none"/>
        </w:rPr>
        <w:t>3.3.3对于本文件中未列明，而</w:t>
      </w:r>
      <w:r>
        <w:rPr>
          <w:rFonts w:hint="eastAsia"/>
          <w:color w:val="auto"/>
          <w:kern w:val="1"/>
          <w:szCs w:val="21"/>
          <w:highlight w:val="none"/>
        </w:rPr>
        <w:t>投标人</w:t>
      </w:r>
      <w:r>
        <w:rPr>
          <w:color w:val="auto"/>
          <w:kern w:val="1"/>
          <w:szCs w:val="21"/>
          <w:highlight w:val="none"/>
        </w:rPr>
        <w:t>认为必需的费用也需列入</w:t>
      </w:r>
      <w:r>
        <w:rPr>
          <w:rFonts w:hint="eastAsia"/>
          <w:color w:val="auto"/>
          <w:kern w:val="1"/>
          <w:szCs w:val="21"/>
          <w:highlight w:val="none"/>
        </w:rPr>
        <w:t>投标报价</w:t>
      </w:r>
      <w:r>
        <w:rPr>
          <w:color w:val="auto"/>
          <w:kern w:val="1"/>
          <w:szCs w:val="21"/>
          <w:highlight w:val="none"/>
        </w:rPr>
        <w:t>。在合同实施时，采购人将不予支付中标人没有列入的项目费用，并认为此项目的费用已包括在</w:t>
      </w:r>
      <w:r>
        <w:rPr>
          <w:rFonts w:hint="eastAsia"/>
          <w:color w:val="auto"/>
          <w:kern w:val="1"/>
          <w:szCs w:val="21"/>
          <w:highlight w:val="none"/>
        </w:rPr>
        <w:t>投标报价</w:t>
      </w:r>
      <w:r>
        <w:rPr>
          <w:color w:val="auto"/>
          <w:kern w:val="1"/>
          <w:szCs w:val="21"/>
          <w:highlight w:val="none"/>
        </w:rPr>
        <w:t>中。</w:t>
      </w:r>
    </w:p>
    <w:p w14:paraId="7A03766C">
      <w:pPr>
        <w:suppressAutoHyphens/>
        <w:spacing w:before="120" w:line="320" w:lineRule="atLeast"/>
        <w:ind w:firstLine="420" w:firstLineChars="200"/>
        <w:rPr>
          <w:b/>
          <w:bCs/>
          <w:color w:val="auto"/>
          <w:kern w:val="1"/>
          <w:szCs w:val="21"/>
          <w:highlight w:val="none"/>
        </w:rPr>
      </w:pPr>
      <w:r>
        <w:rPr>
          <w:rFonts w:hint="eastAsia"/>
          <w:color w:val="auto"/>
          <w:kern w:val="1"/>
          <w:szCs w:val="21"/>
          <w:highlight w:val="none"/>
        </w:rPr>
        <w:t>3</w:t>
      </w:r>
      <w:r>
        <w:rPr>
          <w:color w:val="auto"/>
          <w:kern w:val="1"/>
          <w:szCs w:val="21"/>
          <w:highlight w:val="none"/>
        </w:rPr>
        <w:t>.3.4</w:t>
      </w:r>
      <w:r>
        <w:rPr>
          <w:rFonts w:hint="eastAsia"/>
          <w:color w:val="auto"/>
          <w:kern w:val="1"/>
          <w:szCs w:val="21"/>
          <w:highlight w:val="none"/>
        </w:rPr>
        <w:t>采购人不接受</w:t>
      </w:r>
      <w:r>
        <w:rPr>
          <w:rFonts w:hint="eastAsia"/>
          <w:color w:val="auto"/>
          <w:kern w:val="1"/>
          <w:szCs w:val="21"/>
          <w:highlight w:val="none"/>
          <w:lang w:eastAsia="zh-CN"/>
        </w:rPr>
        <w:t>投标人</w:t>
      </w:r>
      <w:r>
        <w:rPr>
          <w:rFonts w:hint="eastAsia"/>
          <w:color w:val="auto"/>
          <w:kern w:val="1"/>
          <w:szCs w:val="21"/>
          <w:highlight w:val="none"/>
        </w:rPr>
        <w:t>给予的赠品、回扣或者与采购无关的其他商品、服务。</w:t>
      </w:r>
    </w:p>
    <w:p w14:paraId="02BEAA7E">
      <w:pPr>
        <w:spacing w:before="120" w:line="320" w:lineRule="atLeast"/>
        <w:ind w:firstLine="422" w:firstLineChars="200"/>
        <w:outlineLvl w:val="2"/>
        <w:rPr>
          <w:b/>
          <w:bCs/>
          <w:color w:val="auto"/>
          <w:kern w:val="0"/>
          <w:szCs w:val="21"/>
          <w:highlight w:val="none"/>
        </w:rPr>
      </w:pPr>
      <w:r>
        <w:rPr>
          <w:b/>
          <w:bCs/>
          <w:color w:val="auto"/>
          <w:kern w:val="0"/>
          <w:szCs w:val="21"/>
          <w:highlight w:val="none"/>
        </w:rPr>
        <w:t>3.4投标有效期</w:t>
      </w:r>
    </w:p>
    <w:p w14:paraId="593D9EC8">
      <w:pPr>
        <w:spacing w:before="120" w:line="320" w:lineRule="atLeast"/>
        <w:ind w:firstLine="420" w:firstLineChars="200"/>
        <w:rPr>
          <w:color w:val="auto"/>
          <w:szCs w:val="21"/>
          <w:highlight w:val="none"/>
        </w:rPr>
      </w:pPr>
      <w:r>
        <w:rPr>
          <w:color w:val="auto"/>
          <w:szCs w:val="21"/>
          <w:highlight w:val="none"/>
        </w:rPr>
        <w:t>3.4.1如招标文件其他地方无特别规定</w:t>
      </w:r>
      <w:r>
        <w:rPr>
          <w:rFonts w:hint="eastAsia"/>
          <w:color w:val="auto"/>
          <w:szCs w:val="21"/>
          <w:highlight w:val="none"/>
        </w:rPr>
        <w:t>，</w:t>
      </w:r>
      <w:r>
        <w:rPr>
          <w:color w:val="auto"/>
          <w:szCs w:val="21"/>
          <w:highlight w:val="none"/>
        </w:rPr>
        <w:t>投标有效期则为投标截止之日起90天</w:t>
      </w:r>
      <w:r>
        <w:rPr>
          <w:rFonts w:hint="eastAsia"/>
          <w:color w:val="auto"/>
          <w:szCs w:val="21"/>
          <w:highlight w:val="none"/>
        </w:rPr>
        <w:t>。</w:t>
      </w:r>
      <w:r>
        <w:rPr>
          <w:color w:val="auto"/>
          <w:szCs w:val="21"/>
          <w:highlight w:val="none"/>
        </w:rPr>
        <w:t>在投标有效期内投标文件应保持有效。</w:t>
      </w:r>
      <w:r>
        <w:rPr>
          <w:b/>
          <w:bCs/>
          <w:color w:val="auto"/>
          <w:szCs w:val="21"/>
          <w:highlight w:val="none"/>
        </w:rPr>
        <w:t>有效期不足的投标文件将被否决</w:t>
      </w:r>
      <w:r>
        <w:rPr>
          <w:color w:val="auto"/>
          <w:szCs w:val="21"/>
          <w:highlight w:val="none"/>
        </w:rPr>
        <w:t>。</w:t>
      </w:r>
    </w:p>
    <w:p w14:paraId="36633161">
      <w:pPr>
        <w:spacing w:before="120" w:line="320" w:lineRule="atLeast"/>
        <w:ind w:firstLine="420" w:firstLineChars="200"/>
        <w:rPr>
          <w:color w:val="auto"/>
          <w:szCs w:val="21"/>
          <w:highlight w:val="none"/>
        </w:rPr>
      </w:pPr>
      <w:r>
        <w:rPr>
          <w:color w:val="auto"/>
          <w:szCs w:val="21"/>
          <w:highlight w:val="none"/>
        </w:rPr>
        <w:t>3.4.2在特殊情况下，采购人可与</w:t>
      </w:r>
      <w:r>
        <w:rPr>
          <w:rFonts w:hint="eastAsia"/>
          <w:color w:val="auto"/>
          <w:szCs w:val="21"/>
          <w:highlight w:val="none"/>
        </w:rPr>
        <w:t>投标人</w:t>
      </w:r>
      <w:r>
        <w:rPr>
          <w:color w:val="auto"/>
          <w:szCs w:val="21"/>
          <w:highlight w:val="none"/>
        </w:rPr>
        <w:t>协商延长投标文件的有效期，这种要求和答复均以书面形式进行。</w:t>
      </w:r>
    </w:p>
    <w:p w14:paraId="26EF3546">
      <w:pPr>
        <w:spacing w:before="120" w:line="320" w:lineRule="atLeast"/>
        <w:ind w:firstLine="420" w:firstLineChars="200"/>
        <w:rPr>
          <w:color w:val="auto"/>
          <w:szCs w:val="21"/>
          <w:highlight w:val="none"/>
        </w:rPr>
      </w:pPr>
      <w:r>
        <w:rPr>
          <w:color w:val="auto"/>
          <w:szCs w:val="21"/>
          <w:highlight w:val="none"/>
        </w:rPr>
        <w:t>3.4.3</w:t>
      </w:r>
      <w:r>
        <w:rPr>
          <w:rFonts w:hint="eastAsia"/>
          <w:color w:val="auto"/>
          <w:szCs w:val="21"/>
          <w:highlight w:val="none"/>
        </w:rPr>
        <w:t>投标人同意</w:t>
      </w:r>
      <w:r>
        <w:rPr>
          <w:rFonts w:hint="eastAsia"/>
          <w:color w:val="auto"/>
          <w:szCs w:val="21"/>
          <w:highlight w:val="none"/>
          <w:lang w:eastAsia="zh-CN"/>
        </w:rPr>
        <w:t>延长</w:t>
      </w:r>
      <w:r>
        <w:rPr>
          <w:rFonts w:hint="eastAsia"/>
          <w:color w:val="auto"/>
          <w:szCs w:val="21"/>
          <w:highlight w:val="none"/>
        </w:rPr>
        <w:t>投标有效期的，如本项目要求提交保证金则应相应延长其投标保证金的有效期，但不得要求或被允许修改或撤销其投标文件；投标人拒绝延长的，其投标无效，但投标人有权收回其投标保证金。</w:t>
      </w:r>
    </w:p>
    <w:p w14:paraId="07344972">
      <w:pPr>
        <w:spacing w:before="120" w:line="320" w:lineRule="atLeast"/>
        <w:ind w:firstLine="422" w:firstLineChars="200"/>
        <w:outlineLvl w:val="2"/>
        <w:rPr>
          <w:b/>
          <w:bCs/>
          <w:color w:val="auto"/>
          <w:kern w:val="0"/>
          <w:szCs w:val="21"/>
          <w:highlight w:val="none"/>
        </w:rPr>
      </w:pPr>
      <w:bookmarkStart w:id="68" w:name="_Toc254970541"/>
      <w:bookmarkStart w:id="69" w:name="_Toc254970682"/>
      <w:r>
        <w:rPr>
          <w:b/>
          <w:bCs/>
          <w:color w:val="auto"/>
          <w:kern w:val="0"/>
          <w:szCs w:val="21"/>
          <w:highlight w:val="none"/>
        </w:rPr>
        <w:t>3.5投标保证金</w:t>
      </w:r>
      <w:bookmarkEnd w:id="68"/>
      <w:bookmarkEnd w:id="69"/>
    </w:p>
    <w:p w14:paraId="60EA5C05">
      <w:pPr>
        <w:spacing w:before="120" w:line="320" w:lineRule="atLeast"/>
        <w:ind w:firstLine="420" w:firstLineChars="200"/>
        <w:rPr>
          <w:color w:val="auto"/>
          <w:szCs w:val="21"/>
          <w:highlight w:val="none"/>
        </w:rPr>
      </w:pPr>
      <w:r>
        <w:rPr>
          <w:color w:val="auto"/>
          <w:szCs w:val="21"/>
          <w:highlight w:val="none"/>
        </w:rPr>
        <w:t>3.5.1</w:t>
      </w:r>
      <w:r>
        <w:rPr>
          <w:rFonts w:hint="eastAsia"/>
          <w:color w:val="auto"/>
          <w:szCs w:val="21"/>
          <w:highlight w:val="none"/>
        </w:rPr>
        <w:t>投标人</w:t>
      </w:r>
      <w:r>
        <w:rPr>
          <w:color w:val="auto"/>
          <w:szCs w:val="21"/>
          <w:highlight w:val="none"/>
        </w:rPr>
        <w:t>须按须知前附表规定提交投标保证金，</w:t>
      </w:r>
      <w:r>
        <w:rPr>
          <w:b/>
          <w:bCs/>
          <w:color w:val="auto"/>
          <w:szCs w:val="21"/>
          <w:highlight w:val="none"/>
        </w:rPr>
        <w:t>否则其投标将被否决</w:t>
      </w:r>
      <w:r>
        <w:rPr>
          <w:color w:val="auto"/>
          <w:szCs w:val="21"/>
          <w:highlight w:val="none"/>
        </w:rPr>
        <w:t>。除招标文件规定不予退还保证金的情形外，代理机构在规定时间内退回</w:t>
      </w:r>
      <w:r>
        <w:rPr>
          <w:rFonts w:hint="eastAsia"/>
          <w:color w:val="auto"/>
          <w:szCs w:val="21"/>
          <w:highlight w:val="none"/>
        </w:rPr>
        <w:t>投标人</w:t>
      </w:r>
      <w:r>
        <w:rPr>
          <w:color w:val="auto"/>
          <w:szCs w:val="21"/>
          <w:highlight w:val="none"/>
        </w:rPr>
        <w:t>的投标保证金（</w:t>
      </w:r>
      <w:r>
        <w:rPr>
          <w:rFonts w:hint="eastAsia"/>
          <w:color w:val="auto"/>
          <w:szCs w:val="21"/>
          <w:highlight w:val="none"/>
        </w:rPr>
        <w:t>投标人</w:t>
      </w:r>
      <w:r>
        <w:rPr>
          <w:color w:val="auto"/>
          <w:szCs w:val="21"/>
          <w:highlight w:val="none"/>
        </w:rPr>
        <w:t>自行承担因未按</w:t>
      </w:r>
      <w:r>
        <w:rPr>
          <w:rFonts w:hint="eastAsia"/>
          <w:color w:val="auto"/>
          <w:szCs w:val="21"/>
          <w:highlight w:val="none"/>
        </w:rPr>
        <w:t>投标人须知</w:t>
      </w:r>
      <w:r>
        <w:rPr>
          <w:color w:val="auto"/>
          <w:szCs w:val="21"/>
          <w:highlight w:val="none"/>
        </w:rPr>
        <w:t>前附表要求交纳导致投标保证金无法及时退还的责任）。</w:t>
      </w:r>
    </w:p>
    <w:p w14:paraId="23881EA9">
      <w:pPr>
        <w:spacing w:before="120" w:line="320" w:lineRule="atLeast"/>
        <w:ind w:firstLine="420" w:firstLineChars="200"/>
        <w:rPr>
          <w:color w:val="auto"/>
          <w:szCs w:val="21"/>
          <w:highlight w:val="none"/>
        </w:rPr>
      </w:pPr>
      <w:r>
        <w:rPr>
          <w:color w:val="auto"/>
          <w:szCs w:val="21"/>
          <w:highlight w:val="none"/>
        </w:rPr>
        <w:t>3.5.2投标保证金币种应与投标报价币种相同。</w:t>
      </w:r>
    </w:p>
    <w:p w14:paraId="2065EFC8">
      <w:pPr>
        <w:spacing w:before="120" w:line="320" w:lineRule="atLeast"/>
        <w:ind w:firstLine="420" w:firstLineChars="200"/>
        <w:rPr>
          <w:color w:val="auto"/>
          <w:szCs w:val="21"/>
          <w:highlight w:val="none"/>
        </w:rPr>
      </w:pPr>
      <w:r>
        <w:rPr>
          <w:color w:val="auto"/>
          <w:szCs w:val="21"/>
          <w:highlight w:val="none"/>
        </w:rPr>
        <w:t>3.5.3未中标人的投标保证金在中标通知书发出后5个工作日内退还。中标人的投标保证金在合同签订后5个工作日内退还（办理退还手续时需要向采购代理机构提供两份合同复印件）。</w:t>
      </w:r>
    </w:p>
    <w:p w14:paraId="39808383">
      <w:pPr>
        <w:spacing w:before="120" w:line="320" w:lineRule="atLeast"/>
        <w:ind w:firstLine="420" w:firstLineChars="200"/>
        <w:rPr>
          <w:color w:val="auto"/>
          <w:szCs w:val="21"/>
          <w:highlight w:val="none"/>
        </w:rPr>
      </w:pPr>
      <w:r>
        <w:rPr>
          <w:color w:val="auto"/>
          <w:szCs w:val="21"/>
          <w:highlight w:val="none"/>
        </w:rPr>
        <w:t>3.5.4</w:t>
      </w:r>
      <w:r>
        <w:rPr>
          <w:rFonts w:hint="eastAsia"/>
          <w:color w:val="auto"/>
          <w:szCs w:val="21"/>
          <w:highlight w:val="none"/>
        </w:rPr>
        <w:t>投标人</w:t>
      </w:r>
      <w:r>
        <w:rPr>
          <w:color w:val="auto"/>
          <w:szCs w:val="21"/>
          <w:highlight w:val="none"/>
        </w:rPr>
        <w:t>有下列情形之一的，投标保证金将不予退还：</w:t>
      </w:r>
    </w:p>
    <w:p w14:paraId="4BF5129F">
      <w:pPr>
        <w:numPr>
          <w:ilvl w:val="0"/>
          <w:numId w:val="4"/>
        </w:numPr>
        <w:spacing w:before="120" w:line="320" w:lineRule="atLeast"/>
        <w:rPr>
          <w:color w:val="auto"/>
          <w:szCs w:val="21"/>
          <w:highlight w:val="none"/>
        </w:rPr>
      </w:pPr>
      <w:r>
        <w:rPr>
          <w:rFonts w:hint="eastAsia"/>
          <w:color w:val="auto"/>
          <w:szCs w:val="21"/>
          <w:highlight w:val="none"/>
        </w:rPr>
        <w:t>投标人</w:t>
      </w:r>
      <w:r>
        <w:rPr>
          <w:color w:val="auto"/>
          <w:szCs w:val="21"/>
          <w:highlight w:val="none"/>
        </w:rPr>
        <w:t>在投标有效期内撤销投标文件的；</w:t>
      </w:r>
    </w:p>
    <w:p w14:paraId="682524BA">
      <w:pPr>
        <w:numPr>
          <w:ilvl w:val="0"/>
          <w:numId w:val="4"/>
        </w:numPr>
        <w:spacing w:before="120" w:line="320" w:lineRule="atLeast"/>
        <w:rPr>
          <w:color w:val="auto"/>
          <w:szCs w:val="21"/>
          <w:highlight w:val="none"/>
        </w:rPr>
      </w:pPr>
      <w:r>
        <w:rPr>
          <w:rFonts w:hint="eastAsia"/>
          <w:color w:val="auto"/>
          <w:szCs w:val="21"/>
          <w:highlight w:val="none"/>
        </w:rPr>
        <w:t>投标人</w:t>
      </w:r>
      <w:r>
        <w:rPr>
          <w:color w:val="auto"/>
          <w:szCs w:val="21"/>
          <w:highlight w:val="none"/>
        </w:rPr>
        <w:t>在投标过程中弄虚作假，提供虚假材料的；</w:t>
      </w:r>
    </w:p>
    <w:p w14:paraId="69E39BFB">
      <w:pPr>
        <w:numPr>
          <w:ilvl w:val="0"/>
          <w:numId w:val="4"/>
        </w:numPr>
        <w:spacing w:before="120" w:line="320" w:lineRule="atLeast"/>
        <w:rPr>
          <w:color w:val="auto"/>
          <w:szCs w:val="21"/>
          <w:highlight w:val="none"/>
        </w:rPr>
      </w:pPr>
      <w:r>
        <w:rPr>
          <w:color w:val="auto"/>
          <w:szCs w:val="21"/>
          <w:highlight w:val="none"/>
        </w:rPr>
        <w:t>中标人无正当理由不与采购人签订合同的；</w:t>
      </w:r>
    </w:p>
    <w:p w14:paraId="0CFDF5E2">
      <w:pPr>
        <w:numPr>
          <w:ilvl w:val="0"/>
          <w:numId w:val="4"/>
        </w:numPr>
        <w:spacing w:before="120" w:line="320" w:lineRule="atLeast"/>
        <w:rPr>
          <w:color w:val="auto"/>
          <w:szCs w:val="21"/>
          <w:highlight w:val="none"/>
        </w:rPr>
      </w:pPr>
      <w:r>
        <w:rPr>
          <w:color w:val="auto"/>
          <w:szCs w:val="21"/>
          <w:highlight w:val="none"/>
        </w:rPr>
        <w:t>将中标项目转让给他人或者在投标文件中未说明且未经采购人同意，将中标项目分包给他人的；</w:t>
      </w:r>
    </w:p>
    <w:p w14:paraId="613CE679">
      <w:pPr>
        <w:numPr>
          <w:ilvl w:val="0"/>
          <w:numId w:val="4"/>
        </w:numPr>
        <w:spacing w:before="120" w:line="320" w:lineRule="atLeast"/>
        <w:rPr>
          <w:color w:val="auto"/>
          <w:szCs w:val="21"/>
          <w:highlight w:val="none"/>
        </w:rPr>
      </w:pPr>
      <w:r>
        <w:rPr>
          <w:color w:val="auto"/>
          <w:szCs w:val="21"/>
          <w:highlight w:val="none"/>
        </w:rPr>
        <w:t>拒绝履行合同义务的；</w:t>
      </w:r>
    </w:p>
    <w:p w14:paraId="7EF1C8B0">
      <w:pPr>
        <w:numPr>
          <w:ilvl w:val="0"/>
          <w:numId w:val="4"/>
        </w:numPr>
        <w:spacing w:before="120" w:line="320" w:lineRule="atLeast"/>
        <w:rPr>
          <w:color w:val="auto"/>
          <w:szCs w:val="21"/>
          <w:highlight w:val="none"/>
        </w:rPr>
      </w:pPr>
      <w:r>
        <w:rPr>
          <w:color w:val="auto"/>
          <w:szCs w:val="21"/>
          <w:highlight w:val="none"/>
        </w:rPr>
        <w:t>其他严重扰乱招投标程序的</w:t>
      </w:r>
      <w:r>
        <w:rPr>
          <w:rFonts w:hint="eastAsia"/>
          <w:color w:val="auto"/>
          <w:szCs w:val="21"/>
          <w:highlight w:val="none"/>
        </w:rPr>
        <w:t>。</w:t>
      </w:r>
    </w:p>
    <w:p w14:paraId="4B683BDC">
      <w:pPr>
        <w:spacing w:before="120" w:line="320" w:lineRule="atLeast"/>
        <w:ind w:firstLine="422" w:firstLineChars="200"/>
        <w:outlineLvl w:val="2"/>
        <w:rPr>
          <w:b/>
          <w:bCs/>
          <w:color w:val="auto"/>
          <w:kern w:val="0"/>
          <w:szCs w:val="21"/>
          <w:highlight w:val="none"/>
        </w:rPr>
      </w:pPr>
      <w:bookmarkStart w:id="70" w:name="_Toc254970542"/>
      <w:bookmarkStart w:id="71" w:name="_Toc254970683"/>
      <w:r>
        <w:rPr>
          <w:b/>
          <w:bCs/>
          <w:color w:val="auto"/>
          <w:kern w:val="0"/>
          <w:szCs w:val="21"/>
          <w:highlight w:val="none"/>
        </w:rPr>
        <w:t>3.6投标文件的</w:t>
      </w:r>
      <w:bookmarkEnd w:id="70"/>
      <w:bookmarkEnd w:id="71"/>
      <w:r>
        <w:rPr>
          <w:b/>
          <w:bCs/>
          <w:color w:val="auto"/>
          <w:kern w:val="0"/>
          <w:szCs w:val="21"/>
          <w:highlight w:val="none"/>
        </w:rPr>
        <w:t>编制要求</w:t>
      </w:r>
    </w:p>
    <w:p w14:paraId="6E85E7D8">
      <w:pPr>
        <w:spacing w:before="120" w:line="320" w:lineRule="atLeast"/>
        <w:ind w:firstLine="420" w:firstLineChars="200"/>
        <w:rPr>
          <w:b/>
          <w:bCs/>
          <w:color w:val="auto"/>
          <w:kern w:val="0"/>
          <w:szCs w:val="21"/>
          <w:highlight w:val="none"/>
        </w:rPr>
      </w:pPr>
      <w:r>
        <w:rPr>
          <w:rFonts w:hint="eastAsia"/>
          <w:color w:val="auto"/>
          <w:kern w:val="0"/>
          <w:szCs w:val="21"/>
          <w:highlight w:val="none"/>
        </w:rPr>
        <w:t>3</w:t>
      </w:r>
      <w:r>
        <w:rPr>
          <w:color w:val="auto"/>
          <w:kern w:val="0"/>
          <w:szCs w:val="21"/>
          <w:highlight w:val="none"/>
        </w:rPr>
        <w:t>.6.1</w:t>
      </w:r>
      <w:r>
        <w:rPr>
          <w:rFonts w:hint="eastAsia"/>
          <w:color w:val="auto"/>
          <w:szCs w:val="21"/>
          <w:highlight w:val="none"/>
        </w:rPr>
        <w:t>投标人应先安装</w:t>
      </w:r>
      <w:bookmarkStart w:id="72" w:name="_Hlk160184301"/>
      <w:r>
        <w:rPr>
          <w:rFonts w:hint="eastAsia"/>
          <w:color w:val="auto"/>
          <w:szCs w:val="21"/>
          <w:highlight w:val="none"/>
        </w:rPr>
        <w:t>广西政府采购云平台新版客户端</w:t>
      </w:r>
      <w:bookmarkEnd w:id="72"/>
      <w:r>
        <w:rPr>
          <w:rFonts w:hint="eastAsia"/>
          <w:color w:val="auto"/>
          <w:szCs w:val="21"/>
          <w:highlight w:val="none"/>
        </w:rPr>
        <w:t>，通过账号密码或C</w:t>
      </w:r>
      <w:r>
        <w:rPr>
          <w:color w:val="auto"/>
          <w:szCs w:val="21"/>
          <w:highlight w:val="none"/>
        </w:rPr>
        <w:t>A</w:t>
      </w:r>
      <w:r>
        <w:rPr>
          <w:rFonts w:hint="eastAsia"/>
          <w:color w:val="auto"/>
          <w:szCs w:val="21"/>
          <w:highlight w:val="none"/>
        </w:rPr>
        <w:t>登录客户端制作投标文件。</w:t>
      </w:r>
    </w:p>
    <w:p w14:paraId="44668990">
      <w:pPr>
        <w:spacing w:before="120" w:line="320" w:lineRule="atLeast"/>
        <w:ind w:firstLine="420" w:firstLineChars="200"/>
        <w:rPr>
          <w:color w:val="auto"/>
          <w:szCs w:val="21"/>
          <w:highlight w:val="none"/>
        </w:rPr>
      </w:pPr>
      <w:bookmarkStart w:id="73" w:name="_Hlk132791136"/>
      <w:r>
        <w:rPr>
          <w:color w:val="auto"/>
          <w:szCs w:val="21"/>
          <w:highlight w:val="none"/>
        </w:rPr>
        <w:t>3.6.2</w:t>
      </w:r>
      <w:r>
        <w:rPr>
          <w:rFonts w:hint="eastAsia"/>
          <w:color w:val="auto"/>
          <w:szCs w:val="21"/>
          <w:highlight w:val="none"/>
        </w:rPr>
        <w:t>投标人</w:t>
      </w:r>
      <w:r>
        <w:rPr>
          <w:color w:val="auto"/>
          <w:szCs w:val="21"/>
          <w:highlight w:val="none"/>
        </w:rPr>
        <w:t>应按本招标文件规定的格式和顺序编制投标文件</w:t>
      </w:r>
      <w:r>
        <w:rPr>
          <w:rFonts w:hint="eastAsia"/>
          <w:color w:val="auto"/>
          <w:szCs w:val="21"/>
          <w:highlight w:val="none"/>
        </w:rPr>
        <w:t>并进行关联定位</w:t>
      </w:r>
      <w:r>
        <w:rPr>
          <w:color w:val="auto"/>
          <w:szCs w:val="21"/>
          <w:highlight w:val="none"/>
        </w:rPr>
        <w:t>，</w:t>
      </w:r>
      <w:r>
        <w:rPr>
          <w:rFonts w:hint="eastAsia"/>
          <w:color w:val="auto"/>
          <w:szCs w:val="21"/>
          <w:highlight w:val="none"/>
        </w:rPr>
        <w:t>以便评审委员会在评审时，点击评分项可直接定位到该评分项内容。如对招标文件的某项要求，投标人的投标文件未能关联定位提供相应的内容与其对应，则评审委员会在评审时如做出对投标人不利的评审由投标人自行承担。投标文件如内容不完整、编排混乱导致投标文件被误读、漏读，或者在按招标文件规定的部位查找不到相关内容的，由投标人自行承担。</w:t>
      </w:r>
    </w:p>
    <w:p w14:paraId="34484A47">
      <w:pPr>
        <w:spacing w:before="120" w:line="320" w:lineRule="atLeast"/>
        <w:ind w:firstLine="420" w:firstLineChars="200"/>
        <w:rPr>
          <w:color w:val="auto"/>
          <w:szCs w:val="21"/>
          <w:highlight w:val="none"/>
        </w:rPr>
      </w:pPr>
      <w:bookmarkStart w:id="74" w:name="_Hlk93046800"/>
      <w:r>
        <w:rPr>
          <w:color w:val="auto"/>
          <w:szCs w:val="21"/>
          <w:highlight w:val="none"/>
        </w:rPr>
        <w:t xml:space="preserve">3.6.3 </w:t>
      </w:r>
      <w:r>
        <w:rPr>
          <w:rFonts w:hint="eastAsia"/>
          <w:color w:val="auto"/>
          <w:szCs w:val="21"/>
          <w:highlight w:val="none"/>
        </w:rPr>
        <w:t>投标人的投标文件未按照招标文件要求签署、盖章的，</w:t>
      </w:r>
      <w:r>
        <w:rPr>
          <w:rFonts w:hint="eastAsia"/>
          <w:b/>
          <w:bCs/>
          <w:color w:val="auto"/>
          <w:szCs w:val="21"/>
          <w:highlight w:val="none"/>
        </w:rPr>
        <w:t>其投标无效</w:t>
      </w:r>
      <w:r>
        <w:rPr>
          <w:rFonts w:hint="eastAsia"/>
          <w:color w:val="auto"/>
          <w:szCs w:val="21"/>
          <w:highlight w:val="none"/>
        </w:rPr>
        <w:t>。</w:t>
      </w:r>
    </w:p>
    <w:bookmarkEnd w:id="73"/>
    <w:bookmarkEnd w:id="74"/>
    <w:p w14:paraId="453B224A">
      <w:pPr>
        <w:spacing w:before="120" w:line="320" w:lineRule="atLeast"/>
        <w:ind w:firstLine="420" w:firstLineChars="200"/>
        <w:rPr>
          <w:color w:val="auto"/>
          <w:szCs w:val="21"/>
          <w:highlight w:val="none"/>
        </w:rPr>
      </w:pPr>
      <w:r>
        <w:rPr>
          <w:color w:val="auto"/>
          <w:szCs w:val="21"/>
          <w:highlight w:val="none"/>
        </w:rPr>
        <w:t>3.6.4</w:t>
      </w:r>
      <w:r>
        <w:rPr>
          <w:rFonts w:hint="eastAsia"/>
          <w:color w:val="auto"/>
          <w:szCs w:val="21"/>
          <w:highlight w:val="none"/>
        </w:rPr>
        <w:t>为确保网上操作合法、有效和安全，投标人应当在投标截止时间前完成在广西政府采购云平台的身份认证，确保在电子投标过程中能够对相关数据电文进行加密和使用电子签名。</w:t>
      </w:r>
    </w:p>
    <w:p w14:paraId="410A823A">
      <w:pPr>
        <w:spacing w:before="120" w:line="320" w:lineRule="atLeast"/>
        <w:ind w:firstLine="420" w:firstLineChars="200"/>
        <w:rPr>
          <w:b/>
          <w:bCs/>
          <w:color w:val="auto"/>
          <w:szCs w:val="21"/>
          <w:highlight w:val="none"/>
        </w:rPr>
      </w:pPr>
      <w:r>
        <w:rPr>
          <w:rFonts w:hint="eastAsia"/>
          <w:color w:val="auto"/>
          <w:szCs w:val="21"/>
          <w:highlight w:val="none"/>
        </w:rPr>
        <w:t>3</w:t>
      </w:r>
      <w:r>
        <w:rPr>
          <w:color w:val="auto"/>
          <w:szCs w:val="21"/>
          <w:highlight w:val="none"/>
        </w:rPr>
        <w:t>.6.5</w:t>
      </w:r>
      <w:r>
        <w:rPr>
          <w:rFonts w:hint="eastAsia"/>
          <w:color w:val="auto"/>
          <w:szCs w:val="21"/>
          <w:highlight w:val="none"/>
        </w:rPr>
        <w:t>投标文件中标注的投标人名称应与主体资格证明（如营业执照、事业单位法人证书、执业许可证、个体工商户营业执照、自然人身份证等）和公章/电子签章一致，</w:t>
      </w:r>
      <w:r>
        <w:rPr>
          <w:rFonts w:hint="eastAsia"/>
          <w:b/>
          <w:bCs/>
          <w:color w:val="auto"/>
          <w:szCs w:val="21"/>
          <w:highlight w:val="none"/>
        </w:rPr>
        <w:t>否则作无效投标处理。</w:t>
      </w:r>
    </w:p>
    <w:p w14:paraId="3A7E9736">
      <w:pPr>
        <w:spacing w:before="120" w:line="320" w:lineRule="atLeast"/>
        <w:ind w:firstLine="422" w:firstLineChars="200"/>
        <w:outlineLvl w:val="2"/>
        <w:rPr>
          <w:b/>
          <w:bCs/>
          <w:color w:val="auto"/>
          <w:kern w:val="0"/>
          <w:szCs w:val="21"/>
          <w:highlight w:val="none"/>
        </w:rPr>
      </w:pPr>
      <w:r>
        <w:rPr>
          <w:b/>
          <w:bCs/>
          <w:color w:val="auto"/>
          <w:kern w:val="0"/>
          <w:szCs w:val="21"/>
          <w:highlight w:val="none"/>
        </w:rPr>
        <w:t>3.7投标文件的递交、修改和撤回</w:t>
      </w:r>
    </w:p>
    <w:p w14:paraId="78341EE6">
      <w:pPr>
        <w:spacing w:before="120" w:line="320" w:lineRule="atLeast"/>
        <w:ind w:firstLine="420" w:firstLineChars="200"/>
        <w:rPr>
          <w:color w:val="auto"/>
          <w:szCs w:val="21"/>
          <w:highlight w:val="none"/>
        </w:rPr>
      </w:pPr>
      <w:r>
        <w:rPr>
          <w:color w:val="auto"/>
          <w:szCs w:val="21"/>
          <w:highlight w:val="none"/>
        </w:rPr>
        <w:t>3.7.1</w:t>
      </w:r>
      <w:r>
        <w:rPr>
          <w:rFonts w:hint="eastAsia"/>
          <w:color w:val="auto"/>
          <w:szCs w:val="21"/>
          <w:highlight w:val="none"/>
        </w:rPr>
        <w:t>投标人必须在投标人须知前附表规定的投标文件开标时间和投标地点提交电子版投标文件。电子投标文件应在制作完成后，在投标截止时间前通过有效数字证书（CA认证锁）进行电子签章、加密，然后通过网络将加密的电子投标文件递交至广西政府采购云平台。</w:t>
      </w:r>
    </w:p>
    <w:p w14:paraId="2633B13D">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.7.2</w:t>
      </w:r>
      <w:r>
        <w:rPr>
          <w:rFonts w:hint="eastAsia"/>
          <w:color w:val="auto"/>
          <w:szCs w:val="21"/>
          <w:highlight w:val="none"/>
        </w:rPr>
        <w:t xml:space="preserve">未在规定时间内提交或者未按照招标文件要求签章、加密的电子投标文件，广西政府采购云平台将拒收。 </w:t>
      </w:r>
    </w:p>
    <w:p w14:paraId="378FB46A">
      <w:pPr>
        <w:spacing w:before="120" w:line="320" w:lineRule="atLeast"/>
        <w:ind w:left="2" w:leftChars="1" w:firstLine="420" w:firstLineChars="200"/>
        <w:rPr>
          <w:color w:val="auto"/>
          <w:szCs w:val="21"/>
          <w:highlight w:val="none"/>
        </w:rPr>
      </w:pPr>
      <w:bookmarkStart w:id="75" w:name="_Toc254970685"/>
      <w:bookmarkStart w:id="76" w:name="_Toc254970544"/>
      <w:r>
        <w:rPr>
          <w:rFonts w:hint="eastAsia"/>
          <w:color w:val="auto"/>
          <w:szCs w:val="21"/>
          <w:highlight w:val="none"/>
        </w:rPr>
        <w:t>3</w:t>
      </w:r>
      <w:r>
        <w:rPr>
          <w:color w:val="auto"/>
          <w:szCs w:val="21"/>
          <w:highlight w:val="none"/>
        </w:rPr>
        <w:t>.7.3</w:t>
      </w:r>
      <w:r>
        <w:rPr>
          <w:rFonts w:hint="eastAsia"/>
          <w:color w:val="auto"/>
          <w:szCs w:val="21"/>
          <w:highlight w:val="none"/>
        </w:rPr>
        <w:t>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6B233C6C">
      <w:pPr>
        <w:spacing w:before="120" w:line="320" w:lineRule="atLeast"/>
        <w:ind w:left="2" w:leftChars="1" w:firstLine="420" w:firstLineChars="200"/>
        <w:rPr>
          <w:color w:val="auto"/>
          <w:szCs w:val="21"/>
          <w:highlight w:val="none"/>
        </w:rPr>
      </w:pPr>
      <w:r>
        <w:rPr>
          <w:color w:val="auto"/>
          <w:szCs w:val="21"/>
          <w:highlight w:val="none"/>
        </w:rPr>
        <w:t>3.7.4</w:t>
      </w:r>
      <w:r>
        <w:rPr>
          <w:rFonts w:hint="eastAsia"/>
          <w:color w:val="auto"/>
          <w:szCs w:val="21"/>
          <w:highlight w:val="none"/>
        </w:rPr>
        <w:t>在投标截止时间前，除投标人补充、修改或者撤回投标文件外，任何单位和个人不得解密或提取投标文件。</w:t>
      </w:r>
    </w:p>
    <w:p w14:paraId="40A2A470">
      <w:pPr>
        <w:spacing w:before="120" w:line="320" w:lineRule="atLeast"/>
        <w:ind w:left="2" w:leftChars="1" w:firstLine="420" w:firstLineChars="200"/>
        <w:rPr>
          <w:color w:val="auto"/>
          <w:szCs w:val="21"/>
          <w:highlight w:val="none"/>
        </w:rPr>
      </w:pPr>
      <w:r>
        <w:rPr>
          <w:color w:val="auto"/>
          <w:szCs w:val="21"/>
          <w:highlight w:val="none"/>
        </w:rPr>
        <w:t>3.7.5</w:t>
      </w:r>
      <w:r>
        <w:rPr>
          <w:rFonts w:hint="eastAsia"/>
          <w:color w:val="auto"/>
          <w:szCs w:val="21"/>
          <w:highlight w:val="none"/>
        </w:rPr>
        <w:t>在投标截止时间止提交电子版投标文件的投标人不足3家时，电子版投标文件由代理机构在广西政府采购云平台操作退回，除此之外采购人和采购代理机构对已提交的投标文件概不退回。</w:t>
      </w:r>
    </w:p>
    <w:p w14:paraId="5DA32932">
      <w:pPr>
        <w:spacing w:before="120" w:line="320" w:lineRule="atLeast"/>
        <w:ind w:left="2" w:leftChars="1" w:firstLine="420" w:firstLineChars="200"/>
        <w:rPr>
          <w:color w:val="auto"/>
          <w:szCs w:val="21"/>
          <w:highlight w:val="none"/>
        </w:rPr>
      </w:pPr>
      <w:bookmarkStart w:id="77" w:name="_Hlk93046827"/>
      <w:r>
        <w:rPr>
          <w:rFonts w:hint="eastAsia"/>
          <w:color w:val="auto"/>
          <w:szCs w:val="21"/>
          <w:highlight w:val="none"/>
        </w:rPr>
        <w:t>3</w:t>
      </w:r>
      <w:r>
        <w:rPr>
          <w:color w:val="auto"/>
          <w:szCs w:val="21"/>
          <w:highlight w:val="none"/>
        </w:rPr>
        <w:t>.7.6</w:t>
      </w:r>
      <w:r>
        <w:rPr>
          <w:rFonts w:hint="eastAsia"/>
          <w:color w:val="auto"/>
          <w:szCs w:val="21"/>
          <w:highlight w:val="none"/>
        </w:rPr>
        <w:t>招标文件未允许同一投标人提交两个或以上不同的响应文件，但存在</w:t>
      </w:r>
      <w:r>
        <w:rPr>
          <w:rFonts w:hint="eastAsia"/>
          <w:color w:val="auto"/>
          <w:highlight w:val="none"/>
        </w:rPr>
        <w:t>同</w:t>
      </w:r>
      <w:r>
        <w:rPr>
          <w:rFonts w:hint="eastAsia"/>
          <w:color w:val="auto"/>
          <w:szCs w:val="21"/>
          <w:highlight w:val="none"/>
        </w:rPr>
        <w:t>一投标人提交两个或以上不同的响应文件的，</w:t>
      </w:r>
      <w:r>
        <w:rPr>
          <w:rFonts w:hint="eastAsia"/>
          <w:b/>
          <w:bCs/>
          <w:color w:val="auto"/>
          <w:szCs w:val="21"/>
          <w:highlight w:val="none"/>
        </w:rPr>
        <w:t>其投标无效。</w:t>
      </w:r>
      <w:r>
        <w:rPr>
          <w:rFonts w:hint="eastAsia"/>
          <w:color w:val="auto"/>
          <w:szCs w:val="21"/>
          <w:highlight w:val="none"/>
        </w:rPr>
        <w:t>投标人在同一投标文件中对某项技术、商务要求提供有选择性的响应参数或方案等同于提交两个或以上不同的投标文件。</w:t>
      </w:r>
    </w:p>
    <w:bookmarkEnd w:id="77"/>
    <w:p w14:paraId="1D54A609">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4．开标</w:t>
      </w:r>
      <w:bookmarkEnd w:id="75"/>
      <w:bookmarkEnd w:id="76"/>
    </w:p>
    <w:p w14:paraId="4604659D">
      <w:pPr>
        <w:spacing w:before="120" w:line="320" w:lineRule="atLeast"/>
        <w:ind w:firstLine="422" w:firstLineChars="200"/>
        <w:outlineLvl w:val="2"/>
        <w:rPr>
          <w:b/>
          <w:bCs/>
          <w:color w:val="auto"/>
          <w:kern w:val="0"/>
          <w:szCs w:val="21"/>
          <w:highlight w:val="none"/>
        </w:rPr>
      </w:pPr>
      <w:r>
        <w:rPr>
          <w:b/>
          <w:bCs/>
          <w:color w:val="auto"/>
          <w:kern w:val="0"/>
          <w:szCs w:val="21"/>
          <w:highlight w:val="none"/>
        </w:rPr>
        <w:t>4.1开标准备</w:t>
      </w:r>
    </w:p>
    <w:p w14:paraId="0AE47409">
      <w:pPr>
        <w:spacing w:before="120" w:line="276" w:lineRule="auto"/>
        <w:ind w:firstLine="420" w:firstLineChars="200"/>
        <w:rPr>
          <w:color w:val="auto"/>
          <w:szCs w:val="21"/>
          <w:highlight w:val="none"/>
        </w:rPr>
      </w:pPr>
      <w:r>
        <w:rPr>
          <w:color w:val="auto"/>
          <w:szCs w:val="21"/>
          <w:highlight w:val="none"/>
        </w:rPr>
        <w:t>本项目投标截止时间及地点见“</w:t>
      </w:r>
      <w:r>
        <w:rPr>
          <w:rFonts w:hint="eastAsia"/>
          <w:color w:val="auto"/>
          <w:szCs w:val="21"/>
          <w:highlight w:val="none"/>
        </w:rPr>
        <w:t>投标人须知</w:t>
      </w:r>
      <w:r>
        <w:rPr>
          <w:color w:val="auto"/>
          <w:szCs w:val="21"/>
          <w:highlight w:val="none"/>
        </w:rPr>
        <w:t>前附表”规定。</w:t>
      </w:r>
    </w:p>
    <w:p w14:paraId="3B120DE0">
      <w:pPr>
        <w:autoSpaceDE w:val="0"/>
        <w:autoSpaceDN w:val="0"/>
        <w:adjustRightInd w:val="0"/>
        <w:spacing w:line="276" w:lineRule="auto"/>
        <w:ind w:firstLine="420" w:firstLineChars="200"/>
        <w:rPr>
          <w:color w:val="auto"/>
          <w:szCs w:val="21"/>
          <w:highlight w:val="none"/>
        </w:rPr>
      </w:pPr>
      <w:r>
        <w:rPr>
          <w:rFonts w:hint="eastAsia"/>
          <w:color w:val="auto"/>
          <w:szCs w:val="21"/>
          <w:highlight w:val="none"/>
        </w:rPr>
        <w:t>全流程电子化项目没有现场递交投标文件及现场开标环节。采购代理机构将按照招标文件规定的时间通过广西政府采购云平台组织线上开标活动、开启投标文件，所有投标人均应当准时在线参加。投标人</w:t>
      </w:r>
      <w:r>
        <w:rPr>
          <w:color w:val="auto"/>
          <w:szCs w:val="21"/>
          <w:highlight w:val="none"/>
        </w:rPr>
        <w:t>如不</w:t>
      </w:r>
      <w:r>
        <w:rPr>
          <w:rFonts w:hint="eastAsia"/>
          <w:color w:val="auto"/>
          <w:szCs w:val="21"/>
          <w:highlight w:val="none"/>
        </w:rPr>
        <w:t>参加</w:t>
      </w:r>
      <w:r>
        <w:rPr>
          <w:color w:val="auto"/>
          <w:szCs w:val="21"/>
          <w:highlight w:val="none"/>
        </w:rPr>
        <w:t>开标大会的，</w:t>
      </w:r>
      <w:r>
        <w:rPr>
          <w:rFonts w:hint="eastAsia"/>
          <w:color w:val="auto"/>
          <w:szCs w:val="21"/>
          <w:highlight w:val="none"/>
        </w:rPr>
        <w:t>视同认可开标结果，</w:t>
      </w:r>
      <w:r>
        <w:rPr>
          <w:color w:val="auto"/>
          <w:szCs w:val="21"/>
          <w:highlight w:val="none"/>
        </w:rPr>
        <w:t>事后不得对采购相关人员、开标过程和开标结果提出异议</w:t>
      </w:r>
      <w:r>
        <w:rPr>
          <w:rFonts w:hint="eastAsia"/>
          <w:color w:val="auto"/>
          <w:szCs w:val="21"/>
          <w:highlight w:val="none"/>
        </w:rPr>
        <w:t>，同时投标人因未在线参加开标而导致投标文件无法按时解密等一切后果由投标人自己承担。</w:t>
      </w:r>
    </w:p>
    <w:p w14:paraId="21A3C6EE">
      <w:pPr>
        <w:spacing w:before="120" w:line="276" w:lineRule="auto"/>
        <w:ind w:firstLine="420" w:firstLineChars="200"/>
        <w:rPr>
          <w:color w:val="auto"/>
          <w:szCs w:val="21"/>
          <w:highlight w:val="none"/>
        </w:rPr>
      </w:pPr>
      <w:r>
        <w:rPr>
          <w:rFonts w:hint="eastAsia"/>
          <w:color w:val="auto"/>
          <w:szCs w:val="21"/>
          <w:highlight w:val="none"/>
        </w:rPr>
        <w:t xml:space="preserve">如投标人成功解密投标文件，但未在广西政府采购云平台电子开标大厅参加开标的，视同认可开标过程和结果，由此产生的后果由投标人自行负责。 </w:t>
      </w:r>
    </w:p>
    <w:p w14:paraId="5F8D6563">
      <w:pPr>
        <w:spacing w:before="120" w:line="320" w:lineRule="atLeast"/>
        <w:ind w:firstLine="422" w:firstLineChars="200"/>
        <w:outlineLvl w:val="2"/>
        <w:rPr>
          <w:b/>
          <w:bCs/>
          <w:color w:val="auto"/>
          <w:kern w:val="0"/>
          <w:szCs w:val="21"/>
          <w:highlight w:val="none"/>
        </w:rPr>
      </w:pPr>
      <w:r>
        <w:rPr>
          <w:b/>
          <w:bCs/>
          <w:color w:val="auto"/>
          <w:kern w:val="0"/>
          <w:szCs w:val="21"/>
          <w:highlight w:val="none"/>
        </w:rPr>
        <w:t>4.2开标程序</w:t>
      </w:r>
    </w:p>
    <w:p w14:paraId="1387F103">
      <w:pPr>
        <w:spacing w:before="120" w:line="320" w:lineRule="atLeast"/>
        <w:ind w:firstLine="420" w:firstLineChars="200"/>
        <w:rPr>
          <w:color w:val="auto"/>
          <w:szCs w:val="21"/>
          <w:highlight w:val="none"/>
        </w:rPr>
      </w:pPr>
      <w:r>
        <w:rPr>
          <w:color w:val="auto"/>
          <w:szCs w:val="21"/>
          <w:highlight w:val="none"/>
        </w:rPr>
        <w:t>4.2.1</w:t>
      </w:r>
      <w:r>
        <w:rPr>
          <w:rFonts w:hint="eastAsia"/>
          <w:color w:val="auto"/>
          <w:szCs w:val="21"/>
          <w:highlight w:val="none"/>
        </w:rPr>
        <w:t>投标人登录广西政府采购云平台进入开标大厅签到。</w:t>
      </w:r>
    </w:p>
    <w:p w14:paraId="300B849D">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.2.2</w:t>
      </w:r>
      <w:r>
        <w:rPr>
          <w:rFonts w:hint="eastAsia"/>
          <w:color w:val="auto"/>
          <w:szCs w:val="21"/>
          <w:highlight w:val="none"/>
        </w:rPr>
        <w:t>解密电子投标文件。广西政府采购云平台按开标时间自动提取所有投标文件。采购代理机构在广西政府采购云平台向各投标人发出电子加密投标文件开始解密通知，由投标</w:t>
      </w:r>
      <w:r>
        <w:rPr>
          <w:rFonts w:hint="eastAsia"/>
          <w:color w:val="auto"/>
          <w:szCs w:val="21"/>
          <w:highlight w:val="none"/>
          <w:lang w:eastAsia="zh-CN"/>
        </w:rPr>
        <w:t>人在</w:t>
      </w:r>
      <w:r>
        <w:rPr>
          <w:rFonts w:hint="eastAsia"/>
          <w:color w:val="auto"/>
          <w:szCs w:val="21"/>
          <w:highlight w:val="none"/>
        </w:rPr>
        <w:t>平台设置时间内自行进行投标文件解密。投标人须使用加密时所用的CA锁准时登录到广西政府采购云平台电子开标大厅签到并对电子投标文件解密。开标后投标人未及时进行解密的，代理机构可通知投标人。</w:t>
      </w:r>
      <w:r>
        <w:rPr>
          <w:rFonts w:hint="eastAsia"/>
          <w:color w:val="auto"/>
          <w:highlight w:val="none"/>
        </w:rPr>
        <w:t>通知后投标人仍未在上述规定时间内解密响应文件</w:t>
      </w:r>
      <w:r>
        <w:rPr>
          <w:rFonts w:hint="eastAsia"/>
          <w:color w:val="auto"/>
          <w:szCs w:val="21"/>
          <w:highlight w:val="none"/>
        </w:rPr>
        <w:t>，或者投标人没预留联系方式或预留联系方式无效导致代理机构无法联系到投标人进行解密的，均视为无效投标。</w:t>
      </w:r>
    </w:p>
    <w:p w14:paraId="7F3EFC03">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.2.3</w:t>
      </w:r>
      <w:r>
        <w:rPr>
          <w:rFonts w:hint="eastAsia"/>
          <w:color w:val="auto"/>
          <w:szCs w:val="21"/>
          <w:highlight w:val="none"/>
        </w:rPr>
        <w:t>广西政府采购云平台设置有备份响应文件功能。备份响应文件是指平台设置为接受备份响应文件时，如出现投标人上传的响应文件存在问题或其他投标人原因引起解密异常时，投标人可以在规定时间内将备份响应文件通过邮箱发送至采购代理机构，由代理机构上传备份响应文件后自动解密从而避免被视为无效响应。是否接受备份响应文件详见投标人须知前附表，如接受备份文件，投标人未在规定时间内发送备份响应文件的将视为无效响应。</w:t>
      </w:r>
    </w:p>
    <w:p w14:paraId="18CA3E9B">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.2.4</w:t>
      </w:r>
      <w:r>
        <w:rPr>
          <w:rFonts w:hint="eastAsia"/>
          <w:color w:val="auto"/>
          <w:szCs w:val="21"/>
          <w:highlight w:val="none"/>
        </w:rPr>
        <w:t>解密异常情况处理：详见本章</w:t>
      </w:r>
      <w:r>
        <w:rPr>
          <w:color w:val="auto"/>
          <w:szCs w:val="21"/>
          <w:highlight w:val="none"/>
        </w:rPr>
        <w:t>9.2</w:t>
      </w:r>
      <w:r>
        <w:rPr>
          <w:rFonts w:hint="eastAsia"/>
          <w:color w:val="auto"/>
          <w:szCs w:val="21"/>
          <w:highlight w:val="none"/>
        </w:rPr>
        <w:t>电子交易活动的中止。</w:t>
      </w:r>
    </w:p>
    <w:p w14:paraId="6329B6D0">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.2.5</w:t>
      </w:r>
      <w:r>
        <w:rPr>
          <w:rFonts w:hint="eastAsia"/>
          <w:color w:val="auto"/>
          <w:szCs w:val="21"/>
          <w:highlight w:val="none"/>
        </w:rPr>
        <w:t>投标人对报价进行确认。</w:t>
      </w:r>
    </w:p>
    <w:p w14:paraId="6191E38F">
      <w:pPr>
        <w:spacing w:before="120" w:line="320" w:lineRule="atLeast"/>
        <w:ind w:firstLine="420" w:firstLineChars="200"/>
        <w:rPr>
          <w:color w:val="auto"/>
          <w:szCs w:val="21"/>
          <w:highlight w:val="none"/>
        </w:rPr>
      </w:pPr>
      <w:r>
        <w:rPr>
          <w:color w:val="auto"/>
          <w:szCs w:val="21"/>
          <w:highlight w:val="none"/>
        </w:rPr>
        <w:t>4.2.6开标结束。</w:t>
      </w:r>
    </w:p>
    <w:p w14:paraId="2D406813">
      <w:pPr>
        <w:pStyle w:val="27"/>
        <w:snapToGrid w:val="0"/>
        <w:spacing w:line="440" w:lineRule="exact"/>
        <w:ind w:firstLine="422" w:firstLineChars="200"/>
        <w:rPr>
          <w:rFonts w:hint="eastAsia" w:hAnsi="宋体"/>
          <w:color w:val="auto"/>
          <w:highlight w:val="none"/>
        </w:rPr>
      </w:pPr>
      <w:r>
        <w:rPr>
          <w:rFonts w:hint="eastAsia" w:hAnsi="宋体"/>
          <w:b/>
          <w:bCs/>
          <w:color w:val="auto"/>
          <w:highlight w:val="none"/>
        </w:rPr>
        <w:t>特别说明：</w:t>
      </w:r>
      <w:r>
        <w:rPr>
          <w:rFonts w:hint="eastAsia" w:hAnsi="宋体"/>
          <w:color w:val="auto"/>
          <w:highlight w:val="none"/>
        </w:rPr>
        <w:t>如遇</w:t>
      </w:r>
      <w:r>
        <w:rPr>
          <w:rFonts w:hint="eastAsia"/>
          <w:color w:val="auto"/>
          <w:highlight w:val="none"/>
        </w:rPr>
        <w:t>广西政府采购云平台</w:t>
      </w:r>
      <w:r>
        <w:rPr>
          <w:rFonts w:hint="eastAsia" w:hAnsi="宋体"/>
          <w:color w:val="auto"/>
          <w:highlight w:val="none"/>
        </w:rPr>
        <w:t>电子化开标或评审程序调整的，按调整后的程序执行。</w:t>
      </w:r>
    </w:p>
    <w:p w14:paraId="28AA6C79">
      <w:pPr>
        <w:spacing w:before="120" w:line="320" w:lineRule="atLeast"/>
        <w:ind w:firstLine="422" w:firstLineChars="200"/>
        <w:outlineLvl w:val="2"/>
        <w:rPr>
          <w:b/>
          <w:bCs/>
          <w:color w:val="auto"/>
          <w:kern w:val="0"/>
          <w:szCs w:val="21"/>
          <w:highlight w:val="none"/>
        </w:rPr>
      </w:pPr>
      <w:r>
        <w:rPr>
          <w:b/>
          <w:bCs/>
          <w:color w:val="auto"/>
          <w:kern w:val="0"/>
          <w:szCs w:val="21"/>
          <w:highlight w:val="none"/>
        </w:rPr>
        <w:t>4.3演示</w:t>
      </w:r>
    </w:p>
    <w:p w14:paraId="790995AC">
      <w:pPr>
        <w:spacing w:before="120" w:line="320" w:lineRule="atLeast"/>
        <w:ind w:firstLine="420" w:firstLineChars="200"/>
        <w:rPr>
          <w:color w:val="auto"/>
          <w:szCs w:val="21"/>
          <w:highlight w:val="none"/>
        </w:rPr>
      </w:pPr>
      <w:r>
        <w:rPr>
          <w:color w:val="auto"/>
          <w:szCs w:val="21"/>
          <w:highlight w:val="none"/>
        </w:rPr>
        <w:t>4.3.1“</w:t>
      </w:r>
      <w:r>
        <w:rPr>
          <w:rFonts w:hint="eastAsia"/>
          <w:color w:val="auto"/>
          <w:szCs w:val="21"/>
          <w:highlight w:val="none"/>
        </w:rPr>
        <w:t>投标人须知</w:t>
      </w:r>
      <w:r>
        <w:rPr>
          <w:color w:val="auto"/>
          <w:szCs w:val="21"/>
          <w:highlight w:val="none"/>
        </w:rPr>
        <w:t>前附表”规定在开标会议结束后进行演示的，</w:t>
      </w:r>
      <w:r>
        <w:rPr>
          <w:rFonts w:hint="eastAsia"/>
          <w:color w:val="auto"/>
          <w:szCs w:val="21"/>
          <w:highlight w:val="none"/>
        </w:rPr>
        <w:t>投标人</w:t>
      </w:r>
      <w:r>
        <w:rPr>
          <w:color w:val="auto"/>
          <w:szCs w:val="21"/>
          <w:highlight w:val="none"/>
        </w:rPr>
        <w:t>应按规定进行演示。</w:t>
      </w:r>
    </w:p>
    <w:p w14:paraId="1B5EC9F9">
      <w:pPr>
        <w:spacing w:before="120" w:line="320" w:lineRule="atLeast"/>
        <w:ind w:firstLine="420" w:firstLineChars="200"/>
        <w:rPr>
          <w:color w:val="auto"/>
          <w:szCs w:val="21"/>
          <w:highlight w:val="none"/>
        </w:rPr>
      </w:pPr>
      <w:r>
        <w:rPr>
          <w:color w:val="auto"/>
          <w:szCs w:val="21"/>
          <w:highlight w:val="none"/>
        </w:rPr>
        <w:t>4.3.2未按规定时间进行演示可能引起的演示分数被计为0分或投标无效等后果由</w:t>
      </w:r>
      <w:r>
        <w:rPr>
          <w:rFonts w:hint="eastAsia"/>
          <w:color w:val="auto"/>
          <w:szCs w:val="21"/>
          <w:highlight w:val="none"/>
        </w:rPr>
        <w:t>投标人</w:t>
      </w:r>
      <w:r>
        <w:rPr>
          <w:color w:val="auto"/>
          <w:szCs w:val="21"/>
          <w:highlight w:val="none"/>
        </w:rPr>
        <w:t>自行承担。</w:t>
      </w:r>
    </w:p>
    <w:p w14:paraId="719B6A53">
      <w:pPr>
        <w:spacing w:before="120" w:line="320" w:lineRule="atLeast"/>
        <w:ind w:firstLine="422" w:firstLineChars="200"/>
        <w:outlineLvl w:val="2"/>
        <w:rPr>
          <w:color w:val="auto"/>
          <w:szCs w:val="21"/>
          <w:highlight w:val="none"/>
        </w:rPr>
      </w:pPr>
      <w:r>
        <w:rPr>
          <w:b/>
          <w:bCs/>
          <w:color w:val="auto"/>
          <w:kern w:val="0"/>
          <w:szCs w:val="21"/>
          <w:highlight w:val="none"/>
        </w:rPr>
        <w:t>4.4样品</w:t>
      </w:r>
    </w:p>
    <w:p w14:paraId="1A4D7F7B">
      <w:pPr>
        <w:spacing w:before="120" w:line="320" w:lineRule="atLeast"/>
        <w:ind w:firstLine="420" w:firstLineChars="200"/>
        <w:rPr>
          <w:color w:val="auto"/>
          <w:szCs w:val="21"/>
          <w:highlight w:val="none"/>
        </w:rPr>
      </w:pPr>
      <w:r>
        <w:rPr>
          <w:color w:val="auto"/>
          <w:szCs w:val="21"/>
          <w:highlight w:val="none"/>
        </w:rPr>
        <w:t>4.4.1“</w:t>
      </w:r>
      <w:r>
        <w:rPr>
          <w:rFonts w:hint="eastAsia"/>
          <w:color w:val="auto"/>
          <w:szCs w:val="21"/>
          <w:highlight w:val="none"/>
        </w:rPr>
        <w:t>投标人须知</w:t>
      </w:r>
      <w:r>
        <w:rPr>
          <w:color w:val="auto"/>
          <w:szCs w:val="21"/>
          <w:highlight w:val="none"/>
        </w:rPr>
        <w:t>前附表”规定递交样品的，</w:t>
      </w:r>
      <w:r>
        <w:rPr>
          <w:rFonts w:hint="eastAsia"/>
          <w:color w:val="auto"/>
          <w:szCs w:val="21"/>
          <w:highlight w:val="none"/>
        </w:rPr>
        <w:t>投标人</w:t>
      </w:r>
      <w:r>
        <w:rPr>
          <w:color w:val="auto"/>
          <w:szCs w:val="21"/>
          <w:highlight w:val="none"/>
        </w:rPr>
        <w:t>应按前附表规定递交样品，递交样品时应附样品递交表（格式见第六章）。</w:t>
      </w:r>
    </w:p>
    <w:p w14:paraId="2E33904D">
      <w:pPr>
        <w:spacing w:before="120" w:line="320" w:lineRule="atLeast"/>
        <w:ind w:firstLine="420" w:firstLineChars="200"/>
        <w:rPr>
          <w:color w:val="auto"/>
          <w:szCs w:val="21"/>
          <w:highlight w:val="none"/>
        </w:rPr>
      </w:pPr>
      <w:r>
        <w:rPr>
          <w:color w:val="auto"/>
          <w:szCs w:val="21"/>
          <w:highlight w:val="none"/>
        </w:rPr>
        <w:t>4.4.2未按规定时间递交样品可能引起的样品分数被计为0分或投标无效等后果由</w:t>
      </w:r>
      <w:r>
        <w:rPr>
          <w:rFonts w:hint="eastAsia"/>
          <w:color w:val="auto"/>
          <w:szCs w:val="21"/>
          <w:highlight w:val="none"/>
        </w:rPr>
        <w:t>投标人</w:t>
      </w:r>
      <w:r>
        <w:rPr>
          <w:color w:val="auto"/>
          <w:szCs w:val="21"/>
          <w:highlight w:val="none"/>
        </w:rPr>
        <w:t>自行承担。</w:t>
      </w:r>
    </w:p>
    <w:p w14:paraId="6923E2A1">
      <w:pPr>
        <w:spacing w:before="120" w:line="320" w:lineRule="atLeast"/>
        <w:ind w:firstLine="420" w:firstLineChars="200"/>
        <w:rPr>
          <w:color w:val="auto"/>
          <w:szCs w:val="21"/>
          <w:highlight w:val="none"/>
        </w:rPr>
      </w:pPr>
      <w:bookmarkStart w:id="78" w:name="_Toc254970545"/>
      <w:bookmarkStart w:id="79" w:name="_Toc254970686"/>
      <w:r>
        <w:rPr>
          <w:color w:val="auto"/>
          <w:szCs w:val="21"/>
          <w:highlight w:val="none"/>
        </w:rPr>
        <w:t>4.4.3样品封存或退还的说明请见第六章投标文件格式所附样品递交表。</w:t>
      </w:r>
    </w:p>
    <w:p w14:paraId="4FF0665A">
      <w:pPr>
        <w:spacing w:before="120" w:line="320" w:lineRule="atLeast"/>
        <w:ind w:left="2" w:leftChars="1" w:firstLine="422" w:firstLineChars="200"/>
        <w:outlineLvl w:val="1"/>
        <w:rPr>
          <w:b/>
          <w:bCs/>
          <w:color w:val="auto"/>
          <w:kern w:val="0"/>
          <w:szCs w:val="21"/>
          <w:highlight w:val="none"/>
        </w:rPr>
      </w:pPr>
      <w:bookmarkStart w:id="80" w:name="_Hlk93420947"/>
      <w:r>
        <w:rPr>
          <w:b/>
          <w:bCs/>
          <w:color w:val="auto"/>
          <w:kern w:val="0"/>
          <w:szCs w:val="21"/>
          <w:highlight w:val="none"/>
        </w:rPr>
        <w:t>5．</w:t>
      </w:r>
      <w:r>
        <w:rPr>
          <w:rFonts w:hint="eastAsia"/>
          <w:b/>
          <w:bCs/>
          <w:color w:val="auto"/>
          <w:kern w:val="0"/>
          <w:szCs w:val="21"/>
          <w:highlight w:val="none"/>
        </w:rPr>
        <w:t>资格审查</w:t>
      </w:r>
    </w:p>
    <w:p w14:paraId="76707422">
      <w:pPr>
        <w:spacing w:before="120" w:line="320" w:lineRule="atLeast"/>
        <w:ind w:left="2" w:leftChars="1" w:firstLine="420" w:firstLineChars="200"/>
        <w:outlineLvl w:val="1"/>
        <w:rPr>
          <w:bCs/>
          <w:color w:val="auto"/>
          <w:kern w:val="0"/>
          <w:szCs w:val="21"/>
          <w:highlight w:val="none"/>
        </w:rPr>
      </w:pPr>
      <w:r>
        <w:rPr>
          <w:rFonts w:hint="eastAsia"/>
          <w:bCs/>
          <w:color w:val="auto"/>
          <w:kern w:val="0"/>
          <w:szCs w:val="21"/>
          <w:highlight w:val="none"/>
        </w:rPr>
        <w:t>5</w:t>
      </w:r>
      <w:r>
        <w:rPr>
          <w:bCs/>
          <w:color w:val="auto"/>
          <w:kern w:val="0"/>
          <w:szCs w:val="21"/>
          <w:highlight w:val="none"/>
        </w:rPr>
        <w:t>.1</w:t>
      </w:r>
      <w:r>
        <w:rPr>
          <w:rFonts w:ascii="宋体" w:hAnsi="宋体"/>
          <w:bCs/>
          <w:color w:val="auto"/>
          <w:szCs w:val="21"/>
          <w:highlight w:val="none"/>
        </w:rPr>
        <w:t>开标结束后，</w:t>
      </w:r>
      <w:r>
        <w:rPr>
          <w:rFonts w:hint="eastAsia" w:ascii="宋体" w:hAnsi="宋体"/>
          <w:bCs/>
          <w:color w:val="auto"/>
          <w:szCs w:val="21"/>
          <w:highlight w:val="none"/>
        </w:rPr>
        <w:t>采购人或者采购代理机构通过电子交易平台</w:t>
      </w:r>
      <w:r>
        <w:rPr>
          <w:rFonts w:ascii="宋体" w:hAnsi="宋体"/>
          <w:bCs/>
          <w:color w:val="auto"/>
          <w:szCs w:val="21"/>
          <w:highlight w:val="none"/>
        </w:rPr>
        <w:t>对</w:t>
      </w:r>
      <w:r>
        <w:rPr>
          <w:rFonts w:hint="eastAsia" w:ascii="宋体" w:hAnsi="宋体"/>
          <w:bCs/>
          <w:color w:val="auto"/>
          <w:szCs w:val="21"/>
          <w:highlight w:val="none"/>
        </w:rPr>
        <w:t>投标人</w:t>
      </w:r>
      <w:r>
        <w:rPr>
          <w:rFonts w:ascii="宋体" w:hAnsi="宋体"/>
          <w:bCs/>
          <w:color w:val="auto"/>
          <w:szCs w:val="21"/>
          <w:highlight w:val="none"/>
        </w:rPr>
        <w:t>的资格进行审查。</w:t>
      </w:r>
      <w:r>
        <w:rPr>
          <w:rFonts w:hint="eastAsia" w:ascii="宋体" w:hAnsi="宋体"/>
          <w:bCs/>
          <w:color w:val="auto"/>
          <w:szCs w:val="21"/>
          <w:highlight w:val="none"/>
        </w:rPr>
        <w:t>资格审查</w:t>
      </w:r>
      <w:r>
        <w:rPr>
          <w:rFonts w:hint="eastAsia"/>
          <w:bCs/>
          <w:color w:val="auto"/>
          <w:kern w:val="0"/>
          <w:szCs w:val="21"/>
          <w:highlight w:val="none"/>
        </w:rPr>
        <w:t>是根据法律法规和招标文件的规定，对投标人的基本资格条件、特定资格条件进行审查。</w:t>
      </w:r>
    </w:p>
    <w:p w14:paraId="5D7A22AB">
      <w:pPr>
        <w:spacing w:before="120" w:line="320" w:lineRule="atLeast"/>
        <w:ind w:left="2" w:leftChars="1" w:firstLine="420" w:firstLineChars="200"/>
        <w:outlineLvl w:val="1"/>
        <w:rPr>
          <w:bCs/>
          <w:color w:val="auto"/>
          <w:kern w:val="0"/>
          <w:szCs w:val="21"/>
          <w:highlight w:val="none"/>
        </w:rPr>
      </w:pPr>
      <w:r>
        <w:rPr>
          <w:rFonts w:hint="eastAsia"/>
          <w:bCs/>
          <w:color w:val="auto"/>
          <w:kern w:val="0"/>
          <w:szCs w:val="21"/>
          <w:highlight w:val="none"/>
        </w:rPr>
        <w:t>5.</w:t>
      </w:r>
      <w:r>
        <w:rPr>
          <w:bCs/>
          <w:color w:val="auto"/>
          <w:kern w:val="0"/>
          <w:szCs w:val="21"/>
          <w:highlight w:val="none"/>
        </w:rPr>
        <w:t>2</w:t>
      </w:r>
      <w:r>
        <w:rPr>
          <w:rFonts w:hint="eastAsia"/>
          <w:bCs/>
          <w:color w:val="auto"/>
          <w:kern w:val="0"/>
          <w:szCs w:val="21"/>
          <w:highlight w:val="none"/>
        </w:rPr>
        <w:t>资格审查标准在第四章评审方法及标准中规定，符合资格审查标准要求的投标人即为资格审查合格。</w:t>
      </w:r>
    </w:p>
    <w:p w14:paraId="31154D30">
      <w:pPr>
        <w:spacing w:before="120" w:line="276" w:lineRule="auto"/>
        <w:ind w:left="2" w:leftChars="1" w:firstLine="420" w:firstLineChars="200"/>
        <w:outlineLvl w:val="1"/>
        <w:rPr>
          <w:bCs/>
          <w:color w:val="auto"/>
          <w:kern w:val="0"/>
          <w:szCs w:val="21"/>
          <w:highlight w:val="none"/>
        </w:rPr>
      </w:pPr>
      <w:r>
        <w:rPr>
          <w:bCs/>
          <w:color w:val="auto"/>
          <w:kern w:val="0"/>
          <w:szCs w:val="21"/>
          <w:highlight w:val="none"/>
        </w:rPr>
        <w:t>5.3</w:t>
      </w:r>
      <w:r>
        <w:rPr>
          <w:rFonts w:hint="eastAsia"/>
          <w:bCs/>
          <w:color w:val="auto"/>
          <w:kern w:val="0"/>
          <w:szCs w:val="21"/>
          <w:highlight w:val="none"/>
        </w:rPr>
        <w:t>投标人有下列情形之一的，资格审查不合格，作无效投标处理：</w:t>
      </w:r>
    </w:p>
    <w:p w14:paraId="76BA3FE9">
      <w:pPr>
        <w:spacing w:line="276" w:lineRule="auto"/>
        <w:ind w:firstLine="420" w:firstLineChars="200"/>
        <w:rPr>
          <w:rFonts w:hint="eastAsia" w:hAnsi="宋体"/>
          <w:color w:val="auto"/>
          <w:szCs w:val="21"/>
          <w:highlight w:val="none"/>
        </w:rPr>
      </w:pPr>
      <w:r>
        <w:rPr>
          <w:rFonts w:hint="eastAsia"/>
          <w:color w:val="auto"/>
          <w:szCs w:val="21"/>
          <w:highlight w:val="none"/>
        </w:rPr>
        <w:t>5</w:t>
      </w:r>
      <w:r>
        <w:rPr>
          <w:color w:val="auto"/>
          <w:szCs w:val="21"/>
          <w:highlight w:val="none"/>
        </w:rPr>
        <w:t>.3.1</w:t>
      </w:r>
      <w:r>
        <w:rPr>
          <w:rFonts w:hint="eastAsia"/>
          <w:color w:val="auto"/>
          <w:szCs w:val="21"/>
          <w:highlight w:val="none"/>
        </w:rPr>
        <w:t>不具备招标文件中规定的资格要求或资格条件的； （注：其中信用查询规则见“投标人须知前附表”，广西政府采购云平台已与“信用中国”平台做接口，可直接在线查询）</w:t>
      </w:r>
    </w:p>
    <w:p w14:paraId="42433805">
      <w:pPr>
        <w:spacing w:before="120" w:line="276" w:lineRule="auto"/>
        <w:ind w:firstLine="420" w:firstLineChars="200"/>
        <w:rPr>
          <w:color w:val="auto"/>
          <w:szCs w:val="21"/>
          <w:highlight w:val="none"/>
        </w:rPr>
      </w:pPr>
      <w:r>
        <w:rPr>
          <w:rFonts w:hint="eastAsia"/>
          <w:color w:val="auto"/>
          <w:szCs w:val="21"/>
          <w:highlight w:val="none"/>
        </w:rPr>
        <w:t>5</w:t>
      </w:r>
      <w:r>
        <w:rPr>
          <w:color w:val="auto"/>
          <w:szCs w:val="21"/>
          <w:highlight w:val="none"/>
        </w:rPr>
        <w:t>.3.2</w:t>
      </w:r>
      <w:r>
        <w:rPr>
          <w:rFonts w:hint="eastAsia"/>
          <w:color w:val="auto"/>
          <w:szCs w:val="21"/>
          <w:highlight w:val="none"/>
        </w:rPr>
        <w:t>投标文件缺少任何一项资格证明文件或不符合第四章评审方法及标准中资格审查标准规定的评审内容的；</w:t>
      </w:r>
    </w:p>
    <w:p w14:paraId="48B4A436">
      <w:pPr>
        <w:spacing w:before="120" w:line="276" w:lineRule="auto"/>
        <w:ind w:left="2" w:leftChars="1" w:firstLine="420" w:firstLineChars="200"/>
        <w:outlineLvl w:val="1"/>
        <w:rPr>
          <w:bCs/>
          <w:color w:val="auto"/>
          <w:kern w:val="0"/>
          <w:szCs w:val="21"/>
          <w:highlight w:val="none"/>
        </w:rPr>
      </w:pPr>
      <w:r>
        <w:rPr>
          <w:bCs/>
          <w:color w:val="auto"/>
          <w:kern w:val="0"/>
          <w:szCs w:val="21"/>
          <w:highlight w:val="none"/>
        </w:rPr>
        <w:t>5.4</w:t>
      </w:r>
      <w:r>
        <w:rPr>
          <w:rFonts w:hint="eastAsia"/>
          <w:bCs/>
          <w:color w:val="auto"/>
          <w:kern w:val="0"/>
          <w:szCs w:val="21"/>
          <w:highlight w:val="none"/>
        </w:rPr>
        <w:t>资格审查合格的投标人不足3家的，不得评审。</w:t>
      </w:r>
    </w:p>
    <w:bookmarkEnd w:id="80"/>
    <w:p w14:paraId="108C07D4">
      <w:pPr>
        <w:spacing w:before="120" w:line="320" w:lineRule="atLeast"/>
        <w:ind w:left="2" w:leftChars="1" w:firstLine="422" w:firstLineChars="200"/>
        <w:outlineLvl w:val="1"/>
        <w:rPr>
          <w:b/>
          <w:bCs/>
          <w:color w:val="auto"/>
          <w:kern w:val="0"/>
          <w:szCs w:val="21"/>
          <w:highlight w:val="none"/>
        </w:rPr>
      </w:pPr>
      <w:bookmarkStart w:id="81" w:name="_Hlk93420990"/>
      <w:r>
        <w:rPr>
          <w:b/>
          <w:bCs/>
          <w:color w:val="auto"/>
          <w:kern w:val="0"/>
          <w:szCs w:val="21"/>
          <w:highlight w:val="none"/>
        </w:rPr>
        <w:t>6．评审</w:t>
      </w:r>
      <w:bookmarkEnd w:id="78"/>
      <w:bookmarkEnd w:id="79"/>
    </w:p>
    <w:p w14:paraId="799F34CA">
      <w:pPr>
        <w:spacing w:before="120" w:line="320" w:lineRule="atLeast"/>
        <w:ind w:firstLine="422" w:firstLineChars="200"/>
        <w:outlineLvl w:val="2"/>
        <w:rPr>
          <w:b/>
          <w:bCs/>
          <w:color w:val="auto"/>
          <w:kern w:val="0"/>
          <w:szCs w:val="21"/>
          <w:highlight w:val="none"/>
        </w:rPr>
      </w:pPr>
      <w:r>
        <w:rPr>
          <w:b/>
          <w:bCs/>
          <w:color w:val="auto"/>
          <w:kern w:val="0"/>
          <w:szCs w:val="21"/>
          <w:highlight w:val="none"/>
        </w:rPr>
        <w:t>6.1评审委员会</w:t>
      </w:r>
      <w:r>
        <w:rPr>
          <w:rFonts w:hint="eastAsia"/>
          <w:b/>
          <w:bCs/>
          <w:color w:val="auto"/>
          <w:kern w:val="0"/>
          <w:szCs w:val="21"/>
          <w:highlight w:val="none"/>
        </w:rPr>
        <w:t>及评审原则</w:t>
      </w:r>
    </w:p>
    <w:p w14:paraId="06EFD4CD">
      <w:pPr>
        <w:spacing w:before="120" w:line="320" w:lineRule="atLeast"/>
        <w:ind w:firstLine="420" w:firstLineChars="200"/>
        <w:rPr>
          <w:color w:val="auto"/>
          <w:szCs w:val="21"/>
          <w:highlight w:val="none"/>
        </w:rPr>
      </w:pPr>
      <w:bookmarkStart w:id="82" w:name="_Hlk91249317"/>
      <w:r>
        <w:rPr>
          <w:rFonts w:hint="eastAsia"/>
          <w:color w:val="auto"/>
          <w:szCs w:val="21"/>
          <w:highlight w:val="none"/>
        </w:rPr>
        <w:t>6.1.1</w:t>
      </w:r>
      <w:r>
        <w:rPr>
          <w:color w:val="auto"/>
          <w:szCs w:val="21"/>
          <w:highlight w:val="none"/>
        </w:rPr>
        <w:t>本项目</w:t>
      </w:r>
      <w:r>
        <w:rPr>
          <w:rFonts w:hint="eastAsia"/>
          <w:color w:val="auto"/>
          <w:szCs w:val="21"/>
          <w:highlight w:val="none"/>
        </w:rPr>
        <w:t>评审工作由</w:t>
      </w:r>
      <w:r>
        <w:rPr>
          <w:color w:val="auto"/>
          <w:szCs w:val="21"/>
          <w:highlight w:val="none"/>
        </w:rPr>
        <w:t>评审委员会</w:t>
      </w:r>
      <w:r>
        <w:rPr>
          <w:rFonts w:hint="eastAsia"/>
          <w:color w:val="auto"/>
          <w:szCs w:val="21"/>
          <w:highlight w:val="none"/>
        </w:rPr>
        <w:t>负责，评审委员会</w:t>
      </w:r>
      <w:r>
        <w:rPr>
          <w:color w:val="auto"/>
          <w:szCs w:val="21"/>
          <w:highlight w:val="none"/>
        </w:rPr>
        <w:t>由</w:t>
      </w:r>
      <w:r>
        <w:rPr>
          <w:rFonts w:hint="eastAsia"/>
          <w:color w:val="auto"/>
          <w:szCs w:val="21"/>
          <w:highlight w:val="none"/>
        </w:rPr>
        <w:t>评审专家</w:t>
      </w:r>
      <w:r>
        <w:rPr>
          <w:color w:val="auto"/>
          <w:szCs w:val="21"/>
          <w:highlight w:val="none"/>
        </w:rPr>
        <w:t>和采购人代表</w:t>
      </w:r>
      <w:r>
        <w:rPr>
          <w:rFonts w:hint="eastAsia"/>
          <w:color w:val="auto"/>
          <w:szCs w:val="21"/>
          <w:highlight w:val="none"/>
        </w:rPr>
        <w:t>（如有）</w:t>
      </w:r>
      <w:r>
        <w:rPr>
          <w:color w:val="auto"/>
          <w:szCs w:val="21"/>
          <w:highlight w:val="none"/>
        </w:rPr>
        <w:t>组成。</w:t>
      </w:r>
      <w:r>
        <w:rPr>
          <w:rFonts w:hint="eastAsia"/>
          <w:color w:val="auto"/>
          <w:szCs w:val="21"/>
          <w:highlight w:val="none"/>
        </w:rPr>
        <w:t>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w:t>
      </w:r>
      <w:r>
        <w:rPr>
          <w:color w:val="auto"/>
          <w:szCs w:val="21"/>
          <w:highlight w:val="none"/>
        </w:rPr>
        <w:t>评审专家发现本人与参加采购活动的</w:t>
      </w:r>
      <w:r>
        <w:rPr>
          <w:rFonts w:hint="eastAsia"/>
          <w:color w:val="auto"/>
          <w:szCs w:val="21"/>
          <w:highlight w:val="none"/>
        </w:rPr>
        <w:t>投标人</w:t>
      </w:r>
      <w:r>
        <w:rPr>
          <w:color w:val="auto"/>
          <w:szCs w:val="21"/>
          <w:highlight w:val="none"/>
        </w:rPr>
        <w:t>有利害关系的，应当主动提出回避</w:t>
      </w:r>
      <w:r>
        <w:rPr>
          <w:rFonts w:hint="eastAsia"/>
          <w:color w:val="auto"/>
          <w:szCs w:val="21"/>
          <w:highlight w:val="none"/>
        </w:rPr>
        <w:t>。</w:t>
      </w:r>
    </w:p>
    <w:p w14:paraId="3F05DA0B">
      <w:pPr>
        <w:spacing w:before="120" w:line="320" w:lineRule="atLeast"/>
        <w:ind w:firstLine="420" w:firstLineChars="200"/>
        <w:rPr>
          <w:color w:val="auto"/>
          <w:szCs w:val="21"/>
          <w:highlight w:val="none"/>
        </w:rPr>
      </w:pPr>
      <w:r>
        <w:rPr>
          <w:rFonts w:hint="eastAsia"/>
          <w:color w:val="auto"/>
          <w:szCs w:val="21"/>
          <w:highlight w:val="none"/>
        </w:rPr>
        <w:t>6.1.2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14:paraId="4D49C0A9">
      <w:pPr>
        <w:spacing w:before="120" w:line="320" w:lineRule="atLeast"/>
        <w:ind w:firstLine="420" w:firstLineChars="200"/>
        <w:rPr>
          <w:color w:val="auto"/>
          <w:szCs w:val="21"/>
          <w:highlight w:val="none"/>
        </w:rPr>
      </w:pPr>
      <w:r>
        <w:rPr>
          <w:rFonts w:hint="eastAsia"/>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0C1BD606">
      <w:pPr>
        <w:spacing w:before="120" w:line="320" w:lineRule="atLeast"/>
        <w:ind w:firstLine="420" w:firstLineChars="200"/>
        <w:rPr>
          <w:color w:val="auto"/>
          <w:szCs w:val="21"/>
          <w:highlight w:val="none"/>
        </w:rPr>
      </w:pPr>
      <w:r>
        <w:rPr>
          <w:rFonts w:hint="eastAsia"/>
          <w:color w:val="auto"/>
          <w:szCs w:val="21"/>
          <w:highlight w:val="none"/>
        </w:rPr>
        <w:t>6.1.4本项目评审过程实行全程网上留痕及录音、录像监控，投标人在评审过程中所进行的试图影响评审结果的不公正活动，可能导致其投标按无效处理。</w:t>
      </w:r>
    </w:p>
    <w:bookmarkEnd w:id="82"/>
    <w:p w14:paraId="7EA0CCA9">
      <w:pPr>
        <w:spacing w:before="120" w:line="320" w:lineRule="atLeast"/>
        <w:ind w:firstLine="422" w:firstLineChars="200"/>
        <w:outlineLvl w:val="2"/>
        <w:rPr>
          <w:b/>
          <w:bCs/>
          <w:color w:val="auto"/>
          <w:kern w:val="0"/>
          <w:szCs w:val="21"/>
          <w:highlight w:val="none"/>
        </w:rPr>
      </w:pPr>
      <w:bookmarkStart w:id="83" w:name="_Hlk91324148"/>
      <w:r>
        <w:rPr>
          <w:b/>
          <w:bCs/>
          <w:color w:val="auto"/>
          <w:kern w:val="0"/>
          <w:szCs w:val="21"/>
          <w:highlight w:val="none"/>
        </w:rPr>
        <w:t>6.2</w:t>
      </w:r>
      <w:r>
        <w:rPr>
          <w:rFonts w:hint="eastAsia"/>
          <w:b/>
          <w:bCs/>
          <w:color w:val="auto"/>
          <w:kern w:val="0"/>
          <w:szCs w:val="21"/>
          <w:highlight w:val="none"/>
        </w:rPr>
        <w:t>评审方法及依据</w:t>
      </w:r>
    </w:p>
    <w:p w14:paraId="7E706D3F">
      <w:pPr>
        <w:spacing w:before="120" w:line="320" w:lineRule="atLeast"/>
        <w:ind w:firstLine="420" w:firstLineChars="200"/>
        <w:rPr>
          <w:bCs/>
          <w:color w:val="auto"/>
          <w:kern w:val="0"/>
          <w:szCs w:val="21"/>
          <w:highlight w:val="none"/>
        </w:rPr>
      </w:pPr>
      <w:r>
        <w:rPr>
          <w:bCs/>
          <w:color w:val="auto"/>
          <w:kern w:val="0"/>
          <w:szCs w:val="21"/>
          <w:highlight w:val="none"/>
        </w:rPr>
        <w:t>6.2.1</w:t>
      </w:r>
      <w:r>
        <w:rPr>
          <w:rFonts w:hint="eastAsia"/>
          <w:bCs/>
          <w:color w:val="auto"/>
          <w:kern w:val="0"/>
          <w:szCs w:val="21"/>
          <w:highlight w:val="none"/>
        </w:rPr>
        <w:t>本项目采用第四章评审方法及标准规定的方法进行评审。</w:t>
      </w:r>
    </w:p>
    <w:p w14:paraId="6393EA48">
      <w:pPr>
        <w:suppressAutoHyphens/>
        <w:spacing w:before="120" w:line="320" w:lineRule="atLeast"/>
        <w:ind w:firstLine="420" w:firstLineChars="200"/>
        <w:rPr>
          <w:bCs/>
          <w:color w:val="auto"/>
          <w:kern w:val="0"/>
          <w:szCs w:val="21"/>
          <w:highlight w:val="none"/>
        </w:rPr>
      </w:pPr>
      <w:r>
        <w:rPr>
          <w:bCs/>
          <w:color w:val="auto"/>
          <w:kern w:val="0"/>
          <w:szCs w:val="21"/>
          <w:highlight w:val="none"/>
        </w:rPr>
        <w:t>6.2.2</w:t>
      </w:r>
      <w:r>
        <w:rPr>
          <w:rFonts w:hint="eastAsia"/>
          <w:color w:val="auto"/>
          <w:highlight w:val="none"/>
        </w:rPr>
        <w:t>评审委员会</w:t>
      </w:r>
      <w:r>
        <w:rPr>
          <w:color w:val="auto"/>
          <w:highlight w:val="none"/>
        </w:rPr>
        <w:t>以</w:t>
      </w:r>
      <w:r>
        <w:rPr>
          <w:rFonts w:hint="eastAsia"/>
          <w:color w:val="auto"/>
          <w:highlight w:val="none"/>
        </w:rPr>
        <w:t>招标</w:t>
      </w:r>
      <w:r>
        <w:rPr>
          <w:color w:val="auto"/>
          <w:highlight w:val="none"/>
        </w:rPr>
        <w:t>文件、补充文件、</w:t>
      </w:r>
      <w:r>
        <w:rPr>
          <w:rFonts w:hint="eastAsia"/>
          <w:color w:val="auto"/>
          <w:highlight w:val="none"/>
        </w:rPr>
        <w:t>投标</w:t>
      </w:r>
      <w:r>
        <w:rPr>
          <w:color w:val="auto"/>
          <w:highlight w:val="none"/>
        </w:rPr>
        <w:t>文件、澄清及答复为评审依据</w:t>
      </w:r>
      <w:r>
        <w:rPr>
          <w:rFonts w:hint="eastAsia"/>
          <w:color w:val="auto"/>
          <w:highlight w:val="none"/>
        </w:rPr>
        <w:t>，</w:t>
      </w:r>
      <w:r>
        <w:rPr>
          <w:rFonts w:hint="eastAsia"/>
          <w:bCs/>
          <w:color w:val="auto"/>
          <w:kern w:val="0"/>
          <w:szCs w:val="21"/>
          <w:highlight w:val="none"/>
        </w:rPr>
        <w:t>第四章评审方法及标准没有规定的评审方法、标准及因素，不得作为评审依据。</w:t>
      </w:r>
    </w:p>
    <w:bookmarkEnd w:id="83"/>
    <w:p w14:paraId="7A27CBF3">
      <w:pPr>
        <w:spacing w:before="120" w:line="320" w:lineRule="atLeast"/>
        <w:ind w:firstLine="422" w:firstLineChars="200"/>
        <w:outlineLvl w:val="2"/>
        <w:rPr>
          <w:b/>
          <w:bCs/>
          <w:color w:val="auto"/>
          <w:kern w:val="0"/>
          <w:szCs w:val="21"/>
          <w:highlight w:val="none"/>
        </w:rPr>
      </w:pPr>
      <w:bookmarkStart w:id="84" w:name="_Hlk91324322"/>
      <w:r>
        <w:rPr>
          <w:b/>
          <w:bCs/>
          <w:color w:val="auto"/>
          <w:kern w:val="0"/>
          <w:szCs w:val="21"/>
          <w:highlight w:val="none"/>
        </w:rPr>
        <w:t>6.3评审</w:t>
      </w:r>
      <w:r>
        <w:rPr>
          <w:rFonts w:hint="eastAsia"/>
          <w:b/>
          <w:bCs/>
          <w:color w:val="auto"/>
          <w:kern w:val="0"/>
          <w:szCs w:val="21"/>
          <w:highlight w:val="none"/>
        </w:rPr>
        <w:t>程序</w:t>
      </w:r>
    </w:p>
    <w:p w14:paraId="7F586426">
      <w:pPr>
        <w:spacing w:before="120" w:line="320" w:lineRule="atLeast"/>
        <w:ind w:firstLine="420" w:firstLineChars="200"/>
        <w:rPr>
          <w:color w:val="auto"/>
          <w:highlight w:val="none"/>
        </w:rPr>
      </w:pPr>
      <w:r>
        <w:rPr>
          <w:color w:val="auto"/>
          <w:highlight w:val="none"/>
        </w:rPr>
        <w:t>6.</w:t>
      </w:r>
      <w:bookmarkStart w:id="85" w:name="_Hlk80956880"/>
      <w:bookmarkStart w:id="86" w:name="_Hlk19175507"/>
      <w:r>
        <w:rPr>
          <w:color w:val="auto"/>
          <w:highlight w:val="none"/>
        </w:rPr>
        <w:t>3.1</w:t>
      </w:r>
      <w:r>
        <w:rPr>
          <w:rFonts w:hint="eastAsia"/>
          <w:color w:val="auto"/>
          <w:highlight w:val="none"/>
        </w:rPr>
        <w:t>符合性审查</w:t>
      </w:r>
    </w:p>
    <w:p w14:paraId="309AB3B3">
      <w:pPr>
        <w:spacing w:before="120" w:line="320" w:lineRule="atLeast"/>
        <w:ind w:firstLine="420" w:firstLineChars="200"/>
        <w:rPr>
          <w:color w:val="auto"/>
          <w:szCs w:val="21"/>
          <w:highlight w:val="none"/>
        </w:rPr>
      </w:pPr>
      <w:r>
        <w:rPr>
          <w:bCs/>
          <w:color w:val="auto"/>
          <w:kern w:val="1"/>
          <w:szCs w:val="21"/>
          <w:highlight w:val="none"/>
        </w:rPr>
        <w:t>资格审查结束后，</w:t>
      </w:r>
      <w:r>
        <w:rPr>
          <w:rFonts w:hint="eastAsia" w:hAnsi="宋体"/>
          <w:color w:val="auto"/>
          <w:highlight w:val="none"/>
        </w:rPr>
        <w:t>评审委员会对</w:t>
      </w:r>
      <w:r>
        <w:rPr>
          <w:color w:val="auto"/>
          <w:highlight w:val="none"/>
        </w:rPr>
        <w:t>通过资格审查的</w:t>
      </w:r>
      <w:r>
        <w:rPr>
          <w:rFonts w:hint="eastAsia"/>
          <w:color w:val="auto"/>
          <w:highlight w:val="none"/>
        </w:rPr>
        <w:t>投标人</w:t>
      </w:r>
      <w:r>
        <w:rPr>
          <w:rFonts w:hint="eastAsia" w:hAnsi="宋体"/>
          <w:color w:val="auto"/>
          <w:highlight w:val="none"/>
        </w:rPr>
        <w:t>的投标文件报价、商务资信、技术等方面实质性内容进行符合性审查，</w:t>
      </w:r>
      <w:r>
        <w:rPr>
          <w:rFonts w:hint="eastAsia"/>
          <w:color w:val="auto"/>
          <w:szCs w:val="21"/>
          <w:highlight w:val="none"/>
        </w:rPr>
        <w:t>符合性审查标准</w:t>
      </w:r>
      <w:r>
        <w:rPr>
          <w:color w:val="auto"/>
          <w:szCs w:val="21"/>
          <w:highlight w:val="none"/>
        </w:rPr>
        <w:t>详见第四章评审方法及标准。</w:t>
      </w:r>
    </w:p>
    <w:bookmarkEnd w:id="85"/>
    <w:bookmarkEnd w:id="86"/>
    <w:p w14:paraId="0EE38F7E">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.3.2</w:t>
      </w:r>
      <w:r>
        <w:rPr>
          <w:rFonts w:hAnsi="宋体"/>
          <w:color w:val="auto"/>
          <w:highlight w:val="none"/>
        </w:rPr>
        <w:t>强制性</w:t>
      </w:r>
      <w:r>
        <w:rPr>
          <w:color w:val="auto"/>
          <w:szCs w:val="21"/>
          <w:highlight w:val="none"/>
        </w:rPr>
        <w:t>采购要求</w:t>
      </w:r>
      <w:r>
        <w:rPr>
          <w:rFonts w:hint="eastAsia"/>
          <w:color w:val="auto"/>
          <w:szCs w:val="21"/>
          <w:highlight w:val="none"/>
        </w:rPr>
        <w:t>（仅适用于货物采购项目）</w:t>
      </w:r>
    </w:p>
    <w:p w14:paraId="7B18CF6A">
      <w:pPr>
        <w:suppressAutoHyphens/>
        <w:spacing w:before="120" w:line="320" w:lineRule="atLeast"/>
        <w:ind w:firstLine="422" w:firstLineChars="201"/>
        <w:rPr>
          <w:rFonts w:hint="eastAsia"/>
          <w:color w:val="auto"/>
          <w:szCs w:val="21"/>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投标人的投标货物必须使用政府强制采购的节能产品，否则投标文件作无效处理；属于品目清单内非标注“★”的产品时，应优先采购。</w:t>
      </w:r>
    </w:p>
    <w:p w14:paraId="3B8FAEDB">
      <w:pPr>
        <w:spacing w:before="120" w:line="276" w:lineRule="auto"/>
        <w:ind w:firstLine="420" w:firstLineChars="200"/>
        <w:rPr>
          <w:color w:val="auto"/>
          <w:szCs w:val="21"/>
          <w:highlight w:val="none"/>
        </w:rPr>
      </w:pPr>
      <w:r>
        <w:rPr>
          <w:rFonts w:hint="eastAsia"/>
          <w:color w:val="auto"/>
          <w:szCs w:val="21"/>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0AD28FC0">
      <w:pPr>
        <w:spacing w:before="120" w:line="276" w:lineRule="auto"/>
        <w:ind w:firstLine="420" w:firstLineChars="200"/>
        <w:rPr>
          <w:rFonts w:hint="eastAsia"/>
          <w:color w:val="auto"/>
          <w:szCs w:val="21"/>
          <w:highlight w:val="none"/>
        </w:rPr>
      </w:pPr>
      <w:r>
        <w:rPr>
          <w:rFonts w:hint="eastAsia"/>
          <w:color w:val="auto"/>
          <w:szCs w:val="21"/>
          <w:highlight w:val="none"/>
        </w:rPr>
        <w:t>注：网络安全专用产品在中共中央网络安全和信息化委员会办公室网站上发布的《网络关键设备和网络安全专用产品目录》中查询。</w:t>
      </w:r>
      <w:r>
        <w:rPr>
          <w:color w:val="auto"/>
          <w:szCs w:val="21"/>
          <w:highlight w:val="none"/>
        </w:rPr>
        <w:t xml:space="preserve"> </w:t>
      </w:r>
      <w:r>
        <w:rPr>
          <w:rFonts w:hint="eastAsia"/>
          <w:color w:val="auto"/>
          <w:szCs w:val="21"/>
          <w:highlight w:val="none"/>
          <w:lang w:eastAsia="zh-CN"/>
        </w:rPr>
        <w:t>“</w:t>
      </w:r>
      <w:r>
        <w:rPr>
          <w:rFonts w:hint="eastAsia"/>
          <w:color w:val="auto"/>
          <w:szCs w:val="21"/>
          <w:highlight w:val="none"/>
          <w:lang w:val="en-US" w:eastAsia="zh-CN"/>
        </w:rPr>
        <w:t>网络安全专用产品”内“产品类别”</w:t>
      </w:r>
      <w:r>
        <w:rPr>
          <w:rFonts w:hint="eastAsia"/>
          <w:color w:val="auto"/>
          <w:szCs w:val="21"/>
          <w:highlight w:val="none"/>
        </w:rPr>
        <w:t>共</w:t>
      </w:r>
      <w:r>
        <w:rPr>
          <w:rFonts w:hint="eastAsia"/>
          <w:color w:val="auto"/>
          <w:szCs w:val="21"/>
          <w:highlight w:val="none"/>
          <w:lang w:val="en-US" w:eastAsia="zh-CN"/>
        </w:rPr>
        <w:t>34</w:t>
      </w:r>
      <w:r>
        <w:rPr>
          <w:rFonts w:hint="eastAsia"/>
          <w:color w:val="auto"/>
          <w:szCs w:val="21"/>
          <w:highlight w:val="none"/>
        </w:rPr>
        <w:t>类：数据备份与恢复产品、防火墙、入侵检测系统（I</w:t>
      </w:r>
      <w:r>
        <w:rPr>
          <w:color w:val="auto"/>
          <w:szCs w:val="21"/>
          <w:highlight w:val="none"/>
        </w:rPr>
        <w:t>DS</w:t>
      </w:r>
      <w:r>
        <w:rPr>
          <w:rFonts w:hint="eastAsia"/>
          <w:color w:val="auto"/>
          <w:szCs w:val="21"/>
          <w:highlight w:val="none"/>
        </w:rPr>
        <w:t>）、入侵防御系统（</w:t>
      </w:r>
      <w:r>
        <w:rPr>
          <w:color w:val="auto"/>
          <w:szCs w:val="21"/>
          <w:highlight w:val="none"/>
        </w:rPr>
        <w:t>IPS</w:t>
      </w:r>
      <w:r>
        <w:rPr>
          <w:rFonts w:hint="eastAsia"/>
          <w:color w:val="auto"/>
          <w:szCs w:val="21"/>
          <w:highlight w:val="none"/>
        </w:rPr>
        <w:t>）、</w:t>
      </w:r>
      <w:r>
        <w:rPr>
          <w:rFonts w:hint="eastAsia"/>
          <w:color w:val="auto"/>
          <w:szCs w:val="21"/>
          <w:highlight w:val="none"/>
          <w:lang w:val="en-US" w:eastAsia="zh-CN"/>
        </w:rPr>
        <w:t>网络和终端隔离产品</w:t>
      </w:r>
      <w:r>
        <w:rPr>
          <w:rFonts w:hint="eastAsia"/>
          <w:color w:val="auto"/>
          <w:szCs w:val="21"/>
          <w:highlight w:val="none"/>
        </w:rPr>
        <w:t>、反垃圾邮件产品、网络综合审计</w:t>
      </w:r>
      <w:r>
        <w:rPr>
          <w:rFonts w:hint="eastAsia"/>
          <w:color w:val="auto"/>
          <w:szCs w:val="21"/>
          <w:highlight w:val="none"/>
          <w:lang w:val="en-US" w:eastAsia="zh-CN"/>
        </w:rPr>
        <w:t>产品</w:t>
      </w:r>
      <w:r>
        <w:rPr>
          <w:rFonts w:hint="eastAsia"/>
          <w:color w:val="auto"/>
          <w:szCs w:val="21"/>
          <w:highlight w:val="none"/>
        </w:rPr>
        <w:t>、网络脆弱性扫描产品、安全数据库系统、网站恢复产品</w:t>
      </w:r>
      <w:r>
        <w:rPr>
          <w:rFonts w:hint="eastAsia"/>
          <w:color w:val="auto"/>
          <w:szCs w:val="21"/>
          <w:highlight w:val="none"/>
          <w:lang w:eastAsia="zh-CN"/>
        </w:rPr>
        <w:t>、</w:t>
      </w:r>
      <w:r>
        <w:rPr>
          <w:rFonts w:hint="eastAsia"/>
          <w:color w:val="auto"/>
          <w:szCs w:val="21"/>
          <w:highlight w:val="none"/>
          <w:lang w:val="en-US" w:eastAsia="zh-CN"/>
        </w:rPr>
        <w:t>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6E776D8B">
      <w:pPr>
        <w:spacing w:before="120" w:line="320" w:lineRule="atLeast"/>
        <w:ind w:firstLine="420" w:firstLineChars="200"/>
        <w:rPr>
          <w:color w:val="auto"/>
          <w:highlight w:val="none"/>
        </w:rPr>
      </w:pPr>
      <w:bookmarkStart w:id="87" w:name="_Hlk19176155"/>
      <w:r>
        <w:rPr>
          <w:color w:val="auto"/>
          <w:highlight w:val="none"/>
        </w:rPr>
        <w:t>6.3.3澄清、说明或补正</w:t>
      </w:r>
    </w:p>
    <w:p w14:paraId="1F97CA81">
      <w:pPr>
        <w:spacing w:before="120" w:line="320" w:lineRule="atLeast"/>
        <w:ind w:firstLine="420" w:firstLineChars="200"/>
        <w:rPr>
          <w:color w:val="auto"/>
          <w:highlight w:val="none"/>
        </w:rPr>
      </w:pPr>
      <w:r>
        <w:rPr>
          <w:rFonts w:hint="eastAsia"/>
          <w:color w:val="auto"/>
          <w:highlight w:val="none"/>
        </w:rPr>
        <w:t>（1）对投标文件中含义不明确、同类问题表述不一致或者有明显文字和计算错误的内容，评审委员会应在</w:t>
      </w:r>
      <w:r>
        <w:rPr>
          <w:rFonts w:hint="eastAsia"/>
          <w:color w:val="auto"/>
          <w:szCs w:val="21"/>
          <w:highlight w:val="none"/>
        </w:rPr>
        <w:t>广西政府采购云平台</w:t>
      </w:r>
      <w:r>
        <w:rPr>
          <w:rFonts w:hint="eastAsia"/>
          <w:color w:val="auto"/>
          <w:highlight w:val="none"/>
        </w:rPr>
        <w:t>发布电子澄清函，要求投标人在平台设置的时间内作出必要的澄清、说明或者补正。投标人在</w:t>
      </w:r>
      <w:r>
        <w:rPr>
          <w:rFonts w:hint="eastAsia"/>
          <w:color w:val="auto"/>
          <w:szCs w:val="21"/>
          <w:highlight w:val="none"/>
        </w:rPr>
        <w:t>广西政府采购云平台</w:t>
      </w:r>
      <w:r>
        <w:rPr>
          <w:rFonts w:hint="eastAsia"/>
          <w:color w:val="auto"/>
          <w:highlight w:val="none"/>
        </w:rPr>
        <w:t>接收到电子澄清函后根据澄清函内容直接在线编辑或上传PDF格式回函，电子澄清答复函使用CA证书加盖单位电子签章后提交至评审委员会。投标人的澄清、说明或者补正不得超出投标文件的范围或者改变投标文件的实质性内容。投标人未在规定时间内进行澄清、说明或者补正的，按无效投标处理。</w:t>
      </w:r>
    </w:p>
    <w:p w14:paraId="2123D512">
      <w:pPr>
        <w:spacing w:before="120" w:line="320" w:lineRule="atLeast"/>
        <w:ind w:firstLine="420" w:firstLineChars="200"/>
        <w:rPr>
          <w:color w:val="auto"/>
          <w:highlight w:val="none"/>
        </w:rPr>
      </w:pPr>
      <w:r>
        <w:rPr>
          <w:rFonts w:hint="eastAsia"/>
          <w:color w:val="auto"/>
          <w:highlight w:val="none"/>
        </w:rPr>
        <w:t>（2）异常情况处理：如遇无法正常使用线上发送澄清函的情况，将以书面形式执行。评审委员会以书面形式要求投标人在规定时间内作出必要的澄清、说明或者补正。投标人的澄清、说明或者补正必须采用书面形式，并加盖公章或者由法定代表人或者其授权的代表签字。</w:t>
      </w:r>
    </w:p>
    <w:p w14:paraId="650E22B7">
      <w:pPr>
        <w:spacing w:before="120" w:line="320" w:lineRule="atLeast"/>
        <w:ind w:firstLine="420" w:firstLineChars="200"/>
        <w:rPr>
          <w:color w:val="auto"/>
          <w:highlight w:val="none"/>
        </w:rPr>
      </w:pPr>
      <w:r>
        <w:rPr>
          <w:color w:val="auto"/>
          <w:highlight w:val="none"/>
        </w:rPr>
        <w:t>6.3.4</w:t>
      </w:r>
      <w:r>
        <w:rPr>
          <w:rFonts w:hint="eastAsia"/>
          <w:color w:val="auto"/>
          <w:highlight w:val="none"/>
        </w:rPr>
        <w:t>报价</w:t>
      </w:r>
      <w:r>
        <w:rPr>
          <w:color w:val="auto"/>
          <w:highlight w:val="none"/>
        </w:rPr>
        <w:t>修正</w:t>
      </w:r>
    </w:p>
    <w:p w14:paraId="769B260D">
      <w:pPr>
        <w:spacing w:before="120" w:line="320" w:lineRule="atLeast"/>
        <w:ind w:firstLine="420" w:firstLineChars="200"/>
        <w:rPr>
          <w:color w:val="auto"/>
          <w:highlight w:val="none"/>
        </w:rPr>
      </w:pPr>
      <w:r>
        <w:rPr>
          <w:rFonts w:hint="eastAsia"/>
          <w:color w:val="auto"/>
          <w:highlight w:val="none"/>
        </w:rPr>
        <w:t>（1）报价出现前后不一致的，按照下列规定修正：</w:t>
      </w:r>
    </w:p>
    <w:p w14:paraId="2694F33A">
      <w:pPr>
        <w:spacing w:before="120" w:line="320" w:lineRule="atLeast"/>
        <w:ind w:firstLine="420" w:firstLineChars="200"/>
        <w:rPr>
          <w:color w:val="auto"/>
          <w:szCs w:val="21"/>
          <w:highlight w:val="none"/>
        </w:rPr>
      </w:pPr>
      <w:r>
        <w:rPr>
          <w:rFonts w:hint="eastAsia" w:ascii="宋体" w:hAnsi="宋体"/>
          <w:color w:val="auto"/>
          <w:szCs w:val="21"/>
          <w:highlight w:val="none"/>
        </w:rPr>
        <w:t>①</w:t>
      </w:r>
      <w:r>
        <w:rPr>
          <w:color w:val="auto"/>
          <w:szCs w:val="21"/>
          <w:highlight w:val="none"/>
        </w:rPr>
        <w:t>投标文件中开标一览表（报价表）内容与投标文件中相应内容不一致的，以开标一览表（报价表）为准；</w:t>
      </w:r>
    </w:p>
    <w:p w14:paraId="1BA28B38">
      <w:pPr>
        <w:spacing w:before="120" w:line="320" w:lineRule="atLeast"/>
        <w:ind w:firstLine="420" w:firstLineChars="200"/>
        <w:rPr>
          <w:color w:val="auto"/>
          <w:szCs w:val="21"/>
          <w:highlight w:val="none"/>
        </w:rPr>
      </w:pPr>
      <w:r>
        <w:rPr>
          <w:rFonts w:ascii="宋体" w:hAnsi="宋体"/>
          <w:color w:val="auto"/>
          <w:szCs w:val="21"/>
          <w:highlight w:val="none"/>
        </w:rPr>
        <w:t>②</w:t>
      </w:r>
      <w:r>
        <w:rPr>
          <w:color w:val="auto"/>
          <w:szCs w:val="21"/>
          <w:highlight w:val="none"/>
        </w:rPr>
        <w:t>大写金额和小写金额不一致的，以大写金额为准；</w:t>
      </w:r>
    </w:p>
    <w:p w14:paraId="5BAC777B">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单价金额小数点或者百分比有明显错位的，以开标一览表的总价为准，并修改单价；</w:t>
      </w:r>
    </w:p>
    <w:p w14:paraId="100F802B">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总价金额与按单价汇总金额不一致的，以单价金额计算结果为准</w:t>
      </w:r>
      <w:r>
        <w:rPr>
          <w:rFonts w:hint="eastAsia"/>
          <w:color w:val="auto"/>
          <w:szCs w:val="21"/>
          <w:highlight w:val="none"/>
        </w:rPr>
        <w:t>。</w:t>
      </w:r>
    </w:p>
    <w:p w14:paraId="70AF6416">
      <w:pPr>
        <w:spacing w:before="120" w:line="320" w:lineRule="atLeast"/>
        <w:ind w:firstLine="420" w:firstLineChars="200"/>
        <w:rPr>
          <w:color w:val="auto"/>
          <w:szCs w:val="21"/>
          <w:highlight w:val="none"/>
        </w:rPr>
      </w:pPr>
      <w:r>
        <w:rPr>
          <w:rFonts w:hint="eastAsia"/>
          <w:color w:val="auto"/>
          <w:szCs w:val="21"/>
          <w:highlight w:val="none"/>
        </w:rPr>
        <w:t>同时出现两种以上不一致的，按照上述</w:t>
      </w:r>
      <w:r>
        <w:rPr>
          <w:rFonts w:hint="eastAsia" w:ascii="宋体" w:hAnsi="宋体"/>
          <w:color w:val="auto"/>
          <w:szCs w:val="21"/>
          <w:highlight w:val="none"/>
        </w:rPr>
        <w:t>①-</w:t>
      </w:r>
      <w:r>
        <w:rPr>
          <w:rFonts w:hint="eastAsia"/>
          <w:color w:val="auto"/>
          <w:szCs w:val="21"/>
          <w:highlight w:val="none"/>
        </w:rPr>
        <w:t>④顺序修正。修正后的报价按照上述“</w:t>
      </w:r>
      <w:r>
        <w:rPr>
          <w:color w:val="auto"/>
          <w:szCs w:val="21"/>
          <w:highlight w:val="none"/>
        </w:rPr>
        <w:t>6.3.3</w:t>
      </w:r>
      <w:r>
        <w:rPr>
          <w:rFonts w:hint="eastAsia"/>
          <w:color w:val="auto"/>
          <w:szCs w:val="21"/>
          <w:highlight w:val="none"/>
        </w:rPr>
        <w:t>澄清、说明或补正”的规定经投标人确认后产生约束力，投标人不确认的，其投标无效。</w:t>
      </w:r>
    </w:p>
    <w:p w14:paraId="7DC57286">
      <w:pPr>
        <w:spacing w:before="120" w:line="320" w:lineRule="atLeast"/>
        <w:ind w:firstLine="420" w:firstLineChars="200"/>
        <w:rPr>
          <w:color w:val="auto"/>
          <w:szCs w:val="21"/>
          <w:highlight w:val="none"/>
        </w:rPr>
      </w:pPr>
      <w:r>
        <w:rPr>
          <w:rFonts w:hint="eastAsia"/>
          <w:color w:val="auto"/>
          <w:szCs w:val="21"/>
          <w:highlight w:val="none"/>
        </w:rPr>
        <w:t>处理。</w:t>
      </w:r>
    </w:p>
    <w:p w14:paraId="530F691C">
      <w:pPr>
        <w:spacing w:before="120" w:line="320" w:lineRule="atLeast"/>
        <w:ind w:firstLine="420" w:firstLineChars="200"/>
        <w:rPr>
          <w:color w:val="auto"/>
          <w:szCs w:val="21"/>
          <w:highlight w:val="none"/>
        </w:rPr>
      </w:pPr>
      <w:r>
        <w:rPr>
          <w:rFonts w:hint="eastAsia"/>
          <w:color w:val="auto"/>
          <w:szCs w:val="21"/>
          <w:highlight w:val="none"/>
        </w:rPr>
        <w:t>（</w:t>
      </w:r>
      <w:r>
        <w:rPr>
          <w:rFonts w:hint="eastAsia"/>
          <w:color w:val="auto"/>
          <w:szCs w:val="21"/>
          <w:highlight w:val="none"/>
          <w:lang w:val="en-US" w:eastAsia="zh-CN"/>
        </w:rPr>
        <w:t>2</w:t>
      </w:r>
      <w:r>
        <w:rPr>
          <w:rFonts w:hint="eastAsia"/>
          <w:color w:val="auto"/>
          <w:szCs w:val="21"/>
          <w:highlight w:val="none"/>
        </w:rPr>
        <w:t>）经投标人确认修正后的报价若超过采购预算金额或者最高限价，其投标文件作无效投标处理。</w:t>
      </w:r>
    </w:p>
    <w:p w14:paraId="1F9FE683">
      <w:pPr>
        <w:spacing w:before="120" w:line="320" w:lineRule="atLeast"/>
        <w:ind w:firstLine="420" w:firstLineChars="200"/>
        <w:rPr>
          <w:rFonts w:hint="eastAsia"/>
          <w:color w:val="auto"/>
          <w:szCs w:val="21"/>
          <w:highlight w:val="none"/>
        </w:rPr>
      </w:pPr>
      <w:r>
        <w:rPr>
          <w:rFonts w:hint="eastAsia"/>
          <w:color w:val="auto"/>
          <w:szCs w:val="21"/>
          <w:highlight w:val="none"/>
        </w:rPr>
        <w:t>（</w:t>
      </w:r>
      <w:r>
        <w:rPr>
          <w:rFonts w:hint="eastAsia"/>
          <w:color w:val="auto"/>
          <w:szCs w:val="21"/>
          <w:highlight w:val="none"/>
          <w:lang w:val="en-US" w:eastAsia="zh-CN"/>
        </w:rPr>
        <w:t>3</w:t>
      </w:r>
      <w:r>
        <w:rPr>
          <w:rFonts w:hint="eastAsia"/>
          <w:color w:val="auto"/>
          <w:szCs w:val="21"/>
          <w:highlight w:val="none"/>
        </w:rPr>
        <w:t>）经投标人确认修正后的报价作为签订合同的依据，并以此报价计算价格分。</w:t>
      </w:r>
    </w:p>
    <w:p w14:paraId="5E7F82FF">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6.3.5异常低价审查</w:t>
      </w:r>
    </w:p>
    <w:p w14:paraId="1565AC64">
      <w:pPr>
        <w:spacing w:before="120" w:line="320" w:lineRule="atLeast"/>
        <w:ind w:firstLine="420" w:firstLineChars="200"/>
        <w:rPr>
          <w:color w:val="auto"/>
          <w:szCs w:val="21"/>
          <w:highlight w:val="none"/>
        </w:rPr>
      </w:pPr>
      <w:r>
        <w:rPr>
          <w:color w:val="auto"/>
          <w:szCs w:val="21"/>
          <w:highlight w:val="none"/>
        </w:rPr>
        <w:t>本项目</w:t>
      </w:r>
      <w:r>
        <w:rPr>
          <w:rFonts w:hint="eastAsia"/>
          <w:color w:val="auto"/>
          <w:szCs w:val="21"/>
          <w:highlight w:val="none"/>
          <w:lang w:val="en-US" w:eastAsia="zh-CN"/>
        </w:rPr>
        <w:t>异常低价审查情形见</w:t>
      </w:r>
      <w:r>
        <w:rPr>
          <w:color w:val="auto"/>
          <w:szCs w:val="21"/>
          <w:highlight w:val="none"/>
        </w:rPr>
        <w:t>“</w:t>
      </w:r>
      <w:r>
        <w:rPr>
          <w:rFonts w:hint="eastAsia"/>
          <w:color w:val="auto"/>
          <w:szCs w:val="21"/>
          <w:highlight w:val="none"/>
          <w:lang w:eastAsia="zh-CN"/>
        </w:rPr>
        <w:t>投标人须知</w:t>
      </w:r>
      <w:r>
        <w:rPr>
          <w:color w:val="auto"/>
          <w:szCs w:val="21"/>
          <w:highlight w:val="none"/>
        </w:rPr>
        <w:t>前附表”规定。</w:t>
      </w:r>
    </w:p>
    <w:p w14:paraId="6BFF4C10">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评审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项情形，投标人已随投标（响应）文件一并提交相关书面说明及必要的证明材料的，在评审现场可不再重复提交。</w:t>
      </w:r>
    </w:p>
    <w:p w14:paraId="4BF3AF65">
      <w:pPr>
        <w:numPr>
          <w:ilvl w:val="0"/>
          <w:numId w:val="0"/>
        </w:numPr>
        <w:spacing w:before="120" w:line="320" w:lineRule="atLeast"/>
        <w:ind w:firstLine="420" w:firstLineChars="200"/>
        <w:rPr>
          <w:rFonts w:hint="eastAsia"/>
          <w:strike/>
          <w:dstrike w:val="0"/>
          <w:color w:val="auto"/>
          <w:szCs w:val="21"/>
          <w:highlight w:val="none"/>
          <w:lang w:val="en-US" w:eastAsia="zh-CN"/>
        </w:rPr>
      </w:pPr>
      <w:r>
        <w:rPr>
          <w:rFonts w:hint="eastAsia"/>
          <w:color w:val="auto"/>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w:t>
      </w:r>
      <w:r>
        <w:rPr>
          <w:rFonts w:hint="eastAsia"/>
          <w:strike w:val="0"/>
          <w:dstrike w:val="0"/>
          <w:color w:val="auto"/>
          <w:szCs w:val="21"/>
          <w:highlight w:val="none"/>
          <w:lang w:val="en-US" w:eastAsia="zh-CN"/>
        </w:rPr>
        <w:t>投标（响应）投标人不能提供书面说明、证明材料，或者提供的书面说明、证明材料不能证明其报价合理性的，评审委员会应当将其作为无效投标处理。</w:t>
      </w:r>
    </w:p>
    <w:p w14:paraId="1D07FE73">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159C602">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异常低价投标审查的启动原因、审查意见和审查结果应当在评审报告中记录，并随投标人提供的相关书面说明及证明材料，以及评审委员会有关互联网浏览、查询历史一并归档。</w:t>
      </w:r>
    </w:p>
    <w:p w14:paraId="1A1F95F7">
      <w:pPr>
        <w:numPr>
          <w:ilvl w:val="0"/>
          <w:numId w:val="0"/>
        </w:numPr>
        <w:spacing w:before="120" w:line="320" w:lineRule="atLeast"/>
        <w:ind w:firstLine="420" w:firstLineChars="200"/>
        <w:rPr>
          <w:rFonts w:hint="eastAsia"/>
          <w:color w:val="auto"/>
          <w:szCs w:val="21"/>
          <w:highlight w:val="none"/>
        </w:rPr>
      </w:pPr>
      <w:r>
        <w:rPr>
          <w:rFonts w:hint="eastAsia"/>
          <w:color w:val="auto"/>
          <w:szCs w:val="21"/>
          <w:highlight w:val="none"/>
        </w:rPr>
        <w:t>书面证明应当按照上述“</w:t>
      </w:r>
      <w:r>
        <w:rPr>
          <w:color w:val="auto"/>
          <w:szCs w:val="21"/>
          <w:highlight w:val="none"/>
        </w:rPr>
        <w:t>6.3.3</w:t>
      </w:r>
      <w:r>
        <w:rPr>
          <w:rFonts w:hint="eastAsia"/>
          <w:color w:val="auto"/>
          <w:szCs w:val="21"/>
          <w:highlight w:val="none"/>
        </w:rPr>
        <w:t>澄清、说明或补正”的规定提交</w:t>
      </w:r>
      <w:r>
        <w:rPr>
          <w:rFonts w:hint="eastAsia"/>
          <w:color w:val="auto"/>
          <w:szCs w:val="21"/>
          <w:highlight w:val="none"/>
          <w:lang w:val="en-US" w:eastAsia="zh-CN"/>
        </w:rPr>
        <w:t>。</w:t>
      </w:r>
    </w:p>
    <w:p w14:paraId="598D902C">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w:t>
      </w:r>
      <w:r>
        <w:rPr>
          <w:rFonts w:hint="eastAsia"/>
          <w:color w:val="auto"/>
          <w:szCs w:val="21"/>
          <w:highlight w:val="none"/>
          <w:lang w:val="en-US" w:eastAsia="zh-CN"/>
        </w:rPr>
        <w:t>6</w:t>
      </w:r>
      <w:r>
        <w:rPr>
          <w:rFonts w:hint="eastAsia"/>
          <w:color w:val="auto"/>
          <w:szCs w:val="21"/>
          <w:highlight w:val="none"/>
        </w:rPr>
        <w:t>相同品牌认定（仅适用于货物采购项目）</w:t>
      </w:r>
    </w:p>
    <w:p w14:paraId="578DFEA1">
      <w:pPr>
        <w:spacing w:before="120" w:line="320" w:lineRule="atLeast"/>
        <w:ind w:firstLine="420" w:firstLineChars="200"/>
        <w:rPr>
          <w:color w:val="auto"/>
          <w:szCs w:val="21"/>
          <w:highlight w:val="none"/>
        </w:rPr>
      </w:pPr>
      <w:r>
        <w:rPr>
          <w:rFonts w:hint="eastAsia"/>
          <w:color w:val="auto"/>
          <w:szCs w:val="21"/>
          <w:highlight w:val="none"/>
        </w:rPr>
        <w:t>（1）单一产品采购项目，</w:t>
      </w:r>
      <w:r>
        <w:rPr>
          <w:color w:val="auto"/>
          <w:highlight w:val="none"/>
        </w:rPr>
        <w:t>不同</w:t>
      </w:r>
      <w:r>
        <w:rPr>
          <w:rFonts w:hint="eastAsia"/>
          <w:color w:val="auto"/>
          <w:highlight w:val="none"/>
        </w:rPr>
        <w:t>投标人</w:t>
      </w:r>
      <w:r>
        <w:rPr>
          <w:color w:val="auto"/>
          <w:highlight w:val="none"/>
        </w:rPr>
        <w:t>提供的产品品牌相同时，</w:t>
      </w:r>
      <w:r>
        <w:rPr>
          <w:rFonts w:hint="eastAsia"/>
          <w:color w:val="auto"/>
          <w:highlight w:val="none"/>
        </w:rPr>
        <w:t>按以下</w:t>
      </w:r>
      <w:r>
        <w:rPr>
          <w:color w:val="auto"/>
          <w:highlight w:val="none"/>
        </w:rPr>
        <w:t>规定</w:t>
      </w:r>
      <w:r>
        <w:rPr>
          <w:rFonts w:hint="eastAsia"/>
          <w:color w:val="auto"/>
          <w:highlight w:val="none"/>
        </w:rPr>
        <w:t>确定</w:t>
      </w:r>
      <w:r>
        <w:rPr>
          <w:bCs/>
          <w:color w:val="auto"/>
          <w:kern w:val="0"/>
          <w:szCs w:val="21"/>
          <w:highlight w:val="none"/>
        </w:rPr>
        <w:t>相同品牌的投标有效性</w:t>
      </w:r>
      <w:r>
        <w:rPr>
          <w:color w:val="auto"/>
          <w:highlight w:val="none"/>
        </w:rPr>
        <w:t>。</w:t>
      </w:r>
    </w:p>
    <w:bookmarkEnd w:id="87"/>
    <w:p w14:paraId="7142F1A8">
      <w:pPr>
        <w:spacing w:before="120" w:line="320" w:lineRule="atLeast"/>
        <w:ind w:firstLine="420" w:firstLineChars="200"/>
        <w:rPr>
          <w:color w:val="auto"/>
          <w:szCs w:val="21"/>
          <w:highlight w:val="none"/>
        </w:rPr>
      </w:pPr>
      <w:r>
        <w:rPr>
          <w:rFonts w:hint="eastAsia" w:ascii="宋体" w:hAnsi="宋体"/>
          <w:color w:val="auto"/>
          <w:szCs w:val="21"/>
          <w:highlight w:val="none"/>
        </w:rPr>
        <w:t>①采</w:t>
      </w:r>
      <w:r>
        <w:rPr>
          <w:rFonts w:hint="eastAsia"/>
          <w:color w:val="auto"/>
          <w:szCs w:val="21"/>
          <w:highlight w:val="none"/>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52A4D600">
      <w:pPr>
        <w:spacing w:before="120" w:line="320" w:lineRule="atLeast"/>
        <w:ind w:firstLine="420" w:firstLineChars="200"/>
        <w:rPr>
          <w:color w:val="auto"/>
          <w:szCs w:val="21"/>
          <w:highlight w:val="none"/>
        </w:rPr>
      </w:pPr>
      <w:r>
        <w:rPr>
          <w:rFonts w:ascii="宋体" w:hAnsi="宋体"/>
          <w:color w:val="auto"/>
          <w:szCs w:val="21"/>
          <w:highlight w:val="none"/>
        </w:rPr>
        <w:t>②</w:t>
      </w:r>
      <w:r>
        <w:rPr>
          <w:rFonts w:hint="eastAsia"/>
          <w:color w:val="auto"/>
          <w:szCs w:val="21"/>
          <w:highlight w:val="none"/>
        </w:rPr>
        <w:t>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3CBEE815">
      <w:pPr>
        <w:spacing w:before="120" w:line="320" w:lineRule="atLeast"/>
        <w:ind w:firstLine="420" w:firstLineChars="200"/>
        <w:rPr>
          <w:color w:val="auto"/>
          <w:highlight w:val="none"/>
        </w:rPr>
      </w:pPr>
      <w:r>
        <w:rPr>
          <w:rFonts w:hint="eastAsia"/>
          <w:color w:val="auto"/>
          <w:szCs w:val="21"/>
          <w:highlight w:val="none"/>
        </w:rPr>
        <w:t>（2）非单一产品采购项目，</w:t>
      </w:r>
      <w:r>
        <w:rPr>
          <w:color w:val="auto"/>
          <w:szCs w:val="21"/>
          <w:highlight w:val="none"/>
        </w:rPr>
        <w:t>采购人应当确定核心产品，并在招标文件中载明。</w:t>
      </w:r>
      <w:r>
        <w:rPr>
          <w:rFonts w:hint="eastAsia"/>
          <w:color w:val="auto"/>
          <w:szCs w:val="21"/>
          <w:highlight w:val="none"/>
        </w:rPr>
        <w:t>不同投标人</w:t>
      </w:r>
      <w:r>
        <w:rPr>
          <w:color w:val="auto"/>
          <w:szCs w:val="21"/>
          <w:highlight w:val="none"/>
        </w:rPr>
        <w:t>提供的核心产品品牌相同的，按上述规定处理。核心产品</w:t>
      </w:r>
      <w:r>
        <w:rPr>
          <w:rFonts w:hint="eastAsia"/>
          <w:color w:val="auto"/>
          <w:szCs w:val="21"/>
          <w:highlight w:val="none"/>
        </w:rPr>
        <w:t>在第二章</w:t>
      </w:r>
      <w:r>
        <w:rPr>
          <w:color w:val="auto"/>
          <w:szCs w:val="21"/>
          <w:highlight w:val="none"/>
        </w:rPr>
        <w:t>采购需求规定。</w:t>
      </w:r>
    </w:p>
    <w:p w14:paraId="4D226A79">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lang w:val="en-US" w:eastAsia="zh-CN"/>
        </w:rPr>
        <w:t>7</w:t>
      </w:r>
      <w:r>
        <w:rPr>
          <w:color w:val="auto"/>
          <w:szCs w:val="21"/>
          <w:highlight w:val="none"/>
        </w:rPr>
        <w:t>串通投标认定</w:t>
      </w:r>
    </w:p>
    <w:p w14:paraId="627F1F58">
      <w:pPr>
        <w:spacing w:before="120" w:line="320" w:lineRule="atLeast"/>
        <w:ind w:firstLine="420" w:firstLineChars="200"/>
        <w:rPr>
          <w:color w:val="auto"/>
          <w:highlight w:val="none"/>
        </w:rPr>
      </w:pPr>
      <w:r>
        <w:rPr>
          <w:color w:val="auto"/>
          <w:szCs w:val="21"/>
          <w:highlight w:val="none"/>
        </w:rPr>
        <w:t>评审委员会须根据</w:t>
      </w:r>
      <w:r>
        <w:rPr>
          <w:rFonts w:hint="eastAsia"/>
          <w:color w:val="auto"/>
          <w:szCs w:val="21"/>
          <w:highlight w:val="none"/>
        </w:rPr>
        <w:t>以下</w:t>
      </w:r>
      <w:r>
        <w:rPr>
          <w:color w:val="auto"/>
          <w:szCs w:val="21"/>
          <w:highlight w:val="none"/>
        </w:rPr>
        <w:t>规定</w:t>
      </w:r>
      <w:r>
        <w:rPr>
          <w:rFonts w:hint="eastAsia"/>
          <w:color w:val="auto"/>
          <w:szCs w:val="21"/>
          <w:highlight w:val="none"/>
        </w:rPr>
        <w:t>认定投标人</w:t>
      </w:r>
      <w:r>
        <w:rPr>
          <w:color w:val="auto"/>
          <w:szCs w:val="21"/>
          <w:highlight w:val="none"/>
        </w:rPr>
        <w:t>是否有</w:t>
      </w:r>
      <w:r>
        <w:rPr>
          <w:bCs/>
          <w:color w:val="auto"/>
          <w:kern w:val="0"/>
          <w:szCs w:val="21"/>
          <w:highlight w:val="none"/>
        </w:rPr>
        <w:t>串通投标的行为</w:t>
      </w:r>
      <w:r>
        <w:rPr>
          <w:color w:val="auto"/>
          <w:highlight w:val="none"/>
        </w:rPr>
        <w:t>。</w:t>
      </w:r>
    </w:p>
    <w:p w14:paraId="573FEB8A">
      <w:pPr>
        <w:spacing w:before="120" w:line="320" w:lineRule="atLeast"/>
        <w:ind w:firstLine="420" w:firstLineChars="200"/>
        <w:rPr>
          <w:color w:val="auto"/>
          <w:szCs w:val="21"/>
          <w:highlight w:val="none"/>
        </w:rPr>
      </w:pPr>
      <w:bookmarkStart w:id="88" w:name="_Hlk19122026"/>
      <w:r>
        <w:rPr>
          <w:rFonts w:hint="eastAsia"/>
          <w:color w:val="auto"/>
          <w:szCs w:val="21"/>
          <w:highlight w:val="none"/>
        </w:rPr>
        <w:t>（1）</w:t>
      </w:r>
      <w:bookmarkEnd w:id="88"/>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规定，出现下述情况的，相关</w:t>
      </w:r>
      <w:r>
        <w:rPr>
          <w:rFonts w:hint="eastAsia"/>
          <w:color w:val="auto"/>
          <w:szCs w:val="21"/>
          <w:highlight w:val="none"/>
          <w:lang w:eastAsia="zh-CN"/>
        </w:rPr>
        <w:t>投标人</w:t>
      </w:r>
      <w:r>
        <w:rPr>
          <w:color w:val="auto"/>
          <w:szCs w:val="21"/>
          <w:highlight w:val="none"/>
        </w:rPr>
        <w:t>的投标作无效投标处理。</w:t>
      </w:r>
    </w:p>
    <w:p w14:paraId="25FF4291">
      <w:pPr>
        <w:spacing w:before="120" w:line="320" w:lineRule="atLeast"/>
        <w:ind w:firstLine="420" w:firstLineChars="200"/>
        <w:rPr>
          <w:color w:val="auto"/>
          <w:szCs w:val="21"/>
          <w:highlight w:val="none"/>
        </w:rPr>
      </w:pPr>
      <w:bookmarkStart w:id="89" w:name="_Hlk19122039"/>
      <w:r>
        <w:rPr>
          <w:rFonts w:hint="eastAsia" w:ascii="宋体" w:hAnsi="宋体" w:cs="宋体"/>
          <w:color w:val="auto"/>
          <w:szCs w:val="21"/>
          <w:highlight w:val="none"/>
        </w:rPr>
        <w:t>①</w:t>
      </w:r>
      <w:r>
        <w:rPr>
          <w:color w:val="auto"/>
          <w:szCs w:val="21"/>
          <w:highlight w:val="none"/>
        </w:rPr>
        <w:t>单位负责人为同一人或者存在直接控股、管理关系，参加同一合同项下政府采购活动的不同</w:t>
      </w:r>
      <w:r>
        <w:rPr>
          <w:rFonts w:hint="eastAsia"/>
          <w:color w:val="auto"/>
          <w:szCs w:val="21"/>
          <w:highlight w:val="none"/>
          <w:lang w:eastAsia="zh-CN"/>
        </w:rPr>
        <w:t>投标人</w:t>
      </w:r>
      <w:r>
        <w:rPr>
          <w:color w:val="auto"/>
          <w:szCs w:val="21"/>
          <w:highlight w:val="none"/>
        </w:rPr>
        <w:t>。</w:t>
      </w:r>
    </w:p>
    <w:p w14:paraId="7881943B">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授权给</w:t>
      </w:r>
      <w:r>
        <w:rPr>
          <w:rFonts w:hint="eastAsia"/>
          <w:color w:val="auto"/>
          <w:szCs w:val="21"/>
          <w:highlight w:val="none"/>
          <w:lang w:eastAsia="zh-CN"/>
        </w:rPr>
        <w:t>投标人</w:t>
      </w:r>
      <w:r>
        <w:rPr>
          <w:color w:val="auto"/>
          <w:szCs w:val="21"/>
          <w:highlight w:val="none"/>
        </w:rPr>
        <w:t>后参加同一合同项（分标、分包）投标的生产厂商。</w:t>
      </w:r>
    </w:p>
    <w:p w14:paraId="24CD66B5">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视为或被认定为串通投标的相关</w:t>
      </w:r>
      <w:r>
        <w:rPr>
          <w:rFonts w:hint="eastAsia"/>
          <w:color w:val="auto"/>
          <w:szCs w:val="21"/>
          <w:highlight w:val="none"/>
          <w:lang w:eastAsia="zh-CN"/>
        </w:rPr>
        <w:t>投标人</w:t>
      </w:r>
      <w:r>
        <w:rPr>
          <w:color w:val="auto"/>
          <w:szCs w:val="21"/>
          <w:highlight w:val="none"/>
        </w:rPr>
        <w:t>。</w:t>
      </w:r>
    </w:p>
    <w:bookmarkEnd w:id="89"/>
    <w:p w14:paraId="4918122D">
      <w:pPr>
        <w:spacing w:before="120" w:line="320" w:lineRule="atLeast"/>
        <w:ind w:firstLine="420" w:firstLineChars="200"/>
        <w:rPr>
          <w:color w:val="auto"/>
          <w:szCs w:val="21"/>
          <w:highlight w:val="none"/>
        </w:rPr>
      </w:pPr>
      <w:bookmarkStart w:id="90" w:name="_Hlk19122058"/>
      <w:r>
        <w:rPr>
          <w:rFonts w:hint="eastAsia"/>
          <w:color w:val="auto"/>
          <w:szCs w:val="21"/>
          <w:highlight w:val="none"/>
        </w:rPr>
        <w:t>（2）</w:t>
      </w:r>
      <w:bookmarkEnd w:id="90"/>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规定，有下列情形之一的视为</w:t>
      </w:r>
      <w:r>
        <w:rPr>
          <w:rFonts w:hint="eastAsia"/>
          <w:color w:val="auto"/>
          <w:szCs w:val="21"/>
          <w:highlight w:val="none"/>
        </w:rPr>
        <w:t>投标人</w:t>
      </w:r>
      <w:r>
        <w:rPr>
          <w:color w:val="auto"/>
          <w:szCs w:val="21"/>
          <w:highlight w:val="none"/>
        </w:rPr>
        <w:t>相互串通投标，投标文件将被视为无效。</w:t>
      </w:r>
    </w:p>
    <w:p w14:paraId="7DC7012A">
      <w:pPr>
        <w:spacing w:before="120" w:line="320" w:lineRule="atLeast"/>
        <w:ind w:firstLine="420" w:firstLineChars="200"/>
        <w:rPr>
          <w:color w:val="auto"/>
          <w:szCs w:val="21"/>
          <w:highlight w:val="none"/>
        </w:rPr>
      </w:pPr>
      <w:bookmarkStart w:id="91" w:name="_Hlk19122048"/>
      <w:r>
        <w:rPr>
          <w:rFonts w:hint="eastAsia" w:ascii="宋体" w:hAnsi="宋体" w:cs="宋体"/>
          <w:color w:val="auto"/>
          <w:szCs w:val="21"/>
          <w:highlight w:val="none"/>
        </w:rPr>
        <w:t>①</w:t>
      </w:r>
      <w:r>
        <w:rPr>
          <w:color w:val="auto"/>
          <w:szCs w:val="21"/>
          <w:highlight w:val="none"/>
        </w:rPr>
        <w:t>不同</w:t>
      </w:r>
      <w:r>
        <w:rPr>
          <w:rFonts w:hint="eastAsia"/>
          <w:color w:val="auto"/>
          <w:szCs w:val="21"/>
          <w:highlight w:val="none"/>
        </w:rPr>
        <w:t>投标人</w:t>
      </w:r>
      <w:r>
        <w:rPr>
          <w:color w:val="auto"/>
          <w:szCs w:val="21"/>
          <w:highlight w:val="none"/>
        </w:rPr>
        <w:t>的投标文件由同一单位或者个人编制；或不同</w:t>
      </w:r>
      <w:r>
        <w:rPr>
          <w:rFonts w:hint="eastAsia"/>
          <w:color w:val="auto"/>
          <w:szCs w:val="21"/>
          <w:highlight w:val="none"/>
        </w:rPr>
        <w:t>投标人</w:t>
      </w:r>
      <w:r>
        <w:rPr>
          <w:color w:val="auto"/>
          <w:szCs w:val="21"/>
          <w:highlight w:val="none"/>
        </w:rPr>
        <w:t>报名的IP地址一致的；</w:t>
      </w:r>
    </w:p>
    <w:p w14:paraId="7B19804B">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不同</w:t>
      </w:r>
      <w:r>
        <w:rPr>
          <w:rFonts w:hint="eastAsia"/>
          <w:color w:val="auto"/>
          <w:szCs w:val="21"/>
          <w:highlight w:val="none"/>
        </w:rPr>
        <w:t>投标人</w:t>
      </w:r>
      <w:r>
        <w:rPr>
          <w:color w:val="auto"/>
          <w:szCs w:val="21"/>
          <w:highlight w:val="none"/>
        </w:rPr>
        <w:t>委托同一单位或者个人办理投标事宜；</w:t>
      </w:r>
    </w:p>
    <w:p w14:paraId="5EFCB065">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不同的</w:t>
      </w:r>
      <w:r>
        <w:rPr>
          <w:rFonts w:hint="eastAsia"/>
          <w:color w:val="auto"/>
          <w:szCs w:val="21"/>
          <w:highlight w:val="none"/>
        </w:rPr>
        <w:t>投标人</w:t>
      </w:r>
      <w:r>
        <w:rPr>
          <w:color w:val="auto"/>
          <w:szCs w:val="21"/>
          <w:highlight w:val="none"/>
        </w:rPr>
        <w:t>的投标文件载明的项目管理员为同一个人；</w:t>
      </w:r>
    </w:p>
    <w:p w14:paraId="2EFD02DA">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不同</w:t>
      </w:r>
      <w:r>
        <w:rPr>
          <w:rFonts w:hint="eastAsia"/>
          <w:color w:val="auto"/>
          <w:szCs w:val="21"/>
          <w:highlight w:val="none"/>
        </w:rPr>
        <w:t>投标人</w:t>
      </w:r>
      <w:r>
        <w:rPr>
          <w:color w:val="auto"/>
          <w:szCs w:val="21"/>
          <w:highlight w:val="none"/>
        </w:rPr>
        <w:t>的投标文件异常一致或投标报价呈规律性差异；</w:t>
      </w:r>
    </w:p>
    <w:p w14:paraId="7714FBDC">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不同</w:t>
      </w:r>
      <w:r>
        <w:rPr>
          <w:rFonts w:hint="eastAsia"/>
          <w:color w:val="auto"/>
          <w:szCs w:val="21"/>
          <w:highlight w:val="none"/>
        </w:rPr>
        <w:t>投标人</w:t>
      </w:r>
      <w:r>
        <w:rPr>
          <w:color w:val="auto"/>
          <w:szCs w:val="21"/>
          <w:highlight w:val="none"/>
        </w:rPr>
        <w:t>的投标文件相互混装；</w:t>
      </w:r>
    </w:p>
    <w:p w14:paraId="3B6BDD8F">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不同</w:t>
      </w:r>
      <w:r>
        <w:rPr>
          <w:rFonts w:hint="eastAsia"/>
          <w:color w:val="auto"/>
          <w:szCs w:val="21"/>
          <w:highlight w:val="none"/>
        </w:rPr>
        <w:t>投标人</w:t>
      </w:r>
      <w:r>
        <w:rPr>
          <w:color w:val="auto"/>
          <w:szCs w:val="21"/>
          <w:highlight w:val="none"/>
        </w:rPr>
        <w:t>的保证金从同一单位或者个人账户转出。</w:t>
      </w:r>
    </w:p>
    <w:bookmarkEnd w:id="91"/>
    <w:p w14:paraId="6E899994">
      <w:pPr>
        <w:spacing w:before="120" w:line="320" w:lineRule="atLeast"/>
        <w:ind w:firstLine="420" w:firstLineChars="200"/>
        <w:rPr>
          <w:color w:val="auto"/>
          <w:szCs w:val="21"/>
          <w:highlight w:val="none"/>
        </w:rPr>
      </w:pPr>
      <w:bookmarkStart w:id="92" w:name="_Hlk19122102"/>
      <w:r>
        <w:rPr>
          <w:rFonts w:hint="eastAsia"/>
          <w:color w:val="auto"/>
          <w:szCs w:val="21"/>
          <w:highlight w:val="none"/>
        </w:rPr>
        <w:t>（3）</w:t>
      </w:r>
      <w:bookmarkEnd w:id="92"/>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w:t>
      </w:r>
      <w:r>
        <w:rPr>
          <w:rFonts w:hint="eastAsia"/>
          <w:color w:val="auto"/>
          <w:szCs w:val="21"/>
          <w:highlight w:val="none"/>
          <w:lang w:eastAsia="zh-CN"/>
        </w:rPr>
        <w:t>投标人</w:t>
      </w:r>
      <w:r>
        <w:rPr>
          <w:color w:val="auto"/>
          <w:szCs w:val="21"/>
          <w:highlight w:val="none"/>
        </w:rPr>
        <w:t>有下列情形之一的，属于恶意串通行为，投标文件将被视为无效。</w:t>
      </w:r>
    </w:p>
    <w:p w14:paraId="1A787694">
      <w:pPr>
        <w:spacing w:before="120" w:line="320" w:lineRule="atLeast"/>
        <w:ind w:firstLine="420" w:firstLineChars="200"/>
        <w:rPr>
          <w:color w:val="auto"/>
          <w:szCs w:val="21"/>
          <w:highlight w:val="none"/>
        </w:rPr>
      </w:pPr>
      <w:bookmarkStart w:id="93" w:name="_Hlk19122095"/>
      <w:r>
        <w:rPr>
          <w:rFonts w:hint="eastAsia"/>
          <w:color w:val="auto"/>
          <w:szCs w:val="21"/>
          <w:highlight w:val="none"/>
        </w:rPr>
        <w:t>①</w:t>
      </w:r>
      <w:r>
        <w:rPr>
          <w:rFonts w:hint="eastAsia"/>
          <w:color w:val="auto"/>
          <w:szCs w:val="21"/>
          <w:highlight w:val="none"/>
          <w:lang w:eastAsia="zh-CN"/>
        </w:rPr>
        <w:t>投标人</w:t>
      </w:r>
      <w:r>
        <w:rPr>
          <w:color w:val="auto"/>
          <w:szCs w:val="21"/>
          <w:highlight w:val="none"/>
        </w:rPr>
        <w:t>直接或者间接从采购人或者采购代理机构处获得其他</w:t>
      </w:r>
      <w:r>
        <w:rPr>
          <w:rFonts w:hint="eastAsia"/>
          <w:color w:val="auto"/>
          <w:szCs w:val="21"/>
          <w:highlight w:val="none"/>
          <w:lang w:eastAsia="zh-CN"/>
        </w:rPr>
        <w:t>投标人</w:t>
      </w:r>
      <w:r>
        <w:rPr>
          <w:color w:val="auto"/>
          <w:szCs w:val="21"/>
          <w:highlight w:val="none"/>
        </w:rPr>
        <w:t>的相关信息并修改其投标文件或者响应文件；</w:t>
      </w:r>
    </w:p>
    <w:p w14:paraId="43F71FF0">
      <w:pPr>
        <w:spacing w:before="120" w:line="320" w:lineRule="atLeast"/>
        <w:ind w:firstLine="420" w:firstLineChars="200"/>
        <w:rPr>
          <w:color w:val="auto"/>
          <w:szCs w:val="21"/>
          <w:highlight w:val="none"/>
        </w:rPr>
      </w:pPr>
      <w:r>
        <w:rPr>
          <w:rFonts w:hint="eastAsia"/>
          <w:color w:val="auto"/>
          <w:szCs w:val="21"/>
          <w:highlight w:val="none"/>
        </w:rPr>
        <w:t>②</w:t>
      </w:r>
      <w:r>
        <w:rPr>
          <w:rFonts w:hint="eastAsia"/>
          <w:color w:val="auto"/>
          <w:szCs w:val="21"/>
          <w:highlight w:val="none"/>
          <w:lang w:eastAsia="zh-CN"/>
        </w:rPr>
        <w:t>投标人</w:t>
      </w:r>
      <w:r>
        <w:rPr>
          <w:color w:val="auto"/>
          <w:szCs w:val="21"/>
          <w:highlight w:val="none"/>
        </w:rPr>
        <w:t>按照采购人或者采购代理机构的授意撤换、修改投标文件或者响应文件</w:t>
      </w:r>
      <w:r>
        <w:rPr>
          <w:rFonts w:hint="eastAsia"/>
          <w:color w:val="auto"/>
          <w:szCs w:val="21"/>
          <w:highlight w:val="none"/>
          <w:lang w:eastAsia="zh-CN"/>
        </w:rPr>
        <w:t>;</w:t>
      </w:r>
    </w:p>
    <w:p w14:paraId="481C2977">
      <w:pPr>
        <w:spacing w:before="120" w:line="320" w:lineRule="atLeast"/>
        <w:ind w:firstLine="420" w:firstLineChars="200"/>
        <w:rPr>
          <w:color w:val="auto"/>
          <w:szCs w:val="21"/>
          <w:highlight w:val="none"/>
        </w:rPr>
      </w:pPr>
      <w:r>
        <w:rPr>
          <w:rFonts w:hint="eastAsia"/>
          <w:color w:val="auto"/>
          <w:szCs w:val="21"/>
          <w:highlight w:val="none"/>
        </w:rPr>
        <w:t>③</w:t>
      </w:r>
      <w:r>
        <w:rPr>
          <w:rFonts w:hint="eastAsia"/>
          <w:color w:val="auto"/>
          <w:szCs w:val="21"/>
          <w:highlight w:val="none"/>
          <w:lang w:eastAsia="zh-CN"/>
        </w:rPr>
        <w:t>投标人</w:t>
      </w:r>
      <w:r>
        <w:rPr>
          <w:color w:val="auto"/>
          <w:szCs w:val="21"/>
          <w:highlight w:val="none"/>
        </w:rPr>
        <w:t>之间协商报价、技术方案等投标文件或者响应文件的实质性内容；</w:t>
      </w:r>
    </w:p>
    <w:p w14:paraId="3B14FA16">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属于同一集团、协会、商会等组织成员的</w:t>
      </w:r>
      <w:r>
        <w:rPr>
          <w:rFonts w:hint="eastAsia"/>
          <w:color w:val="auto"/>
          <w:szCs w:val="21"/>
          <w:highlight w:val="none"/>
          <w:lang w:eastAsia="zh-CN"/>
        </w:rPr>
        <w:t>投标人</w:t>
      </w:r>
      <w:r>
        <w:rPr>
          <w:color w:val="auto"/>
          <w:szCs w:val="21"/>
          <w:highlight w:val="none"/>
        </w:rPr>
        <w:t>按照该组织要求协同参加政府采购活动；</w:t>
      </w:r>
    </w:p>
    <w:p w14:paraId="2AFB5A9B">
      <w:pPr>
        <w:spacing w:before="120" w:line="320" w:lineRule="atLeast"/>
        <w:ind w:firstLine="420" w:firstLineChars="200"/>
        <w:rPr>
          <w:color w:val="auto"/>
          <w:szCs w:val="21"/>
          <w:highlight w:val="none"/>
        </w:rPr>
      </w:pPr>
      <w:r>
        <w:rPr>
          <w:rFonts w:hint="eastAsia"/>
          <w:color w:val="auto"/>
          <w:szCs w:val="21"/>
          <w:highlight w:val="none"/>
        </w:rPr>
        <w:t>⑤</w:t>
      </w:r>
      <w:r>
        <w:rPr>
          <w:rFonts w:hint="eastAsia"/>
          <w:color w:val="auto"/>
          <w:szCs w:val="21"/>
          <w:highlight w:val="none"/>
          <w:lang w:eastAsia="zh-CN"/>
        </w:rPr>
        <w:t>投标人</w:t>
      </w:r>
      <w:r>
        <w:rPr>
          <w:color w:val="auto"/>
          <w:szCs w:val="21"/>
          <w:highlight w:val="none"/>
        </w:rPr>
        <w:t>之间事先约定一致抬高或者压低投标报价，或者在招标项目中事先约定轮流以高价位或者低价位中标，或者事先约定由某一特定</w:t>
      </w:r>
      <w:r>
        <w:rPr>
          <w:rFonts w:hint="eastAsia"/>
          <w:color w:val="auto"/>
          <w:szCs w:val="21"/>
          <w:highlight w:val="none"/>
          <w:lang w:eastAsia="zh-CN"/>
        </w:rPr>
        <w:t>投标人</w:t>
      </w:r>
      <w:r>
        <w:rPr>
          <w:color w:val="auto"/>
          <w:szCs w:val="21"/>
          <w:highlight w:val="none"/>
        </w:rPr>
        <w:t>中标，然后再参加投标；</w:t>
      </w:r>
    </w:p>
    <w:p w14:paraId="50D07776">
      <w:pPr>
        <w:spacing w:before="120" w:line="320" w:lineRule="atLeast"/>
        <w:ind w:firstLine="420" w:firstLineChars="200"/>
        <w:rPr>
          <w:color w:val="auto"/>
          <w:szCs w:val="21"/>
          <w:highlight w:val="none"/>
        </w:rPr>
      </w:pPr>
      <w:r>
        <w:rPr>
          <w:rFonts w:hint="eastAsia"/>
          <w:color w:val="auto"/>
          <w:szCs w:val="21"/>
          <w:highlight w:val="none"/>
        </w:rPr>
        <w:t>⑥</w:t>
      </w:r>
      <w:r>
        <w:rPr>
          <w:rFonts w:hint="eastAsia"/>
          <w:color w:val="auto"/>
          <w:szCs w:val="21"/>
          <w:highlight w:val="none"/>
          <w:lang w:eastAsia="zh-CN"/>
        </w:rPr>
        <w:t>投标人</w:t>
      </w:r>
      <w:r>
        <w:rPr>
          <w:color w:val="auto"/>
          <w:szCs w:val="21"/>
          <w:highlight w:val="none"/>
        </w:rPr>
        <w:t>之间商定部分</w:t>
      </w:r>
      <w:r>
        <w:rPr>
          <w:rFonts w:hint="eastAsia"/>
          <w:color w:val="auto"/>
          <w:szCs w:val="21"/>
          <w:highlight w:val="none"/>
          <w:lang w:eastAsia="zh-CN"/>
        </w:rPr>
        <w:t>投标人</w:t>
      </w:r>
      <w:r>
        <w:rPr>
          <w:color w:val="auto"/>
          <w:szCs w:val="21"/>
          <w:highlight w:val="none"/>
        </w:rPr>
        <w:t>放弃参加政府采购活动或者放弃中标；</w:t>
      </w:r>
    </w:p>
    <w:p w14:paraId="5E4D6E6A">
      <w:pPr>
        <w:spacing w:before="120" w:line="320" w:lineRule="atLeast"/>
        <w:ind w:firstLine="420" w:firstLineChars="200"/>
        <w:rPr>
          <w:color w:val="auto"/>
          <w:szCs w:val="21"/>
          <w:highlight w:val="none"/>
        </w:rPr>
      </w:pPr>
      <w:r>
        <w:rPr>
          <w:rFonts w:hint="eastAsia"/>
          <w:color w:val="auto"/>
          <w:szCs w:val="21"/>
          <w:highlight w:val="none"/>
        </w:rPr>
        <w:t>⑦</w:t>
      </w:r>
      <w:r>
        <w:rPr>
          <w:rFonts w:hint="eastAsia"/>
          <w:color w:val="auto"/>
          <w:szCs w:val="21"/>
          <w:highlight w:val="none"/>
          <w:lang w:eastAsia="zh-CN"/>
        </w:rPr>
        <w:t>投标人</w:t>
      </w:r>
      <w:r>
        <w:rPr>
          <w:color w:val="auto"/>
          <w:szCs w:val="21"/>
          <w:highlight w:val="none"/>
        </w:rPr>
        <w:t>与采购人或者采购代理机构之间、</w:t>
      </w:r>
      <w:r>
        <w:rPr>
          <w:rFonts w:hint="eastAsia"/>
          <w:color w:val="auto"/>
          <w:szCs w:val="21"/>
          <w:highlight w:val="none"/>
          <w:lang w:eastAsia="zh-CN"/>
        </w:rPr>
        <w:t>投标人</w:t>
      </w:r>
      <w:r>
        <w:rPr>
          <w:color w:val="auto"/>
          <w:szCs w:val="21"/>
          <w:highlight w:val="none"/>
        </w:rPr>
        <w:t>相互之间，为谋求特定</w:t>
      </w:r>
      <w:r>
        <w:rPr>
          <w:rFonts w:hint="eastAsia"/>
          <w:color w:val="auto"/>
          <w:szCs w:val="21"/>
          <w:highlight w:val="none"/>
          <w:lang w:eastAsia="zh-CN"/>
        </w:rPr>
        <w:t>投标人</w:t>
      </w:r>
      <w:r>
        <w:rPr>
          <w:color w:val="auto"/>
          <w:szCs w:val="21"/>
          <w:highlight w:val="none"/>
        </w:rPr>
        <w:t>中标或者排斥其他</w:t>
      </w:r>
      <w:r>
        <w:rPr>
          <w:rFonts w:hint="eastAsia"/>
          <w:color w:val="auto"/>
          <w:szCs w:val="21"/>
          <w:highlight w:val="none"/>
          <w:lang w:eastAsia="zh-CN"/>
        </w:rPr>
        <w:t>投标人</w:t>
      </w:r>
      <w:r>
        <w:rPr>
          <w:color w:val="auto"/>
          <w:szCs w:val="21"/>
          <w:highlight w:val="none"/>
        </w:rPr>
        <w:t>的其他串通行为。</w:t>
      </w:r>
    </w:p>
    <w:bookmarkEnd w:id="93"/>
    <w:p w14:paraId="7F37D745">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lang w:val="en-US" w:eastAsia="zh-CN"/>
        </w:rPr>
        <w:t>8</w:t>
      </w:r>
      <w:r>
        <w:rPr>
          <w:color w:val="auto"/>
          <w:szCs w:val="21"/>
          <w:highlight w:val="none"/>
        </w:rPr>
        <w:t>投标</w:t>
      </w:r>
      <w:r>
        <w:rPr>
          <w:rFonts w:hint="eastAsia"/>
          <w:color w:val="auto"/>
          <w:szCs w:val="21"/>
          <w:highlight w:val="none"/>
        </w:rPr>
        <w:t>无效</w:t>
      </w:r>
      <w:r>
        <w:rPr>
          <w:color w:val="auto"/>
          <w:szCs w:val="21"/>
          <w:highlight w:val="none"/>
        </w:rPr>
        <w:t>认定</w:t>
      </w:r>
    </w:p>
    <w:p w14:paraId="4F58D4ED">
      <w:pPr>
        <w:spacing w:before="120" w:line="320" w:lineRule="atLeast"/>
        <w:ind w:firstLine="420" w:firstLineChars="200"/>
        <w:rPr>
          <w:color w:val="auto"/>
          <w:szCs w:val="21"/>
          <w:highlight w:val="none"/>
        </w:rPr>
      </w:pPr>
      <w:bookmarkStart w:id="94" w:name="_Hlk19113301"/>
      <w:r>
        <w:rPr>
          <w:rFonts w:hint="eastAsia"/>
          <w:color w:val="auto"/>
          <w:szCs w:val="21"/>
          <w:highlight w:val="none"/>
        </w:rPr>
        <w:t>（</w:t>
      </w:r>
      <w:r>
        <w:rPr>
          <w:color w:val="auto"/>
          <w:szCs w:val="21"/>
          <w:highlight w:val="none"/>
        </w:rPr>
        <w:t>1）在</w:t>
      </w:r>
      <w:r>
        <w:rPr>
          <w:rFonts w:hint="eastAsia"/>
          <w:color w:val="auto"/>
          <w:szCs w:val="21"/>
          <w:highlight w:val="none"/>
        </w:rPr>
        <w:t>评审过程中</w:t>
      </w:r>
      <w:r>
        <w:rPr>
          <w:color w:val="auto"/>
          <w:szCs w:val="21"/>
          <w:highlight w:val="none"/>
        </w:rPr>
        <w:t>如发现下列情形之一的，投标文件将被视为无效：</w:t>
      </w:r>
    </w:p>
    <w:p w14:paraId="1B57E9B4">
      <w:pPr>
        <w:spacing w:before="120" w:line="320" w:lineRule="atLeast"/>
        <w:ind w:firstLine="420" w:firstLineChars="200"/>
        <w:rPr>
          <w:color w:val="auto"/>
          <w:highlight w:val="none"/>
        </w:rPr>
      </w:pPr>
      <w:r>
        <w:rPr>
          <w:rFonts w:hint="eastAsia"/>
          <w:color w:val="auto"/>
          <w:szCs w:val="21"/>
          <w:highlight w:val="none"/>
        </w:rPr>
        <w:t>①</w:t>
      </w:r>
      <w:r>
        <w:rPr>
          <w:color w:val="auto"/>
          <w:szCs w:val="21"/>
          <w:highlight w:val="none"/>
        </w:rPr>
        <w:t>投标文件</w:t>
      </w:r>
      <w:r>
        <w:rPr>
          <w:rFonts w:hint="eastAsia"/>
          <w:color w:val="auto"/>
          <w:szCs w:val="21"/>
          <w:highlight w:val="none"/>
        </w:rPr>
        <w:t>存在法律、法规及监督部门有关文件规定的无效情形</w:t>
      </w:r>
      <w:r>
        <w:rPr>
          <w:color w:val="auto"/>
          <w:szCs w:val="21"/>
          <w:highlight w:val="none"/>
        </w:rPr>
        <w:t>。</w:t>
      </w:r>
    </w:p>
    <w:p w14:paraId="21FF05BD">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投标文件</w:t>
      </w:r>
      <w:r>
        <w:rPr>
          <w:rFonts w:hint="eastAsia"/>
          <w:color w:val="auto"/>
          <w:szCs w:val="21"/>
          <w:highlight w:val="none"/>
        </w:rPr>
        <w:t>存在招标文件规定的无效情形。</w:t>
      </w:r>
    </w:p>
    <w:bookmarkEnd w:id="94"/>
    <w:p w14:paraId="26C76488">
      <w:pPr>
        <w:spacing w:before="120" w:line="320" w:lineRule="atLeast"/>
        <w:ind w:firstLine="420" w:firstLineChars="200"/>
        <w:rPr>
          <w:color w:val="auto"/>
          <w:szCs w:val="21"/>
          <w:highlight w:val="none"/>
        </w:rPr>
      </w:pPr>
      <w:bookmarkStart w:id="95" w:name="_Hlk19113313"/>
      <w:r>
        <w:rPr>
          <w:rFonts w:hint="eastAsia"/>
          <w:color w:val="auto"/>
          <w:szCs w:val="21"/>
          <w:highlight w:val="none"/>
        </w:rPr>
        <w:t>（2）根据</w:t>
      </w:r>
      <w:r>
        <w:rPr>
          <w:color w:val="auto"/>
          <w:szCs w:val="21"/>
          <w:highlight w:val="none"/>
        </w:rPr>
        <w:t>财库</w:t>
      </w:r>
      <w:r>
        <w:rPr>
          <w:rFonts w:hint="eastAsia"/>
          <w:color w:val="auto"/>
          <w:szCs w:val="21"/>
          <w:highlight w:val="none"/>
        </w:rPr>
        <w:t>《</w:t>
      </w:r>
      <w:r>
        <w:rPr>
          <w:color w:val="auto"/>
          <w:szCs w:val="21"/>
          <w:highlight w:val="none"/>
        </w:rPr>
        <w:t>关于促进政府采购公平竞争优化营商环境的通知</w:t>
      </w:r>
      <w:r>
        <w:rPr>
          <w:rFonts w:hint="eastAsia"/>
          <w:color w:val="auto"/>
          <w:szCs w:val="21"/>
          <w:highlight w:val="none"/>
        </w:rPr>
        <w:t>》（</w:t>
      </w:r>
      <w:r>
        <w:rPr>
          <w:color w:val="auto"/>
          <w:szCs w:val="21"/>
          <w:highlight w:val="none"/>
        </w:rPr>
        <w:t>〔2019〕38号</w:t>
      </w:r>
      <w:r>
        <w:rPr>
          <w:rFonts w:hint="eastAsia"/>
          <w:color w:val="auto"/>
          <w:szCs w:val="21"/>
          <w:highlight w:val="none"/>
        </w:rPr>
        <w:t>）以及《广西壮族自治区财政厅转发财政部关于促进政府采购公平竞争优化营商环境的通知》（桂财采〔2019〕41号）规定，评审委员会不得因装订、纸张、文件排序等非实质性的格式、形式问题认定投标无效或否决投标，从而限制和影响</w:t>
      </w:r>
      <w:r>
        <w:rPr>
          <w:rFonts w:hint="eastAsia"/>
          <w:color w:val="auto"/>
          <w:szCs w:val="21"/>
          <w:highlight w:val="none"/>
          <w:lang w:eastAsia="zh-CN"/>
        </w:rPr>
        <w:t>投标人</w:t>
      </w:r>
      <w:r>
        <w:rPr>
          <w:rFonts w:hint="eastAsia"/>
          <w:color w:val="auto"/>
          <w:szCs w:val="21"/>
          <w:highlight w:val="none"/>
        </w:rPr>
        <w:t>投标（响应）。</w:t>
      </w:r>
    </w:p>
    <w:bookmarkEnd w:id="95"/>
    <w:p w14:paraId="6469FD0C">
      <w:pPr>
        <w:spacing w:before="120" w:line="320" w:lineRule="atLeast"/>
        <w:ind w:firstLine="420" w:firstLineChars="200"/>
        <w:rPr>
          <w:color w:val="auto"/>
          <w:szCs w:val="21"/>
          <w:highlight w:val="none"/>
        </w:rPr>
      </w:pPr>
      <w:bookmarkStart w:id="96" w:name="_Hlk19113363"/>
      <w:r>
        <w:rPr>
          <w:color w:val="auto"/>
          <w:szCs w:val="21"/>
          <w:highlight w:val="none"/>
        </w:rPr>
        <w:t>6.3.</w:t>
      </w:r>
      <w:r>
        <w:rPr>
          <w:rFonts w:hint="eastAsia"/>
          <w:color w:val="auto"/>
          <w:szCs w:val="21"/>
          <w:highlight w:val="none"/>
          <w:lang w:val="en-US" w:eastAsia="zh-CN"/>
        </w:rPr>
        <w:t>9</w:t>
      </w:r>
      <w:r>
        <w:rPr>
          <w:color w:val="auto"/>
          <w:szCs w:val="21"/>
          <w:highlight w:val="none"/>
        </w:rPr>
        <w:t>比较与评价</w:t>
      </w:r>
    </w:p>
    <w:p w14:paraId="3131A7BF">
      <w:pPr>
        <w:spacing w:before="120" w:line="320" w:lineRule="atLeast"/>
        <w:ind w:firstLine="420" w:firstLineChars="200"/>
        <w:rPr>
          <w:color w:val="auto"/>
          <w:szCs w:val="21"/>
          <w:highlight w:val="none"/>
        </w:rPr>
      </w:pPr>
      <w:r>
        <w:rPr>
          <w:rFonts w:hint="eastAsia"/>
          <w:color w:val="auto"/>
          <w:szCs w:val="21"/>
          <w:highlight w:val="none"/>
        </w:rPr>
        <w:t>（1）评审委员会</w:t>
      </w:r>
      <w:r>
        <w:rPr>
          <w:color w:val="auto"/>
          <w:szCs w:val="21"/>
          <w:highlight w:val="none"/>
        </w:rPr>
        <w:t>按招标文件中规定的评审方法和标准，对符合性审查合格的投标文件进行综合比较与评价。</w:t>
      </w:r>
    </w:p>
    <w:p w14:paraId="46227254">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评审委员会各成员独立对每个有效</w:t>
      </w:r>
      <w:r>
        <w:rPr>
          <w:rFonts w:hint="eastAsia"/>
          <w:color w:val="auto"/>
          <w:szCs w:val="21"/>
          <w:highlight w:val="none"/>
          <w:lang w:eastAsia="zh-CN"/>
        </w:rPr>
        <w:t>投标人</w:t>
      </w:r>
      <w:r>
        <w:rPr>
          <w:color w:val="auto"/>
          <w:szCs w:val="21"/>
          <w:highlight w:val="none"/>
        </w:rPr>
        <w:t>的投标文件进行评价</w:t>
      </w:r>
      <w:r>
        <w:rPr>
          <w:rFonts w:hint="eastAsia"/>
          <w:color w:val="auto"/>
          <w:szCs w:val="21"/>
          <w:highlight w:val="none"/>
        </w:rPr>
        <w:t>。评价</w:t>
      </w:r>
      <w:r>
        <w:rPr>
          <w:color w:val="auto"/>
          <w:szCs w:val="21"/>
          <w:highlight w:val="none"/>
        </w:rPr>
        <w:t>有误的应及时进行修正。评</w:t>
      </w:r>
      <w:r>
        <w:rPr>
          <w:rFonts w:hint="eastAsia"/>
          <w:color w:val="auto"/>
          <w:szCs w:val="21"/>
          <w:highlight w:val="none"/>
        </w:rPr>
        <w:t>分</w:t>
      </w:r>
      <w:r>
        <w:rPr>
          <w:color w:val="auto"/>
          <w:szCs w:val="21"/>
          <w:highlight w:val="none"/>
        </w:rPr>
        <w:t>标准如有客观分定义，评审委员会所有成员的客观分</w:t>
      </w:r>
      <w:r>
        <w:rPr>
          <w:rFonts w:hint="eastAsia"/>
          <w:color w:val="auto"/>
          <w:szCs w:val="21"/>
          <w:highlight w:val="none"/>
        </w:rPr>
        <w:t>评分分值</w:t>
      </w:r>
      <w:r>
        <w:rPr>
          <w:color w:val="auto"/>
          <w:szCs w:val="21"/>
          <w:highlight w:val="none"/>
        </w:rPr>
        <w:t>应当一致。</w:t>
      </w:r>
    </w:p>
    <w:p w14:paraId="0DFD3838">
      <w:pPr>
        <w:spacing w:before="120" w:line="320" w:lineRule="atLeast"/>
        <w:ind w:firstLine="420" w:firstLineChars="200"/>
        <w:rPr>
          <w:color w:val="auto"/>
          <w:szCs w:val="21"/>
          <w:highlight w:val="none"/>
        </w:rPr>
      </w:pPr>
      <w:r>
        <w:rPr>
          <w:rFonts w:hint="eastAsia"/>
          <w:color w:val="auto"/>
          <w:szCs w:val="21"/>
          <w:highlight w:val="none"/>
        </w:rPr>
        <w:t>（3）评审委员会</w:t>
      </w:r>
      <w:r>
        <w:rPr>
          <w:color w:val="auto"/>
          <w:szCs w:val="21"/>
          <w:highlight w:val="none"/>
        </w:rPr>
        <w:t>按</w:t>
      </w:r>
      <w:r>
        <w:rPr>
          <w:rFonts w:hint="eastAsia"/>
          <w:color w:val="auto"/>
          <w:szCs w:val="21"/>
          <w:highlight w:val="none"/>
        </w:rPr>
        <w:t>综合评</w:t>
      </w:r>
      <w:r>
        <w:rPr>
          <w:color w:val="auto"/>
          <w:szCs w:val="21"/>
          <w:highlight w:val="none"/>
        </w:rPr>
        <w:t>分由高到低的排列顺序推荐中标候选人</w:t>
      </w:r>
      <w:r>
        <w:rPr>
          <w:rFonts w:hint="eastAsia"/>
          <w:color w:val="auto"/>
          <w:szCs w:val="21"/>
          <w:highlight w:val="none"/>
        </w:rPr>
        <w:t>，中标候选人最多不超过3名。</w:t>
      </w:r>
      <w:r>
        <w:rPr>
          <w:color w:val="auto"/>
          <w:szCs w:val="21"/>
          <w:highlight w:val="none"/>
        </w:rPr>
        <w:t>若中标候选人综合</w:t>
      </w:r>
      <w:r>
        <w:rPr>
          <w:rFonts w:hint="eastAsia"/>
          <w:color w:val="auto"/>
          <w:szCs w:val="21"/>
          <w:highlight w:val="none"/>
        </w:rPr>
        <w:t>评</w:t>
      </w:r>
      <w:r>
        <w:rPr>
          <w:color w:val="auto"/>
          <w:szCs w:val="21"/>
          <w:highlight w:val="none"/>
        </w:rPr>
        <w:t>分相同的，按投标报价由低到高顺序排列；综合</w:t>
      </w:r>
      <w:r>
        <w:rPr>
          <w:rFonts w:hint="eastAsia"/>
          <w:color w:val="auto"/>
          <w:szCs w:val="21"/>
          <w:highlight w:val="none"/>
        </w:rPr>
        <w:t>评</w:t>
      </w:r>
      <w:r>
        <w:rPr>
          <w:color w:val="auto"/>
          <w:szCs w:val="21"/>
          <w:highlight w:val="none"/>
        </w:rPr>
        <w:t>分且投标报价相同的</w:t>
      </w:r>
      <w:r>
        <w:rPr>
          <w:color w:val="auto"/>
          <w:highlight w:val="none"/>
        </w:rPr>
        <w:t>并列</w:t>
      </w:r>
      <w:r>
        <w:rPr>
          <w:color w:val="auto"/>
          <w:szCs w:val="21"/>
          <w:highlight w:val="none"/>
        </w:rPr>
        <w:t>；中标候选人并列的，按技术部分得分由高到低顺序排列，若综合评分、投标报价、技术部分均相同的，按商务部分得分由高到低顺序排列</w:t>
      </w:r>
      <w:r>
        <w:rPr>
          <w:rFonts w:hint="eastAsia"/>
          <w:color w:val="auto"/>
          <w:szCs w:val="21"/>
          <w:highlight w:val="none"/>
        </w:rPr>
        <w:t>。</w:t>
      </w:r>
    </w:p>
    <w:p w14:paraId="0A5BB78D">
      <w:pPr>
        <w:spacing w:before="120" w:line="320" w:lineRule="atLeast"/>
        <w:ind w:firstLine="420" w:firstLineChars="200"/>
        <w:rPr>
          <w:color w:val="auto"/>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）评审委员会根据评审记录及评审结果编写评审报告，评审委员会成员均应当在评审报告上签字，对自己的评审意见承担法律责任。</w:t>
      </w:r>
      <w:r>
        <w:rPr>
          <w:color w:val="auto"/>
          <w:highlight w:val="none"/>
        </w:rPr>
        <w:t>评审报告签署前，经复核发现存在以</w:t>
      </w:r>
      <w:r>
        <w:rPr>
          <w:rFonts w:hint="eastAsia"/>
          <w:color w:val="auto"/>
          <w:highlight w:val="none"/>
        </w:rPr>
        <w:t>下</w:t>
      </w:r>
      <w:r>
        <w:rPr>
          <w:color w:val="auto"/>
          <w:highlight w:val="none"/>
        </w:rPr>
        <w:t>情形之一的，评审委员会应当当场修改评审结果，并在评审报告中记载；评审报告签署后，采购人或者采购代理机构发现存在以</w:t>
      </w:r>
      <w:r>
        <w:rPr>
          <w:rFonts w:hint="eastAsia"/>
          <w:color w:val="auto"/>
          <w:highlight w:val="none"/>
        </w:rPr>
        <w:t>下</w:t>
      </w:r>
      <w:r>
        <w:rPr>
          <w:color w:val="auto"/>
          <w:highlight w:val="none"/>
        </w:rPr>
        <w:t>情形之一的，应当组织原评审委员会进行重新评审。</w:t>
      </w:r>
    </w:p>
    <w:p w14:paraId="59B5A510">
      <w:pPr>
        <w:spacing w:before="120" w:line="320" w:lineRule="atLeast"/>
        <w:ind w:firstLine="420" w:firstLineChars="200"/>
        <w:rPr>
          <w:color w:val="auto"/>
          <w:highlight w:val="none"/>
        </w:rPr>
      </w:pPr>
      <w:r>
        <w:rPr>
          <w:color w:val="auto"/>
          <w:highlight w:val="none"/>
        </w:rPr>
        <w:t>分值汇总计算错误的；分项评分超出评分标准范围的；评审委员会成员对客观评审因素评分不一致的；经评审委员会认定评分畸高、畸低的。</w:t>
      </w:r>
    </w:p>
    <w:bookmarkEnd w:id="96"/>
    <w:p w14:paraId="294F588C">
      <w:pPr>
        <w:spacing w:before="120" w:line="320" w:lineRule="atLeast"/>
        <w:ind w:firstLine="422" w:firstLineChars="200"/>
        <w:outlineLvl w:val="2"/>
        <w:rPr>
          <w:b/>
          <w:bCs/>
          <w:color w:val="auto"/>
          <w:kern w:val="0"/>
          <w:szCs w:val="21"/>
          <w:highlight w:val="none"/>
        </w:rPr>
      </w:pPr>
      <w:r>
        <w:rPr>
          <w:b/>
          <w:bCs/>
          <w:color w:val="auto"/>
          <w:kern w:val="0"/>
          <w:szCs w:val="21"/>
          <w:highlight w:val="none"/>
        </w:rPr>
        <w:t>6.4确定中标人</w:t>
      </w:r>
    </w:p>
    <w:p w14:paraId="43D61C39">
      <w:pPr>
        <w:spacing w:before="120" w:line="276" w:lineRule="auto"/>
        <w:ind w:firstLine="420" w:firstLineChars="200"/>
        <w:rPr>
          <w:color w:val="auto"/>
          <w:szCs w:val="21"/>
          <w:highlight w:val="none"/>
        </w:rPr>
      </w:pPr>
      <w:r>
        <w:rPr>
          <w:rFonts w:hint="eastAsia"/>
          <w:color w:val="auto"/>
          <w:szCs w:val="21"/>
          <w:highlight w:val="none"/>
        </w:rPr>
        <w:t>6.4</w:t>
      </w:r>
      <w:r>
        <w:rPr>
          <w:color w:val="auto"/>
          <w:szCs w:val="21"/>
          <w:highlight w:val="none"/>
        </w:rPr>
        <w:t>.1采购代理机构在评审结束后2个工作日内将评审报告送采购人，采购人在5个工作日内按照评审报告中推荐的中标候选</w:t>
      </w:r>
      <w:r>
        <w:rPr>
          <w:rFonts w:hint="eastAsia"/>
          <w:color w:val="auto"/>
          <w:szCs w:val="21"/>
          <w:highlight w:val="none"/>
        </w:rPr>
        <w:t>人</w:t>
      </w:r>
      <w:r>
        <w:rPr>
          <w:color w:val="auto"/>
          <w:szCs w:val="21"/>
          <w:highlight w:val="none"/>
        </w:rPr>
        <w:t>顺序确定中标人。</w:t>
      </w:r>
      <w:r>
        <w:rPr>
          <w:rFonts w:hint="eastAsia"/>
          <w:color w:val="auto"/>
          <w:szCs w:val="21"/>
          <w:highlight w:val="none"/>
        </w:rPr>
        <w:t>中标候选人并列的，由采购人或者采购人委托</w:t>
      </w:r>
      <w:r>
        <w:rPr>
          <w:rFonts w:hint="eastAsia"/>
          <w:color w:val="auto"/>
          <w:szCs w:val="21"/>
          <w:highlight w:val="none"/>
          <w:lang w:eastAsia="zh-CN"/>
        </w:rPr>
        <w:t>评审委员会</w:t>
      </w:r>
      <w:r>
        <w:rPr>
          <w:rFonts w:hint="eastAsia"/>
          <w:color w:val="auto"/>
          <w:szCs w:val="21"/>
          <w:highlight w:val="none"/>
        </w:rPr>
        <w:t>按照招标文件规定的方式确定中标人；招标文件未规定的，采取随机抽取的方式确定。</w:t>
      </w:r>
    </w:p>
    <w:p w14:paraId="0E541B60">
      <w:pPr>
        <w:spacing w:before="120" w:line="276" w:lineRule="auto"/>
        <w:ind w:firstLine="420" w:firstLineChars="200"/>
        <w:rPr>
          <w:color w:val="auto"/>
          <w:szCs w:val="21"/>
          <w:highlight w:val="none"/>
        </w:rPr>
      </w:pPr>
      <w:r>
        <w:rPr>
          <w:color w:val="auto"/>
          <w:szCs w:val="21"/>
          <w:highlight w:val="none"/>
        </w:rPr>
        <w:t>6.4.2</w:t>
      </w:r>
      <w:r>
        <w:rPr>
          <w:rFonts w:hint="eastAsia"/>
          <w:color w:val="auto"/>
          <w:szCs w:val="21"/>
          <w:highlight w:val="none"/>
        </w:rPr>
        <w:t>采购人、采购代理机构认为</w:t>
      </w:r>
      <w:r>
        <w:rPr>
          <w:rFonts w:hint="eastAsia"/>
          <w:color w:val="auto"/>
          <w:szCs w:val="21"/>
          <w:highlight w:val="none"/>
          <w:lang w:eastAsia="zh-CN"/>
        </w:rPr>
        <w:t>投标人</w:t>
      </w:r>
      <w:r>
        <w:rPr>
          <w:rFonts w:hint="eastAsia"/>
          <w:color w:val="auto"/>
          <w:szCs w:val="21"/>
          <w:highlight w:val="none"/>
        </w:rPr>
        <w:t>对采购过程、中标结果提出的质疑成立且影响或者可能影响中标结果的，合格</w:t>
      </w:r>
      <w:r>
        <w:rPr>
          <w:rFonts w:hint="eastAsia"/>
          <w:color w:val="auto"/>
          <w:szCs w:val="21"/>
          <w:highlight w:val="none"/>
          <w:lang w:eastAsia="zh-CN"/>
        </w:rPr>
        <w:t>投标人</w:t>
      </w:r>
      <w:r>
        <w:rPr>
          <w:rFonts w:hint="eastAsia"/>
          <w:color w:val="auto"/>
          <w:szCs w:val="21"/>
          <w:highlight w:val="none"/>
        </w:rPr>
        <w:t>符合法定数量时，可以从合格的中标候选人中另行确定中标人的，应当依法另行确定中标人；否则应当重新开展采购活动。</w:t>
      </w:r>
    </w:p>
    <w:p w14:paraId="253D4F8E">
      <w:pPr>
        <w:spacing w:before="120" w:line="320" w:lineRule="atLeast"/>
        <w:ind w:firstLine="422" w:firstLineChars="200"/>
        <w:outlineLvl w:val="2"/>
        <w:rPr>
          <w:b/>
          <w:bCs/>
          <w:color w:val="auto"/>
          <w:kern w:val="0"/>
          <w:szCs w:val="21"/>
          <w:highlight w:val="none"/>
        </w:rPr>
      </w:pPr>
      <w:r>
        <w:rPr>
          <w:b/>
          <w:bCs/>
          <w:color w:val="auto"/>
          <w:kern w:val="0"/>
          <w:szCs w:val="21"/>
          <w:highlight w:val="none"/>
        </w:rPr>
        <w:t>6.5</w:t>
      </w:r>
      <w:r>
        <w:rPr>
          <w:rFonts w:hint="eastAsia"/>
          <w:b/>
          <w:bCs/>
          <w:color w:val="auto"/>
          <w:kern w:val="0"/>
          <w:szCs w:val="21"/>
          <w:highlight w:val="none"/>
        </w:rPr>
        <w:t>结果公告</w:t>
      </w:r>
    </w:p>
    <w:p w14:paraId="54F37C32">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.5.1自中标人确定后2个工作日内，采购代理机构</w:t>
      </w:r>
      <w:r>
        <w:rPr>
          <w:rFonts w:hint="eastAsia"/>
          <w:color w:val="auto"/>
          <w:szCs w:val="21"/>
          <w:highlight w:val="none"/>
        </w:rPr>
        <w:t>按照投标人须知</w:t>
      </w:r>
      <w:r>
        <w:rPr>
          <w:rFonts w:hint="eastAsia"/>
          <w:color w:val="auto"/>
          <w:kern w:val="0"/>
          <w:szCs w:val="21"/>
          <w:highlight w:val="none"/>
        </w:rPr>
        <w:t>前附表的规定</w:t>
      </w:r>
      <w:r>
        <w:rPr>
          <w:color w:val="auto"/>
          <w:kern w:val="0"/>
          <w:szCs w:val="21"/>
          <w:highlight w:val="none"/>
        </w:rPr>
        <w:t>公告</w:t>
      </w:r>
      <w:r>
        <w:rPr>
          <w:color w:val="auto"/>
          <w:szCs w:val="21"/>
          <w:highlight w:val="none"/>
        </w:rPr>
        <w:t>中标结果</w:t>
      </w:r>
      <w:r>
        <w:rPr>
          <w:rFonts w:hint="eastAsia"/>
          <w:color w:val="auto"/>
          <w:szCs w:val="21"/>
          <w:highlight w:val="none"/>
          <w:lang w:eastAsia="zh-CN"/>
        </w:rPr>
        <w:t>，</w:t>
      </w:r>
      <w:r>
        <w:rPr>
          <w:rFonts w:hint="eastAsia"/>
          <w:color w:val="auto"/>
          <w:szCs w:val="21"/>
          <w:highlight w:val="none"/>
        </w:rPr>
        <w:t>中标结果公告期限为1个工作日</w:t>
      </w:r>
      <w:r>
        <w:rPr>
          <w:rFonts w:hint="eastAsia"/>
          <w:color w:val="auto"/>
          <w:szCs w:val="21"/>
          <w:highlight w:val="none"/>
          <w:lang w:eastAsia="zh-CN"/>
        </w:rPr>
        <w:t>，</w:t>
      </w:r>
      <w:r>
        <w:rPr>
          <w:rFonts w:hint="eastAsia"/>
          <w:color w:val="auto"/>
          <w:szCs w:val="21"/>
          <w:highlight w:val="none"/>
        </w:rPr>
        <w:t>发布中标结果公告的同时向中标</w:t>
      </w:r>
      <w:r>
        <w:rPr>
          <w:rFonts w:hint="eastAsia"/>
          <w:color w:val="auto"/>
          <w:szCs w:val="21"/>
          <w:highlight w:val="none"/>
          <w:lang w:val="en-US" w:eastAsia="zh-CN"/>
        </w:rPr>
        <w:t>人</w:t>
      </w:r>
      <w:r>
        <w:rPr>
          <w:rFonts w:hint="eastAsia"/>
          <w:color w:val="auto"/>
          <w:szCs w:val="21"/>
          <w:highlight w:val="none"/>
        </w:rPr>
        <w:t>发出中标通知书。采购代理机构发出中标通知书前，应当对中标人信用进行核实，对列入失信被执行人、重大税收违法案件当事人名 单、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w:t>
      </w:r>
      <w:r>
        <w:rPr>
          <w:rFonts w:hint="eastAsia"/>
          <w:color w:val="auto"/>
          <w:szCs w:val="21"/>
          <w:highlight w:val="none"/>
          <w:lang w:val="en-US" w:eastAsia="zh-CN"/>
        </w:rPr>
        <w:t>采购人</w:t>
      </w:r>
      <w:r>
        <w:rPr>
          <w:rFonts w:hint="eastAsia"/>
          <w:color w:val="auto"/>
          <w:szCs w:val="21"/>
          <w:highlight w:val="none"/>
        </w:rPr>
        <w:t>可以确定排名第三的中标候选人为中标人，以此类推。以上信息查询记录及相关证据与采购文件一并保存。</w:t>
      </w:r>
    </w:p>
    <w:p w14:paraId="1DF301FA">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.5.2在发布</w:t>
      </w:r>
      <w:r>
        <w:rPr>
          <w:rFonts w:hint="eastAsia"/>
          <w:color w:val="auto"/>
          <w:szCs w:val="21"/>
          <w:highlight w:val="none"/>
        </w:rPr>
        <w:t>结果</w:t>
      </w:r>
      <w:r>
        <w:rPr>
          <w:color w:val="auto"/>
          <w:szCs w:val="21"/>
          <w:highlight w:val="none"/>
        </w:rPr>
        <w:t>公告的同时，采购代理机构以</w:t>
      </w:r>
      <w:r>
        <w:rPr>
          <w:rFonts w:hint="eastAsia"/>
          <w:color w:val="auto"/>
          <w:szCs w:val="21"/>
          <w:highlight w:val="none"/>
        </w:rPr>
        <w:t>投标人须知</w:t>
      </w:r>
      <w:r>
        <w:rPr>
          <w:color w:val="auto"/>
          <w:szCs w:val="21"/>
          <w:highlight w:val="none"/>
        </w:rPr>
        <w:t>前附表规定的形式向中标人发出中标通知书。中标通知书发出后，采购人改变中标结果，或者中标人放弃中标，应当承担相应的法律责任。</w:t>
      </w:r>
    </w:p>
    <w:p w14:paraId="3F1BBD28">
      <w:pPr>
        <w:spacing w:before="120" w:line="320" w:lineRule="atLeast"/>
        <w:ind w:firstLine="420" w:firstLineChars="200"/>
        <w:rPr>
          <w:b/>
          <w:bCs/>
          <w:color w:val="auto"/>
          <w:kern w:val="0"/>
          <w:szCs w:val="21"/>
          <w:highlight w:val="none"/>
        </w:rPr>
      </w:pPr>
      <w:r>
        <w:rPr>
          <w:rFonts w:hint="eastAsia"/>
          <w:color w:val="auto"/>
          <w:szCs w:val="21"/>
          <w:highlight w:val="none"/>
        </w:rPr>
        <w:t>6</w:t>
      </w:r>
      <w:r>
        <w:rPr>
          <w:color w:val="auto"/>
          <w:szCs w:val="21"/>
          <w:highlight w:val="none"/>
        </w:rPr>
        <w:t>.5.3</w:t>
      </w:r>
      <w:r>
        <w:rPr>
          <w:rFonts w:hint="eastAsia"/>
          <w:color w:val="auto"/>
          <w:szCs w:val="21"/>
          <w:highlight w:val="none"/>
        </w:rPr>
        <w:t>在发布结果公告的同时，</w:t>
      </w:r>
      <w:r>
        <w:rPr>
          <w:color w:val="auto"/>
          <w:szCs w:val="21"/>
          <w:highlight w:val="none"/>
        </w:rPr>
        <w:t>采购代理机构以</w:t>
      </w:r>
      <w:r>
        <w:rPr>
          <w:rFonts w:hint="eastAsia"/>
          <w:color w:val="auto"/>
          <w:szCs w:val="21"/>
          <w:highlight w:val="none"/>
        </w:rPr>
        <w:t>投标人须知</w:t>
      </w:r>
      <w:r>
        <w:rPr>
          <w:color w:val="auto"/>
          <w:szCs w:val="21"/>
          <w:highlight w:val="none"/>
        </w:rPr>
        <w:t>前附表规定的形式</w:t>
      </w:r>
      <w:r>
        <w:rPr>
          <w:rFonts w:hint="eastAsia"/>
          <w:color w:val="auto"/>
          <w:szCs w:val="21"/>
          <w:highlight w:val="none"/>
        </w:rPr>
        <w:t>向未中标人发出招标结果通知书，</w:t>
      </w:r>
      <w:r>
        <w:rPr>
          <w:rFonts w:hint="eastAsia"/>
          <w:color w:val="auto"/>
          <w:szCs w:val="21"/>
          <w:highlight w:val="none"/>
          <w:lang w:eastAsia="zh-CN"/>
        </w:rPr>
        <w:t>投标人</w:t>
      </w:r>
      <w:r>
        <w:rPr>
          <w:rFonts w:hint="eastAsia"/>
          <w:color w:val="auto"/>
          <w:szCs w:val="21"/>
          <w:highlight w:val="none"/>
        </w:rPr>
        <w:t>自行承担未及时查收的后果。</w:t>
      </w:r>
    </w:p>
    <w:p w14:paraId="1614C6F8">
      <w:pPr>
        <w:suppressAutoHyphens/>
        <w:spacing w:before="120" w:line="320" w:lineRule="atLeast"/>
        <w:ind w:firstLine="422" w:firstLineChars="200"/>
        <w:outlineLvl w:val="2"/>
        <w:rPr>
          <w:b/>
          <w:bCs/>
          <w:color w:val="auto"/>
          <w:kern w:val="0"/>
          <w:szCs w:val="21"/>
          <w:highlight w:val="none"/>
        </w:rPr>
      </w:pPr>
      <w:r>
        <w:rPr>
          <w:b/>
          <w:bCs/>
          <w:color w:val="auto"/>
          <w:kern w:val="0"/>
          <w:szCs w:val="21"/>
          <w:highlight w:val="none"/>
        </w:rPr>
        <w:t>6.6</w:t>
      </w:r>
      <w:r>
        <w:rPr>
          <w:rFonts w:hint="eastAsia"/>
          <w:b/>
          <w:bCs/>
          <w:color w:val="auto"/>
          <w:kern w:val="0"/>
          <w:szCs w:val="21"/>
          <w:highlight w:val="none"/>
        </w:rPr>
        <w:t>废标</w:t>
      </w:r>
    </w:p>
    <w:p w14:paraId="61D0720F">
      <w:pPr>
        <w:spacing w:before="120" w:line="320" w:lineRule="atLeast"/>
        <w:ind w:firstLine="420" w:firstLineChars="200"/>
        <w:rPr>
          <w:color w:val="auto"/>
          <w:kern w:val="1"/>
          <w:szCs w:val="21"/>
          <w:highlight w:val="none"/>
        </w:rPr>
      </w:pPr>
      <w:r>
        <w:rPr>
          <w:color w:val="auto"/>
          <w:kern w:val="1"/>
          <w:szCs w:val="21"/>
          <w:highlight w:val="none"/>
        </w:rPr>
        <w:t>6.6.1</w:t>
      </w:r>
      <w:r>
        <w:rPr>
          <w:rFonts w:hint="eastAsia"/>
          <w:color w:val="auto"/>
          <w:kern w:val="1"/>
          <w:szCs w:val="21"/>
          <w:highlight w:val="none"/>
        </w:rPr>
        <w:t xml:space="preserve">出现下列情形之一，将导致项目废标： </w:t>
      </w:r>
    </w:p>
    <w:p w14:paraId="3DC82FF2">
      <w:pPr>
        <w:spacing w:before="120" w:line="320" w:lineRule="atLeast"/>
        <w:ind w:firstLine="420" w:firstLineChars="200"/>
        <w:rPr>
          <w:color w:val="auto"/>
          <w:szCs w:val="21"/>
          <w:highlight w:val="none"/>
        </w:rPr>
      </w:pPr>
      <w:r>
        <w:rPr>
          <w:rFonts w:hint="eastAsia"/>
          <w:color w:val="auto"/>
          <w:kern w:val="1"/>
          <w:szCs w:val="21"/>
          <w:highlight w:val="none"/>
        </w:rPr>
        <w:t>（1</w:t>
      </w:r>
      <w:r>
        <w:rPr>
          <w:rFonts w:hint="eastAsia"/>
          <w:color w:val="auto"/>
          <w:szCs w:val="21"/>
          <w:highlight w:val="none"/>
        </w:rPr>
        <w:t>）符合专业条件的</w:t>
      </w:r>
      <w:r>
        <w:rPr>
          <w:rFonts w:hint="eastAsia"/>
          <w:color w:val="auto"/>
          <w:szCs w:val="21"/>
          <w:highlight w:val="none"/>
          <w:lang w:eastAsia="zh-CN"/>
        </w:rPr>
        <w:t>投标人</w:t>
      </w:r>
      <w:r>
        <w:rPr>
          <w:rFonts w:hint="eastAsia"/>
          <w:color w:val="auto"/>
          <w:szCs w:val="21"/>
          <w:highlight w:val="none"/>
        </w:rPr>
        <w:t>或者对招标文件做实质性响应的</w:t>
      </w:r>
      <w:r>
        <w:rPr>
          <w:rFonts w:hint="eastAsia"/>
          <w:color w:val="auto"/>
          <w:szCs w:val="21"/>
          <w:highlight w:val="none"/>
          <w:lang w:eastAsia="zh-CN"/>
        </w:rPr>
        <w:t>投标人</w:t>
      </w:r>
      <w:r>
        <w:rPr>
          <w:rFonts w:hint="eastAsia"/>
          <w:color w:val="auto"/>
          <w:szCs w:val="21"/>
          <w:highlight w:val="none"/>
        </w:rPr>
        <w:t>不足三家；</w:t>
      </w:r>
    </w:p>
    <w:p w14:paraId="2247397F">
      <w:pPr>
        <w:spacing w:before="120" w:line="320" w:lineRule="atLeast"/>
        <w:ind w:firstLine="420" w:firstLineChars="200"/>
        <w:rPr>
          <w:color w:val="auto"/>
          <w:szCs w:val="21"/>
          <w:highlight w:val="none"/>
        </w:rPr>
      </w:pPr>
      <w:r>
        <w:rPr>
          <w:rFonts w:hint="eastAsia"/>
          <w:color w:val="auto"/>
          <w:szCs w:val="21"/>
          <w:highlight w:val="none"/>
        </w:rPr>
        <w:t>（2）出现影响采购公正的违法、违规行为的；</w:t>
      </w:r>
    </w:p>
    <w:p w14:paraId="2CDDAA14">
      <w:pPr>
        <w:spacing w:before="120" w:line="320" w:lineRule="atLeast"/>
        <w:ind w:firstLine="420" w:firstLineChars="200"/>
        <w:rPr>
          <w:color w:val="auto"/>
          <w:szCs w:val="21"/>
          <w:highlight w:val="none"/>
        </w:rPr>
      </w:pPr>
      <w:r>
        <w:rPr>
          <w:rFonts w:hint="eastAsia"/>
          <w:color w:val="auto"/>
          <w:szCs w:val="21"/>
          <w:highlight w:val="none"/>
        </w:rPr>
        <w:t>（3）</w:t>
      </w:r>
      <w:r>
        <w:rPr>
          <w:rFonts w:hint="eastAsia"/>
          <w:color w:val="auto"/>
          <w:szCs w:val="21"/>
          <w:highlight w:val="none"/>
          <w:lang w:eastAsia="zh-CN"/>
        </w:rPr>
        <w:t>投标人</w:t>
      </w:r>
      <w:r>
        <w:rPr>
          <w:rFonts w:hint="eastAsia"/>
          <w:color w:val="auto"/>
          <w:szCs w:val="21"/>
          <w:highlight w:val="none"/>
        </w:rPr>
        <w:t>的报价均超过了采购预算，采购人不能支付的；</w:t>
      </w:r>
    </w:p>
    <w:p w14:paraId="75B1E6D8">
      <w:pPr>
        <w:spacing w:before="120" w:line="320" w:lineRule="atLeast"/>
        <w:ind w:firstLine="420" w:firstLineChars="200"/>
        <w:rPr>
          <w:color w:val="auto"/>
          <w:highlight w:val="none"/>
        </w:rPr>
      </w:pPr>
      <w:r>
        <w:rPr>
          <w:rFonts w:hint="eastAsia"/>
          <w:color w:val="auto"/>
          <w:szCs w:val="21"/>
          <w:highlight w:val="none"/>
        </w:rPr>
        <w:t>（4）</w:t>
      </w:r>
      <w:r>
        <w:rPr>
          <w:rFonts w:hint="eastAsia"/>
          <w:color w:val="auto"/>
          <w:highlight w:val="none"/>
        </w:rPr>
        <w:t>因发生重大变故或采购任务取消的。</w:t>
      </w:r>
    </w:p>
    <w:p w14:paraId="2E2B1B61">
      <w:pPr>
        <w:spacing w:before="120" w:line="320" w:lineRule="atLeast"/>
        <w:ind w:firstLine="420" w:firstLineChars="200"/>
        <w:rPr>
          <w:color w:val="auto"/>
          <w:szCs w:val="21"/>
          <w:highlight w:val="none"/>
        </w:rPr>
      </w:pPr>
      <w:r>
        <w:rPr>
          <w:color w:val="auto"/>
          <w:kern w:val="1"/>
          <w:szCs w:val="21"/>
          <w:highlight w:val="none"/>
        </w:rPr>
        <w:t>6.6.2</w:t>
      </w:r>
      <w:r>
        <w:rPr>
          <w:rFonts w:hint="eastAsia"/>
          <w:color w:val="auto"/>
          <w:kern w:val="1"/>
          <w:szCs w:val="21"/>
          <w:highlight w:val="none"/>
        </w:rPr>
        <w:t>废标后</w:t>
      </w:r>
      <w:r>
        <w:rPr>
          <w:rFonts w:hint="eastAsia"/>
          <w:color w:val="auto"/>
          <w:szCs w:val="21"/>
          <w:highlight w:val="none"/>
        </w:rPr>
        <w:t>采购</w:t>
      </w:r>
      <w:r>
        <w:rPr>
          <w:rFonts w:hint="eastAsia"/>
          <w:color w:val="auto"/>
          <w:kern w:val="1"/>
          <w:szCs w:val="21"/>
          <w:highlight w:val="none"/>
        </w:rPr>
        <w:t>代理机构将发布废标公告通知</w:t>
      </w:r>
      <w:r>
        <w:rPr>
          <w:rFonts w:hint="eastAsia"/>
          <w:color w:val="auto"/>
          <w:kern w:val="1"/>
          <w:szCs w:val="21"/>
          <w:highlight w:val="none"/>
          <w:lang w:eastAsia="zh-CN"/>
        </w:rPr>
        <w:t>投标人</w:t>
      </w:r>
      <w:r>
        <w:rPr>
          <w:rFonts w:hint="eastAsia"/>
          <w:color w:val="auto"/>
          <w:kern w:val="1"/>
          <w:szCs w:val="21"/>
          <w:highlight w:val="none"/>
        </w:rPr>
        <w:t>。</w:t>
      </w:r>
      <w:bookmarkEnd w:id="84"/>
    </w:p>
    <w:bookmarkEnd w:id="81"/>
    <w:p w14:paraId="4E669EED">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7．合同</w:t>
      </w:r>
    </w:p>
    <w:p w14:paraId="139CB87D">
      <w:pPr>
        <w:spacing w:before="120" w:line="320" w:lineRule="atLeast"/>
        <w:ind w:firstLine="422" w:firstLineChars="200"/>
        <w:outlineLvl w:val="2"/>
        <w:rPr>
          <w:b/>
          <w:bCs/>
          <w:color w:val="auto"/>
          <w:kern w:val="0"/>
          <w:szCs w:val="21"/>
          <w:highlight w:val="none"/>
        </w:rPr>
      </w:pPr>
      <w:r>
        <w:rPr>
          <w:b/>
          <w:bCs/>
          <w:color w:val="auto"/>
          <w:kern w:val="0"/>
          <w:szCs w:val="21"/>
          <w:highlight w:val="none"/>
        </w:rPr>
        <w:t>7.1合同授予标准</w:t>
      </w:r>
    </w:p>
    <w:p w14:paraId="4DB73FE8">
      <w:pPr>
        <w:spacing w:before="120" w:line="320" w:lineRule="atLeast"/>
        <w:ind w:firstLine="420" w:firstLineChars="200"/>
        <w:rPr>
          <w:color w:val="auto"/>
          <w:szCs w:val="21"/>
          <w:highlight w:val="none"/>
        </w:rPr>
      </w:pPr>
      <w:r>
        <w:rPr>
          <w:color w:val="auto"/>
          <w:szCs w:val="21"/>
          <w:highlight w:val="none"/>
        </w:rPr>
        <w:t>合同将授予被确定实质上响应招标文件要求，具备履行合同能力，综合评分排名第一的</w:t>
      </w:r>
      <w:r>
        <w:rPr>
          <w:rFonts w:hint="eastAsia"/>
          <w:color w:val="auto"/>
          <w:szCs w:val="21"/>
          <w:highlight w:val="none"/>
          <w:lang w:eastAsia="zh-CN"/>
        </w:rPr>
        <w:t>投标人</w:t>
      </w:r>
      <w:r>
        <w:rPr>
          <w:color w:val="auto"/>
          <w:szCs w:val="21"/>
          <w:highlight w:val="none"/>
        </w:rPr>
        <w:t>。在</w:t>
      </w:r>
      <w:r>
        <w:rPr>
          <w:rFonts w:hint="eastAsia"/>
          <w:color w:val="auto"/>
          <w:szCs w:val="21"/>
          <w:highlight w:val="none"/>
        </w:rPr>
        <w:t>中标</w:t>
      </w:r>
      <w:r>
        <w:rPr>
          <w:color w:val="auto"/>
          <w:szCs w:val="21"/>
          <w:highlight w:val="none"/>
        </w:rPr>
        <w:t>通知书发出前或签订合同前，如果</w:t>
      </w:r>
      <w:r>
        <w:rPr>
          <w:rFonts w:hint="eastAsia"/>
          <w:color w:val="auto"/>
          <w:szCs w:val="21"/>
          <w:highlight w:val="none"/>
        </w:rPr>
        <w:t>中标</w:t>
      </w:r>
      <w:r>
        <w:rPr>
          <w:color w:val="auto"/>
          <w:szCs w:val="21"/>
          <w:highlight w:val="none"/>
        </w:rPr>
        <w:t>人的组织机构</w:t>
      </w:r>
      <w:r>
        <w:rPr>
          <w:rFonts w:hint="eastAsia"/>
          <w:color w:val="auto"/>
          <w:szCs w:val="21"/>
          <w:highlight w:val="none"/>
        </w:rPr>
        <w:t>、</w:t>
      </w:r>
      <w:r>
        <w:rPr>
          <w:color w:val="auto"/>
          <w:szCs w:val="21"/>
          <w:highlight w:val="none"/>
        </w:rPr>
        <w:t>经营、财务状况发生较大变化，可能造成不能履行合同、无法按照</w:t>
      </w:r>
      <w:r>
        <w:rPr>
          <w:rFonts w:hint="eastAsia"/>
          <w:color w:val="auto"/>
          <w:szCs w:val="21"/>
          <w:highlight w:val="none"/>
        </w:rPr>
        <w:t>招标</w:t>
      </w:r>
      <w:r>
        <w:rPr>
          <w:color w:val="auto"/>
          <w:szCs w:val="21"/>
          <w:highlight w:val="none"/>
        </w:rPr>
        <w:t>文件要求提交履约保证金等情形，不符合中标条件或不满足</w:t>
      </w:r>
      <w:r>
        <w:rPr>
          <w:rFonts w:hint="eastAsia"/>
          <w:color w:val="auto"/>
          <w:szCs w:val="21"/>
          <w:highlight w:val="none"/>
          <w:lang w:eastAsia="zh-CN"/>
        </w:rPr>
        <w:t>投标人</w:t>
      </w:r>
      <w:r>
        <w:rPr>
          <w:color w:val="auto"/>
          <w:szCs w:val="21"/>
          <w:highlight w:val="none"/>
        </w:rPr>
        <w:t>资格条件要求 ，应在</w:t>
      </w:r>
      <w:r>
        <w:rPr>
          <w:rFonts w:hint="eastAsia"/>
          <w:color w:val="auto"/>
          <w:szCs w:val="21"/>
          <w:highlight w:val="none"/>
        </w:rPr>
        <w:t>中标</w:t>
      </w:r>
      <w:r>
        <w:rPr>
          <w:color w:val="auto"/>
          <w:szCs w:val="21"/>
          <w:highlight w:val="none"/>
        </w:rPr>
        <w:t>通知书发出前或签订合同前及时书面告知采购人</w:t>
      </w:r>
      <w:r>
        <w:rPr>
          <w:rFonts w:hint="eastAsia"/>
          <w:color w:val="auto"/>
          <w:szCs w:val="21"/>
          <w:highlight w:val="none"/>
        </w:rPr>
        <w:t>，</w:t>
      </w:r>
      <w:r>
        <w:rPr>
          <w:color w:val="auto"/>
          <w:szCs w:val="21"/>
          <w:highlight w:val="none"/>
        </w:rPr>
        <w:t>未主动告知</w:t>
      </w:r>
      <w:r>
        <w:rPr>
          <w:rFonts w:hint="eastAsia"/>
          <w:color w:val="auto"/>
          <w:szCs w:val="21"/>
          <w:highlight w:val="none"/>
        </w:rPr>
        <w:t>，</w:t>
      </w:r>
      <w:r>
        <w:rPr>
          <w:color w:val="auto"/>
          <w:szCs w:val="21"/>
          <w:highlight w:val="none"/>
        </w:rPr>
        <w:t>给采购人造成损失的</w:t>
      </w:r>
      <w:r>
        <w:rPr>
          <w:rFonts w:hint="eastAsia"/>
          <w:color w:val="auto"/>
          <w:szCs w:val="21"/>
          <w:highlight w:val="none"/>
        </w:rPr>
        <w:t>，</w:t>
      </w:r>
      <w:r>
        <w:rPr>
          <w:color w:val="auto"/>
          <w:szCs w:val="21"/>
          <w:highlight w:val="none"/>
        </w:rPr>
        <w:t>采购人有权</w:t>
      </w:r>
      <w:r>
        <w:rPr>
          <w:rFonts w:hint="eastAsia"/>
          <w:color w:val="auto"/>
          <w:szCs w:val="21"/>
          <w:highlight w:val="none"/>
        </w:rPr>
        <w:t>取消其中标资格并</w:t>
      </w:r>
      <w:r>
        <w:rPr>
          <w:color w:val="auto"/>
          <w:szCs w:val="21"/>
          <w:highlight w:val="none"/>
        </w:rPr>
        <w:t>没收投标保证金</w:t>
      </w:r>
      <w:r>
        <w:rPr>
          <w:rFonts w:hint="eastAsia"/>
          <w:color w:val="auto"/>
          <w:szCs w:val="21"/>
          <w:highlight w:val="none"/>
        </w:rPr>
        <w:t>。</w:t>
      </w:r>
    </w:p>
    <w:p w14:paraId="6354AC65">
      <w:pPr>
        <w:spacing w:before="120" w:line="320" w:lineRule="atLeast"/>
        <w:ind w:firstLine="422" w:firstLineChars="200"/>
        <w:outlineLvl w:val="2"/>
        <w:rPr>
          <w:b/>
          <w:bCs/>
          <w:color w:val="auto"/>
          <w:kern w:val="0"/>
          <w:szCs w:val="21"/>
          <w:highlight w:val="none"/>
        </w:rPr>
      </w:pPr>
      <w:r>
        <w:rPr>
          <w:b/>
          <w:bCs/>
          <w:color w:val="auto"/>
          <w:kern w:val="0"/>
          <w:szCs w:val="21"/>
          <w:highlight w:val="none"/>
        </w:rPr>
        <w:t>7.2签订合同</w:t>
      </w:r>
    </w:p>
    <w:p w14:paraId="3CA4FD68">
      <w:pPr>
        <w:spacing w:before="120" w:line="320" w:lineRule="atLeast"/>
        <w:ind w:firstLine="420" w:firstLineChars="200"/>
        <w:rPr>
          <w:color w:val="auto"/>
          <w:szCs w:val="21"/>
          <w:highlight w:val="none"/>
        </w:rPr>
      </w:pPr>
      <w:bookmarkStart w:id="97" w:name="_Hlk93421039"/>
      <w:r>
        <w:rPr>
          <w:color w:val="auto"/>
          <w:szCs w:val="21"/>
          <w:highlight w:val="none"/>
        </w:rPr>
        <w:t>7.2.1如</w:t>
      </w:r>
      <w:r>
        <w:rPr>
          <w:rFonts w:hint="eastAsia"/>
          <w:color w:val="auto"/>
          <w:szCs w:val="21"/>
          <w:highlight w:val="none"/>
        </w:rPr>
        <w:t>招标</w:t>
      </w:r>
      <w:r>
        <w:rPr>
          <w:color w:val="auto"/>
          <w:szCs w:val="21"/>
          <w:highlight w:val="none"/>
        </w:rPr>
        <w:t>文件无</w:t>
      </w:r>
      <w:r>
        <w:rPr>
          <w:rFonts w:hint="eastAsia"/>
          <w:color w:val="auto"/>
          <w:szCs w:val="21"/>
          <w:highlight w:val="none"/>
        </w:rPr>
        <w:t>特别</w:t>
      </w:r>
      <w:r>
        <w:rPr>
          <w:color w:val="auto"/>
          <w:szCs w:val="21"/>
          <w:highlight w:val="none"/>
        </w:rPr>
        <w:t>规定，</w:t>
      </w:r>
      <w:r>
        <w:rPr>
          <w:rFonts w:hint="eastAsia"/>
          <w:color w:val="auto"/>
          <w:szCs w:val="21"/>
          <w:highlight w:val="none"/>
        </w:rPr>
        <w:t>中标人按招标文件确定的事项签订政府采购合同。</w:t>
      </w:r>
    </w:p>
    <w:p w14:paraId="4706BC50">
      <w:pPr>
        <w:spacing w:before="120" w:line="320" w:lineRule="atLeast"/>
        <w:ind w:firstLine="420" w:firstLineChars="200"/>
        <w:rPr>
          <w:color w:val="auto"/>
          <w:szCs w:val="21"/>
          <w:highlight w:val="none"/>
        </w:rPr>
      </w:pPr>
      <w:r>
        <w:rPr>
          <w:color w:val="auto"/>
          <w:szCs w:val="21"/>
          <w:highlight w:val="none"/>
        </w:rPr>
        <w:t>7.2.2</w:t>
      </w:r>
      <w:r>
        <w:rPr>
          <w:rFonts w:hint="eastAsia"/>
          <w:color w:val="auto"/>
          <w:szCs w:val="21"/>
          <w:highlight w:val="none"/>
        </w:rPr>
        <w:t>政府采购合同应当包括采购人与中标人的名称和住所、标的、数量、质量、价款或者报酬、履行期限及地点和方式、验收要求、违约责任、解决争议的方法等内容。</w:t>
      </w:r>
      <w:r>
        <w:rPr>
          <w:color w:val="auto"/>
          <w:szCs w:val="21"/>
          <w:highlight w:val="none"/>
        </w:rPr>
        <w:t>招标文件、中标人的投标文件及澄清文件等，均为签订政府采购合同的依据。</w:t>
      </w:r>
    </w:p>
    <w:p w14:paraId="2BFE6140">
      <w:pPr>
        <w:spacing w:before="120" w:line="320" w:lineRule="atLeast"/>
        <w:ind w:firstLine="420" w:firstLineChars="200"/>
        <w:rPr>
          <w:color w:val="auto"/>
          <w:szCs w:val="21"/>
          <w:highlight w:val="none"/>
        </w:rPr>
      </w:pPr>
      <w:r>
        <w:rPr>
          <w:color w:val="auto"/>
          <w:szCs w:val="21"/>
          <w:highlight w:val="none"/>
        </w:rPr>
        <w:t>7.2.3如中标人不按中标通知书的规定签订合同，</w:t>
      </w:r>
      <w:r>
        <w:rPr>
          <w:rFonts w:hint="eastAsia"/>
          <w:color w:val="auto"/>
          <w:szCs w:val="21"/>
          <w:highlight w:val="none"/>
        </w:rPr>
        <w:t>其投标保证金将不予退还，并报由同级政府采购监督管理部门处理。</w:t>
      </w:r>
    </w:p>
    <w:p w14:paraId="77626565">
      <w:pPr>
        <w:spacing w:before="120" w:line="320" w:lineRule="atLeast"/>
        <w:ind w:firstLine="420" w:firstLineChars="200"/>
        <w:rPr>
          <w:color w:val="auto"/>
          <w:szCs w:val="21"/>
          <w:highlight w:val="none"/>
        </w:rPr>
      </w:pPr>
      <w:r>
        <w:rPr>
          <w:rFonts w:hint="eastAsia"/>
          <w:color w:val="auto"/>
          <w:szCs w:val="21"/>
          <w:highlight w:val="none"/>
        </w:rPr>
        <w:t>7</w:t>
      </w:r>
      <w:r>
        <w:rPr>
          <w:color w:val="auto"/>
          <w:szCs w:val="21"/>
          <w:highlight w:val="none"/>
        </w:rPr>
        <w:t>.2.4</w:t>
      </w:r>
      <w:r>
        <w:rPr>
          <w:rFonts w:hint="eastAsia"/>
          <w:color w:val="auto"/>
          <w:szCs w:val="21"/>
          <w:highlight w:val="none"/>
        </w:rPr>
        <w:t>中标人拒绝与采购人签订合同的，采购人可以按照评审报告推荐的中标候选人名单排序，确定下一候选人为中标人，也可以重新开展政府采购活动。</w:t>
      </w:r>
    </w:p>
    <w:p w14:paraId="51721EA2">
      <w:pPr>
        <w:spacing w:before="120" w:line="320" w:lineRule="atLeast"/>
        <w:ind w:firstLine="420" w:firstLineChars="200"/>
        <w:rPr>
          <w:color w:val="auto"/>
          <w:szCs w:val="21"/>
          <w:highlight w:val="none"/>
        </w:rPr>
      </w:pPr>
      <w:bookmarkStart w:id="98" w:name="_Hlk155170999"/>
      <w:r>
        <w:rPr>
          <w:rFonts w:hint="eastAsia"/>
          <w:color w:val="auto"/>
          <w:szCs w:val="21"/>
          <w:highlight w:val="none"/>
        </w:rPr>
        <w:t>7</w:t>
      </w:r>
      <w:r>
        <w:rPr>
          <w:color w:val="auto"/>
          <w:szCs w:val="21"/>
          <w:highlight w:val="none"/>
        </w:rPr>
        <w:t>.2.5</w:t>
      </w:r>
      <w:r>
        <w:rPr>
          <w:rFonts w:hint="eastAsia"/>
          <w:color w:val="auto"/>
          <w:szCs w:val="21"/>
          <w:highlight w:val="none"/>
        </w:rPr>
        <w:t>采购人因不可抗力原因迟延签订合同的，应当自不可抗力事由消除之日起5个工作日内完成合同签订事宜。</w:t>
      </w:r>
    </w:p>
    <w:bookmarkEnd w:id="97"/>
    <w:bookmarkEnd w:id="98"/>
    <w:p w14:paraId="7617F088">
      <w:pPr>
        <w:spacing w:before="120" w:line="320" w:lineRule="atLeast"/>
        <w:ind w:firstLine="422" w:firstLineChars="200"/>
        <w:outlineLvl w:val="2"/>
        <w:rPr>
          <w:b/>
          <w:bCs/>
          <w:color w:val="auto"/>
          <w:kern w:val="0"/>
          <w:szCs w:val="21"/>
          <w:highlight w:val="none"/>
        </w:rPr>
      </w:pPr>
      <w:r>
        <w:rPr>
          <w:b/>
          <w:bCs/>
          <w:color w:val="auto"/>
          <w:kern w:val="0"/>
          <w:szCs w:val="21"/>
          <w:highlight w:val="none"/>
        </w:rPr>
        <w:t>7.3合同公告</w:t>
      </w:r>
    </w:p>
    <w:p w14:paraId="303DD41C">
      <w:pPr>
        <w:spacing w:before="120" w:line="320" w:lineRule="atLeast"/>
        <w:ind w:firstLine="420" w:firstLineChars="200"/>
        <w:rPr>
          <w:color w:val="auto"/>
          <w:szCs w:val="21"/>
          <w:highlight w:val="none"/>
        </w:rPr>
      </w:pPr>
      <w:bookmarkStart w:id="99" w:name="_Hlk93421052"/>
      <w:r>
        <w:rPr>
          <w:color w:val="auto"/>
          <w:szCs w:val="21"/>
          <w:highlight w:val="none"/>
        </w:rPr>
        <w:t>7.3.1如</w:t>
      </w:r>
      <w:r>
        <w:rPr>
          <w:rFonts w:hint="eastAsia"/>
          <w:color w:val="auto"/>
          <w:szCs w:val="21"/>
          <w:highlight w:val="none"/>
        </w:rPr>
        <w:t>招标</w:t>
      </w:r>
      <w:r>
        <w:rPr>
          <w:color w:val="auto"/>
          <w:szCs w:val="21"/>
          <w:highlight w:val="none"/>
        </w:rPr>
        <w:t>文件无特殊规定</w:t>
      </w:r>
      <w:r>
        <w:rPr>
          <w:rFonts w:hint="eastAsia"/>
          <w:color w:val="auto"/>
          <w:szCs w:val="21"/>
          <w:highlight w:val="none"/>
        </w:rPr>
        <w:t>，</w:t>
      </w:r>
      <w:r>
        <w:rPr>
          <w:color w:val="auto"/>
          <w:szCs w:val="21"/>
          <w:highlight w:val="none"/>
        </w:rPr>
        <w:t>中标人应在签订合同后1个工作日内，将政府采购合同副本送采购代理机构</w:t>
      </w:r>
      <w:r>
        <w:rPr>
          <w:rFonts w:hint="eastAsia"/>
          <w:color w:val="auto"/>
          <w:szCs w:val="21"/>
          <w:highlight w:val="none"/>
        </w:rPr>
        <w:t>存档</w:t>
      </w:r>
      <w:r>
        <w:rPr>
          <w:color w:val="auto"/>
          <w:szCs w:val="21"/>
          <w:highlight w:val="none"/>
        </w:rPr>
        <w:t>。</w:t>
      </w:r>
    </w:p>
    <w:p w14:paraId="44319782">
      <w:pPr>
        <w:spacing w:before="120" w:line="320" w:lineRule="atLeast"/>
        <w:ind w:firstLine="420" w:firstLineChars="200"/>
        <w:rPr>
          <w:color w:val="auto"/>
          <w:szCs w:val="21"/>
          <w:highlight w:val="none"/>
        </w:rPr>
      </w:pPr>
      <w:r>
        <w:rPr>
          <w:color w:val="auto"/>
          <w:szCs w:val="21"/>
          <w:highlight w:val="none"/>
        </w:rPr>
        <w:t>7.3.2采购人应当自政府采购合同签订之日起2个工作日内，将政府采购合同在省级以上人民政府财政部门指定的媒体上公告，但政府采购合同中涉及国家秘密、商业秘密的内容除外。</w:t>
      </w:r>
    </w:p>
    <w:p w14:paraId="1AD78984">
      <w:pPr>
        <w:spacing w:before="120" w:line="320" w:lineRule="atLeast"/>
        <w:ind w:firstLine="420" w:firstLineChars="200"/>
        <w:rPr>
          <w:color w:val="auto"/>
          <w:szCs w:val="21"/>
          <w:highlight w:val="none"/>
        </w:rPr>
      </w:pPr>
      <w:bookmarkStart w:id="100" w:name="_Hlk155171014"/>
      <w:r>
        <w:rPr>
          <w:rFonts w:hint="eastAsia"/>
          <w:color w:val="auto"/>
          <w:szCs w:val="21"/>
          <w:highlight w:val="none"/>
        </w:rPr>
        <w:t>7</w:t>
      </w:r>
      <w:r>
        <w:rPr>
          <w:color w:val="auto"/>
          <w:szCs w:val="21"/>
          <w:highlight w:val="none"/>
        </w:rPr>
        <w:t xml:space="preserve">.3.3 </w:t>
      </w:r>
      <w:r>
        <w:rPr>
          <w:rFonts w:hint="eastAsia"/>
          <w:color w:val="auto"/>
          <w:szCs w:val="21"/>
          <w:highlight w:val="none"/>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p>
    <w:bookmarkEnd w:id="99"/>
    <w:bookmarkEnd w:id="100"/>
    <w:p w14:paraId="2DCD7CD4">
      <w:pPr>
        <w:spacing w:before="120" w:line="320" w:lineRule="atLeast"/>
        <w:ind w:firstLine="422" w:firstLineChars="200"/>
        <w:outlineLvl w:val="2"/>
        <w:rPr>
          <w:b/>
          <w:bCs/>
          <w:color w:val="auto"/>
          <w:kern w:val="0"/>
          <w:szCs w:val="21"/>
          <w:highlight w:val="none"/>
        </w:rPr>
      </w:pPr>
      <w:r>
        <w:rPr>
          <w:b/>
          <w:bCs/>
          <w:color w:val="auto"/>
          <w:kern w:val="0"/>
          <w:szCs w:val="21"/>
          <w:highlight w:val="none"/>
        </w:rPr>
        <w:t>7.4 履行合同</w:t>
      </w:r>
    </w:p>
    <w:p w14:paraId="1D685859">
      <w:pPr>
        <w:spacing w:before="120" w:line="320" w:lineRule="atLeast"/>
        <w:ind w:firstLine="420" w:firstLineChars="200"/>
        <w:rPr>
          <w:color w:val="auto"/>
          <w:szCs w:val="21"/>
          <w:highlight w:val="none"/>
        </w:rPr>
      </w:pPr>
      <w:bookmarkStart w:id="101" w:name="_Hlk93421061"/>
      <w:r>
        <w:rPr>
          <w:color w:val="auto"/>
          <w:szCs w:val="21"/>
          <w:highlight w:val="none"/>
        </w:rPr>
        <w:t>7.4.1</w:t>
      </w:r>
      <w:bookmarkStart w:id="102" w:name="_Toc217446070"/>
      <w:bookmarkStart w:id="103" w:name="_Toc308164814"/>
      <w:r>
        <w:rPr>
          <w:rFonts w:hint="eastAsia"/>
          <w:color w:val="auto"/>
          <w:szCs w:val="21"/>
          <w:highlight w:val="none"/>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101"/>
    <w:p w14:paraId="5F564A9C">
      <w:pPr>
        <w:spacing w:before="120" w:line="320" w:lineRule="atLeast"/>
        <w:ind w:firstLine="422" w:firstLineChars="200"/>
        <w:rPr>
          <w:b/>
          <w:bCs/>
          <w:color w:val="auto"/>
          <w:kern w:val="0"/>
          <w:szCs w:val="21"/>
          <w:highlight w:val="none"/>
        </w:rPr>
      </w:pPr>
      <w:r>
        <w:rPr>
          <w:b/>
          <w:bCs/>
          <w:color w:val="auto"/>
          <w:kern w:val="0"/>
          <w:szCs w:val="21"/>
          <w:highlight w:val="none"/>
        </w:rPr>
        <w:t>7.5履约验收</w:t>
      </w:r>
      <w:bookmarkEnd w:id="102"/>
      <w:bookmarkEnd w:id="103"/>
    </w:p>
    <w:p w14:paraId="7953824C">
      <w:pPr>
        <w:spacing w:before="120" w:line="320" w:lineRule="atLeast"/>
        <w:ind w:firstLine="420" w:firstLineChars="200"/>
        <w:rPr>
          <w:color w:val="auto"/>
          <w:szCs w:val="21"/>
          <w:highlight w:val="none"/>
        </w:rPr>
      </w:pPr>
      <w:bookmarkStart w:id="104" w:name="_Hlk93421069"/>
      <w:r>
        <w:rPr>
          <w:color w:val="auto"/>
          <w:szCs w:val="21"/>
          <w:highlight w:val="none"/>
        </w:rPr>
        <w:t>7.5.1采购人可以根据政府采购项目具体情况自行组织验收，或者委托政府采购代理机构、国家认可的质量检测机构开展采购项目履约验收工作。</w:t>
      </w:r>
    </w:p>
    <w:p w14:paraId="1D9A95D8">
      <w:pPr>
        <w:spacing w:before="120" w:line="320" w:lineRule="atLeast"/>
        <w:ind w:firstLine="420" w:firstLineChars="200"/>
        <w:rPr>
          <w:color w:val="auto"/>
          <w:szCs w:val="21"/>
          <w:highlight w:val="none"/>
        </w:rPr>
      </w:pPr>
      <w:r>
        <w:rPr>
          <w:color w:val="auto"/>
          <w:szCs w:val="21"/>
          <w:highlight w:val="none"/>
        </w:rPr>
        <w:t>7.5.2验收结果合格的，中标人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0358EF45">
      <w:pPr>
        <w:spacing w:before="120" w:line="320" w:lineRule="atLeast"/>
        <w:ind w:firstLine="420" w:firstLineChars="200"/>
        <w:rPr>
          <w:color w:val="auto"/>
          <w:szCs w:val="21"/>
          <w:highlight w:val="none"/>
        </w:rPr>
      </w:pPr>
      <w:r>
        <w:rPr>
          <w:color w:val="auto"/>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14:paraId="723414AC">
      <w:pPr>
        <w:spacing w:before="120" w:line="320" w:lineRule="atLeast"/>
        <w:ind w:firstLine="420" w:firstLineChars="200"/>
        <w:rPr>
          <w:color w:val="auto"/>
          <w:szCs w:val="21"/>
          <w:highlight w:val="none"/>
        </w:rPr>
      </w:pPr>
      <w:r>
        <w:rPr>
          <w:color w:val="auto"/>
          <w:szCs w:val="21"/>
          <w:highlight w:val="none"/>
        </w:rPr>
        <w:t>7.5.4本项目将严格按照本招标文件及合同有关规定进行合同履约验收。招标文件或合同未规定的按财政部关于进一步加强政府采购需求和履约验收管理的指导意见（财库〔2016〕205号）以及《广西壮族自治区政府采购项目履约验收管理办法》（桂财采〔2015〕22号）的规定执行。</w:t>
      </w:r>
    </w:p>
    <w:bookmarkEnd w:id="104"/>
    <w:p w14:paraId="3671BBDA">
      <w:pPr>
        <w:spacing w:before="120" w:line="320" w:lineRule="atLeast"/>
        <w:ind w:left="2" w:leftChars="1" w:firstLine="422" w:firstLineChars="200"/>
        <w:outlineLvl w:val="1"/>
        <w:rPr>
          <w:b/>
          <w:bCs/>
          <w:color w:val="auto"/>
          <w:kern w:val="0"/>
          <w:szCs w:val="21"/>
          <w:highlight w:val="none"/>
        </w:rPr>
      </w:pPr>
      <w:bookmarkStart w:id="105" w:name="_Toc254970674"/>
      <w:bookmarkStart w:id="106" w:name="_Toc254970533"/>
      <w:r>
        <w:rPr>
          <w:b/>
          <w:bCs/>
          <w:color w:val="auto"/>
          <w:kern w:val="0"/>
          <w:szCs w:val="21"/>
          <w:highlight w:val="none"/>
        </w:rPr>
        <w:t>8．质疑和投诉</w:t>
      </w:r>
      <w:bookmarkEnd w:id="105"/>
      <w:bookmarkEnd w:id="106"/>
    </w:p>
    <w:p w14:paraId="702FA6E5">
      <w:pPr>
        <w:spacing w:before="120" w:line="320" w:lineRule="atLeast"/>
        <w:ind w:firstLine="422" w:firstLineChars="200"/>
        <w:outlineLvl w:val="2"/>
        <w:rPr>
          <w:b/>
          <w:bCs/>
          <w:color w:val="auto"/>
          <w:kern w:val="0"/>
          <w:szCs w:val="21"/>
          <w:highlight w:val="none"/>
        </w:rPr>
      </w:pPr>
      <w:r>
        <w:rPr>
          <w:b/>
          <w:bCs/>
          <w:color w:val="auto"/>
          <w:kern w:val="0"/>
          <w:szCs w:val="21"/>
          <w:highlight w:val="none"/>
        </w:rPr>
        <w:t>8.1质疑</w:t>
      </w:r>
    </w:p>
    <w:p w14:paraId="35B5A79B">
      <w:pPr>
        <w:spacing w:before="120" w:line="320" w:lineRule="atLeast"/>
        <w:ind w:firstLine="420" w:firstLineChars="200"/>
        <w:rPr>
          <w:color w:val="auto"/>
          <w:szCs w:val="21"/>
          <w:highlight w:val="none"/>
        </w:rPr>
      </w:pPr>
      <w:r>
        <w:rPr>
          <w:color w:val="auto"/>
          <w:szCs w:val="21"/>
          <w:highlight w:val="none"/>
        </w:rPr>
        <w:t>8.1.1质疑内容、时限</w:t>
      </w:r>
    </w:p>
    <w:p w14:paraId="1F3D18C5">
      <w:pPr>
        <w:spacing w:before="120" w:line="320" w:lineRule="atLeast"/>
        <w:ind w:firstLine="420" w:firstLineChars="200"/>
        <w:rPr>
          <w:color w:val="auto"/>
          <w:szCs w:val="21"/>
          <w:highlight w:val="none"/>
        </w:rPr>
      </w:pPr>
      <w:r>
        <w:rPr>
          <w:rFonts w:hint="eastAsia"/>
          <w:color w:val="auto"/>
          <w:szCs w:val="21"/>
          <w:highlight w:val="none"/>
        </w:rPr>
        <w:t>（1）</w:t>
      </w:r>
      <w:r>
        <w:rPr>
          <w:rFonts w:hint="eastAsia"/>
          <w:color w:val="auto"/>
          <w:szCs w:val="21"/>
          <w:highlight w:val="none"/>
          <w:lang w:eastAsia="zh-CN"/>
        </w:rPr>
        <w:t>投标人</w:t>
      </w:r>
      <w:r>
        <w:rPr>
          <w:rFonts w:hint="eastAsia"/>
          <w:color w:val="auto"/>
          <w:szCs w:val="21"/>
          <w:highlight w:val="none"/>
        </w:rPr>
        <w:t>对政府采购活动有疑问的，可以向采购人或采购代理机构提出询问。采购人或者采购代理机构应当在3个工作日内对</w:t>
      </w:r>
      <w:r>
        <w:rPr>
          <w:rFonts w:hint="eastAsia"/>
          <w:color w:val="auto"/>
          <w:szCs w:val="21"/>
          <w:highlight w:val="none"/>
          <w:lang w:eastAsia="zh-CN"/>
        </w:rPr>
        <w:t>投标人</w:t>
      </w:r>
      <w:r>
        <w:rPr>
          <w:rFonts w:hint="eastAsia"/>
          <w:color w:val="auto"/>
          <w:szCs w:val="21"/>
          <w:highlight w:val="none"/>
        </w:rPr>
        <w:t>依法提出的询问作出答复。</w:t>
      </w:r>
    </w:p>
    <w:p w14:paraId="3D918DC2">
      <w:pPr>
        <w:spacing w:before="120" w:line="320" w:lineRule="atLeast"/>
        <w:ind w:firstLine="420" w:firstLineChars="200"/>
        <w:rPr>
          <w:color w:val="auto"/>
          <w:szCs w:val="21"/>
          <w:highlight w:val="none"/>
        </w:rPr>
      </w:pPr>
      <w:r>
        <w:rPr>
          <w:rFonts w:hint="eastAsia"/>
          <w:color w:val="auto"/>
          <w:szCs w:val="21"/>
          <w:highlight w:val="none"/>
        </w:rPr>
        <w:t>（2）</w:t>
      </w:r>
      <w:r>
        <w:rPr>
          <w:rFonts w:hint="eastAsia"/>
          <w:color w:val="auto"/>
          <w:szCs w:val="21"/>
          <w:highlight w:val="none"/>
          <w:lang w:eastAsia="zh-CN"/>
        </w:rPr>
        <w:t>投标人</w:t>
      </w:r>
      <w:r>
        <w:rPr>
          <w:rFonts w:hint="eastAsia"/>
          <w:color w:val="auto"/>
          <w:szCs w:val="21"/>
          <w:highlight w:val="none"/>
        </w:rPr>
        <w:t>认为招标文件、采购过程、中标或者成交结果使自己的权益受到损害的，可以在知道或者应知其权益受到损害之日起7个工作日内向采购人或采购代理机构提出质疑。采购人或</w:t>
      </w:r>
      <w:r>
        <w:rPr>
          <w:color w:val="auto"/>
          <w:szCs w:val="21"/>
          <w:highlight w:val="none"/>
        </w:rPr>
        <w:t>采购代理机构在收到</w:t>
      </w:r>
      <w:r>
        <w:rPr>
          <w:rFonts w:hint="eastAsia"/>
          <w:color w:val="auto"/>
          <w:szCs w:val="21"/>
          <w:highlight w:val="none"/>
          <w:lang w:eastAsia="zh-CN"/>
        </w:rPr>
        <w:t>投标人</w:t>
      </w:r>
      <w:r>
        <w:rPr>
          <w:color w:val="auto"/>
          <w:szCs w:val="21"/>
          <w:highlight w:val="none"/>
        </w:rPr>
        <w:t>书面质疑后7个工作日内，对质疑内容作出答复。</w:t>
      </w:r>
    </w:p>
    <w:p w14:paraId="59B17321">
      <w:pPr>
        <w:spacing w:before="120" w:line="320" w:lineRule="atLeast"/>
        <w:ind w:firstLine="420" w:firstLineChars="200"/>
        <w:rPr>
          <w:color w:val="auto"/>
          <w:szCs w:val="21"/>
          <w:highlight w:val="none"/>
        </w:rPr>
      </w:pPr>
      <w:r>
        <w:rPr>
          <w:color w:val="auto"/>
          <w:szCs w:val="21"/>
          <w:highlight w:val="none"/>
        </w:rPr>
        <w:t>8.1.2质疑形式</w:t>
      </w:r>
    </w:p>
    <w:p w14:paraId="68EAD7CC">
      <w:pPr>
        <w:spacing w:before="120" w:line="320" w:lineRule="atLeast"/>
        <w:ind w:firstLine="420" w:firstLineChars="200"/>
        <w:rPr>
          <w:color w:val="auto"/>
          <w:szCs w:val="21"/>
          <w:highlight w:val="none"/>
        </w:rPr>
      </w:pPr>
      <w:r>
        <w:rPr>
          <w:color w:val="auto"/>
          <w:szCs w:val="21"/>
          <w:highlight w:val="none"/>
        </w:rPr>
        <w:t>质疑应当采用</w:t>
      </w:r>
      <w:r>
        <w:rPr>
          <w:rFonts w:hint="eastAsia"/>
          <w:color w:val="auto"/>
          <w:szCs w:val="21"/>
          <w:highlight w:val="none"/>
        </w:rPr>
        <w:t>投标人须知</w:t>
      </w:r>
      <w:r>
        <w:rPr>
          <w:color w:val="auto"/>
          <w:szCs w:val="21"/>
          <w:highlight w:val="none"/>
        </w:rPr>
        <w:t>前附表所规定的形式，质疑书应明确阐述</w:t>
      </w:r>
      <w:r>
        <w:rPr>
          <w:rFonts w:hint="eastAsia"/>
          <w:color w:val="auto"/>
          <w:szCs w:val="21"/>
          <w:highlight w:val="none"/>
        </w:rPr>
        <w:t>招标文件</w:t>
      </w:r>
      <w:r>
        <w:rPr>
          <w:color w:val="auto"/>
          <w:szCs w:val="21"/>
          <w:highlight w:val="none"/>
        </w:rPr>
        <w:t>、</w:t>
      </w:r>
      <w:r>
        <w:rPr>
          <w:rFonts w:hint="eastAsia"/>
          <w:color w:val="auto"/>
          <w:szCs w:val="21"/>
          <w:highlight w:val="none"/>
        </w:rPr>
        <w:t>采购</w:t>
      </w:r>
      <w:r>
        <w:rPr>
          <w:color w:val="auto"/>
          <w:szCs w:val="21"/>
          <w:highlight w:val="none"/>
        </w:rPr>
        <w:t>过程或中标结果中使自己合法权益受到损害的实质性内容，提供相关事实、依据和证据及其来源或线索，便于有关单位调查、答复和处理。</w:t>
      </w:r>
    </w:p>
    <w:p w14:paraId="3C6048CE">
      <w:pPr>
        <w:spacing w:before="120" w:line="320" w:lineRule="atLeast"/>
        <w:ind w:firstLine="420" w:firstLineChars="200"/>
        <w:rPr>
          <w:color w:val="auto"/>
          <w:szCs w:val="21"/>
          <w:highlight w:val="none"/>
        </w:rPr>
      </w:pPr>
      <w:r>
        <w:rPr>
          <w:rFonts w:hint="eastAsia"/>
          <w:color w:val="auto"/>
          <w:szCs w:val="21"/>
          <w:highlight w:val="none"/>
        </w:rPr>
        <w:t>8</w:t>
      </w:r>
      <w:r>
        <w:rPr>
          <w:color w:val="auto"/>
          <w:szCs w:val="21"/>
          <w:highlight w:val="none"/>
        </w:rPr>
        <w:t>.1.3</w:t>
      </w:r>
      <w:r>
        <w:rPr>
          <w:rFonts w:hint="eastAsia"/>
          <w:color w:val="auto"/>
          <w:highlight w:val="none"/>
        </w:rPr>
        <w:t xml:space="preserve"> </w:t>
      </w:r>
      <w:r>
        <w:rPr>
          <w:rFonts w:hint="eastAsia"/>
          <w:color w:val="auto"/>
          <w:szCs w:val="21"/>
          <w:highlight w:val="none"/>
          <w:lang w:eastAsia="zh-CN"/>
        </w:rPr>
        <w:t>投标人</w:t>
      </w:r>
      <w:r>
        <w:rPr>
          <w:rFonts w:hint="eastAsia"/>
          <w:color w:val="auto"/>
          <w:szCs w:val="21"/>
          <w:highlight w:val="none"/>
        </w:rPr>
        <w:t>提出质疑应当提交质疑函和必要的证明材料。质疑函应当包括下列内容：</w:t>
      </w:r>
    </w:p>
    <w:p w14:paraId="4AAF52CB">
      <w:pPr>
        <w:spacing w:before="120" w:line="320" w:lineRule="atLeast"/>
        <w:ind w:firstLine="420" w:firstLineChars="200"/>
        <w:rPr>
          <w:color w:val="auto"/>
          <w:szCs w:val="21"/>
          <w:highlight w:val="none"/>
        </w:rPr>
      </w:pPr>
      <w:r>
        <w:rPr>
          <w:rFonts w:hint="eastAsia"/>
          <w:color w:val="auto"/>
          <w:szCs w:val="21"/>
          <w:highlight w:val="none"/>
        </w:rPr>
        <w:t>（1）</w:t>
      </w:r>
      <w:r>
        <w:rPr>
          <w:rFonts w:hint="eastAsia"/>
          <w:color w:val="auto"/>
          <w:szCs w:val="21"/>
          <w:highlight w:val="none"/>
        </w:rPr>
        <w:tab/>
      </w:r>
      <w:r>
        <w:rPr>
          <w:rFonts w:hint="eastAsia"/>
          <w:color w:val="auto"/>
          <w:szCs w:val="21"/>
          <w:highlight w:val="none"/>
          <w:lang w:eastAsia="zh-CN"/>
        </w:rPr>
        <w:t>投标人</w:t>
      </w:r>
      <w:r>
        <w:rPr>
          <w:rFonts w:hint="eastAsia"/>
          <w:color w:val="auto"/>
          <w:szCs w:val="21"/>
          <w:highlight w:val="none"/>
        </w:rPr>
        <w:t>的姓名或者名称、地址、邮编、联系人及联系电话；</w:t>
      </w:r>
    </w:p>
    <w:p w14:paraId="63B739A7">
      <w:pPr>
        <w:spacing w:before="120" w:line="320" w:lineRule="atLeast"/>
        <w:ind w:firstLine="420" w:firstLineChars="200"/>
        <w:rPr>
          <w:color w:val="auto"/>
          <w:szCs w:val="21"/>
          <w:highlight w:val="none"/>
        </w:rPr>
      </w:pPr>
      <w:r>
        <w:rPr>
          <w:rFonts w:hint="eastAsia"/>
          <w:color w:val="auto"/>
          <w:szCs w:val="21"/>
          <w:highlight w:val="none"/>
        </w:rPr>
        <w:t>（2）</w:t>
      </w:r>
      <w:r>
        <w:rPr>
          <w:rFonts w:hint="eastAsia"/>
          <w:color w:val="auto"/>
          <w:szCs w:val="21"/>
          <w:highlight w:val="none"/>
        </w:rPr>
        <w:tab/>
      </w:r>
      <w:r>
        <w:rPr>
          <w:rFonts w:hint="eastAsia"/>
          <w:color w:val="auto"/>
          <w:szCs w:val="21"/>
          <w:highlight w:val="none"/>
        </w:rPr>
        <w:t>质疑项目的名称、编号；</w:t>
      </w:r>
    </w:p>
    <w:p w14:paraId="156651EF">
      <w:pPr>
        <w:spacing w:before="120" w:line="320" w:lineRule="atLeast"/>
        <w:ind w:firstLine="420" w:firstLineChars="200"/>
        <w:rPr>
          <w:color w:val="auto"/>
          <w:szCs w:val="21"/>
          <w:highlight w:val="none"/>
        </w:rPr>
      </w:pPr>
      <w:r>
        <w:rPr>
          <w:rFonts w:hint="eastAsia"/>
          <w:color w:val="auto"/>
          <w:szCs w:val="21"/>
          <w:highlight w:val="none"/>
        </w:rPr>
        <w:t>（3）</w:t>
      </w:r>
      <w:r>
        <w:rPr>
          <w:rFonts w:hint="eastAsia"/>
          <w:color w:val="auto"/>
          <w:szCs w:val="21"/>
          <w:highlight w:val="none"/>
        </w:rPr>
        <w:tab/>
      </w:r>
      <w:r>
        <w:rPr>
          <w:rFonts w:hint="eastAsia"/>
          <w:color w:val="auto"/>
          <w:szCs w:val="21"/>
          <w:highlight w:val="none"/>
        </w:rPr>
        <w:t>具体、明确的质疑事项和与质疑事项相关的请求；</w:t>
      </w:r>
    </w:p>
    <w:p w14:paraId="3B62C66E">
      <w:pPr>
        <w:spacing w:before="120" w:line="320" w:lineRule="atLeast"/>
        <w:ind w:firstLine="420" w:firstLineChars="200"/>
        <w:rPr>
          <w:color w:val="auto"/>
          <w:szCs w:val="21"/>
          <w:highlight w:val="none"/>
        </w:rPr>
      </w:pPr>
      <w:r>
        <w:rPr>
          <w:rFonts w:hint="eastAsia"/>
          <w:color w:val="auto"/>
          <w:szCs w:val="21"/>
          <w:highlight w:val="none"/>
        </w:rPr>
        <w:t>（4）</w:t>
      </w:r>
      <w:r>
        <w:rPr>
          <w:rFonts w:hint="eastAsia"/>
          <w:color w:val="auto"/>
          <w:szCs w:val="21"/>
          <w:highlight w:val="none"/>
        </w:rPr>
        <w:tab/>
      </w:r>
      <w:r>
        <w:rPr>
          <w:rFonts w:hint="eastAsia"/>
          <w:color w:val="auto"/>
          <w:szCs w:val="21"/>
          <w:highlight w:val="none"/>
        </w:rPr>
        <w:t>事实依据；</w:t>
      </w:r>
    </w:p>
    <w:p w14:paraId="608EF13D">
      <w:pPr>
        <w:spacing w:before="120" w:line="320" w:lineRule="atLeast"/>
        <w:ind w:firstLine="420" w:firstLineChars="200"/>
        <w:rPr>
          <w:color w:val="auto"/>
          <w:szCs w:val="21"/>
          <w:highlight w:val="none"/>
        </w:rPr>
      </w:pPr>
      <w:r>
        <w:rPr>
          <w:rFonts w:hint="eastAsia"/>
          <w:color w:val="auto"/>
          <w:szCs w:val="21"/>
          <w:highlight w:val="none"/>
        </w:rPr>
        <w:t>（5）</w:t>
      </w:r>
      <w:r>
        <w:rPr>
          <w:rFonts w:hint="eastAsia"/>
          <w:color w:val="auto"/>
          <w:szCs w:val="21"/>
          <w:highlight w:val="none"/>
        </w:rPr>
        <w:tab/>
      </w:r>
      <w:r>
        <w:rPr>
          <w:rFonts w:hint="eastAsia"/>
          <w:color w:val="auto"/>
          <w:szCs w:val="21"/>
          <w:highlight w:val="none"/>
        </w:rPr>
        <w:t>必要的法律依据；</w:t>
      </w:r>
    </w:p>
    <w:p w14:paraId="4EC79F1B">
      <w:pPr>
        <w:spacing w:before="120" w:line="320" w:lineRule="atLeast"/>
        <w:ind w:firstLine="420" w:firstLineChars="200"/>
        <w:rPr>
          <w:color w:val="auto"/>
          <w:szCs w:val="21"/>
          <w:highlight w:val="none"/>
        </w:rPr>
      </w:pPr>
      <w:r>
        <w:rPr>
          <w:rFonts w:hint="eastAsia"/>
          <w:color w:val="auto"/>
          <w:szCs w:val="21"/>
          <w:highlight w:val="none"/>
        </w:rPr>
        <w:t>（6）</w:t>
      </w:r>
      <w:r>
        <w:rPr>
          <w:rFonts w:hint="eastAsia"/>
          <w:color w:val="auto"/>
          <w:szCs w:val="21"/>
          <w:highlight w:val="none"/>
        </w:rPr>
        <w:tab/>
      </w:r>
      <w:r>
        <w:rPr>
          <w:rFonts w:hint="eastAsia"/>
          <w:color w:val="auto"/>
          <w:szCs w:val="21"/>
          <w:highlight w:val="none"/>
        </w:rPr>
        <w:t>提出质疑的日期。</w:t>
      </w:r>
    </w:p>
    <w:p w14:paraId="69EA99CA">
      <w:pPr>
        <w:spacing w:before="120" w:line="320" w:lineRule="atLeast"/>
        <w:ind w:firstLine="420" w:firstLineChars="200"/>
        <w:rPr>
          <w:color w:val="auto"/>
          <w:szCs w:val="21"/>
          <w:highlight w:val="none"/>
        </w:rPr>
      </w:pPr>
      <w:r>
        <w:rPr>
          <w:rFonts w:hint="eastAsia"/>
          <w:color w:val="auto"/>
          <w:szCs w:val="21"/>
          <w:highlight w:val="none"/>
          <w:lang w:eastAsia="zh-CN"/>
        </w:rPr>
        <w:t>投标人</w:t>
      </w:r>
      <w:r>
        <w:rPr>
          <w:rFonts w:hint="eastAsia"/>
          <w:color w:val="auto"/>
          <w:szCs w:val="21"/>
          <w:highlight w:val="none"/>
        </w:rPr>
        <w:t>为自然人的，应当由本人签字；</w:t>
      </w:r>
      <w:r>
        <w:rPr>
          <w:rFonts w:hint="eastAsia"/>
          <w:color w:val="auto"/>
          <w:szCs w:val="21"/>
          <w:highlight w:val="none"/>
          <w:lang w:eastAsia="zh-CN"/>
        </w:rPr>
        <w:t>投标人</w:t>
      </w:r>
      <w:r>
        <w:rPr>
          <w:rFonts w:hint="eastAsia"/>
          <w:color w:val="auto"/>
          <w:szCs w:val="21"/>
          <w:highlight w:val="none"/>
        </w:rPr>
        <w:t>为法人或者其他组织的，应当由法定代表人、主要负责人，或者其授权代表签字或者盖章，并加盖公章。</w:t>
      </w:r>
      <w:r>
        <w:rPr>
          <w:color w:val="auto"/>
          <w:szCs w:val="21"/>
          <w:highlight w:val="none"/>
        </w:rPr>
        <w:t xml:space="preserve"> </w:t>
      </w:r>
    </w:p>
    <w:p w14:paraId="431B3630">
      <w:pPr>
        <w:spacing w:before="120" w:line="320" w:lineRule="atLeast"/>
        <w:ind w:firstLine="422" w:firstLineChars="200"/>
        <w:outlineLvl w:val="2"/>
        <w:rPr>
          <w:b/>
          <w:bCs/>
          <w:color w:val="auto"/>
          <w:kern w:val="0"/>
          <w:szCs w:val="21"/>
          <w:highlight w:val="none"/>
        </w:rPr>
      </w:pPr>
      <w:r>
        <w:rPr>
          <w:b/>
          <w:bCs/>
          <w:color w:val="auto"/>
          <w:kern w:val="0"/>
          <w:szCs w:val="21"/>
          <w:highlight w:val="none"/>
        </w:rPr>
        <w:t>8.2投诉</w:t>
      </w:r>
    </w:p>
    <w:p w14:paraId="391FEEB6">
      <w:pPr>
        <w:spacing w:before="120" w:line="320" w:lineRule="atLeast"/>
        <w:ind w:firstLine="420" w:firstLineChars="200"/>
        <w:rPr>
          <w:color w:val="auto"/>
          <w:szCs w:val="21"/>
          <w:highlight w:val="none"/>
        </w:rPr>
      </w:pPr>
      <w:r>
        <w:rPr>
          <w:color w:val="auto"/>
          <w:szCs w:val="21"/>
          <w:highlight w:val="none"/>
        </w:rPr>
        <w:t>8.2.1</w:t>
      </w:r>
      <w:r>
        <w:rPr>
          <w:rFonts w:hint="eastAsia"/>
          <w:color w:val="auto"/>
          <w:szCs w:val="21"/>
          <w:highlight w:val="none"/>
          <w:lang w:eastAsia="zh-CN"/>
        </w:rPr>
        <w:t>投标人</w:t>
      </w:r>
      <w:r>
        <w:rPr>
          <w:color w:val="auto"/>
          <w:szCs w:val="21"/>
          <w:highlight w:val="none"/>
        </w:rPr>
        <w:t>对采购人、采购代理机构的答复不满意，或者采购人、采购代理机构未在规定时间内答复的，可在答复期满后15个工作日内按有关规定，向同级财政部门投诉。</w:t>
      </w:r>
    </w:p>
    <w:p w14:paraId="595D1A6A">
      <w:pPr>
        <w:spacing w:before="120" w:line="320" w:lineRule="atLeast"/>
        <w:ind w:firstLine="420" w:firstLineChars="200"/>
        <w:rPr>
          <w:color w:val="auto"/>
          <w:szCs w:val="21"/>
          <w:highlight w:val="none"/>
        </w:rPr>
      </w:pPr>
      <w:r>
        <w:rPr>
          <w:color w:val="auto"/>
          <w:szCs w:val="21"/>
          <w:highlight w:val="none"/>
        </w:rPr>
        <w:t>8.2.</w:t>
      </w:r>
      <w:r>
        <w:rPr>
          <w:rFonts w:hint="eastAsia"/>
          <w:color w:val="auto"/>
          <w:szCs w:val="21"/>
          <w:highlight w:val="none"/>
        </w:rPr>
        <w:t>2投诉</w:t>
      </w:r>
      <w:r>
        <w:rPr>
          <w:color w:val="auto"/>
          <w:szCs w:val="21"/>
          <w:highlight w:val="none"/>
        </w:rPr>
        <w:t>书应使用财政部发布的</w:t>
      </w:r>
      <w:r>
        <w:rPr>
          <w:rFonts w:hint="eastAsia"/>
          <w:color w:val="auto"/>
          <w:szCs w:val="21"/>
          <w:highlight w:val="none"/>
        </w:rPr>
        <w:t>政府采购供应投诉书范本，并应按照“投诉书制作说明”进行编写。</w:t>
      </w:r>
    </w:p>
    <w:p w14:paraId="05AF6FC3">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9．其他事项</w:t>
      </w:r>
    </w:p>
    <w:p w14:paraId="0276F1F3">
      <w:pPr>
        <w:spacing w:before="120" w:line="320" w:lineRule="atLeast"/>
        <w:ind w:left="2" w:leftChars="1" w:firstLine="420" w:firstLineChars="200"/>
        <w:rPr>
          <w:color w:val="auto"/>
          <w:szCs w:val="21"/>
          <w:highlight w:val="none"/>
        </w:rPr>
      </w:pPr>
      <w:r>
        <w:rPr>
          <w:color w:val="auto"/>
          <w:szCs w:val="21"/>
          <w:highlight w:val="none"/>
        </w:rPr>
        <w:t>9.1代理服务收费由采购代理机构向中标人收取。签订合同前，中标人应向采购代理机构一次付清代理服务费。</w:t>
      </w:r>
    </w:p>
    <w:p w14:paraId="3E1EE7DB">
      <w:pPr>
        <w:spacing w:before="120" w:line="320" w:lineRule="atLeast"/>
        <w:ind w:left="2" w:leftChars="1" w:firstLine="420" w:firstLineChars="200"/>
        <w:rPr>
          <w:color w:val="auto"/>
          <w:szCs w:val="21"/>
          <w:highlight w:val="none"/>
        </w:rPr>
      </w:pPr>
      <w:r>
        <w:rPr>
          <w:color w:val="auto"/>
          <w:szCs w:val="21"/>
          <w:highlight w:val="none"/>
        </w:rPr>
        <w:t>9.2</w:t>
      </w:r>
      <w:r>
        <w:rPr>
          <w:rFonts w:hint="eastAsia"/>
          <w:color w:val="auto"/>
          <w:szCs w:val="21"/>
          <w:highlight w:val="none"/>
        </w:rPr>
        <w:t>电子交易活动的中止。采购过程中出现以下情形，导致电子交易平台无法正常运行，或者无法保证电子交易的公平、公正和安全时，采购机构可中止电子交易活动：</w:t>
      </w:r>
    </w:p>
    <w:p w14:paraId="037D5CA4">
      <w:pPr>
        <w:spacing w:before="120" w:line="276" w:lineRule="auto"/>
        <w:ind w:firstLine="420" w:firstLineChars="200"/>
        <w:rPr>
          <w:color w:val="auto"/>
          <w:szCs w:val="21"/>
          <w:highlight w:val="none"/>
        </w:rPr>
      </w:pPr>
      <w:r>
        <w:rPr>
          <w:rFonts w:hint="eastAsia"/>
          <w:color w:val="auto"/>
          <w:szCs w:val="21"/>
          <w:highlight w:val="none"/>
        </w:rPr>
        <w:t xml:space="preserve">（1）电子交易平台发生故障而无法登录访问的； </w:t>
      </w:r>
    </w:p>
    <w:p w14:paraId="7285ACA3">
      <w:pPr>
        <w:spacing w:before="120" w:line="276" w:lineRule="auto"/>
        <w:ind w:firstLine="420" w:firstLineChars="200"/>
        <w:rPr>
          <w:color w:val="auto"/>
          <w:szCs w:val="21"/>
          <w:highlight w:val="none"/>
        </w:rPr>
      </w:pPr>
      <w:r>
        <w:rPr>
          <w:rFonts w:hint="eastAsia"/>
          <w:color w:val="auto"/>
          <w:szCs w:val="21"/>
          <w:highlight w:val="none"/>
        </w:rPr>
        <w:t>（2）电子交易平台应用或数据库出现错误，不能进行正常操作的；</w:t>
      </w:r>
    </w:p>
    <w:p w14:paraId="5EEE9A4E">
      <w:pPr>
        <w:spacing w:before="120" w:line="276" w:lineRule="auto"/>
        <w:ind w:firstLine="420" w:firstLineChars="200"/>
        <w:rPr>
          <w:color w:val="auto"/>
          <w:szCs w:val="21"/>
          <w:highlight w:val="none"/>
        </w:rPr>
      </w:pPr>
      <w:r>
        <w:rPr>
          <w:rFonts w:hint="eastAsia"/>
          <w:color w:val="auto"/>
          <w:szCs w:val="21"/>
          <w:highlight w:val="none"/>
        </w:rPr>
        <w:t>（3）电子交易平台发现严重安全漏洞，有潜在泄密危险的；</w:t>
      </w:r>
    </w:p>
    <w:p w14:paraId="3AA856DB">
      <w:pPr>
        <w:spacing w:before="120" w:line="276" w:lineRule="auto"/>
        <w:ind w:firstLine="420" w:firstLineChars="200"/>
        <w:rPr>
          <w:color w:val="auto"/>
          <w:szCs w:val="21"/>
          <w:highlight w:val="none"/>
        </w:rPr>
      </w:pPr>
      <w:r>
        <w:rPr>
          <w:rFonts w:hint="eastAsia"/>
          <w:color w:val="auto"/>
          <w:szCs w:val="21"/>
          <w:highlight w:val="none"/>
        </w:rPr>
        <w:t xml:space="preserve">（4）病毒发作导致不能进行正常操作的； </w:t>
      </w:r>
    </w:p>
    <w:p w14:paraId="5E566CF2">
      <w:pPr>
        <w:spacing w:before="120" w:line="276" w:lineRule="auto"/>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）其他无法保证电子交易的公平、公正和安全的情况。</w:t>
      </w:r>
    </w:p>
    <w:p w14:paraId="396917BC">
      <w:pPr>
        <w:tabs>
          <w:tab w:val="left" w:pos="4820"/>
        </w:tabs>
        <w:spacing w:before="120" w:line="360" w:lineRule="auto"/>
        <w:ind w:firstLine="420" w:firstLineChars="200"/>
        <w:rPr>
          <w:color w:val="auto"/>
          <w:szCs w:val="21"/>
          <w:highlight w:val="none"/>
        </w:rPr>
      </w:pPr>
      <w:r>
        <w:rPr>
          <w:rFonts w:hint="eastAsia"/>
          <w:color w:val="auto"/>
          <w:szCs w:val="21"/>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color w:val="auto"/>
          <w:szCs w:val="21"/>
          <w:highlight w:val="none"/>
        </w:rPr>
        <w:t xml:space="preserve"> </w:t>
      </w:r>
    </w:p>
    <w:p w14:paraId="7962D945">
      <w:pPr>
        <w:spacing w:before="120" w:line="320" w:lineRule="atLeast"/>
        <w:ind w:left="2" w:leftChars="1" w:firstLine="420" w:firstLineChars="200"/>
        <w:rPr>
          <w:color w:val="auto"/>
          <w:szCs w:val="21"/>
          <w:highlight w:val="none"/>
        </w:rPr>
      </w:pPr>
      <w:r>
        <w:rPr>
          <w:color w:val="auto"/>
          <w:szCs w:val="21"/>
          <w:highlight w:val="none"/>
        </w:rPr>
        <w:t>9.3</w:t>
      </w:r>
      <w:r>
        <w:rPr>
          <w:rFonts w:hint="eastAsia"/>
          <w:color w:val="auto"/>
          <w:szCs w:val="21"/>
          <w:highlight w:val="none"/>
        </w:rPr>
        <w:t>本项目的附件及图纸</w:t>
      </w:r>
      <w:r>
        <w:rPr>
          <w:color w:val="auto"/>
          <w:szCs w:val="21"/>
          <w:highlight w:val="none"/>
        </w:rPr>
        <w:t>详见</w:t>
      </w:r>
      <w:r>
        <w:rPr>
          <w:rFonts w:hint="eastAsia"/>
          <w:color w:val="auto"/>
          <w:szCs w:val="21"/>
          <w:highlight w:val="none"/>
        </w:rPr>
        <w:t>投标人须知</w:t>
      </w:r>
      <w:r>
        <w:rPr>
          <w:color w:val="auto"/>
          <w:szCs w:val="21"/>
          <w:highlight w:val="none"/>
        </w:rPr>
        <w:t>前附表</w:t>
      </w:r>
      <w:r>
        <w:rPr>
          <w:rFonts w:hint="eastAsia"/>
          <w:color w:val="auto"/>
          <w:szCs w:val="21"/>
          <w:highlight w:val="none"/>
        </w:rPr>
        <w:t>。</w:t>
      </w:r>
    </w:p>
    <w:p w14:paraId="4B0EAC75">
      <w:pPr>
        <w:spacing w:before="120" w:line="320" w:lineRule="atLeast"/>
        <w:ind w:left="2" w:leftChars="1" w:firstLine="420" w:firstLineChars="200"/>
        <w:rPr>
          <w:color w:val="auto"/>
          <w:szCs w:val="21"/>
          <w:highlight w:val="none"/>
        </w:rPr>
      </w:pPr>
      <w:r>
        <w:rPr>
          <w:color w:val="auto"/>
          <w:szCs w:val="21"/>
          <w:highlight w:val="none"/>
        </w:rPr>
        <w:t>9.4</w:t>
      </w:r>
      <w:r>
        <w:rPr>
          <w:rFonts w:hint="eastAsia"/>
          <w:color w:val="auto"/>
          <w:szCs w:val="21"/>
          <w:highlight w:val="none"/>
        </w:rPr>
        <w:t>本项目的其他事项</w:t>
      </w:r>
      <w:r>
        <w:rPr>
          <w:color w:val="auto"/>
          <w:szCs w:val="21"/>
          <w:highlight w:val="none"/>
        </w:rPr>
        <w:t>详见</w:t>
      </w:r>
      <w:r>
        <w:rPr>
          <w:rFonts w:hint="eastAsia"/>
          <w:color w:val="auto"/>
          <w:szCs w:val="21"/>
          <w:highlight w:val="none"/>
        </w:rPr>
        <w:t>投标人须知</w:t>
      </w:r>
      <w:r>
        <w:rPr>
          <w:color w:val="auto"/>
          <w:szCs w:val="21"/>
          <w:highlight w:val="none"/>
        </w:rPr>
        <w:t>前附表</w:t>
      </w:r>
      <w:r>
        <w:rPr>
          <w:rFonts w:hint="eastAsia"/>
          <w:color w:val="auto"/>
          <w:szCs w:val="21"/>
          <w:highlight w:val="none"/>
        </w:rPr>
        <w:t>。</w:t>
      </w:r>
    </w:p>
    <w:p w14:paraId="1F615615">
      <w:pPr>
        <w:spacing w:before="120" w:line="320" w:lineRule="atLeast"/>
        <w:ind w:left="2" w:leftChars="1" w:firstLine="422" w:firstLineChars="200"/>
        <w:outlineLvl w:val="1"/>
        <w:rPr>
          <w:b/>
          <w:bCs/>
          <w:color w:val="auto"/>
          <w:kern w:val="0"/>
          <w:szCs w:val="21"/>
          <w:highlight w:val="none"/>
        </w:rPr>
      </w:pPr>
      <w:bookmarkStart w:id="107" w:name="_Toc254970690"/>
      <w:bookmarkStart w:id="108" w:name="_Toc254970549"/>
      <w:r>
        <w:rPr>
          <w:b/>
          <w:bCs/>
          <w:color w:val="auto"/>
          <w:kern w:val="0"/>
          <w:szCs w:val="21"/>
          <w:highlight w:val="none"/>
        </w:rPr>
        <w:t>10．</w:t>
      </w:r>
      <w:r>
        <w:rPr>
          <w:rFonts w:hint="eastAsia"/>
          <w:b/>
          <w:bCs/>
          <w:color w:val="auto"/>
          <w:kern w:val="0"/>
          <w:szCs w:val="21"/>
          <w:highlight w:val="none"/>
        </w:rPr>
        <w:t>其他说明</w:t>
      </w:r>
    </w:p>
    <w:p w14:paraId="09FB715A">
      <w:pPr>
        <w:spacing w:before="120" w:line="320" w:lineRule="atLeast"/>
        <w:ind w:left="2" w:leftChars="1" w:firstLine="420" w:firstLineChars="200"/>
        <w:rPr>
          <w:color w:val="auto"/>
          <w:kern w:val="0"/>
          <w:szCs w:val="21"/>
          <w:highlight w:val="none"/>
        </w:rPr>
      </w:pPr>
      <w:r>
        <w:rPr>
          <w:rFonts w:hint="eastAsia"/>
          <w:color w:val="auto"/>
          <w:kern w:val="0"/>
          <w:szCs w:val="21"/>
          <w:highlight w:val="none"/>
        </w:rPr>
        <w:t>1</w:t>
      </w:r>
      <w:r>
        <w:rPr>
          <w:color w:val="auto"/>
          <w:kern w:val="0"/>
          <w:szCs w:val="21"/>
          <w:highlight w:val="none"/>
        </w:rPr>
        <w:t>0.1</w:t>
      </w:r>
      <w:r>
        <w:rPr>
          <w:rFonts w:hint="eastAsia"/>
          <w:color w:val="auto"/>
          <w:kern w:val="0"/>
          <w:szCs w:val="21"/>
          <w:highlight w:val="none"/>
        </w:rPr>
        <w:t>其余未尽事宜按</w:t>
      </w:r>
      <w:r>
        <w:rPr>
          <w:color w:val="auto"/>
          <w:kern w:val="0"/>
          <w:szCs w:val="21"/>
          <w:highlight w:val="none"/>
        </w:rPr>
        <w:t>《中华人民共和国政府采购法》、《中华人民共和国政府采购法实施条例》</w:t>
      </w:r>
      <w:r>
        <w:rPr>
          <w:rFonts w:hint="eastAsia"/>
          <w:color w:val="auto"/>
          <w:kern w:val="0"/>
          <w:szCs w:val="21"/>
          <w:highlight w:val="none"/>
        </w:rPr>
        <w:t>的相关规定执行。</w:t>
      </w:r>
    </w:p>
    <w:p w14:paraId="28B073E9">
      <w:pPr>
        <w:spacing w:before="120" w:line="320" w:lineRule="atLeast"/>
        <w:ind w:left="2" w:leftChars="1" w:firstLine="420" w:firstLineChars="200"/>
        <w:rPr>
          <w:color w:val="auto"/>
          <w:highlight w:val="none"/>
        </w:rPr>
      </w:pPr>
      <w:r>
        <w:rPr>
          <w:color w:val="auto"/>
          <w:kern w:val="0"/>
          <w:szCs w:val="21"/>
          <w:highlight w:val="none"/>
        </w:rPr>
        <w:t>10.2</w:t>
      </w:r>
      <w:r>
        <w:rPr>
          <w:rFonts w:hint="eastAsia"/>
          <w:color w:val="auto"/>
          <w:highlight w:val="none"/>
        </w:rPr>
        <w:t>本</w:t>
      </w:r>
      <w:r>
        <w:rPr>
          <w:color w:val="auto"/>
          <w:highlight w:val="none"/>
        </w:rPr>
        <w:t>招标文件是根据国家有关法律及有关政策、法规和参照国际惯例编制，解释权属采购代理机构。</w:t>
      </w:r>
    </w:p>
    <w:p w14:paraId="1CD966DC">
      <w:pPr>
        <w:widowControl/>
        <w:jc w:val="left"/>
        <w:rPr>
          <w:color w:val="auto"/>
          <w:highlight w:val="none"/>
        </w:rPr>
      </w:pPr>
      <w:r>
        <w:rPr>
          <w:color w:val="auto"/>
          <w:highlight w:val="none"/>
        </w:rPr>
        <w:br w:type="page"/>
      </w:r>
    </w:p>
    <w:bookmarkEnd w:id="45"/>
    <w:p w14:paraId="4578B147">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109" w:name="_Toc3784"/>
      <w:r>
        <w:rPr>
          <w:rFonts w:ascii="Times New Roman" w:hAnsi="Times New Roman" w:cs="Times New Roman"/>
          <w:color w:val="auto"/>
          <w:sz w:val="32"/>
          <w:szCs w:val="32"/>
          <w:highlight w:val="none"/>
        </w:rPr>
        <w:t>第四章  评审方法及标准</w:t>
      </w:r>
      <w:bookmarkEnd w:id="109"/>
    </w:p>
    <w:p w14:paraId="7ECA45C7">
      <w:pPr>
        <w:spacing w:before="120" w:line="320" w:lineRule="atLeast"/>
        <w:ind w:firstLine="413" w:firstLineChars="196"/>
        <w:outlineLvl w:val="1"/>
        <w:rPr>
          <w:b/>
          <w:bCs/>
          <w:color w:val="auto"/>
          <w:kern w:val="0"/>
          <w:szCs w:val="21"/>
          <w:highlight w:val="none"/>
        </w:rPr>
      </w:pPr>
      <w:bookmarkStart w:id="110" w:name="_Hlk93421148"/>
      <w:r>
        <w:rPr>
          <w:rFonts w:hint="eastAsia"/>
          <w:b/>
          <w:bCs/>
          <w:color w:val="auto"/>
          <w:kern w:val="0"/>
          <w:szCs w:val="21"/>
          <w:highlight w:val="none"/>
        </w:rPr>
        <w:t>1.</w:t>
      </w:r>
      <w:r>
        <w:rPr>
          <w:b/>
          <w:bCs/>
          <w:color w:val="auto"/>
          <w:kern w:val="0"/>
          <w:szCs w:val="21"/>
          <w:highlight w:val="none"/>
        </w:rPr>
        <w:t>评审方法</w:t>
      </w:r>
    </w:p>
    <w:p w14:paraId="4203CC43">
      <w:pPr>
        <w:suppressAutoHyphens/>
        <w:spacing w:before="120" w:line="320" w:lineRule="atLeast"/>
        <w:ind w:firstLine="420" w:firstLineChars="200"/>
        <w:rPr>
          <w:color w:val="auto"/>
          <w:highlight w:val="none"/>
        </w:rPr>
      </w:pPr>
      <w:r>
        <w:rPr>
          <w:color w:val="auto"/>
          <w:szCs w:val="21"/>
          <w:highlight w:val="none"/>
        </w:rPr>
        <w:sym w:font="Wingdings 2" w:char="F052"/>
      </w:r>
      <w:r>
        <w:rPr>
          <w:color w:val="auto"/>
          <w:highlight w:val="none"/>
        </w:rPr>
        <w:t>本项目采用综合评分法进行评审。</w:t>
      </w:r>
    </w:p>
    <w:p w14:paraId="46A2A30D">
      <w:pPr>
        <w:suppressAutoHyphens/>
        <w:spacing w:before="120" w:line="320" w:lineRule="atLeast"/>
        <w:ind w:firstLine="420" w:firstLineChars="200"/>
        <w:rPr>
          <w:color w:val="auto"/>
          <w:highlight w:val="none"/>
        </w:rPr>
      </w:pPr>
      <w:r>
        <w:rPr>
          <w:color w:val="auto"/>
          <w:highlight w:val="none"/>
        </w:rPr>
        <w:t>综合评分法，是指投标文件满足招标文件全部实质性要求且按照评审因素的量化指标评审得分最高的</w:t>
      </w:r>
      <w:r>
        <w:rPr>
          <w:rFonts w:hint="eastAsia"/>
          <w:color w:val="auto"/>
          <w:highlight w:val="none"/>
        </w:rPr>
        <w:t>投标人</w:t>
      </w:r>
      <w:r>
        <w:rPr>
          <w:color w:val="auto"/>
          <w:highlight w:val="none"/>
        </w:rPr>
        <w:t>为中标候选人的评审方法。</w:t>
      </w:r>
    </w:p>
    <w:p w14:paraId="2056018A">
      <w:pPr>
        <w:suppressAutoHyphens/>
        <w:spacing w:before="120" w:line="320" w:lineRule="atLeast"/>
        <w:ind w:firstLine="420" w:firstLineChars="200"/>
        <w:rPr>
          <w:color w:val="auto"/>
          <w:highlight w:val="none"/>
        </w:rPr>
      </w:pPr>
      <w:r>
        <w:rPr>
          <w:rFonts w:hint="eastAsia" w:hAnsi="宋体"/>
          <w:color w:val="auto"/>
          <w:highlight w:val="none"/>
        </w:rPr>
        <w:t>□</w:t>
      </w:r>
      <w:r>
        <w:rPr>
          <w:color w:val="auto"/>
          <w:highlight w:val="none"/>
        </w:rPr>
        <w:t>本项目采用</w:t>
      </w:r>
      <w:r>
        <w:rPr>
          <w:rFonts w:hint="eastAsia"/>
          <w:color w:val="auto"/>
          <w:highlight w:val="none"/>
        </w:rPr>
        <w:t>最低评标价</w:t>
      </w:r>
      <w:r>
        <w:rPr>
          <w:color w:val="auto"/>
          <w:highlight w:val="none"/>
        </w:rPr>
        <w:t>法进行评审。</w:t>
      </w:r>
    </w:p>
    <w:p w14:paraId="602EAFE2">
      <w:pPr>
        <w:suppressAutoHyphens/>
        <w:spacing w:before="120" w:line="320" w:lineRule="atLeast"/>
        <w:ind w:firstLine="420" w:firstLineChars="200"/>
        <w:rPr>
          <w:color w:val="auto"/>
          <w:highlight w:val="none"/>
        </w:rPr>
      </w:pPr>
      <w:r>
        <w:rPr>
          <w:rFonts w:hint="eastAsia"/>
          <w:color w:val="auto"/>
          <w:highlight w:val="none"/>
        </w:rPr>
        <w:t>最低评标价法，是指投标文件满足招标文件全部实质性要求且投标报价最低的投标人为中标候选人的评标方法。</w:t>
      </w:r>
    </w:p>
    <w:p w14:paraId="70E07A4F">
      <w:pPr>
        <w:suppressAutoHyphens/>
        <w:spacing w:before="120" w:line="320" w:lineRule="atLeast"/>
        <w:ind w:firstLine="420" w:firstLineChars="200"/>
        <w:rPr>
          <w:color w:val="auto"/>
          <w:highlight w:val="none"/>
        </w:rPr>
      </w:pPr>
      <w:bookmarkStart w:id="111" w:name="_Hlk92206009"/>
      <w:r>
        <w:rPr>
          <w:rFonts w:hint="eastAsia"/>
          <w:color w:val="auto"/>
          <w:highlight w:val="none"/>
        </w:rPr>
        <w:t>本项目评审的其他详细规定在第三章投标人须知中规定。</w:t>
      </w:r>
      <w:bookmarkEnd w:id="111"/>
    </w:p>
    <w:bookmarkEnd w:id="110"/>
    <w:p w14:paraId="47C2FBBF">
      <w:pPr>
        <w:spacing w:before="120" w:line="320" w:lineRule="atLeast"/>
        <w:ind w:firstLine="413" w:firstLineChars="196"/>
        <w:outlineLvl w:val="1"/>
        <w:rPr>
          <w:b/>
          <w:color w:val="auto"/>
          <w:kern w:val="0"/>
          <w:szCs w:val="21"/>
          <w:highlight w:val="none"/>
        </w:rPr>
      </w:pPr>
      <w:bookmarkStart w:id="112" w:name="_Hlk93421162"/>
      <w:r>
        <w:rPr>
          <w:b/>
          <w:color w:val="auto"/>
          <w:kern w:val="0"/>
          <w:szCs w:val="21"/>
          <w:highlight w:val="none"/>
        </w:rPr>
        <w:t>2</w:t>
      </w:r>
      <w:r>
        <w:rPr>
          <w:rFonts w:hint="eastAsia"/>
          <w:b/>
          <w:color w:val="auto"/>
          <w:kern w:val="0"/>
          <w:szCs w:val="21"/>
          <w:highlight w:val="none"/>
        </w:rPr>
        <w:t>.资格审查标准</w:t>
      </w:r>
      <w:r>
        <w:rPr>
          <w:rFonts w:hint="eastAsia"/>
          <w:b/>
          <w:bCs/>
          <w:color w:val="auto"/>
          <w:kern w:val="0"/>
          <w:szCs w:val="21"/>
          <w:highlight w:val="none"/>
        </w:rPr>
        <w:t>（不满足任何一项审查内容要求，资格审查即为不合格；</w:t>
      </w:r>
      <w:bookmarkStart w:id="113" w:name="_Hlk160525103"/>
      <w:r>
        <w:rPr>
          <w:rFonts w:hint="eastAsia"/>
          <w:b/>
          <w:bCs/>
          <w:color w:val="auto"/>
          <w:kern w:val="0"/>
          <w:szCs w:val="21"/>
          <w:highlight w:val="none"/>
        </w:rPr>
        <w:t>联合体投标的，</w:t>
      </w:r>
      <w:bookmarkEnd w:id="112"/>
      <w:bookmarkEnd w:id="113"/>
      <w:bookmarkStart w:id="114" w:name="_Hlk19052412"/>
      <w:r>
        <w:rPr>
          <w:rFonts w:hint="eastAsia"/>
          <w:b/>
          <w:bCs/>
          <w:color w:val="auto"/>
          <w:kern w:val="0"/>
          <w:szCs w:val="21"/>
          <w:highlight w:val="none"/>
        </w:rPr>
        <w:t>联合体各方均应提交第一项基本资格要求的资格证明文件）</w:t>
      </w:r>
    </w:p>
    <w:tbl>
      <w:tblPr>
        <w:tblStyle w:val="51"/>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14D59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noWrap w:val="0"/>
            <w:vAlign w:val="center"/>
          </w:tcPr>
          <w:p w14:paraId="36093707">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因素</w:t>
            </w:r>
          </w:p>
        </w:tc>
        <w:tc>
          <w:tcPr>
            <w:tcW w:w="1843" w:type="dxa"/>
            <w:noWrap w:val="0"/>
            <w:vAlign w:val="center"/>
          </w:tcPr>
          <w:p w14:paraId="72A810C8">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内容</w:t>
            </w:r>
          </w:p>
        </w:tc>
        <w:tc>
          <w:tcPr>
            <w:tcW w:w="6242" w:type="dxa"/>
            <w:noWrap w:val="0"/>
            <w:vAlign w:val="center"/>
          </w:tcPr>
          <w:p w14:paraId="52B4FC26">
            <w:pPr>
              <w:spacing w:line="240" w:lineRule="exact"/>
              <w:jc w:val="center"/>
              <w:rPr>
                <w:b/>
                <w:color w:val="auto"/>
                <w:kern w:val="0"/>
                <w:szCs w:val="21"/>
                <w:highlight w:val="none"/>
              </w:rPr>
            </w:pPr>
            <w:r>
              <w:rPr>
                <w:rFonts w:hint="eastAsia"/>
                <w:b/>
                <w:color w:val="auto"/>
                <w:kern w:val="0"/>
                <w:szCs w:val="21"/>
                <w:highlight w:val="none"/>
              </w:rPr>
              <w:t>说明</w:t>
            </w:r>
          </w:p>
        </w:tc>
      </w:tr>
      <w:tr w14:paraId="71A72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trPr>
        <w:tc>
          <w:tcPr>
            <w:tcW w:w="846" w:type="dxa"/>
            <w:vMerge w:val="restart"/>
            <w:noWrap w:val="0"/>
            <w:vAlign w:val="center"/>
          </w:tcPr>
          <w:p w14:paraId="38458968">
            <w:pPr>
              <w:spacing w:line="240" w:lineRule="exact"/>
              <w:rPr>
                <w:color w:val="auto"/>
                <w:szCs w:val="21"/>
                <w:highlight w:val="none"/>
                <w:lang w:val="zh-CN"/>
              </w:rPr>
            </w:pPr>
            <w:r>
              <w:rPr>
                <w:rFonts w:hint="eastAsia"/>
                <w:color w:val="auto"/>
                <w:szCs w:val="21"/>
                <w:highlight w:val="none"/>
                <w:lang w:val="zh-CN"/>
              </w:rPr>
              <w:t>投标人</w:t>
            </w:r>
            <w:r>
              <w:rPr>
                <w:color w:val="auto"/>
                <w:szCs w:val="21"/>
                <w:highlight w:val="none"/>
                <w:lang w:val="zh-CN"/>
              </w:rPr>
              <w:t>应</w:t>
            </w:r>
            <w:r>
              <w:rPr>
                <w:rFonts w:hint="eastAsia"/>
                <w:color w:val="auto"/>
                <w:szCs w:val="21"/>
                <w:highlight w:val="none"/>
                <w:lang w:val="zh-CN"/>
              </w:rPr>
              <w:t>符合基本</w:t>
            </w:r>
            <w:r>
              <w:rPr>
                <w:color w:val="auto"/>
                <w:szCs w:val="21"/>
                <w:highlight w:val="none"/>
              </w:rPr>
              <w:t>资格</w:t>
            </w:r>
            <w:r>
              <w:rPr>
                <w:rFonts w:hint="eastAsia"/>
                <w:color w:val="auto"/>
                <w:szCs w:val="21"/>
                <w:highlight w:val="none"/>
              </w:rPr>
              <w:t>要求</w:t>
            </w:r>
          </w:p>
        </w:tc>
        <w:tc>
          <w:tcPr>
            <w:tcW w:w="1843" w:type="dxa"/>
            <w:noWrap w:val="0"/>
            <w:vAlign w:val="center"/>
          </w:tcPr>
          <w:p w14:paraId="6FF5D066">
            <w:pPr>
              <w:spacing w:line="240" w:lineRule="exact"/>
              <w:jc w:val="left"/>
              <w:rPr>
                <w:color w:val="auto"/>
                <w:szCs w:val="21"/>
                <w:highlight w:val="none"/>
              </w:rPr>
            </w:pPr>
            <w:r>
              <w:rPr>
                <w:color w:val="auto"/>
                <w:szCs w:val="21"/>
                <w:highlight w:val="none"/>
              </w:rPr>
              <w:t>（1）具有独立承担民事责任的能力</w:t>
            </w:r>
          </w:p>
        </w:tc>
        <w:tc>
          <w:tcPr>
            <w:tcW w:w="6242" w:type="dxa"/>
            <w:noWrap w:val="0"/>
            <w:vAlign w:val="top"/>
          </w:tcPr>
          <w:p w14:paraId="1BFFCF65">
            <w:pPr>
              <w:spacing w:line="240" w:lineRule="exact"/>
              <w:jc w:val="left"/>
              <w:rPr>
                <w:color w:val="auto"/>
                <w:szCs w:val="21"/>
                <w:highlight w:val="none"/>
              </w:rPr>
            </w:pPr>
            <w:r>
              <w:rPr>
                <w:rFonts w:hint="eastAsia"/>
                <w:color w:val="auto"/>
                <w:szCs w:val="21"/>
                <w:highlight w:val="none"/>
              </w:rPr>
              <w:t>审查</w:t>
            </w:r>
            <w:r>
              <w:rPr>
                <w:rFonts w:hint="eastAsia"/>
                <w:color w:val="auto"/>
                <w:szCs w:val="21"/>
                <w:highlight w:val="none"/>
                <w:lang w:eastAsia="zh-CN"/>
              </w:rPr>
              <w:t>投标人</w:t>
            </w:r>
            <w:r>
              <w:rPr>
                <w:rFonts w:hint="eastAsia"/>
                <w:color w:val="auto"/>
                <w:szCs w:val="21"/>
                <w:highlight w:val="none"/>
              </w:rPr>
              <w:t>为法人或者其他组织的，提供营业执照等证明文件（如营业执照或者事业单位法人证书或者执业许可证等），</w:t>
            </w:r>
            <w:r>
              <w:rPr>
                <w:rFonts w:hint="eastAsia"/>
                <w:color w:val="auto"/>
                <w:szCs w:val="21"/>
                <w:highlight w:val="none"/>
                <w:lang w:eastAsia="zh-CN"/>
              </w:rPr>
              <w:t>投标人</w:t>
            </w:r>
            <w:r>
              <w:rPr>
                <w:rFonts w:hint="eastAsia"/>
                <w:color w:val="auto"/>
                <w:szCs w:val="21"/>
                <w:highlight w:val="none"/>
              </w:rPr>
              <w:t>为自然人的，提供身份证复印件</w:t>
            </w:r>
          </w:p>
        </w:tc>
      </w:tr>
      <w:tr w14:paraId="26A0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376A9855">
            <w:pPr>
              <w:spacing w:line="240" w:lineRule="exact"/>
              <w:rPr>
                <w:color w:val="auto"/>
                <w:szCs w:val="21"/>
                <w:highlight w:val="none"/>
                <w:lang w:val="zh-CN"/>
              </w:rPr>
            </w:pPr>
          </w:p>
        </w:tc>
        <w:tc>
          <w:tcPr>
            <w:tcW w:w="1843" w:type="dxa"/>
            <w:noWrap w:val="0"/>
            <w:vAlign w:val="center"/>
          </w:tcPr>
          <w:p w14:paraId="18001777">
            <w:pPr>
              <w:spacing w:line="240" w:lineRule="exact"/>
              <w:jc w:val="left"/>
              <w:rPr>
                <w:color w:val="auto"/>
                <w:szCs w:val="21"/>
                <w:highlight w:val="none"/>
              </w:rPr>
            </w:pPr>
            <w:r>
              <w:rPr>
                <w:color w:val="auto"/>
                <w:szCs w:val="21"/>
                <w:highlight w:val="none"/>
                <w:lang w:val="zh-CN"/>
              </w:rPr>
              <w:t>（2）</w:t>
            </w:r>
            <w:r>
              <w:rPr>
                <w:color w:val="auto"/>
                <w:szCs w:val="21"/>
                <w:highlight w:val="none"/>
              </w:rPr>
              <w:t>具有良好的商业信誉和健全的财务会计制度</w:t>
            </w:r>
          </w:p>
        </w:tc>
        <w:tc>
          <w:tcPr>
            <w:tcW w:w="6242" w:type="dxa"/>
            <w:noWrap w:val="0"/>
            <w:vAlign w:val="top"/>
          </w:tcPr>
          <w:p w14:paraId="3E6CB4F3">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审查商业信誉声明。须提供，格式见第六章投标文件格式“投标声明书”。</w:t>
            </w:r>
          </w:p>
          <w:p w14:paraId="450A2D0F">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w:t>
            </w:r>
            <w:r>
              <w:rPr>
                <w:rFonts w:hint="eastAsia"/>
                <w:color w:val="auto"/>
                <w:szCs w:val="21"/>
                <w:highlight w:val="none"/>
                <w:lang w:val="en-US" w:eastAsia="zh-CN"/>
              </w:rPr>
              <w:t>2024</w:t>
            </w:r>
            <w:r>
              <w:rPr>
                <w:rFonts w:hint="eastAsia"/>
                <w:color w:val="auto"/>
                <w:szCs w:val="21"/>
                <w:highlight w:val="none"/>
              </w:rPr>
              <w:t>年</w:t>
            </w:r>
            <w:r>
              <w:rPr>
                <w:color w:val="auto"/>
                <w:szCs w:val="21"/>
                <w:highlight w:val="none"/>
              </w:rPr>
              <w:t>度</w:t>
            </w:r>
            <w:r>
              <w:rPr>
                <w:rFonts w:hint="eastAsia"/>
                <w:color w:val="auto"/>
                <w:szCs w:val="21"/>
                <w:highlight w:val="none"/>
                <w:lang w:val="en-US" w:eastAsia="zh-CN"/>
              </w:rPr>
              <w:t>或2025年度</w:t>
            </w:r>
            <w:r>
              <w:rPr>
                <w:color w:val="auto"/>
                <w:szCs w:val="21"/>
                <w:highlight w:val="none"/>
              </w:rPr>
              <w:t>财务状况报告（表）复印件或银行出具的资信证明复印件，</w:t>
            </w:r>
            <w:r>
              <w:rPr>
                <w:color w:val="auto"/>
                <w:highlight w:val="none"/>
              </w:rPr>
              <w:t>对于从取得营业执照时间起到投标文件递交截止时间为止不足1年的</w:t>
            </w:r>
            <w:r>
              <w:rPr>
                <w:rFonts w:hint="eastAsia"/>
                <w:color w:val="auto"/>
                <w:highlight w:val="none"/>
                <w:lang w:eastAsia="zh-CN"/>
              </w:rPr>
              <w:t>投标人</w:t>
            </w:r>
            <w:r>
              <w:rPr>
                <w:color w:val="auto"/>
                <w:highlight w:val="none"/>
              </w:rPr>
              <w:t>，只需提交</w:t>
            </w:r>
            <w:r>
              <w:rPr>
                <w:color w:val="auto"/>
                <w:szCs w:val="21"/>
                <w:highlight w:val="none"/>
              </w:rPr>
              <w:t>投标文件递交截止时间前一个月的财务状况报告（表）复印件。</w:t>
            </w:r>
          </w:p>
        </w:tc>
      </w:tr>
      <w:tr w14:paraId="23E0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5ED8E735">
            <w:pPr>
              <w:spacing w:line="240" w:lineRule="exact"/>
              <w:rPr>
                <w:color w:val="auto"/>
                <w:szCs w:val="21"/>
                <w:highlight w:val="none"/>
                <w:lang w:val="zh-CN"/>
              </w:rPr>
            </w:pPr>
          </w:p>
        </w:tc>
        <w:tc>
          <w:tcPr>
            <w:tcW w:w="1843" w:type="dxa"/>
            <w:noWrap w:val="0"/>
            <w:vAlign w:val="center"/>
          </w:tcPr>
          <w:p w14:paraId="558BE22C">
            <w:pPr>
              <w:spacing w:line="240" w:lineRule="exact"/>
              <w:jc w:val="left"/>
              <w:rPr>
                <w:color w:val="auto"/>
                <w:szCs w:val="21"/>
                <w:highlight w:val="none"/>
              </w:rPr>
            </w:pPr>
            <w:r>
              <w:rPr>
                <w:color w:val="auto"/>
                <w:szCs w:val="21"/>
                <w:highlight w:val="none"/>
                <w:lang w:val="zh-CN"/>
              </w:rPr>
              <w:t>（3）具有履行合同所必需的设备和专业技术能力</w:t>
            </w:r>
          </w:p>
        </w:tc>
        <w:tc>
          <w:tcPr>
            <w:tcW w:w="6242" w:type="dxa"/>
            <w:noWrap w:val="0"/>
            <w:vAlign w:val="top"/>
          </w:tcPr>
          <w:p w14:paraId="2B5D1765">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审查</w:t>
            </w:r>
            <w:r>
              <w:rPr>
                <w:rFonts w:hint="eastAsia"/>
                <w:color w:val="auto"/>
                <w:szCs w:val="21"/>
                <w:highlight w:val="none"/>
                <w:lang w:eastAsia="zh-CN"/>
              </w:rPr>
              <w:t>投标人</w:t>
            </w:r>
            <w:r>
              <w:rPr>
                <w:color w:val="auto"/>
                <w:szCs w:val="21"/>
                <w:highlight w:val="none"/>
              </w:rPr>
              <w:t xml:space="preserve">营业执照，须有效； </w:t>
            </w:r>
          </w:p>
          <w:p w14:paraId="63B94280">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审查书面声明。须提供，格式见第六章投标文件格式“</w:t>
            </w:r>
            <w:r>
              <w:rPr>
                <w:color w:val="auto"/>
                <w:highlight w:val="none"/>
              </w:rPr>
              <w:t>投标声明书</w:t>
            </w:r>
            <w:r>
              <w:rPr>
                <w:color w:val="auto"/>
                <w:szCs w:val="21"/>
                <w:highlight w:val="none"/>
              </w:rPr>
              <w:t>”。</w:t>
            </w:r>
          </w:p>
          <w:p w14:paraId="45BD5AA2">
            <w:pPr>
              <w:spacing w:line="240" w:lineRule="exact"/>
              <w:jc w:val="left"/>
              <w:rPr>
                <w:color w:val="auto"/>
                <w:szCs w:val="21"/>
                <w:highlight w:val="none"/>
              </w:rPr>
            </w:pPr>
            <w:r>
              <w:rPr>
                <w:color w:val="auto"/>
                <w:szCs w:val="21"/>
                <w:highlight w:val="none"/>
              </w:rPr>
              <w:t>审查</w:t>
            </w:r>
            <w:r>
              <w:rPr>
                <w:rFonts w:hint="eastAsia" w:ascii="宋体" w:hAnsi="宋体" w:cs="宋体"/>
                <w:color w:val="auto"/>
                <w:szCs w:val="21"/>
                <w:highlight w:val="none"/>
              </w:rPr>
              <w:t>①</w:t>
            </w:r>
            <w:r>
              <w:rPr>
                <w:color w:val="auto"/>
                <w:szCs w:val="21"/>
                <w:highlight w:val="none"/>
              </w:rPr>
              <w:t>或</w:t>
            </w:r>
            <w:r>
              <w:rPr>
                <w:rFonts w:hint="eastAsia" w:ascii="宋体" w:hAnsi="宋体" w:cs="宋体"/>
                <w:color w:val="auto"/>
                <w:szCs w:val="21"/>
                <w:highlight w:val="none"/>
              </w:rPr>
              <w:t>②</w:t>
            </w:r>
            <w:r>
              <w:rPr>
                <w:color w:val="auto"/>
                <w:szCs w:val="21"/>
                <w:highlight w:val="none"/>
              </w:rPr>
              <w:t>，满足其一，即为符合要求。</w:t>
            </w:r>
          </w:p>
        </w:tc>
      </w:tr>
      <w:tr w14:paraId="65040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3E045266">
            <w:pPr>
              <w:spacing w:line="240" w:lineRule="exact"/>
              <w:rPr>
                <w:color w:val="auto"/>
                <w:szCs w:val="21"/>
                <w:highlight w:val="none"/>
                <w:lang w:val="zh-CN"/>
              </w:rPr>
            </w:pPr>
          </w:p>
        </w:tc>
        <w:tc>
          <w:tcPr>
            <w:tcW w:w="1843" w:type="dxa"/>
            <w:noWrap w:val="0"/>
            <w:vAlign w:val="center"/>
          </w:tcPr>
          <w:p w14:paraId="32C3BD5E">
            <w:pPr>
              <w:spacing w:line="240" w:lineRule="exact"/>
              <w:jc w:val="left"/>
              <w:rPr>
                <w:color w:val="auto"/>
                <w:szCs w:val="21"/>
                <w:highlight w:val="none"/>
              </w:rPr>
            </w:pPr>
            <w:r>
              <w:rPr>
                <w:color w:val="auto"/>
                <w:szCs w:val="21"/>
                <w:highlight w:val="none"/>
                <w:lang w:val="zh-CN"/>
              </w:rPr>
              <w:t>（4）有依法缴纳税收和社会保障金的良好记录</w:t>
            </w:r>
          </w:p>
        </w:tc>
        <w:tc>
          <w:tcPr>
            <w:tcW w:w="6242" w:type="dxa"/>
            <w:noWrap w:val="0"/>
            <w:vAlign w:val="top"/>
          </w:tcPr>
          <w:p w14:paraId="45031796">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审查投标截止时间前6个月内，</w:t>
            </w:r>
            <w:r>
              <w:rPr>
                <w:rFonts w:hint="eastAsia"/>
                <w:color w:val="auto"/>
                <w:highlight w:val="none"/>
                <w:lang w:eastAsia="zh-CN"/>
              </w:rPr>
              <w:t>投标人</w:t>
            </w:r>
            <w:r>
              <w:rPr>
                <w:color w:val="auto"/>
                <w:highlight w:val="none"/>
              </w:rPr>
              <w:t>任意</w:t>
            </w:r>
            <w:r>
              <w:rPr>
                <w:rFonts w:hint="eastAsia"/>
                <w:color w:val="auto"/>
                <w:highlight w:val="none"/>
              </w:rPr>
              <w:t>1个月</w:t>
            </w:r>
            <w:r>
              <w:rPr>
                <w:color w:val="auto"/>
                <w:szCs w:val="21"/>
                <w:highlight w:val="none"/>
              </w:rPr>
              <w:t>依法缴纳税费证明复印件加盖</w:t>
            </w:r>
            <w:r>
              <w:rPr>
                <w:rFonts w:hint="eastAsia"/>
                <w:color w:val="auto"/>
                <w:szCs w:val="21"/>
                <w:highlight w:val="none"/>
                <w:lang w:eastAsia="zh-CN"/>
              </w:rPr>
              <w:t>投标人</w:t>
            </w:r>
            <w:r>
              <w:rPr>
                <w:rFonts w:hint="eastAsia"/>
                <w:color w:val="auto"/>
                <w:szCs w:val="21"/>
                <w:highlight w:val="none"/>
              </w:rPr>
              <w:t>电子签章</w:t>
            </w:r>
            <w:r>
              <w:rPr>
                <w:color w:val="auto"/>
                <w:szCs w:val="21"/>
                <w:highlight w:val="none"/>
              </w:rPr>
              <w:t>。</w:t>
            </w:r>
          </w:p>
          <w:p w14:paraId="7030FF36">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审查投标截止时间前6个月内，</w:t>
            </w:r>
            <w:r>
              <w:rPr>
                <w:rFonts w:hint="eastAsia"/>
                <w:color w:val="auto"/>
                <w:highlight w:val="none"/>
                <w:lang w:eastAsia="zh-CN"/>
              </w:rPr>
              <w:t>投标人</w:t>
            </w:r>
            <w:r>
              <w:rPr>
                <w:color w:val="auto"/>
                <w:highlight w:val="none"/>
              </w:rPr>
              <w:t>任意</w:t>
            </w:r>
            <w:r>
              <w:rPr>
                <w:rFonts w:hint="eastAsia"/>
                <w:color w:val="auto"/>
                <w:highlight w:val="none"/>
              </w:rPr>
              <w:t>1个月</w:t>
            </w:r>
            <w:r>
              <w:rPr>
                <w:color w:val="auto"/>
                <w:szCs w:val="21"/>
                <w:highlight w:val="none"/>
              </w:rPr>
              <w:t>的社保缴费证明记录复印件加盖</w:t>
            </w:r>
            <w:r>
              <w:rPr>
                <w:rFonts w:hint="eastAsia"/>
                <w:color w:val="auto"/>
                <w:szCs w:val="21"/>
                <w:highlight w:val="none"/>
                <w:lang w:eastAsia="zh-CN"/>
              </w:rPr>
              <w:t>投标人</w:t>
            </w:r>
            <w:r>
              <w:rPr>
                <w:rFonts w:hint="eastAsia"/>
                <w:color w:val="auto"/>
                <w:szCs w:val="21"/>
                <w:highlight w:val="none"/>
              </w:rPr>
              <w:t>电子签章</w:t>
            </w:r>
            <w:r>
              <w:rPr>
                <w:color w:val="auto"/>
                <w:szCs w:val="21"/>
                <w:highlight w:val="none"/>
              </w:rPr>
              <w:t>。</w:t>
            </w:r>
          </w:p>
          <w:p w14:paraId="1C4ACF1B">
            <w:pPr>
              <w:spacing w:line="240" w:lineRule="exact"/>
              <w:jc w:val="left"/>
              <w:rPr>
                <w:color w:val="auto"/>
                <w:szCs w:val="21"/>
                <w:highlight w:val="none"/>
              </w:rPr>
            </w:pPr>
            <w:r>
              <w:rPr>
                <w:rFonts w:hint="eastAsia"/>
                <w:color w:val="auto"/>
                <w:szCs w:val="21"/>
                <w:highlight w:val="none"/>
                <w:lang w:eastAsia="zh-CN"/>
              </w:rPr>
              <w:t>投标人</w:t>
            </w:r>
            <w:r>
              <w:rPr>
                <w:color w:val="auto"/>
                <w:szCs w:val="21"/>
                <w:highlight w:val="none"/>
              </w:rPr>
              <w:t>成立不足</w:t>
            </w:r>
            <w:r>
              <w:rPr>
                <w:rFonts w:hint="eastAsia"/>
                <w:color w:val="auto"/>
                <w:szCs w:val="21"/>
                <w:highlight w:val="none"/>
              </w:rPr>
              <w:t>1个月的，无须提供</w:t>
            </w:r>
            <w:r>
              <w:rPr>
                <w:color w:val="auto"/>
                <w:szCs w:val="21"/>
                <w:highlight w:val="none"/>
              </w:rPr>
              <w:t>缴纳税费证明及社保缴费证明加盖</w:t>
            </w:r>
            <w:r>
              <w:rPr>
                <w:rFonts w:hint="eastAsia"/>
                <w:color w:val="auto"/>
                <w:szCs w:val="21"/>
                <w:highlight w:val="none"/>
                <w:lang w:eastAsia="zh-CN"/>
              </w:rPr>
              <w:t>投标人</w:t>
            </w:r>
            <w:r>
              <w:rPr>
                <w:color w:val="auto"/>
                <w:szCs w:val="21"/>
                <w:highlight w:val="none"/>
              </w:rPr>
              <w:t>电子签章</w:t>
            </w:r>
            <w:r>
              <w:rPr>
                <w:rFonts w:hint="eastAsia"/>
                <w:color w:val="auto"/>
                <w:szCs w:val="21"/>
                <w:highlight w:val="none"/>
              </w:rPr>
              <w:t>。</w:t>
            </w:r>
          </w:p>
          <w:p w14:paraId="00800381">
            <w:pPr>
              <w:spacing w:line="240" w:lineRule="exact"/>
              <w:jc w:val="left"/>
              <w:rPr>
                <w:color w:val="auto"/>
                <w:szCs w:val="21"/>
                <w:highlight w:val="none"/>
              </w:rPr>
            </w:pPr>
            <w:r>
              <w:rPr>
                <w:color w:val="auto"/>
                <w:szCs w:val="21"/>
                <w:highlight w:val="none"/>
              </w:rPr>
              <w:t>依法免税或不需要缴纳社会保障资金的</w:t>
            </w:r>
            <w:r>
              <w:rPr>
                <w:rFonts w:hint="eastAsia"/>
                <w:color w:val="auto"/>
                <w:szCs w:val="21"/>
                <w:highlight w:val="none"/>
                <w:lang w:eastAsia="zh-CN"/>
              </w:rPr>
              <w:t>投标人</w:t>
            </w:r>
            <w:r>
              <w:rPr>
                <w:color w:val="auto"/>
                <w:szCs w:val="21"/>
                <w:highlight w:val="none"/>
              </w:rPr>
              <w:t>，须提供相应文件证明其依法免税或不需要缴纳社会保障资金。</w:t>
            </w:r>
          </w:p>
        </w:tc>
      </w:tr>
      <w:tr w14:paraId="63CB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7B0FBE41">
            <w:pPr>
              <w:spacing w:line="240" w:lineRule="exact"/>
              <w:rPr>
                <w:color w:val="auto"/>
                <w:szCs w:val="21"/>
                <w:highlight w:val="none"/>
                <w:lang w:val="zh-CN"/>
              </w:rPr>
            </w:pPr>
          </w:p>
        </w:tc>
        <w:tc>
          <w:tcPr>
            <w:tcW w:w="1843" w:type="dxa"/>
            <w:noWrap w:val="0"/>
            <w:vAlign w:val="center"/>
          </w:tcPr>
          <w:p w14:paraId="723F9961">
            <w:pPr>
              <w:spacing w:line="240" w:lineRule="exact"/>
              <w:jc w:val="left"/>
              <w:rPr>
                <w:rFonts w:hint="eastAsia"/>
                <w:color w:val="auto"/>
                <w:szCs w:val="21"/>
                <w:highlight w:val="none"/>
              </w:rPr>
            </w:pPr>
            <w:r>
              <w:rPr>
                <w:color w:val="auto"/>
                <w:szCs w:val="21"/>
                <w:highlight w:val="none"/>
              </w:rPr>
              <w:t>（5）参加政府采购活动前三年内，在经营活动中没有重大违法记录</w:t>
            </w:r>
            <w:r>
              <w:rPr>
                <w:rFonts w:hint="eastAsia"/>
                <w:color w:val="auto"/>
                <w:szCs w:val="21"/>
                <w:highlight w:val="none"/>
              </w:rPr>
              <w:t>。</w:t>
            </w:r>
          </w:p>
        </w:tc>
        <w:tc>
          <w:tcPr>
            <w:tcW w:w="6242" w:type="dxa"/>
            <w:noWrap w:val="0"/>
            <w:vAlign w:val="center"/>
          </w:tcPr>
          <w:p w14:paraId="091A72FE">
            <w:pPr>
              <w:spacing w:line="240" w:lineRule="exact"/>
              <w:jc w:val="left"/>
              <w:rPr>
                <w:color w:val="auto"/>
                <w:szCs w:val="21"/>
                <w:highlight w:val="none"/>
              </w:rPr>
            </w:pPr>
            <w:r>
              <w:rPr>
                <w:color w:val="auto"/>
                <w:szCs w:val="21"/>
                <w:highlight w:val="none"/>
              </w:rPr>
              <w:t xml:space="preserve">审查无重大违法记录声明。须提供，格式见第六章投标文件格式“投标声明书”。 </w:t>
            </w:r>
          </w:p>
        </w:tc>
      </w:tr>
      <w:tr w14:paraId="2D982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25E42A51">
            <w:pPr>
              <w:spacing w:line="240" w:lineRule="exact"/>
              <w:rPr>
                <w:color w:val="auto"/>
                <w:szCs w:val="21"/>
                <w:highlight w:val="none"/>
                <w:lang w:val="zh-CN"/>
              </w:rPr>
            </w:pPr>
          </w:p>
        </w:tc>
        <w:tc>
          <w:tcPr>
            <w:tcW w:w="1843" w:type="dxa"/>
            <w:noWrap w:val="0"/>
            <w:vAlign w:val="center"/>
          </w:tcPr>
          <w:p w14:paraId="58627515">
            <w:pPr>
              <w:spacing w:line="240" w:lineRule="exact"/>
              <w:jc w:val="left"/>
              <w:rPr>
                <w:color w:val="auto"/>
                <w:szCs w:val="21"/>
                <w:highlight w:val="none"/>
              </w:rPr>
            </w:pPr>
            <w:r>
              <w:rPr>
                <w:color w:val="auto"/>
                <w:szCs w:val="21"/>
                <w:highlight w:val="none"/>
              </w:rPr>
              <w:t>（6）具备法律、行政法规规定的其他要求</w:t>
            </w:r>
          </w:p>
        </w:tc>
        <w:tc>
          <w:tcPr>
            <w:tcW w:w="6242" w:type="dxa"/>
            <w:noWrap w:val="0"/>
            <w:vAlign w:val="center"/>
          </w:tcPr>
          <w:p w14:paraId="26F90497">
            <w:pPr>
              <w:spacing w:line="240" w:lineRule="exact"/>
              <w:jc w:val="left"/>
              <w:rPr>
                <w:color w:val="auto"/>
                <w:szCs w:val="21"/>
                <w:highlight w:val="none"/>
              </w:rPr>
            </w:pPr>
            <w:r>
              <w:rPr>
                <w:color w:val="auto"/>
                <w:szCs w:val="21"/>
                <w:highlight w:val="none"/>
              </w:rPr>
              <w:t>无。</w:t>
            </w:r>
          </w:p>
        </w:tc>
      </w:tr>
      <w:tr w14:paraId="49ADD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noWrap w:val="0"/>
            <w:vAlign w:val="center"/>
          </w:tcPr>
          <w:p w14:paraId="22A24D67">
            <w:pPr>
              <w:spacing w:line="240" w:lineRule="exact"/>
              <w:rPr>
                <w:color w:val="auto"/>
                <w:szCs w:val="21"/>
                <w:highlight w:val="none"/>
                <w:lang w:val="zh-CN"/>
              </w:rPr>
            </w:pPr>
            <w:r>
              <w:rPr>
                <w:rFonts w:hint="eastAsia"/>
                <w:color w:val="auto"/>
                <w:kern w:val="0"/>
                <w:szCs w:val="21"/>
                <w:highlight w:val="none"/>
              </w:rPr>
              <w:t>采购政策</w:t>
            </w:r>
          </w:p>
        </w:tc>
        <w:tc>
          <w:tcPr>
            <w:tcW w:w="1843" w:type="dxa"/>
            <w:noWrap w:val="0"/>
            <w:vAlign w:val="center"/>
          </w:tcPr>
          <w:p w14:paraId="716FD613">
            <w:pPr>
              <w:spacing w:line="240" w:lineRule="exact"/>
              <w:jc w:val="left"/>
              <w:rPr>
                <w:color w:val="auto"/>
                <w:szCs w:val="21"/>
                <w:highlight w:val="none"/>
              </w:rPr>
            </w:pPr>
            <w:r>
              <w:rPr>
                <w:rFonts w:hint="eastAsia"/>
                <w:color w:val="auto"/>
                <w:szCs w:val="21"/>
                <w:highlight w:val="none"/>
              </w:rPr>
              <w:t>落实政府采购政策需满足的资格要求</w:t>
            </w:r>
          </w:p>
        </w:tc>
        <w:tc>
          <w:tcPr>
            <w:tcW w:w="6242" w:type="dxa"/>
            <w:noWrap w:val="0"/>
            <w:vAlign w:val="center"/>
          </w:tcPr>
          <w:p w14:paraId="4B8C939C">
            <w:pPr>
              <w:spacing w:line="240" w:lineRule="exact"/>
              <w:jc w:val="left"/>
              <w:rPr>
                <w:rFonts w:hint="eastAsia" w:eastAsia="宋体"/>
                <w:color w:val="auto"/>
                <w:szCs w:val="21"/>
                <w:highlight w:val="none"/>
                <w:lang w:eastAsia="zh-CN"/>
              </w:rPr>
            </w:pPr>
            <w:r>
              <w:rPr>
                <w:rFonts w:hint="eastAsia"/>
                <w:color w:val="auto"/>
                <w:szCs w:val="21"/>
                <w:highlight w:val="none"/>
              </w:rPr>
              <w:t>无</w:t>
            </w:r>
            <w:r>
              <w:rPr>
                <w:rFonts w:hint="eastAsia"/>
                <w:color w:val="auto"/>
                <w:szCs w:val="21"/>
                <w:highlight w:val="none"/>
                <w:lang w:eastAsia="zh-CN"/>
              </w:rPr>
              <w:t>。</w:t>
            </w:r>
          </w:p>
        </w:tc>
      </w:tr>
      <w:tr w14:paraId="09BF5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846" w:type="dxa"/>
            <w:vMerge w:val="restart"/>
            <w:noWrap w:val="0"/>
            <w:vAlign w:val="center"/>
          </w:tcPr>
          <w:p w14:paraId="46506F28">
            <w:pPr>
              <w:spacing w:line="240" w:lineRule="exact"/>
              <w:rPr>
                <w:color w:val="auto"/>
                <w:szCs w:val="21"/>
                <w:highlight w:val="none"/>
              </w:rPr>
            </w:pPr>
            <w:r>
              <w:rPr>
                <w:rFonts w:hint="eastAsia"/>
                <w:color w:val="auto"/>
                <w:szCs w:val="21"/>
                <w:highlight w:val="none"/>
                <w:lang w:val="en-US" w:eastAsia="zh-CN"/>
              </w:rPr>
              <w:t>投标人</w:t>
            </w:r>
            <w:r>
              <w:rPr>
                <w:color w:val="auto"/>
                <w:szCs w:val="21"/>
                <w:highlight w:val="none"/>
                <w:lang w:val="zh-CN"/>
              </w:rPr>
              <w:t>应</w:t>
            </w:r>
            <w:r>
              <w:rPr>
                <w:rFonts w:hint="eastAsia"/>
                <w:color w:val="auto"/>
                <w:szCs w:val="21"/>
                <w:highlight w:val="none"/>
                <w:lang w:val="zh-CN"/>
              </w:rPr>
              <w:t>符合</w:t>
            </w:r>
            <w:r>
              <w:rPr>
                <w:color w:val="auto"/>
                <w:szCs w:val="21"/>
                <w:highlight w:val="none"/>
              </w:rPr>
              <w:t>特定资格</w:t>
            </w:r>
            <w:r>
              <w:rPr>
                <w:rFonts w:hint="eastAsia"/>
                <w:color w:val="auto"/>
                <w:szCs w:val="21"/>
                <w:highlight w:val="none"/>
              </w:rPr>
              <w:t>要求</w:t>
            </w:r>
          </w:p>
        </w:tc>
        <w:tc>
          <w:tcPr>
            <w:tcW w:w="1843" w:type="dxa"/>
            <w:noWrap w:val="0"/>
            <w:vAlign w:val="center"/>
          </w:tcPr>
          <w:p w14:paraId="1616F975">
            <w:pPr>
              <w:spacing w:line="240" w:lineRule="exact"/>
              <w:jc w:val="left"/>
              <w:rPr>
                <w:color w:val="auto"/>
                <w:szCs w:val="21"/>
                <w:highlight w:val="none"/>
              </w:rPr>
            </w:pPr>
            <w:r>
              <w:rPr>
                <w:color w:val="auto"/>
                <w:szCs w:val="21"/>
                <w:highlight w:val="none"/>
              </w:rPr>
              <w:t>（1）资质</w:t>
            </w:r>
            <w:r>
              <w:rPr>
                <w:rFonts w:hint="eastAsia"/>
                <w:color w:val="auto"/>
                <w:szCs w:val="21"/>
                <w:highlight w:val="none"/>
              </w:rPr>
              <w:t>要求</w:t>
            </w:r>
          </w:p>
        </w:tc>
        <w:tc>
          <w:tcPr>
            <w:tcW w:w="6242" w:type="dxa"/>
            <w:noWrap w:val="0"/>
            <w:vAlign w:val="center"/>
          </w:tcPr>
          <w:p w14:paraId="71EB6288">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“招标公告”</w:t>
            </w:r>
            <w:r>
              <w:rPr>
                <w:color w:val="auto"/>
                <w:szCs w:val="21"/>
                <w:highlight w:val="none"/>
              </w:rPr>
              <w:t>的要求</w:t>
            </w:r>
          </w:p>
        </w:tc>
      </w:tr>
      <w:tr w14:paraId="5CFF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78111A0E">
            <w:pPr>
              <w:spacing w:line="240" w:lineRule="exact"/>
              <w:rPr>
                <w:color w:val="auto"/>
                <w:szCs w:val="21"/>
                <w:highlight w:val="none"/>
              </w:rPr>
            </w:pPr>
          </w:p>
        </w:tc>
        <w:tc>
          <w:tcPr>
            <w:tcW w:w="1843" w:type="dxa"/>
            <w:noWrap w:val="0"/>
            <w:vAlign w:val="center"/>
          </w:tcPr>
          <w:p w14:paraId="6602EA89">
            <w:pPr>
              <w:spacing w:line="240" w:lineRule="exact"/>
              <w:jc w:val="left"/>
              <w:rPr>
                <w:color w:val="auto"/>
                <w:szCs w:val="21"/>
                <w:highlight w:val="none"/>
              </w:rPr>
            </w:pPr>
            <w:r>
              <w:rPr>
                <w:color w:val="auto"/>
                <w:szCs w:val="21"/>
                <w:highlight w:val="none"/>
              </w:rPr>
              <w:t>（2）业绩要求</w:t>
            </w:r>
          </w:p>
        </w:tc>
        <w:tc>
          <w:tcPr>
            <w:tcW w:w="6242" w:type="dxa"/>
            <w:noWrap w:val="0"/>
            <w:vAlign w:val="center"/>
          </w:tcPr>
          <w:p w14:paraId="15FEC023">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“招标公告”</w:t>
            </w:r>
            <w:r>
              <w:rPr>
                <w:color w:val="auto"/>
                <w:szCs w:val="21"/>
                <w:highlight w:val="none"/>
              </w:rPr>
              <w:t>的要求</w:t>
            </w:r>
          </w:p>
        </w:tc>
      </w:tr>
      <w:tr w14:paraId="2CE6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6" w:hRule="atLeast"/>
        </w:trPr>
        <w:tc>
          <w:tcPr>
            <w:tcW w:w="846" w:type="dxa"/>
            <w:vMerge w:val="continue"/>
            <w:noWrap w:val="0"/>
            <w:vAlign w:val="center"/>
          </w:tcPr>
          <w:p w14:paraId="196A2400">
            <w:pPr>
              <w:spacing w:line="240" w:lineRule="exact"/>
              <w:jc w:val="left"/>
              <w:rPr>
                <w:color w:val="auto"/>
                <w:szCs w:val="21"/>
                <w:highlight w:val="none"/>
              </w:rPr>
            </w:pPr>
          </w:p>
        </w:tc>
        <w:tc>
          <w:tcPr>
            <w:tcW w:w="1843" w:type="dxa"/>
            <w:noWrap w:val="0"/>
            <w:vAlign w:val="center"/>
          </w:tcPr>
          <w:p w14:paraId="107F92F8">
            <w:pPr>
              <w:spacing w:line="240" w:lineRule="exact"/>
              <w:jc w:val="left"/>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w:t>
            </w:r>
            <w:r>
              <w:rPr>
                <w:rFonts w:hint="eastAsia"/>
                <w:color w:val="auto"/>
                <w:szCs w:val="21"/>
                <w:highlight w:val="none"/>
                <w:lang w:eastAsia="zh-CN"/>
              </w:rPr>
              <w:t>投标人</w:t>
            </w:r>
            <w:r>
              <w:rPr>
                <w:rFonts w:hint="eastAsia"/>
                <w:color w:val="auto"/>
                <w:szCs w:val="21"/>
                <w:highlight w:val="none"/>
              </w:rPr>
              <w:t>不得参加投标的情形</w:t>
            </w:r>
          </w:p>
        </w:tc>
        <w:tc>
          <w:tcPr>
            <w:tcW w:w="6242" w:type="dxa"/>
            <w:noWrap w:val="0"/>
            <w:vAlign w:val="center"/>
          </w:tcPr>
          <w:p w14:paraId="73EE705E">
            <w:pPr>
              <w:spacing w:line="240" w:lineRule="exact"/>
              <w:jc w:val="left"/>
              <w:rPr>
                <w:color w:val="auto"/>
                <w:kern w:val="0"/>
                <w:szCs w:val="21"/>
                <w:highlight w:val="none"/>
              </w:rPr>
            </w:pPr>
            <w:r>
              <w:rPr>
                <w:color w:val="auto"/>
                <w:kern w:val="0"/>
                <w:szCs w:val="21"/>
                <w:highlight w:val="none"/>
              </w:rPr>
              <w:t>单位负责人为同一人或者存在直接控股、管理关系的不同</w:t>
            </w:r>
            <w:r>
              <w:rPr>
                <w:rFonts w:hint="eastAsia"/>
                <w:color w:val="auto"/>
                <w:kern w:val="0"/>
                <w:szCs w:val="21"/>
                <w:highlight w:val="none"/>
                <w:lang w:eastAsia="zh-CN"/>
              </w:rPr>
              <w:t>投标人</w:t>
            </w:r>
            <w:r>
              <w:rPr>
                <w:color w:val="auto"/>
                <w:kern w:val="0"/>
                <w:szCs w:val="21"/>
                <w:highlight w:val="none"/>
              </w:rPr>
              <w:t>，不得参加本项目同一合同项下的政府采购活动。为本项目提供整体设计、规范编制或者项目管理、监理、检测等服务的</w:t>
            </w:r>
            <w:r>
              <w:rPr>
                <w:rFonts w:hint="eastAsia"/>
                <w:color w:val="auto"/>
                <w:kern w:val="0"/>
                <w:szCs w:val="21"/>
                <w:highlight w:val="none"/>
                <w:lang w:eastAsia="zh-CN"/>
              </w:rPr>
              <w:t>投标人</w:t>
            </w:r>
            <w:r>
              <w:rPr>
                <w:color w:val="auto"/>
                <w:kern w:val="0"/>
                <w:szCs w:val="21"/>
                <w:highlight w:val="none"/>
              </w:rPr>
              <w:t>，不得再参加</w:t>
            </w:r>
            <w:r>
              <w:rPr>
                <w:rFonts w:hint="eastAsia"/>
                <w:color w:val="auto"/>
                <w:kern w:val="0"/>
                <w:szCs w:val="21"/>
                <w:highlight w:val="none"/>
              </w:rPr>
              <w:t>本</w:t>
            </w:r>
            <w:r>
              <w:rPr>
                <w:color w:val="auto"/>
                <w:kern w:val="0"/>
                <w:szCs w:val="21"/>
                <w:highlight w:val="none"/>
              </w:rPr>
              <w:t>项目的采购活动。</w:t>
            </w:r>
          </w:p>
          <w:p w14:paraId="03E47992">
            <w:pPr>
              <w:spacing w:line="240" w:lineRule="exact"/>
              <w:jc w:val="left"/>
              <w:rPr>
                <w:color w:val="auto"/>
                <w:szCs w:val="21"/>
                <w:highlight w:val="none"/>
              </w:rPr>
            </w:pPr>
            <w:r>
              <w:rPr>
                <w:color w:val="auto"/>
                <w:szCs w:val="21"/>
                <w:highlight w:val="none"/>
              </w:rPr>
              <w:t>须提供，格式见第六章投标文件格式“</w:t>
            </w:r>
            <w:r>
              <w:rPr>
                <w:rFonts w:hint="eastAsia"/>
                <w:color w:val="auto"/>
                <w:szCs w:val="21"/>
                <w:highlight w:val="none"/>
              </w:rPr>
              <w:t>投标人直接控股股东、管理关系信息表</w:t>
            </w:r>
            <w:r>
              <w:rPr>
                <w:color w:val="auto"/>
                <w:szCs w:val="21"/>
                <w:highlight w:val="none"/>
              </w:rPr>
              <w:t>”。</w:t>
            </w:r>
          </w:p>
        </w:tc>
      </w:tr>
      <w:tr w14:paraId="6F46F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29C7D63F">
            <w:pPr>
              <w:spacing w:line="240" w:lineRule="exact"/>
              <w:jc w:val="left"/>
              <w:rPr>
                <w:color w:val="auto"/>
                <w:kern w:val="0"/>
                <w:szCs w:val="21"/>
                <w:highlight w:val="none"/>
              </w:rPr>
            </w:pPr>
          </w:p>
        </w:tc>
        <w:tc>
          <w:tcPr>
            <w:tcW w:w="1843" w:type="dxa"/>
            <w:noWrap w:val="0"/>
            <w:vAlign w:val="center"/>
          </w:tcPr>
          <w:p w14:paraId="3A3DADAD">
            <w:pPr>
              <w:spacing w:line="240" w:lineRule="exact"/>
              <w:jc w:val="left"/>
              <w:rPr>
                <w:color w:val="auto"/>
                <w:kern w:val="0"/>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）诚信要求</w:t>
            </w:r>
          </w:p>
        </w:tc>
        <w:tc>
          <w:tcPr>
            <w:tcW w:w="6242" w:type="dxa"/>
            <w:noWrap w:val="0"/>
            <w:vAlign w:val="top"/>
          </w:tcPr>
          <w:p w14:paraId="07EBAD63">
            <w:pPr>
              <w:spacing w:line="312" w:lineRule="auto"/>
              <w:jc w:val="left"/>
              <w:rPr>
                <w:rFonts w:hint="eastAsia"/>
                <w:color w:val="auto"/>
                <w:kern w:val="0"/>
                <w:szCs w:val="21"/>
                <w:highlight w:val="none"/>
              </w:rPr>
            </w:pPr>
            <w:r>
              <w:rPr>
                <w:color w:val="auto"/>
                <w:kern w:val="0"/>
                <w:szCs w:val="21"/>
                <w:highlight w:val="none"/>
              </w:rPr>
              <w:t>未被列入失信被执行人、重大税收违法失信主体、政府采购严重违法失信行为记录名单。</w:t>
            </w:r>
          </w:p>
        </w:tc>
      </w:tr>
      <w:tr w14:paraId="3845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7B066362">
            <w:pPr>
              <w:spacing w:line="240" w:lineRule="exact"/>
              <w:jc w:val="left"/>
              <w:rPr>
                <w:color w:val="auto"/>
                <w:kern w:val="0"/>
                <w:szCs w:val="21"/>
                <w:highlight w:val="none"/>
              </w:rPr>
            </w:pPr>
          </w:p>
        </w:tc>
        <w:tc>
          <w:tcPr>
            <w:tcW w:w="1843" w:type="dxa"/>
            <w:noWrap w:val="0"/>
            <w:vAlign w:val="center"/>
          </w:tcPr>
          <w:p w14:paraId="29342213">
            <w:pPr>
              <w:spacing w:line="240" w:lineRule="exact"/>
              <w:jc w:val="left"/>
              <w:rPr>
                <w:color w:val="auto"/>
                <w:szCs w:val="21"/>
                <w:highlight w:val="none"/>
              </w:rPr>
            </w:pPr>
            <w:r>
              <w:rPr>
                <w:rFonts w:hint="eastAsia"/>
                <w:color w:val="auto"/>
                <w:szCs w:val="21"/>
                <w:highlight w:val="none"/>
              </w:rPr>
              <w:t>（5）分公司</w:t>
            </w:r>
          </w:p>
        </w:tc>
        <w:tc>
          <w:tcPr>
            <w:tcW w:w="6242" w:type="dxa"/>
            <w:noWrap w:val="0"/>
            <w:vAlign w:val="center"/>
          </w:tcPr>
          <w:p w14:paraId="1A9F19F1">
            <w:pPr>
              <w:spacing w:line="240" w:lineRule="exact"/>
              <w:rPr>
                <w:color w:val="auto"/>
                <w:szCs w:val="21"/>
                <w:highlight w:val="none"/>
              </w:rPr>
            </w:pPr>
            <w:r>
              <w:rPr>
                <w:color w:val="auto"/>
                <w:szCs w:val="21"/>
                <w:highlight w:val="none"/>
              </w:rPr>
              <w:t>须符合</w:t>
            </w:r>
            <w:r>
              <w:rPr>
                <w:rFonts w:hint="eastAsia"/>
                <w:color w:val="auto"/>
                <w:szCs w:val="21"/>
                <w:highlight w:val="none"/>
              </w:rPr>
              <w:t>“招标公告”</w:t>
            </w:r>
            <w:r>
              <w:rPr>
                <w:color w:val="auto"/>
                <w:szCs w:val="21"/>
                <w:highlight w:val="none"/>
              </w:rPr>
              <w:t>的要求</w:t>
            </w:r>
          </w:p>
        </w:tc>
      </w:tr>
      <w:tr w14:paraId="4A6C6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46" w:type="dxa"/>
            <w:vMerge w:val="continue"/>
            <w:noWrap w:val="0"/>
            <w:vAlign w:val="center"/>
          </w:tcPr>
          <w:p w14:paraId="1D77AC48">
            <w:pPr>
              <w:spacing w:line="240" w:lineRule="exact"/>
              <w:jc w:val="left"/>
              <w:rPr>
                <w:color w:val="auto"/>
                <w:kern w:val="0"/>
                <w:szCs w:val="21"/>
                <w:highlight w:val="none"/>
              </w:rPr>
            </w:pPr>
          </w:p>
        </w:tc>
        <w:tc>
          <w:tcPr>
            <w:tcW w:w="1843" w:type="dxa"/>
            <w:noWrap w:val="0"/>
            <w:vAlign w:val="center"/>
          </w:tcPr>
          <w:p w14:paraId="7BA0D6FC">
            <w:pPr>
              <w:spacing w:line="240" w:lineRule="exact"/>
              <w:jc w:val="left"/>
              <w:rPr>
                <w:rFonts w:hint="eastAsia"/>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）分包</w:t>
            </w:r>
          </w:p>
        </w:tc>
        <w:tc>
          <w:tcPr>
            <w:tcW w:w="6242" w:type="dxa"/>
            <w:noWrap w:val="0"/>
            <w:vAlign w:val="center"/>
          </w:tcPr>
          <w:p w14:paraId="5539696C">
            <w:pPr>
              <w:spacing w:line="240" w:lineRule="exact"/>
              <w:rPr>
                <w:rFonts w:hint="eastAsia"/>
                <w:color w:val="auto"/>
                <w:szCs w:val="21"/>
                <w:highlight w:val="none"/>
                <w:lang w:val="zh-CN"/>
              </w:rPr>
            </w:pPr>
            <w:r>
              <w:rPr>
                <w:color w:val="auto"/>
                <w:szCs w:val="21"/>
                <w:highlight w:val="none"/>
              </w:rPr>
              <w:t>须符合</w:t>
            </w:r>
            <w:r>
              <w:rPr>
                <w:rFonts w:hint="eastAsia"/>
                <w:color w:val="auto"/>
                <w:szCs w:val="21"/>
                <w:highlight w:val="none"/>
              </w:rPr>
              <w:t>“招标公告”</w:t>
            </w:r>
            <w:r>
              <w:rPr>
                <w:color w:val="auto"/>
                <w:szCs w:val="21"/>
                <w:highlight w:val="none"/>
              </w:rPr>
              <w:t>的要求</w:t>
            </w:r>
          </w:p>
        </w:tc>
      </w:tr>
      <w:tr w14:paraId="2EFC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46" w:type="dxa"/>
            <w:vMerge w:val="continue"/>
            <w:noWrap w:val="0"/>
            <w:vAlign w:val="center"/>
          </w:tcPr>
          <w:p w14:paraId="090875E7">
            <w:pPr>
              <w:spacing w:line="240" w:lineRule="exact"/>
              <w:jc w:val="left"/>
              <w:rPr>
                <w:color w:val="auto"/>
                <w:kern w:val="0"/>
                <w:szCs w:val="21"/>
                <w:highlight w:val="none"/>
              </w:rPr>
            </w:pPr>
          </w:p>
        </w:tc>
        <w:tc>
          <w:tcPr>
            <w:tcW w:w="1843" w:type="dxa"/>
            <w:noWrap w:val="0"/>
            <w:vAlign w:val="center"/>
          </w:tcPr>
          <w:p w14:paraId="2A5D10F6">
            <w:pPr>
              <w:spacing w:line="240" w:lineRule="exact"/>
              <w:jc w:val="left"/>
              <w:rPr>
                <w:rFonts w:hint="eastAsia"/>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）联合体</w:t>
            </w:r>
          </w:p>
        </w:tc>
        <w:tc>
          <w:tcPr>
            <w:tcW w:w="6242" w:type="dxa"/>
            <w:noWrap w:val="0"/>
            <w:vAlign w:val="center"/>
          </w:tcPr>
          <w:p w14:paraId="12720C41">
            <w:pPr>
              <w:spacing w:line="240" w:lineRule="exact"/>
              <w:rPr>
                <w:rFonts w:hint="default" w:eastAsia="宋体"/>
                <w:color w:val="auto"/>
                <w:szCs w:val="21"/>
                <w:highlight w:val="none"/>
                <w:lang w:val="en-US" w:eastAsia="zh-CN"/>
              </w:rPr>
            </w:pPr>
            <w:r>
              <w:rPr>
                <w:rFonts w:hint="eastAsia"/>
                <w:color w:val="auto"/>
                <w:szCs w:val="21"/>
                <w:highlight w:val="none"/>
                <w:lang w:val="zh-CN"/>
              </w:rPr>
              <w:t>须符合“招标公告”的要求，</w:t>
            </w:r>
            <w:r>
              <w:rPr>
                <w:rFonts w:hint="eastAsia"/>
                <w:color w:val="auto"/>
                <w:szCs w:val="21"/>
                <w:highlight w:val="none"/>
                <w:lang w:val="en-US" w:eastAsia="zh-CN"/>
              </w:rPr>
              <w:t>如为联合体须提供联合体协议书</w:t>
            </w:r>
          </w:p>
        </w:tc>
      </w:tr>
      <w:tr w14:paraId="06204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46" w:type="dxa"/>
            <w:vMerge w:val="continue"/>
            <w:noWrap w:val="0"/>
            <w:vAlign w:val="center"/>
          </w:tcPr>
          <w:p w14:paraId="73C0BF3E">
            <w:pPr>
              <w:spacing w:line="240" w:lineRule="exact"/>
              <w:jc w:val="left"/>
              <w:rPr>
                <w:color w:val="auto"/>
                <w:kern w:val="0"/>
                <w:szCs w:val="21"/>
                <w:highlight w:val="none"/>
              </w:rPr>
            </w:pPr>
          </w:p>
        </w:tc>
        <w:tc>
          <w:tcPr>
            <w:tcW w:w="1843" w:type="dxa"/>
            <w:noWrap w:val="0"/>
            <w:vAlign w:val="center"/>
          </w:tcPr>
          <w:p w14:paraId="66F1099C">
            <w:pPr>
              <w:spacing w:line="240" w:lineRule="exact"/>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（8）其他要求</w:t>
            </w:r>
          </w:p>
        </w:tc>
        <w:tc>
          <w:tcPr>
            <w:tcW w:w="6242" w:type="dxa"/>
            <w:noWrap w:val="0"/>
            <w:vAlign w:val="top"/>
          </w:tcPr>
          <w:p w14:paraId="398594EE">
            <w:pPr>
              <w:spacing w:line="240" w:lineRule="exact"/>
              <w:rPr>
                <w:rFonts w:hint="eastAsia" w:ascii="Times New Roman" w:hAnsi="Times New Roman" w:cs="Times New Roman"/>
                <w:color w:val="auto"/>
                <w:szCs w:val="21"/>
                <w:highlight w:val="none"/>
                <w:lang w:val="en-US" w:eastAsia="zh-CN"/>
              </w:rPr>
            </w:pPr>
          </w:p>
          <w:p w14:paraId="7DB676E6">
            <w:pPr>
              <w:spacing w:line="240" w:lineRule="exact"/>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按照招标公告规定获得招标文件。足额、及时缴纳投标保证金。</w:t>
            </w:r>
          </w:p>
        </w:tc>
      </w:tr>
    </w:tbl>
    <w:p w14:paraId="4EB5CFB4">
      <w:pPr>
        <w:spacing w:before="120" w:line="320" w:lineRule="atLeast"/>
        <w:ind w:firstLine="413" w:firstLineChars="196"/>
        <w:outlineLvl w:val="1"/>
        <w:rPr>
          <w:color w:val="auto"/>
          <w:szCs w:val="21"/>
          <w:highlight w:val="none"/>
        </w:rPr>
      </w:pPr>
      <w:bookmarkStart w:id="115" w:name="_Hlk19113393"/>
      <w:r>
        <w:rPr>
          <w:b/>
          <w:bCs/>
          <w:color w:val="auto"/>
          <w:kern w:val="0"/>
          <w:szCs w:val="21"/>
          <w:highlight w:val="none"/>
        </w:rPr>
        <w:t>3</w:t>
      </w:r>
      <w:r>
        <w:rPr>
          <w:rFonts w:hint="eastAsia"/>
          <w:b/>
          <w:bCs/>
          <w:color w:val="auto"/>
          <w:kern w:val="0"/>
          <w:szCs w:val="21"/>
          <w:highlight w:val="none"/>
        </w:rPr>
        <w:t>.</w:t>
      </w:r>
      <w:r>
        <w:rPr>
          <w:b/>
          <w:bCs/>
          <w:color w:val="auto"/>
          <w:kern w:val="0"/>
          <w:szCs w:val="21"/>
          <w:highlight w:val="none"/>
        </w:rPr>
        <w:t>符合性审查</w:t>
      </w:r>
      <w:r>
        <w:rPr>
          <w:rFonts w:hint="eastAsia"/>
          <w:b/>
          <w:bCs/>
          <w:color w:val="auto"/>
          <w:kern w:val="0"/>
          <w:szCs w:val="21"/>
          <w:highlight w:val="none"/>
        </w:rPr>
        <w:t>标准（不满足任何一项审查内容要求，符合性审查即为不合格）</w:t>
      </w:r>
    </w:p>
    <w:tbl>
      <w:tblPr>
        <w:tblStyle w:val="51"/>
        <w:tblW w:w="888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322"/>
        <w:gridCol w:w="5061"/>
      </w:tblGrid>
      <w:tr w14:paraId="5440B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505" w:type="dxa"/>
            <w:noWrap w:val="0"/>
            <w:vAlign w:val="center"/>
          </w:tcPr>
          <w:p w14:paraId="51022FB1">
            <w:pPr>
              <w:spacing w:line="240" w:lineRule="exact"/>
              <w:jc w:val="center"/>
              <w:rPr>
                <w:b/>
                <w:color w:val="auto"/>
                <w:kern w:val="0"/>
                <w:szCs w:val="21"/>
                <w:highlight w:val="none"/>
              </w:rPr>
            </w:pPr>
            <w:bookmarkStart w:id="116" w:name="_Hlk92966680"/>
            <w:r>
              <w:rPr>
                <w:rFonts w:hint="eastAsia"/>
                <w:b/>
                <w:color w:val="auto"/>
                <w:kern w:val="0"/>
                <w:szCs w:val="21"/>
                <w:highlight w:val="none"/>
              </w:rPr>
              <w:t>审查</w:t>
            </w:r>
            <w:r>
              <w:rPr>
                <w:b/>
                <w:color w:val="auto"/>
                <w:kern w:val="0"/>
                <w:szCs w:val="21"/>
                <w:highlight w:val="none"/>
              </w:rPr>
              <w:t>因素</w:t>
            </w:r>
          </w:p>
        </w:tc>
        <w:tc>
          <w:tcPr>
            <w:tcW w:w="2322" w:type="dxa"/>
            <w:noWrap w:val="0"/>
            <w:vAlign w:val="center"/>
          </w:tcPr>
          <w:p w14:paraId="364A26E1">
            <w:pPr>
              <w:spacing w:line="240" w:lineRule="exact"/>
              <w:jc w:val="center"/>
              <w:rPr>
                <w:b/>
                <w:color w:val="auto"/>
                <w:kern w:val="0"/>
                <w:szCs w:val="21"/>
                <w:highlight w:val="none"/>
              </w:rPr>
            </w:pPr>
            <w:r>
              <w:rPr>
                <w:rFonts w:hint="eastAsia"/>
                <w:b/>
                <w:color w:val="auto"/>
                <w:kern w:val="0"/>
                <w:szCs w:val="21"/>
                <w:highlight w:val="none"/>
              </w:rPr>
              <w:t>审查内容</w:t>
            </w:r>
          </w:p>
        </w:tc>
        <w:tc>
          <w:tcPr>
            <w:tcW w:w="5061" w:type="dxa"/>
            <w:noWrap w:val="0"/>
            <w:vAlign w:val="top"/>
          </w:tcPr>
          <w:p w14:paraId="3E264819">
            <w:pPr>
              <w:spacing w:line="240" w:lineRule="exact"/>
              <w:jc w:val="center"/>
              <w:rPr>
                <w:b/>
                <w:color w:val="auto"/>
                <w:kern w:val="0"/>
                <w:szCs w:val="21"/>
                <w:highlight w:val="none"/>
              </w:rPr>
            </w:pPr>
          </w:p>
          <w:p w14:paraId="26449C02">
            <w:pPr>
              <w:spacing w:line="240" w:lineRule="exact"/>
              <w:jc w:val="center"/>
              <w:rPr>
                <w:b/>
                <w:color w:val="auto"/>
                <w:kern w:val="0"/>
                <w:szCs w:val="21"/>
                <w:highlight w:val="none"/>
              </w:rPr>
            </w:pPr>
            <w:r>
              <w:rPr>
                <w:rFonts w:hint="eastAsia"/>
                <w:b/>
                <w:color w:val="auto"/>
                <w:kern w:val="0"/>
                <w:szCs w:val="21"/>
                <w:highlight w:val="none"/>
              </w:rPr>
              <w:t>说明</w:t>
            </w:r>
          </w:p>
        </w:tc>
      </w:tr>
      <w:tr w14:paraId="0780C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505" w:type="dxa"/>
            <w:vMerge w:val="restart"/>
            <w:noWrap w:val="0"/>
            <w:vAlign w:val="center"/>
          </w:tcPr>
          <w:p w14:paraId="5BAE0F36">
            <w:pPr>
              <w:spacing w:line="240" w:lineRule="exact"/>
              <w:jc w:val="center"/>
              <w:rPr>
                <w:color w:val="auto"/>
                <w:kern w:val="0"/>
                <w:szCs w:val="21"/>
                <w:highlight w:val="none"/>
              </w:rPr>
            </w:pPr>
            <w:r>
              <w:rPr>
                <w:rFonts w:hint="eastAsia"/>
                <w:color w:val="auto"/>
                <w:kern w:val="0"/>
                <w:szCs w:val="21"/>
                <w:highlight w:val="none"/>
              </w:rPr>
              <w:t>商务资信</w:t>
            </w:r>
          </w:p>
        </w:tc>
        <w:tc>
          <w:tcPr>
            <w:tcW w:w="2322" w:type="dxa"/>
            <w:noWrap w:val="0"/>
            <w:vAlign w:val="center"/>
          </w:tcPr>
          <w:p w14:paraId="3736306A">
            <w:pPr>
              <w:spacing w:line="240" w:lineRule="exact"/>
              <w:rPr>
                <w:color w:val="auto"/>
                <w:highlight w:val="none"/>
              </w:rPr>
            </w:pPr>
            <w:r>
              <w:rPr>
                <w:rFonts w:hint="eastAsia"/>
                <w:color w:val="auto"/>
                <w:highlight w:val="none"/>
              </w:rPr>
              <w:t>法定代表人身份证明及授权委托书</w:t>
            </w:r>
          </w:p>
        </w:tc>
        <w:tc>
          <w:tcPr>
            <w:tcW w:w="5061" w:type="dxa"/>
            <w:noWrap w:val="0"/>
            <w:vAlign w:val="center"/>
          </w:tcPr>
          <w:p w14:paraId="5B211016">
            <w:pPr>
              <w:spacing w:line="240" w:lineRule="exact"/>
              <w:rPr>
                <w:color w:val="auto"/>
                <w:szCs w:val="21"/>
                <w:highlight w:val="none"/>
              </w:rPr>
            </w:pPr>
            <w:r>
              <w:rPr>
                <w:rFonts w:hint="eastAsia"/>
                <w:color w:val="auto"/>
                <w:szCs w:val="21"/>
                <w:highlight w:val="none"/>
              </w:rPr>
              <w:t>授权</w:t>
            </w:r>
            <w:r>
              <w:rPr>
                <w:color w:val="auto"/>
                <w:szCs w:val="21"/>
                <w:highlight w:val="none"/>
              </w:rPr>
              <w:t>代表</w:t>
            </w:r>
            <w:r>
              <w:rPr>
                <w:rFonts w:hint="eastAsia"/>
                <w:color w:val="auto"/>
                <w:szCs w:val="21"/>
                <w:highlight w:val="none"/>
              </w:rPr>
              <w:t>参加投标</w:t>
            </w:r>
            <w:r>
              <w:rPr>
                <w:color w:val="auto"/>
                <w:szCs w:val="21"/>
                <w:highlight w:val="none"/>
              </w:rPr>
              <w:t>时审查</w:t>
            </w:r>
            <w:r>
              <w:rPr>
                <w:color w:val="auto"/>
                <w:highlight w:val="none"/>
              </w:rPr>
              <w:t>：</w:t>
            </w:r>
            <w:r>
              <w:rPr>
                <w:rFonts w:ascii="宋体" w:hAnsi="宋体"/>
                <w:color w:val="auto"/>
                <w:szCs w:val="21"/>
                <w:highlight w:val="none"/>
              </w:rPr>
              <w:t>法定代表人授权委托书及附件</w:t>
            </w:r>
            <w:r>
              <w:rPr>
                <w:color w:val="auto"/>
                <w:szCs w:val="21"/>
                <w:highlight w:val="none"/>
              </w:rPr>
              <w:t xml:space="preserve"> </w:t>
            </w:r>
          </w:p>
          <w:p w14:paraId="159D702A">
            <w:pPr>
              <w:spacing w:line="240" w:lineRule="exact"/>
              <w:rPr>
                <w:rFonts w:ascii="宋体" w:hAnsi="宋体"/>
                <w:color w:val="auto"/>
                <w:szCs w:val="21"/>
                <w:highlight w:val="none"/>
              </w:rPr>
            </w:pPr>
            <w:r>
              <w:rPr>
                <w:rFonts w:hint="eastAsia"/>
                <w:color w:val="auto"/>
                <w:szCs w:val="21"/>
                <w:highlight w:val="none"/>
              </w:rPr>
              <w:t>法定代表人直接参加投标</w:t>
            </w:r>
            <w:r>
              <w:rPr>
                <w:color w:val="auto"/>
                <w:szCs w:val="21"/>
                <w:highlight w:val="none"/>
              </w:rPr>
              <w:t>时审查</w:t>
            </w:r>
            <w:r>
              <w:rPr>
                <w:color w:val="auto"/>
                <w:highlight w:val="none"/>
              </w:rPr>
              <w:t>：</w:t>
            </w:r>
            <w:r>
              <w:rPr>
                <w:rFonts w:ascii="宋体" w:hAnsi="宋体"/>
                <w:color w:val="auto"/>
                <w:szCs w:val="21"/>
                <w:highlight w:val="none"/>
              </w:rPr>
              <w:t>法定代表人身份证明</w:t>
            </w:r>
            <w:r>
              <w:rPr>
                <w:rFonts w:hint="eastAsia" w:ascii="宋体" w:hAnsi="宋体"/>
                <w:color w:val="auto"/>
                <w:szCs w:val="21"/>
                <w:highlight w:val="none"/>
              </w:rPr>
              <w:t>及</w:t>
            </w:r>
            <w:r>
              <w:rPr>
                <w:rFonts w:ascii="宋体" w:hAnsi="宋体"/>
                <w:color w:val="auto"/>
                <w:szCs w:val="21"/>
                <w:highlight w:val="none"/>
              </w:rPr>
              <w:t>附件</w:t>
            </w:r>
          </w:p>
          <w:p w14:paraId="5D8DE195">
            <w:pPr>
              <w:spacing w:line="240" w:lineRule="exact"/>
              <w:rPr>
                <w:color w:val="auto"/>
                <w:highlight w:val="none"/>
              </w:rPr>
            </w:pPr>
            <w:r>
              <w:rPr>
                <w:rFonts w:ascii="宋体" w:hAnsi="宋体"/>
                <w:color w:val="auto"/>
                <w:szCs w:val="21"/>
                <w:highlight w:val="none"/>
              </w:rPr>
              <w:t>格式及附件见第六章投标文件格式要求</w:t>
            </w:r>
          </w:p>
        </w:tc>
      </w:tr>
      <w:tr w14:paraId="3F24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05" w:type="dxa"/>
            <w:vMerge w:val="continue"/>
            <w:noWrap w:val="0"/>
            <w:vAlign w:val="center"/>
          </w:tcPr>
          <w:p w14:paraId="5B3CC283">
            <w:pPr>
              <w:spacing w:line="240" w:lineRule="exact"/>
              <w:jc w:val="center"/>
              <w:rPr>
                <w:color w:val="auto"/>
                <w:kern w:val="0"/>
                <w:szCs w:val="21"/>
                <w:highlight w:val="none"/>
              </w:rPr>
            </w:pPr>
          </w:p>
        </w:tc>
        <w:tc>
          <w:tcPr>
            <w:tcW w:w="2322" w:type="dxa"/>
            <w:noWrap w:val="0"/>
            <w:vAlign w:val="center"/>
          </w:tcPr>
          <w:p w14:paraId="08F0126D">
            <w:pPr>
              <w:spacing w:line="240" w:lineRule="exact"/>
              <w:rPr>
                <w:color w:val="auto"/>
                <w:szCs w:val="21"/>
                <w:highlight w:val="none"/>
              </w:rPr>
            </w:pPr>
            <w:r>
              <w:rPr>
                <w:rFonts w:hint="eastAsia"/>
                <w:color w:val="auto"/>
                <w:szCs w:val="21"/>
                <w:highlight w:val="none"/>
              </w:rPr>
              <w:t>实质性条款响应</w:t>
            </w:r>
          </w:p>
        </w:tc>
        <w:tc>
          <w:tcPr>
            <w:tcW w:w="5061" w:type="dxa"/>
            <w:noWrap w:val="0"/>
            <w:vAlign w:val="center"/>
          </w:tcPr>
          <w:p w14:paraId="5C683230">
            <w:pPr>
              <w:spacing w:line="240" w:lineRule="exact"/>
              <w:rPr>
                <w:color w:val="auto"/>
                <w:szCs w:val="21"/>
                <w:highlight w:val="none"/>
              </w:rPr>
            </w:pPr>
            <w:r>
              <w:rPr>
                <w:rFonts w:hint="eastAsia" w:ascii="宋体" w:hAnsi="宋体"/>
                <w:color w:val="auto"/>
                <w:szCs w:val="21"/>
                <w:highlight w:val="none"/>
              </w:rPr>
              <w:t>招标文件实质性要求响应均无负偏离</w:t>
            </w:r>
          </w:p>
        </w:tc>
      </w:tr>
      <w:tr w14:paraId="388C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505" w:type="dxa"/>
            <w:vMerge w:val="continue"/>
            <w:noWrap w:val="0"/>
            <w:vAlign w:val="center"/>
          </w:tcPr>
          <w:p w14:paraId="01901CB5">
            <w:pPr>
              <w:spacing w:line="240" w:lineRule="exact"/>
              <w:jc w:val="center"/>
              <w:rPr>
                <w:color w:val="auto"/>
                <w:kern w:val="0"/>
                <w:szCs w:val="21"/>
                <w:highlight w:val="none"/>
              </w:rPr>
            </w:pPr>
          </w:p>
        </w:tc>
        <w:tc>
          <w:tcPr>
            <w:tcW w:w="2322" w:type="dxa"/>
            <w:noWrap w:val="0"/>
            <w:vAlign w:val="center"/>
          </w:tcPr>
          <w:p w14:paraId="7AE6A8D9">
            <w:pPr>
              <w:spacing w:line="240" w:lineRule="exact"/>
              <w:rPr>
                <w:color w:val="auto"/>
                <w:szCs w:val="21"/>
                <w:highlight w:val="none"/>
              </w:rPr>
            </w:pPr>
            <w:r>
              <w:rPr>
                <w:rFonts w:hint="eastAsia"/>
                <w:color w:val="auto"/>
                <w:szCs w:val="21"/>
                <w:highlight w:val="none"/>
              </w:rPr>
              <w:t>串通投标</w:t>
            </w:r>
          </w:p>
        </w:tc>
        <w:tc>
          <w:tcPr>
            <w:tcW w:w="5061" w:type="dxa"/>
            <w:noWrap w:val="0"/>
            <w:vAlign w:val="center"/>
          </w:tcPr>
          <w:p w14:paraId="456D817F">
            <w:pPr>
              <w:spacing w:line="240" w:lineRule="exact"/>
              <w:rPr>
                <w:color w:val="auto"/>
                <w:szCs w:val="21"/>
                <w:highlight w:val="none"/>
              </w:rPr>
            </w:pPr>
            <w:r>
              <w:rPr>
                <w:rFonts w:hint="eastAsia" w:ascii="宋体" w:hAnsi="宋体"/>
                <w:color w:val="auto"/>
                <w:szCs w:val="21"/>
                <w:highlight w:val="none"/>
              </w:rPr>
              <w:t>不属于</w:t>
            </w:r>
            <w:r>
              <w:rPr>
                <w:rFonts w:hint="eastAsia" w:ascii="宋体" w:hAnsi="宋体"/>
                <w:color w:val="auto"/>
                <w:szCs w:val="21"/>
                <w:highlight w:val="none"/>
                <w:lang w:eastAsia="zh-CN"/>
              </w:rPr>
              <w:t>投标人须知</w:t>
            </w:r>
            <w:r>
              <w:rPr>
                <w:rFonts w:hint="eastAsia" w:ascii="宋体" w:hAnsi="宋体"/>
                <w:color w:val="auto"/>
                <w:szCs w:val="21"/>
                <w:highlight w:val="none"/>
              </w:rPr>
              <w:t>正文第</w:t>
            </w:r>
            <w:r>
              <w:rPr>
                <w:rFonts w:ascii="宋体" w:hAnsi="宋体"/>
                <w:color w:val="auto"/>
                <w:szCs w:val="21"/>
                <w:highlight w:val="none"/>
              </w:rPr>
              <w:t>6</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规定的串通投标情形，见</w:t>
            </w:r>
            <w:r>
              <w:rPr>
                <w:rFonts w:ascii="宋体" w:hAnsi="宋体"/>
                <w:color w:val="auto"/>
                <w:szCs w:val="21"/>
                <w:highlight w:val="none"/>
              </w:rPr>
              <w:t>第六章投标文件格式要求</w:t>
            </w:r>
          </w:p>
        </w:tc>
      </w:tr>
      <w:tr w14:paraId="79538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505" w:type="dxa"/>
            <w:noWrap w:val="0"/>
            <w:vAlign w:val="center"/>
          </w:tcPr>
          <w:p w14:paraId="35423361">
            <w:pPr>
              <w:spacing w:line="240" w:lineRule="exact"/>
              <w:jc w:val="center"/>
              <w:rPr>
                <w:rFonts w:hint="eastAsia" w:eastAsia="宋体"/>
                <w:color w:val="auto"/>
                <w:kern w:val="0"/>
                <w:szCs w:val="21"/>
                <w:highlight w:val="none"/>
                <w:lang w:val="en-US" w:eastAsia="zh-CN"/>
              </w:rPr>
            </w:pPr>
            <w:r>
              <w:rPr>
                <w:rFonts w:hint="eastAsia"/>
                <w:color w:val="auto"/>
                <w:kern w:val="0"/>
                <w:szCs w:val="21"/>
                <w:highlight w:val="none"/>
                <w:lang w:val="en-US" w:eastAsia="zh-CN"/>
              </w:rPr>
              <w:t>技术</w:t>
            </w:r>
          </w:p>
        </w:tc>
        <w:tc>
          <w:tcPr>
            <w:tcW w:w="2322" w:type="dxa"/>
            <w:noWrap w:val="0"/>
            <w:vAlign w:val="center"/>
          </w:tcPr>
          <w:p w14:paraId="2CB9A28D">
            <w:pPr>
              <w:spacing w:line="240" w:lineRule="exact"/>
              <w:rPr>
                <w:rFonts w:hint="eastAsia"/>
                <w:color w:val="auto"/>
                <w:szCs w:val="21"/>
                <w:highlight w:val="none"/>
              </w:rPr>
            </w:pPr>
            <w:r>
              <w:rPr>
                <w:rFonts w:hint="eastAsia"/>
                <w:color w:val="auto"/>
                <w:szCs w:val="21"/>
                <w:highlight w:val="none"/>
              </w:rPr>
              <w:t>实质性条款响应</w:t>
            </w:r>
          </w:p>
        </w:tc>
        <w:tc>
          <w:tcPr>
            <w:tcW w:w="5061" w:type="dxa"/>
            <w:noWrap w:val="0"/>
            <w:vAlign w:val="center"/>
          </w:tcPr>
          <w:p w14:paraId="3DD66F4F">
            <w:pPr>
              <w:spacing w:line="240" w:lineRule="exact"/>
              <w:rPr>
                <w:rFonts w:hint="eastAsia" w:ascii="宋体" w:hAnsi="宋体"/>
                <w:color w:val="auto"/>
                <w:szCs w:val="21"/>
                <w:highlight w:val="none"/>
              </w:rPr>
            </w:pPr>
            <w:r>
              <w:rPr>
                <w:rFonts w:hint="eastAsia" w:ascii="宋体" w:hAnsi="宋体"/>
                <w:color w:val="auto"/>
                <w:szCs w:val="21"/>
                <w:highlight w:val="none"/>
              </w:rPr>
              <w:t>招标文件实质性要求响应均无负偏离</w:t>
            </w:r>
          </w:p>
        </w:tc>
      </w:tr>
      <w:tr w14:paraId="69E43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restart"/>
            <w:noWrap w:val="0"/>
            <w:vAlign w:val="center"/>
          </w:tcPr>
          <w:p w14:paraId="1B7751D8">
            <w:pPr>
              <w:spacing w:line="240" w:lineRule="exact"/>
              <w:jc w:val="center"/>
              <w:rPr>
                <w:color w:val="auto"/>
                <w:kern w:val="0"/>
                <w:szCs w:val="21"/>
                <w:highlight w:val="none"/>
              </w:rPr>
            </w:pPr>
            <w:r>
              <w:rPr>
                <w:rFonts w:hint="eastAsia"/>
                <w:color w:val="auto"/>
                <w:kern w:val="0"/>
                <w:szCs w:val="21"/>
                <w:highlight w:val="none"/>
              </w:rPr>
              <w:t>报价</w:t>
            </w:r>
          </w:p>
        </w:tc>
        <w:tc>
          <w:tcPr>
            <w:tcW w:w="2322" w:type="dxa"/>
            <w:noWrap w:val="0"/>
            <w:vAlign w:val="center"/>
          </w:tcPr>
          <w:p w14:paraId="17CCCB04">
            <w:pPr>
              <w:spacing w:line="240" w:lineRule="exact"/>
              <w:rPr>
                <w:color w:val="auto"/>
                <w:szCs w:val="21"/>
                <w:highlight w:val="none"/>
              </w:rPr>
            </w:pPr>
            <w:r>
              <w:rPr>
                <w:rFonts w:hint="eastAsia"/>
                <w:color w:val="auto"/>
                <w:szCs w:val="21"/>
                <w:highlight w:val="none"/>
              </w:rPr>
              <w:t>有效报价</w:t>
            </w:r>
          </w:p>
        </w:tc>
        <w:tc>
          <w:tcPr>
            <w:tcW w:w="5061" w:type="dxa"/>
            <w:noWrap w:val="0"/>
            <w:vAlign w:val="center"/>
          </w:tcPr>
          <w:p w14:paraId="34C34FF8">
            <w:pPr>
              <w:spacing w:line="240" w:lineRule="exact"/>
              <w:rPr>
                <w:bCs/>
                <w:color w:val="auto"/>
                <w:kern w:val="0"/>
                <w:szCs w:val="21"/>
                <w:highlight w:val="none"/>
              </w:rPr>
            </w:pPr>
            <w:r>
              <w:rPr>
                <w:rFonts w:hint="eastAsia"/>
                <w:color w:val="auto"/>
                <w:highlight w:val="none"/>
              </w:rPr>
              <w:t>报价未超出采购预算金额，也未超出最高限价（如有）</w:t>
            </w:r>
          </w:p>
        </w:tc>
      </w:tr>
      <w:tr w14:paraId="7EACA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continue"/>
            <w:noWrap w:val="0"/>
            <w:vAlign w:val="center"/>
          </w:tcPr>
          <w:p w14:paraId="598EA3DE">
            <w:pPr>
              <w:spacing w:line="240" w:lineRule="exact"/>
              <w:jc w:val="center"/>
              <w:rPr>
                <w:color w:val="auto"/>
                <w:kern w:val="0"/>
                <w:szCs w:val="21"/>
                <w:highlight w:val="none"/>
              </w:rPr>
            </w:pPr>
          </w:p>
        </w:tc>
        <w:tc>
          <w:tcPr>
            <w:tcW w:w="2322" w:type="dxa"/>
            <w:noWrap w:val="0"/>
            <w:vAlign w:val="center"/>
          </w:tcPr>
          <w:p w14:paraId="565A505B">
            <w:pPr>
              <w:spacing w:line="240" w:lineRule="exact"/>
              <w:rPr>
                <w:bCs/>
                <w:color w:val="auto"/>
                <w:kern w:val="0"/>
                <w:szCs w:val="21"/>
                <w:highlight w:val="none"/>
              </w:rPr>
            </w:pPr>
            <w:r>
              <w:rPr>
                <w:rFonts w:hint="eastAsia"/>
                <w:bCs/>
                <w:color w:val="auto"/>
                <w:kern w:val="0"/>
                <w:szCs w:val="21"/>
                <w:highlight w:val="none"/>
              </w:rPr>
              <w:t>漏项报价</w:t>
            </w:r>
          </w:p>
        </w:tc>
        <w:tc>
          <w:tcPr>
            <w:tcW w:w="5061" w:type="dxa"/>
            <w:noWrap w:val="0"/>
            <w:vAlign w:val="center"/>
          </w:tcPr>
          <w:p w14:paraId="6D76C713">
            <w:pPr>
              <w:spacing w:line="240" w:lineRule="exact"/>
              <w:rPr>
                <w:rFonts w:hAnsi="宋体"/>
                <w:color w:val="auto"/>
                <w:szCs w:val="21"/>
                <w:highlight w:val="none"/>
              </w:rPr>
            </w:pPr>
            <w:r>
              <w:rPr>
                <w:rFonts w:hint="eastAsia" w:ascii="宋体" w:hAnsi="宋体"/>
                <w:color w:val="auto"/>
                <w:szCs w:val="21"/>
                <w:highlight w:val="none"/>
              </w:rPr>
              <w:t>未就所投分标进行报价或者存在漏项报价；</w:t>
            </w:r>
          </w:p>
        </w:tc>
      </w:tr>
      <w:tr w14:paraId="3E8AC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05" w:type="dxa"/>
            <w:vMerge w:val="continue"/>
            <w:noWrap w:val="0"/>
            <w:vAlign w:val="center"/>
          </w:tcPr>
          <w:p w14:paraId="404CF17B">
            <w:pPr>
              <w:spacing w:line="240" w:lineRule="exact"/>
              <w:jc w:val="center"/>
              <w:rPr>
                <w:color w:val="auto"/>
                <w:kern w:val="0"/>
                <w:szCs w:val="21"/>
                <w:highlight w:val="none"/>
              </w:rPr>
            </w:pPr>
          </w:p>
        </w:tc>
        <w:tc>
          <w:tcPr>
            <w:tcW w:w="2322" w:type="dxa"/>
            <w:noWrap w:val="0"/>
            <w:vAlign w:val="center"/>
          </w:tcPr>
          <w:p w14:paraId="3B69998C">
            <w:pPr>
              <w:spacing w:line="240" w:lineRule="exact"/>
              <w:rPr>
                <w:rFonts w:hAnsi="宋体"/>
                <w:color w:val="auto"/>
                <w:szCs w:val="21"/>
                <w:highlight w:val="none"/>
              </w:rPr>
            </w:pPr>
            <w:r>
              <w:rPr>
                <w:rFonts w:hint="eastAsia" w:hAnsi="宋体"/>
                <w:color w:val="auto"/>
                <w:szCs w:val="21"/>
                <w:highlight w:val="none"/>
              </w:rPr>
              <w:t>投标报价唯一性</w:t>
            </w:r>
          </w:p>
        </w:tc>
        <w:tc>
          <w:tcPr>
            <w:tcW w:w="5061" w:type="dxa"/>
            <w:noWrap w:val="0"/>
            <w:vAlign w:val="center"/>
          </w:tcPr>
          <w:p w14:paraId="7E7C40D3">
            <w:pPr>
              <w:spacing w:line="240" w:lineRule="exact"/>
              <w:rPr>
                <w:color w:val="auto"/>
                <w:szCs w:val="21"/>
                <w:highlight w:val="none"/>
              </w:rPr>
            </w:pPr>
            <w:r>
              <w:rPr>
                <w:rFonts w:hint="eastAsia" w:ascii="宋体" w:hAnsi="宋体"/>
                <w:color w:val="auto"/>
                <w:szCs w:val="21"/>
                <w:highlight w:val="none"/>
              </w:rPr>
              <w:t>不存在有选择、有条件报价（招标文件允许有备选方案或者其他约定的除外）</w:t>
            </w:r>
          </w:p>
        </w:tc>
      </w:tr>
      <w:tr w14:paraId="784C3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continue"/>
            <w:noWrap w:val="0"/>
            <w:vAlign w:val="center"/>
          </w:tcPr>
          <w:p w14:paraId="1E050E0B">
            <w:pPr>
              <w:spacing w:line="240" w:lineRule="exact"/>
              <w:jc w:val="center"/>
              <w:rPr>
                <w:color w:val="auto"/>
                <w:kern w:val="0"/>
                <w:szCs w:val="21"/>
                <w:highlight w:val="none"/>
              </w:rPr>
            </w:pPr>
          </w:p>
        </w:tc>
        <w:tc>
          <w:tcPr>
            <w:tcW w:w="2322" w:type="dxa"/>
            <w:noWrap w:val="0"/>
            <w:vAlign w:val="center"/>
          </w:tcPr>
          <w:p w14:paraId="225CB256">
            <w:pPr>
              <w:spacing w:line="240" w:lineRule="exact"/>
              <w:rPr>
                <w:color w:val="auto"/>
                <w:szCs w:val="21"/>
                <w:highlight w:val="none"/>
                <w:lang w:val="zh-CN"/>
              </w:rPr>
            </w:pPr>
            <w:r>
              <w:rPr>
                <w:rFonts w:hint="eastAsia"/>
                <w:color w:val="auto"/>
                <w:szCs w:val="21"/>
                <w:highlight w:val="none"/>
                <w:lang w:val="zh-CN"/>
              </w:rPr>
              <w:t>过低报价合理性</w:t>
            </w:r>
          </w:p>
        </w:tc>
        <w:tc>
          <w:tcPr>
            <w:tcW w:w="5061" w:type="dxa"/>
            <w:noWrap w:val="0"/>
            <w:vAlign w:val="center"/>
          </w:tcPr>
          <w:p w14:paraId="06A71E42">
            <w:pPr>
              <w:spacing w:line="240" w:lineRule="exact"/>
              <w:rPr>
                <w:rFonts w:hAnsi="宋体"/>
                <w:color w:val="auto"/>
                <w:szCs w:val="21"/>
                <w:highlight w:val="none"/>
              </w:rPr>
            </w:pPr>
            <w:r>
              <w:rPr>
                <w:rFonts w:hint="eastAsia"/>
                <w:color w:val="auto"/>
                <w:highlight w:val="none"/>
              </w:rPr>
              <w:t>投标人的</w:t>
            </w:r>
            <w:r>
              <w:rPr>
                <w:rFonts w:hint="eastAsia"/>
                <w:color w:val="auto"/>
                <w:highlight w:val="none"/>
                <w:lang w:val="en-US" w:eastAsia="zh-CN"/>
              </w:rPr>
              <w:t>报价</w:t>
            </w:r>
            <w:r>
              <w:rPr>
                <w:rFonts w:hint="eastAsia"/>
                <w:color w:val="auto"/>
                <w:highlight w:val="none"/>
              </w:rPr>
              <w:t>存在异常低价问题</w:t>
            </w:r>
            <w:r>
              <w:rPr>
                <w:rFonts w:hint="eastAsia"/>
                <w:color w:val="auto"/>
                <w:highlight w:val="none"/>
                <w:lang w:eastAsia="zh-CN"/>
              </w:rPr>
              <w:t>的</w:t>
            </w:r>
            <w:r>
              <w:rPr>
                <w:rFonts w:hint="eastAsia"/>
                <w:color w:val="auto"/>
                <w:highlight w:val="none"/>
                <w:lang w:val="en-US" w:eastAsia="zh-CN"/>
              </w:rPr>
              <w:t>情形，评审委员会</w:t>
            </w:r>
            <w:r>
              <w:rPr>
                <w:rFonts w:hint="eastAsia"/>
                <w:color w:val="auto"/>
                <w:szCs w:val="21"/>
                <w:highlight w:val="none"/>
              </w:rPr>
              <w:t>应当要求其在评标现场合理的时间内</w:t>
            </w:r>
            <w:r>
              <w:rPr>
                <w:rFonts w:hint="eastAsia"/>
                <w:color w:val="auto"/>
                <w:szCs w:val="21"/>
                <w:highlight w:val="none"/>
                <w:lang w:val="en-US" w:eastAsia="zh-CN"/>
              </w:rPr>
              <w:t>提供</w:t>
            </w:r>
            <w:r>
              <w:rPr>
                <w:rFonts w:hint="eastAsia"/>
                <w:color w:val="auto"/>
                <w:szCs w:val="21"/>
                <w:highlight w:val="none"/>
              </w:rPr>
              <w:t>报价合理性相关的书面说明及必要的证明材料。</w:t>
            </w:r>
            <w:r>
              <w:rPr>
                <w:rFonts w:hint="eastAsia"/>
                <w:color w:val="auto"/>
                <w:highlight w:val="none"/>
              </w:rPr>
              <w:t>投标人不能证明其报价合理性的，</w:t>
            </w:r>
            <w:r>
              <w:rPr>
                <w:rFonts w:hint="eastAsia"/>
                <w:color w:val="auto"/>
                <w:highlight w:val="none"/>
                <w:lang w:eastAsia="zh-CN"/>
              </w:rPr>
              <w:t>评审委员会</w:t>
            </w:r>
            <w:r>
              <w:rPr>
                <w:rFonts w:hint="eastAsia"/>
                <w:color w:val="auto"/>
                <w:highlight w:val="none"/>
              </w:rPr>
              <w:t>应当将其作为无效投标处理。</w:t>
            </w:r>
          </w:p>
        </w:tc>
      </w:tr>
      <w:tr w14:paraId="7AC73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continue"/>
            <w:noWrap w:val="0"/>
            <w:vAlign w:val="center"/>
          </w:tcPr>
          <w:p w14:paraId="0D1F89F1">
            <w:pPr>
              <w:spacing w:line="240" w:lineRule="exact"/>
              <w:jc w:val="center"/>
              <w:rPr>
                <w:color w:val="auto"/>
                <w:kern w:val="0"/>
                <w:szCs w:val="21"/>
                <w:highlight w:val="none"/>
              </w:rPr>
            </w:pPr>
          </w:p>
        </w:tc>
        <w:tc>
          <w:tcPr>
            <w:tcW w:w="2322" w:type="dxa"/>
            <w:noWrap w:val="0"/>
            <w:vAlign w:val="center"/>
          </w:tcPr>
          <w:p w14:paraId="6D99E2A6">
            <w:pPr>
              <w:spacing w:line="240" w:lineRule="exact"/>
              <w:rPr>
                <w:rFonts w:ascii="宋体" w:hAnsi="宋体"/>
                <w:color w:val="auto"/>
                <w:szCs w:val="21"/>
                <w:highlight w:val="none"/>
              </w:rPr>
            </w:pPr>
            <w:r>
              <w:rPr>
                <w:rFonts w:hint="eastAsia"/>
                <w:color w:val="auto"/>
                <w:szCs w:val="21"/>
                <w:highlight w:val="none"/>
              </w:rPr>
              <w:t>投标有效期</w:t>
            </w:r>
          </w:p>
        </w:tc>
        <w:tc>
          <w:tcPr>
            <w:tcW w:w="5061" w:type="dxa"/>
            <w:noWrap w:val="0"/>
            <w:vAlign w:val="center"/>
          </w:tcPr>
          <w:p w14:paraId="25951752">
            <w:pPr>
              <w:spacing w:line="240" w:lineRule="exact"/>
              <w:rPr>
                <w:color w:val="auto"/>
                <w:szCs w:val="21"/>
                <w:highlight w:val="none"/>
              </w:rPr>
            </w:pPr>
            <w:r>
              <w:rPr>
                <w:rFonts w:hint="eastAsia" w:ascii="宋体" w:hAnsi="宋体"/>
                <w:color w:val="auto"/>
                <w:szCs w:val="21"/>
                <w:highlight w:val="none"/>
              </w:rPr>
              <w:t>满足招标文件规定</w:t>
            </w:r>
          </w:p>
        </w:tc>
      </w:tr>
      <w:bookmarkEnd w:id="116"/>
    </w:tbl>
    <w:p w14:paraId="18D40D8D">
      <w:pPr>
        <w:widowControl/>
        <w:jc w:val="both"/>
        <w:rPr>
          <w:b/>
          <w:bCs/>
          <w:color w:val="auto"/>
          <w:kern w:val="0"/>
          <w:szCs w:val="21"/>
          <w:highlight w:val="none"/>
        </w:rPr>
      </w:pPr>
    </w:p>
    <w:p w14:paraId="6B81DBBB">
      <w:pPr>
        <w:rPr>
          <w:b/>
          <w:bCs/>
          <w:color w:val="auto"/>
          <w:kern w:val="0"/>
          <w:szCs w:val="21"/>
          <w:highlight w:val="none"/>
        </w:rPr>
      </w:pPr>
      <w:r>
        <w:rPr>
          <w:b/>
          <w:bCs/>
          <w:color w:val="auto"/>
          <w:kern w:val="0"/>
          <w:szCs w:val="21"/>
          <w:highlight w:val="none"/>
        </w:rPr>
        <w:br w:type="page"/>
      </w:r>
    </w:p>
    <w:p w14:paraId="7C9ED188">
      <w:pPr>
        <w:numPr>
          <w:ilvl w:val="0"/>
          <w:numId w:val="0"/>
        </w:numPr>
        <w:spacing w:before="120" w:line="320" w:lineRule="atLeast"/>
        <w:ind w:firstLine="422" w:firstLineChars="200"/>
        <w:outlineLvl w:val="1"/>
        <w:rPr>
          <w:b/>
          <w:bCs/>
          <w:color w:val="auto"/>
          <w:kern w:val="0"/>
          <w:szCs w:val="21"/>
          <w:highlight w:val="none"/>
        </w:rPr>
      </w:pPr>
      <w:r>
        <w:rPr>
          <w:rFonts w:ascii="Times New Roman" w:hAnsi="Times New Roman" w:eastAsia="宋体" w:cs="Times New Roman"/>
          <w:b/>
          <w:bCs/>
          <w:color w:val="auto"/>
          <w:kern w:val="0"/>
          <w:sz w:val="21"/>
          <w:szCs w:val="21"/>
          <w:highlight w:val="none"/>
          <w:lang w:val="en-US" w:eastAsia="zh-CN" w:bidi="ar-SA"/>
        </w:rPr>
        <w:t>4.</w:t>
      </w:r>
      <w:r>
        <w:rPr>
          <w:rFonts w:hint="eastAsia"/>
          <w:b/>
          <w:bCs/>
          <w:color w:val="auto"/>
          <w:kern w:val="0"/>
          <w:szCs w:val="21"/>
          <w:highlight w:val="none"/>
        </w:rPr>
        <w:t>评分</w:t>
      </w:r>
      <w:r>
        <w:rPr>
          <w:b/>
          <w:bCs/>
          <w:color w:val="auto"/>
          <w:kern w:val="0"/>
          <w:szCs w:val="21"/>
          <w:highlight w:val="none"/>
        </w:rPr>
        <w:t>标准</w:t>
      </w:r>
    </w:p>
    <w:p w14:paraId="62B4F7B3">
      <w:pPr>
        <w:numPr>
          <w:ilvl w:val="0"/>
          <w:numId w:val="0"/>
        </w:numPr>
        <w:spacing w:before="120" w:line="320" w:lineRule="atLeast"/>
        <w:outlineLvl w:val="9"/>
        <w:rPr>
          <w:rFonts w:hint="eastAsia" w:eastAsia="宋体"/>
          <w:b/>
          <w:bCs/>
          <w:color w:val="auto"/>
          <w:kern w:val="0"/>
          <w:szCs w:val="21"/>
          <w:highlight w:val="none"/>
          <w:lang w:eastAsia="zh-CN"/>
        </w:rPr>
      </w:pPr>
      <w:r>
        <w:rPr>
          <w:rFonts w:hint="eastAsia"/>
          <w:b/>
          <w:bCs/>
          <w:color w:val="auto"/>
          <w:kern w:val="0"/>
          <w:szCs w:val="21"/>
          <w:highlight w:val="none"/>
          <w:lang w:eastAsia="zh-CN"/>
        </w:rPr>
        <w:t>（</w:t>
      </w:r>
      <w:r>
        <w:rPr>
          <w:rFonts w:hint="eastAsia"/>
          <w:b/>
          <w:bCs/>
          <w:color w:val="auto"/>
          <w:kern w:val="0"/>
          <w:szCs w:val="21"/>
          <w:highlight w:val="none"/>
          <w:lang w:val="en-US" w:eastAsia="zh-CN"/>
        </w:rPr>
        <w:t>1</w:t>
      </w:r>
      <w:r>
        <w:rPr>
          <w:rFonts w:hint="eastAsia"/>
          <w:b/>
          <w:bCs/>
          <w:color w:val="auto"/>
          <w:kern w:val="0"/>
          <w:szCs w:val="21"/>
          <w:highlight w:val="none"/>
          <w:lang w:eastAsia="zh-CN"/>
        </w:rPr>
        <w:t>）技术及商务资信分</w:t>
      </w:r>
    </w:p>
    <w:tbl>
      <w:tblPr>
        <w:tblStyle w:val="51"/>
        <w:tblW w:w="88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134"/>
        <w:gridCol w:w="7036"/>
      </w:tblGrid>
      <w:tr w14:paraId="4937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671" w:type="dxa"/>
            <w:vMerge w:val="restart"/>
            <w:tcBorders>
              <w:top w:val="single" w:color="auto" w:sz="4" w:space="0"/>
              <w:left w:val="single" w:color="auto" w:sz="4" w:space="0"/>
              <w:right w:val="single" w:color="auto" w:sz="4" w:space="0"/>
            </w:tcBorders>
            <w:noWrap/>
            <w:vAlign w:val="center"/>
          </w:tcPr>
          <w:p w14:paraId="6EB633AB">
            <w:pPr>
              <w:pStyle w:val="32"/>
              <w:spacing w:line="360" w:lineRule="auto"/>
              <w:ind w:firstLine="210" w:firstLineChars="100"/>
              <w:rPr>
                <w:rFonts w:hint="eastAsia" w:ascii="宋体" w:hAnsi="宋体" w:eastAsia="宋体"/>
                <w:color w:val="auto"/>
                <w:sz w:val="21"/>
                <w:szCs w:val="21"/>
                <w:highlight w:val="none"/>
                <w:lang w:eastAsia="zh-CN"/>
              </w:rPr>
            </w:pPr>
            <w:bookmarkStart w:id="117" w:name="_Hlk132791948"/>
            <w:bookmarkStart w:id="118" w:name="_Hlk77609326"/>
            <w:r>
              <w:rPr>
                <w:rFonts w:hint="eastAsia" w:ascii="宋体" w:hAnsi="宋体" w:cs="宋体"/>
                <w:color w:val="auto"/>
                <w:sz w:val="21"/>
                <w:szCs w:val="21"/>
                <w:highlight w:val="none"/>
                <w:lang w:val="en-US" w:eastAsia="zh-CN"/>
              </w:rPr>
              <w:t>1</w:t>
            </w:r>
          </w:p>
        </w:tc>
        <w:tc>
          <w:tcPr>
            <w:tcW w:w="1134" w:type="dxa"/>
            <w:vMerge w:val="restart"/>
            <w:tcBorders>
              <w:top w:val="single" w:color="auto" w:sz="4" w:space="0"/>
              <w:left w:val="single" w:color="auto" w:sz="4" w:space="0"/>
              <w:right w:val="single" w:color="auto" w:sz="4" w:space="0"/>
            </w:tcBorders>
            <w:noWrap/>
            <w:vAlign w:val="center"/>
          </w:tcPr>
          <w:p w14:paraId="64A20C1B">
            <w:pPr>
              <w:widowControl/>
              <w:tabs>
                <w:tab w:val="left" w:pos="8460"/>
              </w:tabs>
              <w:adjustRightInd w:val="0"/>
              <w:spacing w:line="360" w:lineRule="auto"/>
              <w:jc w:val="center"/>
              <w:textAlignment w:val="baseline"/>
              <w:rPr>
                <w:rFonts w:hint="eastAsia" w:ascii="宋体" w:hAnsi="宋体" w:cs="宋体"/>
                <w:bCs/>
                <w:color w:val="auto"/>
                <w:kern w:val="0"/>
                <w:szCs w:val="21"/>
                <w:highlight w:val="none"/>
              </w:rPr>
            </w:pPr>
            <w:r>
              <w:rPr>
                <w:rFonts w:hint="eastAsia" w:ascii="宋体" w:hAnsi="宋体"/>
                <w:b/>
                <w:color w:val="auto"/>
                <w:szCs w:val="21"/>
                <w:highlight w:val="none"/>
              </w:rPr>
              <w:t>技术分</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56</w:t>
            </w:r>
            <w:r>
              <w:rPr>
                <w:rFonts w:hint="eastAsia" w:ascii="宋体" w:hAnsi="宋体" w:cs="宋体"/>
                <w:b/>
                <w:color w:val="auto"/>
                <w:szCs w:val="21"/>
                <w:highlight w:val="none"/>
              </w:rPr>
              <w:t>分）</w:t>
            </w:r>
          </w:p>
        </w:tc>
        <w:tc>
          <w:tcPr>
            <w:tcW w:w="7036" w:type="dxa"/>
            <w:tcBorders>
              <w:top w:val="single" w:color="auto" w:sz="4" w:space="0"/>
              <w:left w:val="single" w:color="auto" w:sz="4" w:space="0"/>
              <w:bottom w:val="single" w:color="auto" w:sz="4" w:space="0"/>
              <w:right w:val="single" w:color="auto" w:sz="4" w:space="0"/>
            </w:tcBorders>
            <w:noWrap/>
            <w:vAlign w:val="center"/>
          </w:tcPr>
          <w:p w14:paraId="208B3C76">
            <w:pPr>
              <w:snapToGrid w:val="0"/>
              <w:spacing w:line="360" w:lineRule="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、技术参数（</w:t>
            </w:r>
            <w:r>
              <w:rPr>
                <w:rFonts w:hint="eastAsia" w:ascii="宋体" w:hAnsi="宋体" w:cs="宋体"/>
                <w:b/>
                <w:bCs/>
                <w:color w:val="auto"/>
                <w:kern w:val="0"/>
                <w:szCs w:val="21"/>
                <w:highlight w:val="none"/>
                <w:lang w:val="en-US" w:eastAsia="zh-CN"/>
              </w:rPr>
              <w:t>34</w:t>
            </w:r>
            <w:r>
              <w:rPr>
                <w:rFonts w:hint="eastAsia" w:ascii="宋体" w:hAnsi="宋体" w:cs="宋体"/>
                <w:b/>
                <w:bCs/>
                <w:color w:val="auto"/>
                <w:kern w:val="0"/>
                <w:szCs w:val="21"/>
                <w:highlight w:val="none"/>
              </w:rPr>
              <w:t>分）</w:t>
            </w:r>
          </w:p>
          <w:p w14:paraId="07A99D8D">
            <w:pPr>
              <w:spacing w:line="360" w:lineRule="auto"/>
              <w:ind w:firstLine="420" w:firstLineChars="200"/>
              <w:rPr>
                <w:rFonts w:hint="eastAsia"/>
                <w:bCs/>
                <w:color w:val="auto"/>
                <w:highlight w:val="none"/>
              </w:rPr>
            </w:pPr>
            <w:r>
              <w:rPr>
                <w:rFonts w:hint="eastAsia"/>
                <w:bCs/>
                <w:color w:val="auto"/>
                <w:highlight w:val="none"/>
              </w:rPr>
              <w:t>所投产品采购需求中标记“</w:t>
            </w:r>
            <w:r>
              <w:rPr>
                <w:rFonts w:hint="eastAsia" w:ascii="宋体" w:hAnsi="宋体" w:eastAsia="宋体" w:cs="宋体"/>
                <w:b/>
                <w:color w:val="auto"/>
                <w:szCs w:val="21"/>
                <w:highlight w:val="none"/>
              </w:rPr>
              <w:t>#</w:t>
            </w:r>
            <w:r>
              <w:rPr>
                <w:rFonts w:hint="eastAsia"/>
                <w:bCs/>
                <w:color w:val="auto"/>
                <w:highlight w:val="none"/>
              </w:rPr>
              <w:t>”的技术参数满足或者优于采购需求，即</w:t>
            </w:r>
            <w:r>
              <w:rPr>
                <w:rFonts w:hint="eastAsia"/>
                <w:bCs/>
                <w:color w:val="auto"/>
                <w:highlight w:val="none"/>
                <w:lang w:val="en-US" w:eastAsia="zh-CN"/>
              </w:rPr>
              <w:t>不</w:t>
            </w:r>
            <w:r>
              <w:rPr>
                <w:rFonts w:hint="eastAsia"/>
                <w:bCs/>
                <w:color w:val="auto"/>
                <w:highlight w:val="none"/>
              </w:rPr>
              <w:t>存在负偏离的</w:t>
            </w:r>
            <w:r>
              <w:rPr>
                <w:rFonts w:hint="eastAsia"/>
                <w:bCs/>
                <w:color w:val="auto"/>
                <w:highlight w:val="none"/>
                <w:lang w:eastAsia="zh-CN"/>
              </w:rPr>
              <w:t>，</w:t>
            </w:r>
            <w:r>
              <w:rPr>
                <w:rFonts w:hint="eastAsia"/>
                <w:bCs/>
                <w:color w:val="auto"/>
                <w:highlight w:val="none"/>
              </w:rPr>
              <w:t>每有一项得</w:t>
            </w:r>
            <w:r>
              <w:rPr>
                <w:rFonts w:hint="eastAsia"/>
                <w:bCs/>
                <w:color w:val="auto"/>
                <w:highlight w:val="none"/>
                <w:lang w:val="en-US" w:eastAsia="zh-CN"/>
              </w:rPr>
              <w:t>2</w:t>
            </w:r>
            <w:r>
              <w:rPr>
                <w:rFonts w:hint="eastAsia"/>
                <w:bCs/>
                <w:color w:val="auto"/>
                <w:highlight w:val="none"/>
              </w:rPr>
              <w:t>分，</w:t>
            </w:r>
            <w:r>
              <w:rPr>
                <w:rFonts w:hint="eastAsia" w:ascii="宋体" w:hAnsi="宋体" w:cs="宋体"/>
                <w:b/>
                <w:bCs/>
                <w:color w:val="auto"/>
                <w:sz w:val="21"/>
                <w:szCs w:val="21"/>
                <w:highlight w:val="none"/>
                <w:lang w:val="en-US" w:eastAsia="zh-CN"/>
              </w:rPr>
              <w:t>相同的参数不重复计分。</w:t>
            </w:r>
            <w:r>
              <w:rPr>
                <w:rFonts w:hint="eastAsia"/>
                <w:bCs/>
                <w:color w:val="auto"/>
                <w:highlight w:val="none"/>
              </w:rPr>
              <w:t>满分</w:t>
            </w:r>
            <w:r>
              <w:rPr>
                <w:rFonts w:hint="eastAsia"/>
                <w:bCs/>
                <w:color w:val="auto"/>
                <w:highlight w:val="none"/>
                <w:lang w:val="en-US" w:eastAsia="zh-CN"/>
              </w:rPr>
              <w:t>34</w:t>
            </w:r>
            <w:r>
              <w:rPr>
                <w:rFonts w:hint="eastAsia"/>
                <w:bCs/>
                <w:color w:val="auto"/>
                <w:highlight w:val="none"/>
              </w:rPr>
              <w:t>分。</w:t>
            </w:r>
          </w:p>
          <w:p w14:paraId="3C5558B3">
            <w:pPr>
              <w:spacing w:line="360" w:lineRule="auto"/>
              <w:ind w:firstLine="420" w:firstLineChars="200"/>
              <w:rPr>
                <w:rFonts w:hint="eastAsia"/>
                <w:bCs/>
                <w:color w:val="auto"/>
                <w:highlight w:val="none"/>
                <w:lang w:eastAsia="zh-CN"/>
              </w:rPr>
            </w:pPr>
            <w:r>
              <w:rPr>
                <w:rFonts w:hint="eastAsia"/>
                <w:bCs/>
                <w:color w:val="auto"/>
                <w:highlight w:val="none"/>
              </w:rPr>
              <w:t>注：应按以下2种形式之一提供，提交其他形式证明材料或未提供证明材料的将视为</w:t>
            </w:r>
            <w:r>
              <w:rPr>
                <w:rFonts w:hint="eastAsia"/>
                <w:bCs/>
                <w:color w:val="auto"/>
                <w:highlight w:val="none"/>
                <w:lang w:val="en-US" w:eastAsia="zh-CN"/>
              </w:rPr>
              <w:t>不满足</w:t>
            </w:r>
            <w:r>
              <w:rPr>
                <w:rFonts w:hint="eastAsia"/>
                <w:bCs/>
                <w:color w:val="auto"/>
                <w:highlight w:val="none"/>
              </w:rPr>
              <w:t>该技术指标要求（提供的</w:t>
            </w:r>
            <w:r>
              <w:rPr>
                <w:rFonts w:hint="eastAsia"/>
                <w:bCs/>
                <w:color w:val="auto"/>
                <w:highlight w:val="none"/>
                <w:lang w:val="en-US" w:eastAsia="zh-CN"/>
              </w:rPr>
              <w:t>技术证明材料须</w:t>
            </w:r>
            <w:r>
              <w:rPr>
                <w:rFonts w:hint="eastAsia"/>
                <w:bCs/>
                <w:color w:val="auto"/>
                <w:highlight w:val="none"/>
              </w:rPr>
              <w:t>体现标记“</w:t>
            </w:r>
            <w:r>
              <w:rPr>
                <w:rFonts w:hint="eastAsia" w:ascii="宋体" w:hAnsi="宋体" w:eastAsia="宋体" w:cs="宋体"/>
                <w:b/>
                <w:color w:val="auto"/>
                <w:szCs w:val="21"/>
                <w:highlight w:val="none"/>
              </w:rPr>
              <w:t>#</w:t>
            </w:r>
            <w:r>
              <w:rPr>
                <w:rFonts w:hint="eastAsia"/>
                <w:bCs/>
                <w:color w:val="auto"/>
                <w:highlight w:val="none"/>
              </w:rPr>
              <w:t xml:space="preserve">”的技术参数）。技术指标要求提交另外其他资料的除外。 </w:t>
            </w:r>
          </w:p>
          <w:p w14:paraId="3F231987">
            <w:pPr>
              <w:spacing w:line="360" w:lineRule="auto"/>
              <w:ind w:firstLine="420" w:firstLineChars="200"/>
              <w:rPr>
                <w:rFonts w:hint="eastAsia"/>
                <w:bCs/>
                <w:color w:val="auto"/>
                <w:highlight w:val="none"/>
              </w:rPr>
            </w:pPr>
            <w:r>
              <w:rPr>
                <w:rFonts w:hint="eastAsia"/>
                <w:bCs/>
                <w:color w:val="auto"/>
                <w:highlight w:val="none"/>
                <w:lang w:val="en-US" w:eastAsia="zh-CN"/>
              </w:rPr>
              <w:t>（1）</w:t>
            </w:r>
            <w:r>
              <w:rPr>
                <w:rFonts w:hint="eastAsia"/>
                <w:bCs/>
                <w:color w:val="auto"/>
                <w:highlight w:val="none"/>
              </w:rPr>
              <w:t>生产厂家的宣传彩页或官网截图或产品说明书</w:t>
            </w:r>
            <w:r>
              <w:rPr>
                <w:rFonts w:hint="eastAsia"/>
                <w:bCs/>
                <w:color w:val="auto"/>
                <w:highlight w:val="none"/>
                <w:lang w:val="en-US" w:eastAsia="zh-CN"/>
              </w:rPr>
              <w:t>或白皮书</w:t>
            </w:r>
            <w:r>
              <w:rPr>
                <w:rFonts w:hint="eastAsia"/>
                <w:bCs/>
                <w:color w:val="auto"/>
                <w:highlight w:val="none"/>
              </w:rPr>
              <w:t>，提供扫描件加盖</w:t>
            </w:r>
            <w:r>
              <w:rPr>
                <w:rFonts w:hint="eastAsia"/>
                <w:bCs/>
                <w:color w:val="auto"/>
                <w:highlight w:val="none"/>
                <w:lang w:eastAsia="zh-CN"/>
              </w:rPr>
              <w:t>投标人</w:t>
            </w:r>
            <w:r>
              <w:rPr>
                <w:rFonts w:hint="eastAsia"/>
                <w:bCs/>
                <w:color w:val="auto"/>
                <w:highlight w:val="none"/>
              </w:rPr>
              <w:t xml:space="preserve">电子签章。 </w:t>
            </w:r>
          </w:p>
          <w:p w14:paraId="0DCB51C7">
            <w:pPr>
              <w:spacing w:line="360" w:lineRule="auto"/>
              <w:ind w:firstLine="420" w:firstLineChars="200"/>
              <w:rPr>
                <w:bCs/>
                <w:color w:val="auto"/>
                <w:highlight w:val="none"/>
              </w:rPr>
            </w:pPr>
            <w:r>
              <w:rPr>
                <w:rFonts w:hint="eastAsia"/>
                <w:bCs/>
                <w:color w:val="auto"/>
                <w:highlight w:val="none"/>
              </w:rPr>
              <w:t>（2）国家认可的第三方认证（检测）机构出具认证证书（检测报告）或国际机构第三方认证报告， 提供扫描件加盖</w:t>
            </w:r>
            <w:r>
              <w:rPr>
                <w:rFonts w:hint="eastAsia"/>
                <w:bCs/>
                <w:color w:val="auto"/>
                <w:highlight w:val="none"/>
                <w:lang w:eastAsia="zh-CN"/>
              </w:rPr>
              <w:t>投标人</w:t>
            </w:r>
            <w:r>
              <w:rPr>
                <w:rFonts w:hint="eastAsia"/>
                <w:bCs/>
                <w:color w:val="auto"/>
                <w:highlight w:val="none"/>
              </w:rPr>
              <w:t>电子签章</w:t>
            </w:r>
            <w:r>
              <w:rPr>
                <w:rFonts w:hint="eastAsia"/>
                <w:bCs/>
                <w:color w:val="auto"/>
                <w:highlight w:val="none"/>
                <w:lang w:eastAsia="zh-CN"/>
              </w:rPr>
              <w:t>。</w:t>
            </w:r>
          </w:p>
        </w:tc>
      </w:tr>
      <w:tr w14:paraId="523B2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9" w:hRule="atLeast"/>
          <w:jc w:val="center"/>
        </w:trPr>
        <w:tc>
          <w:tcPr>
            <w:tcW w:w="671" w:type="dxa"/>
            <w:vMerge w:val="continue"/>
            <w:tcBorders>
              <w:left w:val="single" w:color="auto" w:sz="4" w:space="0"/>
              <w:right w:val="single" w:color="auto" w:sz="4" w:space="0"/>
            </w:tcBorders>
            <w:noWrap/>
            <w:vAlign w:val="center"/>
          </w:tcPr>
          <w:p w14:paraId="008B6F06">
            <w:pPr>
              <w:pStyle w:val="32"/>
              <w:spacing w:line="360" w:lineRule="auto"/>
              <w:ind w:firstLine="210" w:firstLineChars="100"/>
              <w:rPr>
                <w:rFonts w:hint="eastAsia" w:ascii="宋体" w:hAnsi="宋体"/>
                <w:color w:val="auto"/>
                <w:sz w:val="21"/>
                <w:szCs w:val="21"/>
                <w:highlight w:val="none"/>
              </w:rPr>
            </w:pPr>
          </w:p>
        </w:tc>
        <w:tc>
          <w:tcPr>
            <w:tcW w:w="1134" w:type="dxa"/>
            <w:vMerge w:val="continue"/>
            <w:tcBorders>
              <w:left w:val="single" w:color="auto" w:sz="4" w:space="0"/>
              <w:right w:val="single" w:color="auto" w:sz="4" w:space="0"/>
            </w:tcBorders>
            <w:noWrap/>
            <w:vAlign w:val="center"/>
          </w:tcPr>
          <w:p w14:paraId="3AA190A7">
            <w:pPr>
              <w:widowControl/>
              <w:tabs>
                <w:tab w:val="left" w:pos="8460"/>
              </w:tabs>
              <w:adjustRightInd w:val="0"/>
              <w:spacing w:line="360" w:lineRule="auto"/>
              <w:jc w:val="center"/>
              <w:textAlignment w:val="baseline"/>
              <w:rPr>
                <w:rFonts w:hint="eastAsia" w:ascii="宋体" w:hAnsi="宋体" w:cs="宋体"/>
                <w:bCs/>
                <w:color w:val="auto"/>
                <w:kern w:val="0"/>
                <w:szCs w:val="21"/>
                <w:highlight w:val="none"/>
              </w:rPr>
            </w:pPr>
          </w:p>
        </w:tc>
        <w:tc>
          <w:tcPr>
            <w:tcW w:w="7036" w:type="dxa"/>
            <w:tcBorders>
              <w:top w:val="single" w:color="auto" w:sz="4" w:space="0"/>
              <w:left w:val="single" w:color="auto" w:sz="4" w:space="0"/>
              <w:bottom w:val="single" w:color="auto" w:sz="4" w:space="0"/>
              <w:right w:val="single" w:color="auto" w:sz="4" w:space="0"/>
            </w:tcBorders>
            <w:noWrap/>
            <w:vAlign w:val="center"/>
          </w:tcPr>
          <w:p w14:paraId="6E0FAB00">
            <w:pPr>
              <w:snapToGrid w:val="0"/>
              <w:spacing w:line="360" w:lineRule="auto"/>
              <w:ind w:firstLine="0" w:firstLineChars="0"/>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val="en-US" w:eastAsia="zh-CN" w:bidi="ar"/>
              </w:rPr>
              <w:t>2</w:t>
            </w:r>
            <w:r>
              <w:rPr>
                <w:rFonts w:hint="eastAsia" w:ascii="宋体" w:hAnsi="宋体" w:cs="宋体"/>
                <w:b/>
                <w:bCs/>
                <w:color w:val="auto"/>
                <w:kern w:val="0"/>
                <w:szCs w:val="21"/>
                <w:highlight w:val="none"/>
                <w:lang w:bidi="ar"/>
              </w:rPr>
              <w:t>、项目实施方案（</w:t>
            </w:r>
            <w:r>
              <w:rPr>
                <w:rFonts w:hint="eastAsia" w:ascii="宋体" w:hAnsi="宋体" w:cs="宋体"/>
                <w:b/>
                <w:bCs/>
                <w:color w:val="auto"/>
                <w:kern w:val="0"/>
                <w:szCs w:val="21"/>
                <w:highlight w:val="none"/>
                <w:lang w:val="en-US" w:eastAsia="zh-CN" w:bidi="ar"/>
              </w:rPr>
              <w:t>12</w:t>
            </w:r>
            <w:r>
              <w:rPr>
                <w:rFonts w:hint="eastAsia" w:ascii="宋体" w:hAnsi="宋体" w:cs="宋体"/>
                <w:b/>
                <w:bCs/>
                <w:color w:val="auto"/>
                <w:kern w:val="0"/>
                <w:szCs w:val="21"/>
                <w:highlight w:val="none"/>
                <w:lang w:bidi="ar"/>
              </w:rPr>
              <w:t>分）</w:t>
            </w:r>
          </w:p>
          <w:p w14:paraId="37035B2A">
            <w:pPr>
              <w:adjustRightInd/>
              <w:snapToGrid w:val="0"/>
              <w:spacing w:line="360" w:lineRule="auto"/>
              <w:ind w:firstLine="420" w:firstLineChars="200"/>
              <w:textAlignment w:val="auto"/>
              <w:rPr>
                <w:rFonts w:hint="eastAsia" w:ascii="Times New Roman" w:hAnsi="Times New Roman" w:cs="Times New Roman"/>
                <w:bCs/>
                <w:color w:val="auto"/>
                <w:szCs w:val="24"/>
                <w:highlight w:val="none"/>
              </w:rPr>
            </w:pPr>
            <w:r>
              <w:rPr>
                <w:rFonts w:hint="eastAsia" w:ascii="Times New Roman" w:hAnsi="Times New Roman" w:cs="Times New Roman"/>
                <w:bCs/>
                <w:color w:val="auto"/>
                <w:szCs w:val="24"/>
                <w:highlight w:val="none"/>
              </w:rPr>
              <w:t>由评标委员会根据各投标人提供的项目实施方案，从①</w:t>
            </w:r>
            <w:r>
              <w:rPr>
                <w:rFonts w:hint="eastAsia"/>
                <w:bCs/>
                <w:color w:val="auto"/>
                <w:highlight w:val="none"/>
              </w:rPr>
              <w:t>对本项目的认识和理解</w:t>
            </w:r>
            <w:r>
              <w:rPr>
                <w:rFonts w:hint="eastAsia" w:ascii="Times New Roman" w:hAnsi="Times New Roman" w:cs="Times New Roman"/>
                <w:bCs/>
                <w:color w:val="auto"/>
                <w:szCs w:val="24"/>
                <w:highlight w:val="none"/>
              </w:rPr>
              <w:t>②针对探测模组的实施方案③针对</w:t>
            </w:r>
            <w:r>
              <w:rPr>
                <w:rFonts w:hint="eastAsia" w:ascii="Times New Roman" w:hAnsi="Times New Roman" w:cs="Times New Roman"/>
                <w:bCs/>
                <w:color w:val="auto"/>
                <w:szCs w:val="24"/>
                <w:highlight w:val="none"/>
                <w:lang w:val="en-US" w:eastAsia="zh-CN"/>
              </w:rPr>
              <w:t>指挥</w:t>
            </w:r>
            <w:r>
              <w:rPr>
                <w:rFonts w:hint="eastAsia" w:ascii="Times New Roman" w:hAnsi="Times New Roman" w:cs="Times New Roman"/>
                <w:bCs/>
                <w:color w:val="auto"/>
                <w:szCs w:val="24"/>
                <w:highlight w:val="none"/>
              </w:rPr>
              <w:t>模组的实施方案</w:t>
            </w:r>
            <w:r>
              <w:rPr>
                <w:rFonts w:hint="eastAsia" w:ascii="Times New Roman" w:hAnsi="Times New Roman" w:cs="Times New Roman"/>
                <w:bCs/>
                <w:color w:val="auto"/>
                <w:szCs w:val="24"/>
                <w:highlight w:val="none"/>
                <w:lang w:val="en-US" w:eastAsia="zh-CN"/>
              </w:rPr>
              <w:t>④</w:t>
            </w:r>
            <w:r>
              <w:rPr>
                <w:rFonts w:hint="eastAsia" w:ascii="Times New Roman" w:hAnsi="Times New Roman" w:cs="Times New Roman"/>
                <w:bCs/>
                <w:color w:val="auto"/>
                <w:szCs w:val="24"/>
                <w:highlight w:val="none"/>
              </w:rPr>
              <w:t>针对</w:t>
            </w:r>
            <w:r>
              <w:rPr>
                <w:rFonts w:hint="eastAsia" w:ascii="Times New Roman" w:hAnsi="Times New Roman" w:cs="Times New Roman"/>
                <w:bCs/>
                <w:color w:val="auto"/>
                <w:szCs w:val="24"/>
                <w:highlight w:val="none"/>
                <w:lang w:val="en-US" w:eastAsia="zh-CN"/>
              </w:rPr>
              <w:t>作业</w:t>
            </w:r>
            <w:r>
              <w:rPr>
                <w:rFonts w:hint="eastAsia" w:ascii="Times New Roman" w:hAnsi="Times New Roman" w:cs="Times New Roman"/>
                <w:bCs/>
                <w:color w:val="auto"/>
                <w:szCs w:val="24"/>
                <w:highlight w:val="none"/>
              </w:rPr>
              <w:t>模组的实施方案⑤针对</w:t>
            </w:r>
            <w:r>
              <w:rPr>
                <w:rFonts w:hint="eastAsia" w:ascii="Times New Roman" w:hAnsi="Times New Roman" w:cs="Times New Roman"/>
                <w:bCs/>
                <w:color w:val="auto"/>
                <w:szCs w:val="24"/>
                <w:highlight w:val="none"/>
                <w:lang w:val="en-US" w:eastAsia="zh-CN"/>
              </w:rPr>
              <w:t>保障</w:t>
            </w:r>
            <w:r>
              <w:rPr>
                <w:rFonts w:hint="eastAsia" w:ascii="Times New Roman" w:hAnsi="Times New Roman" w:cs="Times New Roman"/>
                <w:bCs/>
                <w:color w:val="auto"/>
                <w:szCs w:val="24"/>
                <w:highlight w:val="none"/>
              </w:rPr>
              <w:t>模组的实施方案</w:t>
            </w:r>
            <w:r>
              <w:rPr>
                <w:rFonts w:hint="eastAsia" w:ascii="Times New Roman" w:hAnsi="Times New Roman" w:cs="Times New Roman"/>
                <w:bCs/>
                <w:color w:val="auto"/>
                <w:szCs w:val="24"/>
                <w:highlight w:val="none"/>
                <w:lang w:val="en-US" w:eastAsia="zh-CN"/>
              </w:rPr>
              <w:t>⑥机动集成作业系统实施方案</w:t>
            </w:r>
            <w:r>
              <w:rPr>
                <w:rFonts w:hint="eastAsia" w:ascii="Times New Roman" w:hAnsi="Times New Roman" w:cs="Times New Roman"/>
                <w:bCs/>
                <w:color w:val="auto"/>
                <w:szCs w:val="24"/>
                <w:highlight w:val="none"/>
              </w:rPr>
              <w:t>等方面内容进行独立评审：</w:t>
            </w:r>
          </w:p>
          <w:p w14:paraId="47DF1AE4">
            <w:pPr>
              <w:snapToGrid w:val="0"/>
              <w:spacing w:line="360" w:lineRule="auto"/>
              <w:ind w:firstLine="420" w:firstLineChars="200"/>
              <w:rPr>
                <w:bCs/>
                <w:color w:val="auto"/>
                <w:highlight w:val="none"/>
              </w:rPr>
            </w:pPr>
            <w:r>
              <w:rPr>
                <w:rFonts w:hint="eastAsia"/>
                <w:bCs/>
                <w:color w:val="auto"/>
                <w:highlight w:val="none"/>
              </w:rPr>
              <w:t>一档（</w:t>
            </w:r>
            <w:r>
              <w:rPr>
                <w:rFonts w:hint="eastAsia"/>
                <w:bCs/>
                <w:color w:val="auto"/>
                <w:highlight w:val="none"/>
                <w:lang w:val="en-US" w:eastAsia="zh-CN"/>
              </w:rPr>
              <w:t>4</w:t>
            </w:r>
            <w:r>
              <w:rPr>
                <w:rFonts w:hint="eastAsia"/>
                <w:bCs/>
                <w:color w:val="auto"/>
                <w:highlight w:val="none"/>
              </w:rPr>
              <w:t>分）：技术方案内容</w:t>
            </w:r>
            <w:r>
              <w:rPr>
                <w:rFonts w:hint="eastAsia"/>
                <w:color w:val="auto"/>
                <w:highlight w:val="none"/>
              </w:rPr>
              <w:t>提供上述其中</w:t>
            </w:r>
            <w:r>
              <w:rPr>
                <w:rFonts w:hint="eastAsia"/>
                <w:color w:val="auto"/>
                <w:highlight w:val="none"/>
                <w:lang w:val="en-US" w:eastAsia="zh-CN"/>
              </w:rPr>
              <w:t>4</w:t>
            </w:r>
            <w:r>
              <w:rPr>
                <w:rFonts w:hint="eastAsia"/>
                <w:color w:val="auto"/>
                <w:highlight w:val="none"/>
              </w:rPr>
              <w:t>项</w:t>
            </w:r>
            <w:r>
              <w:rPr>
                <w:rFonts w:hint="eastAsia"/>
                <w:bCs/>
                <w:color w:val="auto"/>
                <w:highlight w:val="none"/>
              </w:rPr>
              <w:t>，有对项目总体的认识与理解的阐述，提供的技术方案对</w:t>
            </w:r>
            <w:r>
              <w:rPr>
                <w:rStyle w:val="214"/>
                <w:rFonts w:hint="default"/>
                <w:color w:val="auto"/>
                <w:highlight w:val="none"/>
                <w:lang w:bidi="ar"/>
              </w:rPr>
              <w:t>建设目标及整体需求分析、系统总体架构设计、建设方案</w:t>
            </w:r>
            <w:r>
              <w:rPr>
                <w:rFonts w:hint="eastAsia"/>
                <w:bCs/>
                <w:color w:val="auto"/>
                <w:highlight w:val="none"/>
              </w:rPr>
              <w:t>等基本满足项目需求。</w:t>
            </w:r>
          </w:p>
          <w:p w14:paraId="45390EB5">
            <w:pPr>
              <w:snapToGrid w:val="0"/>
              <w:spacing w:line="360" w:lineRule="auto"/>
              <w:ind w:firstLine="420" w:firstLineChars="200"/>
              <w:rPr>
                <w:bCs/>
                <w:color w:val="auto"/>
                <w:highlight w:val="none"/>
              </w:rPr>
            </w:pPr>
            <w:r>
              <w:rPr>
                <w:rFonts w:hint="eastAsia"/>
                <w:bCs/>
                <w:color w:val="auto"/>
                <w:highlight w:val="none"/>
              </w:rPr>
              <w:t>二档（</w:t>
            </w:r>
            <w:r>
              <w:rPr>
                <w:rFonts w:hint="eastAsia"/>
                <w:bCs/>
                <w:color w:val="auto"/>
                <w:highlight w:val="none"/>
                <w:lang w:val="en-US" w:eastAsia="zh-CN"/>
              </w:rPr>
              <w:t>8</w:t>
            </w:r>
            <w:r>
              <w:rPr>
                <w:rFonts w:hint="eastAsia"/>
                <w:bCs/>
                <w:color w:val="auto"/>
                <w:highlight w:val="none"/>
              </w:rPr>
              <w:t>分）：技术方案内容</w:t>
            </w:r>
            <w:r>
              <w:rPr>
                <w:rFonts w:hint="eastAsia"/>
                <w:color w:val="auto"/>
                <w:highlight w:val="none"/>
              </w:rPr>
              <w:t>提供上述</w:t>
            </w:r>
            <w:r>
              <w:rPr>
                <w:rFonts w:hint="eastAsia"/>
                <w:color w:val="auto"/>
                <w:highlight w:val="none"/>
                <w:lang w:val="en-US" w:eastAsia="zh-CN"/>
              </w:rPr>
              <w:t>5</w:t>
            </w:r>
            <w:r>
              <w:rPr>
                <w:rFonts w:hint="eastAsia"/>
                <w:color w:val="auto"/>
                <w:highlight w:val="none"/>
              </w:rPr>
              <w:t>项</w:t>
            </w:r>
            <w:r>
              <w:rPr>
                <w:rFonts w:hint="eastAsia"/>
                <w:bCs/>
                <w:color w:val="auto"/>
                <w:highlight w:val="none"/>
              </w:rPr>
              <w:t>，技术方案与服务需求的内容吻合，对项目总体的认识与理解具有</w:t>
            </w:r>
            <w:r>
              <w:rPr>
                <w:rFonts w:hint="eastAsia"/>
                <w:color w:val="auto"/>
                <w:highlight w:val="none"/>
              </w:rPr>
              <w:t>关于</w:t>
            </w:r>
            <w:r>
              <w:rPr>
                <w:rFonts w:hint="eastAsia"/>
                <w:bCs/>
                <w:color w:val="auto"/>
                <w:highlight w:val="none"/>
              </w:rPr>
              <w:t>项目核心技术的阐述，提供的技术方案对</w:t>
            </w:r>
            <w:r>
              <w:rPr>
                <w:rStyle w:val="214"/>
                <w:rFonts w:hint="default"/>
                <w:color w:val="auto"/>
                <w:highlight w:val="none"/>
                <w:lang w:bidi="ar"/>
              </w:rPr>
              <w:t>建设目标及整体需求分析、系统总体架构设计、建设方案</w:t>
            </w:r>
            <w:r>
              <w:rPr>
                <w:rFonts w:hint="eastAsia"/>
                <w:bCs/>
                <w:color w:val="auto"/>
                <w:highlight w:val="none"/>
              </w:rPr>
              <w:t>等满足项目需求且具有一定针对性。</w:t>
            </w:r>
            <w:r>
              <w:rPr>
                <w:bCs/>
                <w:color w:val="auto"/>
                <w:highlight w:val="none"/>
              </w:rPr>
              <w:t xml:space="preserve"> </w:t>
            </w:r>
          </w:p>
          <w:p w14:paraId="4318F5E8">
            <w:pPr>
              <w:adjustRightInd/>
              <w:snapToGrid w:val="0"/>
              <w:spacing w:line="360" w:lineRule="auto"/>
              <w:ind w:firstLine="420" w:firstLineChars="200"/>
              <w:textAlignment w:val="auto"/>
              <w:rPr>
                <w:rFonts w:hint="eastAsia" w:ascii="Times New Roman" w:hAnsi="Times New Roman" w:cs="Times New Roman"/>
                <w:bCs/>
                <w:color w:val="auto"/>
                <w:szCs w:val="24"/>
                <w:highlight w:val="none"/>
              </w:rPr>
            </w:pPr>
            <w:r>
              <w:rPr>
                <w:rFonts w:hint="eastAsia"/>
                <w:bCs/>
                <w:color w:val="auto"/>
                <w:highlight w:val="none"/>
              </w:rPr>
              <w:t>三档（</w:t>
            </w:r>
            <w:r>
              <w:rPr>
                <w:rFonts w:hint="eastAsia"/>
                <w:bCs/>
                <w:color w:val="auto"/>
                <w:highlight w:val="none"/>
                <w:lang w:val="en-US" w:eastAsia="zh-CN"/>
              </w:rPr>
              <w:t>12</w:t>
            </w:r>
            <w:r>
              <w:rPr>
                <w:rFonts w:hint="eastAsia"/>
                <w:bCs/>
                <w:color w:val="auto"/>
                <w:highlight w:val="none"/>
              </w:rPr>
              <w:t>分）：技术方案内容</w:t>
            </w:r>
            <w:r>
              <w:rPr>
                <w:rFonts w:hint="eastAsia"/>
                <w:color w:val="auto"/>
                <w:highlight w:val="none"/>
              </w:rPr>
              <w:t>包含且不限于上述</w:t>
            </w:r>
            <w:r>
              <w:rPr>
                <w:rFonts w:hint="eastAsia"/>
                <w:color w:val="auto"/>
                <w:highlight w:val="none"/>
                <w:lang w:val="en-US" w:eastAsia="zh-CN"/>
              </w:rPr>
              <w:t>6</w:t>
            </w:r>
            <w:r>
              <w:rPr>
                <w:rFonts w:hint="eastAsia"/>
                <w:color w:val="auto"/>
                <w:highlight w:val="none"/>
              </w:rPr>
              <w:t>项</w:t>
            </w:r>
            <w:r>
              <w:rPr>
                <w:rFonts w:hint="eastAsia"/>
                <w:bCs/>
                <w:color w:val="auto"/>
                <w:highlight w:val="none"/>
              </w:rPr>
              <w:t>，</w:t>
            </w:r>
            <w:r>
              <w:rPr>
                <w:rFonts w:hint="eastAsia" w:cs="Courier New"/>
                <w:bCs/>
                <w:color w:val="auto"/>
                <w:highlight w:val="none"/>
              </w:rPr>
              <w:t>对</w:t>
            </w:r>
            <w:r>
              <w:rPr>
                <w:rFonts w:hint="eastAsia"/>
                <w:color w:val="auto"/>
                <w:szCs w:val="21"/>
                <w:highlight w:val="none"/>
              </w:rPr>
              <w:t>项目难点有针对性地提出应对措施的建议，</w:t>
            </w:r>
            <w:r>
              <w:rPr>
                <w:rFonts w:hint="eastAsia"/>
                <w:bCs/>
                <w:color w:val="auto"/>
                <w:highlight w:val="none"/>
              </w:rPr>
              <w:t>对项目整体实施有合理化建议和解决措施，提供的技术方案对</w:t>
            </w:r>
            <w:r>
              <w:rPr>
                <w:rStyle w:val="214"/>
                <w:rFonts w:hint="default"/>
                <w:color w:val="auto"/>
                <w:highlight w:val="none"/>
                <w:lang w:bidi="ar"/>
              </w:rPr>
              <w:t>建设目标及整体需求分析、系统总体架构和集成设计、改装方案</w:t>
            </w:r>
            <w:r>
              <w:rPr>
                <w:rFonts w:hint="eastAsia"/>
                <w:bCs/>
                <w:color w:val="auto"/>
                <w:highlight w:val="none"/>
              </w:rPr>
              <w:t>等内容具备可行性，</w:t>
            </w:r>
            <w:r>
              <w:rPr>
                <w:rFonts w:hint="eastAsia" w:ascii="宋体" w:hAnsi="宋体" w:cs="Tahoma"/>
                <w:color w:val="auto"/>
                <w:kern w:val="0"/>
                <w:szCs w:val="21"/>
                <w:highlight w:val="none"/>
              </w:rPr>
              <w:t>方案能够清楚描述整体架构、网络结构、功能结构、设计思路等，具有系统流程图及逻辑说明，有功能界面截图，充分体现采购所需的整体系统情况</w:t>
            </w:r>
            <w:r>
              <w:rPr>
                <w:rFonts w:hint="eastAsia"/>
                <w:bCs/>
                <w:color w:val="auto"/>
                <w:highlight w:val="none"/>
              </w:rPr>
              <w:t>。</w:t>
            </w:r>
          </w:p>
          <w:p w14:paraId="7F9768BB">
            <w:pPr>
              <w:adjustRightInd/>
              <w:snapToGrid w:val="0"/>
              <w:spacing w:line="360" w:lineRule="auto"/>
              <w:ind w:firstLine="420" w:firstLineChars="200"/>
              <w:textAlignment w:val="auto"/>
              <w:rPr>
                <w:rFonts w:hint="eastAsia" w:ascii="Times New Roman" w:hAnsi="Times New Roman" w:cs="Times New Roman"/>
                <w:bCs/>
                <w:color w:val="auto"/>
                <w:szCs w:val="24"/>
                <w:highlight w:val="none"/>
              </w:rPr>
            </w:pPr>
            <w:r>
              <w:rPr>
                <w:rFonts w:hint="eastAsia" w:ascii="Times New Roman" w:hAnsi="Times New Roman" w:cs="Times New Roman"/>
                <w:bCs/>
                <w:color w:val="auto"/>
                <w:szCs w:val="24"/>
                <w:highlight w:val="none"/>
              </w:rPr>
              <w:t>注：未提供该项方案或未达到一档标准的，该项不得分。</w:t>
            </w:r>
          </w:p>
        </w:tc>
      </w:tr>
      <w:tr w14:paraId="475F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left w:val="single" w:color="auto" w:sz="4" w:space="0"/>
              <w:right w:val="single" w:color="auto" w:sz="4" w:space="0"/>
            </w:tcBorders>
            <w:noWrap/>
            <w:vAlign w:val="center"/>
          </w:tcPr>
          <w:p w14:paraId="15ECC9F9">
            <w:pPr>
              <w:adjustRightInd w:val="0"/>
              <w:spacing w:line="360" w:lineRule="auto"/>
              <w:jc w:val="center"/>
              <w:textAlignment w:val="baseline"/>
              <w:rPr>
                <w:rFonts w:hint="eastAsia" w:ascii="宋体" w:hAnsi="宋体" w:cs="宋体"/>
                <w:color w:val="auto"/>
                <w:szCs w:val="21"/>
                <w:highlight w:val="none"/>
              </w:rPr>
            </w:pPr>
          </w:p>
        </w:tc>
        <w:tc>
          <w:tcPr>
            <w:tcW w:w="1134" w:type="dxa"/>
            <w:vMerge w:val="continue"/>
            <w:tcBorders>
              <w:left w:val="single" w:color="auto" w:sz="4" w:space="0"/>
              <w:right w:val="single" w:color="auto" w:sz="4" w:space="0"/>
            </w:tcBorders>
            <w:noWrap/>
            <w:vAlign w:val="center"/>
          </w:tcPr>
          <w:p w14:paraId="05F0C154">
            <w:pPr>
              <w:spacing w:line="360" w:lineRule="auto"/>
              <w:jc w:val="center"/>
              <w:rPr>
                <w:rFonts w:hint="eastAsia" w:ascii="宋体" w:hAnsi="宋体" w:cs="宋体"/>
                <w:bCs/>
                <w:color w:val="auto"/>
                <w:szCs w:val="21"/>
                <w:highlight w:val="none"/>
              </w:rPr>
            </w:pPr>
          </w:p>
        </w:tc>
        <w:tc>
          <w:tcPr>
            <w:tcW w:w="7036" w:type="dxa"/>
            <w:tcBorders>
              <w:top w:val="single" w:color="auto" w:sz="4" w:space="0"/>
              <w:left w:val="single" w:color="auto" w:sz="4" w:space="0"/>
              <w:bottom w:val="single" w:color="auto" w:sz="4" w:space="0"/>
              <w:right w:val="single" w:color="auto" w:sz="4" w:space="0"/>
            </w:tcBorders>
            <w:noWrap/>
          </w:tcPr>
          <w:p w14:paraId="3AA80028">
            <w:pPr>
              <w:widowControl/>
              <w:snapToGrid w:val="0"/>
              <w:spacing w:line="480" w:lineRule="auto"/>
              <w:rPr>
                <w:rFonts w:hint="eastAsia" w:ascii="宋体" w:hAnsi="宋体" w:eastAsia="宋体" w:cs="宋体"/>
                <w:b/>
                <w:bCs w:val="0"/>
                <w:color w:val="auto"/>
                <w:kern w:val="2"/>
                <w:sz w:val="21"/>
                <w:szCs w:val="21"/>
                <w:highlight w:val="none"/>
                <w:lang w:val="en-US" w:eastAsia="zh-CN" w:bidi="ar-SA"/>
              </w:rPr>
            </w:pPr>
            <w:r>
              <w:rPr>
                <w:rFonts w:hint="eastAsia" w:ascii="宋体" w:hAnsi="宋体" w:cs="宋体"/>
                <w:b/>
                <w:bCs w:val="0"/>
                <w:color w:val="auto"/>
                <w:kern w:val="2"/>
                <w:sz w:val="21"/>
                <w:szCs w:val="21"/>
                <w:highlight w:val="none"/>
                <w:lang w:val="en-US" w:eastAsia="zh-CN" w:bidi="ar-SA"/>
              </w:rPr>
              <w:t>3</w:t>
            </w:r>
            <w:r>
              <w:rPr>
                <w:rFonts w:hint="eastAsia" w:ascii="宋体" w:hAnsi="宋体" w:eastAsia="宋体" w:cs="宋体"/>
                <w:b/>
                <w:bCs w:val="0"/>
                <w:color w:val="auto"/>
                <w:kern w:val="2"/>
                <w:sz w:val="21"/>
                <w:szCs w:val="21"/>
                <w:highlight w:val="none"/>
                <w:lang w:val="en-US" w:eastAsia="zh-CN" w:bidi="ar-SA"/>
              </w:rPr>
              <w:t>、售后服务方案（</w:t>
            </w:r>
            <w:r>
              <w:rPr>
                <w:rFonts w:hint="eastAsia" w:ascii="宋体" w:hAnsi="宋体" w:cs="宋体"/>
                <w:b/>
                <w:bCs w:val="0"/>
                <w:color w:val="auto"/>
                <w:kern w:val="2"/>
                <w:sz w:val="21"/>
                <w:szCs w:val="21"/>
                <w:highlight w:val="none"/>
                <w:lang w:val="en-US" w:eastAsia="zh-CN" w:bidi="ar-SA"/>
              </w:rPr>
              <w:t>5</w:t>
            </w:r>
            <w:r>
              <w:rPr>
                <w:rFonts w:hint="eastAsia" w:ascii="宋体" w:hAnsi="宋体" w:eastAsia="宋体" w:cs="宋体"/>
                <w:b/>
                <w:bCs w:val="0"/>
                <w:color w:val="auto"/>
                <w:kern w:val="2"/>
                <w:sz w:val="21"/>
                <w:szCs w:val="21"/>
                <w:highlight w:val="none"/>
                <w:lang w:val="en-US" w:eastAsia="zh-CN" w:bidi="ar-SA"/>
              </w:rPr>
              <w:t>分）</w:t>
            </w:r>
          </w:p>
          <w:p w14:paraId="010CAFE6">
            <w:pPr>
              <w:spacing w:line="360" w:lineRule="auto"/>
              <w:ind w:firstLine="420" w:firstLineChars="200"/>
              <w:rPr>
                <w:bCs/>
                <w:color w:val="auto"/>
                <w:highlight w:val="none"/>
              </w:rPr>
            </w:pPr>
            <w:r>
              <w:rPr>
                <w:rStyle w:val="214"/>
                <w:rFonts w:hint="default"/>
                <w:color w:val="auto"/>
                <w:highlight w:val="none"/>
                <w:lang w:bidi="ar"/>
              </w:rPr>
              <w:t>投标人提供</w:t>
            </w:r>
            <w:r>
              <w:rPr>
                <w:rStyle w:val="214"/>
                <w:rFonts w:hint="default"/>
                <w:color w:val="auto"/>
                <w:highlight w:val="none"/>
                <w:lang w:val="en-US" w:eastAsia="zh-CN" w:bidi="ar"/>
              </w:rPr>
              <w:t>售后服务方案</w:t>
            </w:r>
            <w:r>
              <w:rPr>
                <w:rStyle w:val="214"/>
                <w:rFonts w:hint="default"/>
                <w:color w:val="auto"/>
                <w:highlight w:val="none"/>
                <w:lang w:bidi="ar"/>
              </w:rPr>
              <w:t>（包括：①</w:t>
            </w:r>
            <w:r>
              <w:rPr>
                <w:rStyle w:val="214"/>
                <w:rFonts w:hint="default"/>
                <w:color w:val="auto"/>
                <w:highlight w:val="none"/>
                <w:lang w:val="en-US" w:eastAsia="zh-CN" w:bidi="ar"/>
              </w:rPr>
              <w:t>售后服务</w:t>
            </w:r>
            <w:r>
              <w:rPr>
                <w:rStyle w:val="214"/>
                <w:rFonts w:hint="eastAsia"/>
                <w:color w:val="auto"/>
                <w:highlight w:val="none"/>
                <w:lang w:val="en-US" w:eastAsia="zh-CN" w:bidi="ar"/>
              </w:rPr>
              <w:t>承诺</w:t>
            </w:r>
            <w:r>
              <w:rPr>
                <w:rStyle w:val="214"/>
                <w:rFonts w:hint="default"/>
                <w:color w:val="auto"/>
                <w:highlight w:val="none"/>
                <w:lang w:bidi="ar"/>
              </w:rPr>
              <w:t>②</w:t>
            </w:r>
            <w:r>
              <w:rPr>
                <w:rStyle w:val="214"/>
                <w:rFonts w:hint="default"/>
                <w:color w:val="auto"/>
                <w:highlight w:val="none"/>
                <w:lang w:val="en-US" w:eastAsia="zh-CN" w:bidi="ar"/>
              </w:rPr>
              <w:t>售后服务的技术支持机构、技术支持小组人员名单</w:t>
            </w:r>
            <w:r>
              <w:rPr>
                <w:rStyle w:val="214"/>
                <w:rFonts w:hint="default"/>
                <w:color w:val="auto"/>
                <w:highlight w:val="none"/>
                <w:lang w:bidi="ar"/>
              </w:rPr>
              <w:t>③</w:t>
            </w:r>
            <w:r>
              <w:rPr>
                <w:rStyle w:val="214"/>
                <w:rFonts w:hint="default"/>
                <w:color w:val="auto"/>
                <w:highlight w:val="none"/>
                <w:lang w:val="en-US" w:eastAsia="zh-CN" w:bidi="ar"/>
              </w:rPr>
              <w:t>备件储备清单④保修期内接到故障报告后切实可行的修复方案及响应时间</w:t>
            </w:r>
            <w:r>
              <w:rPr>
                <w:rStyle w:val="214"/>
                <w:rFonts w:hint="default"/>
                <w:color w:val="auto"/>
                <w:highlight w:val="none"/>
                <w:lang w:bidi="ar"/>
              </w:rPr>
              <w:t>等），</w:t>
            </w:r>
            <w:r>
              <w:rPr>
                <w:rFonts w:hint="eastAsia"/>
                <w:bCs/>
                <w:color w:val="auto"/>
                <w:highlight w:val="none"/>
              </w:rPr>
              <w:t>评委根据投标人提供的</w:t>
            </w:r>
            <w:r>
              <w:rPr>
                <w:rFonts w:hint="eastAsia"/>
                <w:bCs/>
                <w:color w:val="auto"/>
                <w:highlight w:val="none"/>
                <w:lang w:val="en-US" w:eastAsia="zh-CN"/>
              </w:rPr>
              <w:t>售后服务方案</w:t>
            </w:r>
            <w:r>
              <w:rPr>
                <w:rFonts w:hint="eastAsia"/>
                <w:bCs/>
                <w:color w:val="auto"/>
                <w:highlight w:val="none"/>
              </w:rPr>
              <w:t>进行独立打分。</w:t>
            </w:r>
            <w:r>
              <w:rPr>
                <w:bCs/>
                <w:color w:val="auto"/>
                <w:highlight w:val="none"/>
              </w:rPr>
              <w:t xml:space="preserve"> </w:t>
            </w:r>
          </w:p>
          <w:p w14:paraId="534FC72F">
            <w:pPr>
              <w:snapToGrid/>
              <w:spacing w:line="360" w:lineRule="auto"/>
              <w:ind w:firstLine="420" w:firstLineChars="200"/>
              <w:rPr>
                <w:bCs/>
                <w:color w:val="auto"/>
                <w:highlight w:val="none"/>
              </w:rPr>
            </w:pPr>
            <w:r>
              <w:rPr>
                <w:rFonts w:hint="eastAsia"/>
                <w:bCs/>
                <w:color w:val="auto"/>
                <w:highlight w:val="none"/>
              </w:rPr>
              <w:t>未提供技术方案或不满足一档要求的不得分。</w:t>
            </w:r>
          </w:p>
          <w:p w14:paraId="4589D6D6">
            <w:pPr>
              <w:widowControl/>
              <w:snapToGrid w:val="0"/>
              <w:spacing w:line="480" w:lineRule="auto"/>
              <w:ind w:firstLine="420" w:firstLineChars="200"/>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一档（</w:t>
            </w:r>
            <w:r>
              <w:rPr>
                <w:rFonts w:hint="eastAsia" w:ascii="宋体" w:hAnsi="宋体" w:cs="宋体"/>
                <w:color w:val="auto"/>
                <w:szCs w:val="21"/>
                <w:highlight w:val="none"/>
                <w:lang w:val="en-US" w:eastAsia="zh-CN"/>
              </w:rPr>
              <w:t>1</w:t>
            </w:r>
            <w:r>
              <w:rPr>
                <w:rFonts w:hint="default" w:ascii="宋体" w:hAnsi="宋体" w:eastAsia="宋体" w:cs="宋体"/>
                <w:color w:val="auto"/>
                <w:szCs w:val="21"/>
                <w:highlight w:val="none"/>
                <w:lang w:val="en-US" w:eastAsia="zh-CN"/>
              </w:rPr>
              <w:t>分）：提供</w:t>
            </w:r>
            <w:r>
              <w:rPr>
                <w:rStyle w:val="214"/>
                <w:rFonts w:hint="default"/>
                <w:color w:val="auto"/>
                <w:highlight w:val="none"/>
                <w:lang w:val="en-US" w:eastAsia="zh-CN" w:bidi="ar"/>
              </w:rPr>
              <w:t>售后服务方案</w:t>
            </w:r>
            <w:r>
              <w:rPr>
                <w:rFonts w:hint="default" w:ascii="宋体" w:hAnsi="宋体" w:eastAsia="宋体" w:cs="宋体"/>
                <w:color w:val="auto"/>
                <w:szCs w:val="21"/>
                <w:highlight w:val="none"/>
                <w:lang w:val="en-US" w:eastAsia="zh-CN"/>
              </w:rPr>
              <w:t>的包含上述其中</w:t>
            </w:r>
            <w:r>
              <w:rPr>
                <w:rFonts w:hint="eastAsia" w:ascii="宋体" w:hAnsi="宋体" w:eastAsia="宋体" w:cs="宋体"/>
                <w:color w:val="auto"/>
                <w:szCs w:val="21"/>
                <w:highlight w:val="none"/>
                <w:lang w:val="en-US" w:eastAsia="zh-CN"/>
              </w:rPr>
              <w:t>2</w:t>
            </w:r>
            <w:r>
              <w:rPr>
                <w:rFonts w:hint="default" w:ascii="宋体" w:hAnsi="宋体" w:eastAsia="宋体" w:cs="宋体"/>
                <w:color w:val="auto"/>
                <w:szCs w:val="21"/>
                <w:highlight w:val="none"/>
                <w:lang w:val="en-US" w:eastAsia="zh-CN"/>
              </w:rPr>
              <w:t>项，</w:t>
            </w:r>
            <w:r>
              <w:rPr>
                <w:rFonts w:hint="eastAsia" w:ascii="宋体" w:hAnsi="宋体" w:eastAsia="宋体" w:cs="宋体"/>
                <w:color w:val="auto"/>
                <w:szCs w:val="21"/>
                <w:highlight w:val="none"/>
                <w:lang w:val="en-US" w:eastAsia="zh-CN"/>
              </w:rPr>
              <w:t>售后服务</w:t>
            </w:r>
            <w:r>
              <w:rPr>
                <w:rFonts w:hint="default" w:ascii="宋体" w:hAnsi="宋体" w:eastAsia="宋体" w:cs="宋体"/>
                <w:color w:val="auto"/>
                <w:szCs w:val="21"/>
                <w:highlight w:val="none"/>
                <w:lang w:val="en-US" w:eastAsia="zh-CN"/>
              </w:rPr>
              <w:t>方案能满足采购文件要求。</w:t>
            </w:r>
          </w:p>
          <w:p w14:paraId="0AD77454">
            <w:pPr>
              <w:widowControl/>
              <w:snapToGrid w:val="0"/>
              <w:spacing w:line="480" w:lineRule="auto"/>
              <w:ind w:firstLine="420" w:firstLineChars="200"/>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二档（</w:t>
            </w:r>
            <w:r>
              <w:rPr>
                <w:rFonts w:hint="eastAsia" w:ascii="宋体" w:hAnsi="宋体" w:cs="宋体"/>
                <w:color w:val="auto"/>
                <w:szCs w:val="21"/>
                <w:highlight w:val="none"/>
                <w:lang w:val="en-US" w:eastAsia="zh-CN"/>
              </w:rPr>
              <w:t>3</w:t>
            </w:r>
            <w:r>
              <w:rPr>
                <w:rFonts w:hint="default" w:ascii="宋体" w:hAnsi="宋体" w:eastAsia="宋体" w:cs="宋体"/>
                <w:color w:val="auto"/>
                <w:szCs w:val="21"/>
                <w:highlight w:val="none"/>
                <w:lang w:val="en-US" w:eastAsia="zh-CN"/>
              </w:rPr>
              <w:t>分）：提供的</w:t>
            </w:r>
            <w:r>
              <w:rPr>
                <w:rStyle w:val="214"/>
                <w:rFonts w:hint="default"/>
                <w:color w:val="auto"/>
                <w:highlight w:val="none"/>
                <w:lang w:val="en-US" w:eastAsia="zh-CN" w:bidi="ar"/>
              </w:rPr>
              <w:t>售后服务方案</w:t>
            </w:r>
            <w:r>
              <w:rPr>
                <w:rFonts w:hint="default" w:ascii="宋体" w:hAnsi="宋体" w:eastAsia="宋体" w:cs="宋体"/>
                <w:color w:val="auto"/>
                <w:szCs w:val="21"/>
                <w:highlight w:val="none"/>
                <w:lang w:val="en-US" w:eastAsia="zh-CN"/>
              </w:rPr>
              <w:t>包含上述其中</w:t>
            </w:r>
            <w:r>
              <w:rPr>
                <w:rFonts w:hint="eastAsia" w:ascii="宋体" w:hAnsi="宋体" w:cs="宋体"/>
                <w:color w:val="auto"/>
                <w:szCs w:val="21"/>
                <w:highlight w:val="none"/>
                <w:lang w:val="en-US" w:eastAsia="zh-CN"/>
              </w:rPr>
              <w:t>3</w:t>
            </w:r>
            <w:r>
              <w:rPr>
                <w:rFonts w:hint="default" w:ascii="宋体" w:hAnsi="宋体" w:eastAsia="宋体" w:cs="宋体"/>
                <w:color w:val="auto"/>
                <w:szCs w:val="21"/>
                <w:highlight w:val="none"/>
                <w:lang w:val="en-US" w:eastAsia="zh-CN"/>
              </w:rPr>
              <w:t>项，</w:t>
            </w:r>
            <w:r>
              <w:rPr>
                <w:rFonts w:hint="eastAsia" w:ascii="宋体" w:hAnsi="宋体"/>
                <w:color w:val="auto"/>
                <w:highlight w:val="none"/>
                <w:lang w:val="en-US" w:eastAsia="zh-CN"/>
              </w:rPr>
              <w:t>并</w:t>
            </w:r>
            <w:r>
              <w:rPr>
                <w:rFonts w:hint="eastAsia" w:ascii="宋体" w:hAnsi="宋体" w:cs="宋体"/>
                <w:color w:val="auto"/>
                <w:sz w:val="21"/>
                <w:szCs w:val="21"/>
                <w:highlight w:val="none"/>
                <w:lang w:val="en-US" w:eastAsia="zh-CN"/>
              </w:rPr>
              <w:t>承诺</w:t>
            </w:r>
            <w:r>
              <w:rPr>
                <w:rFonts w:hint="eastAsia" w:ascii="宋体" w:hAnsi="宋体" w:eastAsia="宋体" w:cs="宋体"/>
                <w:color w:val="auto"/>
                <w:sz w:val="21"/>
                <w:szCs w:val="21"/>
                <w:highlight w:val="none"/>
              </w:rPr>
              <w:t>出现问题能在</w:t>
            </w:r>
            <w:r>
              <w:rPr>
                <w:rFonts w:hint="eastAsia" w:ascii="宋体" w:hAnsi="宋体" w:cs="宋体"/>
                <w:color w:val="auto"/>
                <w:sz w:val="21"/>
                <w:szCs w:val="21"/>
                <w:highlight w:val="none"/>
                <w:lang w:val="en-US" w:eastAsia="zh-CN"/>
              </w:rPr>
              <w:t>36</w:t>
            </w:r>
            <w:r>
              <w:rPr>
                <w:rFonts w:hint="eastAsia" w:ascii="宋体" w:hAnsi="宋体" w:eastAsia="宋体" w:cs="宋体"/>
                <w:color w:val="auto"/>
                <w:sz w:val="21"/>
                <w:szCs w:val="21"/>
                <w:highlight w:val="none"/>
              </w:rPr>
              <w:t>小时内</w:t>
            </w:r>
            <w:r>
              <w:rPr>
                <w:rFonts w:hint="eastAsia" w:ascii="宋体" w:hAnsi="宋体" w:eastAsia="宋体" w:cs="宋体"/>
                <w:color w:val="auto"/>
                <w:sz w:val="21"/>
                <w:szCs w:val="21"/>
                <w:highlight w:val="none"/>
                <w:lang w:val="en-US" w:eastAsia="zh-CN"/>
              </w:rPr>
              <w:t>至现场提供应急服务</w:t>
            </w:r>
            <w:r>
              <w:rPr>
                <w:rFonts w:hint="default" w:ascii="宋体" w:hAnsi="宋体" w:eastAsia="宋体" w:cs="宋体"/>
                <w:color w:val="auto"/>
                <w:szCs w:val="21"/>
                <w:highlight w:val="none"/>
                <w:lang w:val="en-US" w:eastAsia="zh-CN"/>
              </w:rPr>
              <w:t>。</w:t>
            </w:r>
          </w:p>
          <w:p w14:paraId="173ED2A9">
            <w:pPr>
              <w:widowControl/>
              <w:snapToGrid w:val="0"/>
              <w:spacing w:line="480" w:lineRule="auto"/>
              <w:ind w:firstLine="420" w:firstLineChars="200"/>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三档（</w:t>
            </w:r>
            <w:r>
              <w:rPr>
                <w:rFonts w:hint="eastAsia" w:ascii="宋体" w:hAnsi="宋体" w:cs="宋体"/>
                <w:color w:val="auto"/>
                <w:szCs w:val="21"/>
                <w:highlight w:val="none"/>
                <w:lang w:val="en-US" w:eastAsia="zh-CN"/>
              </w:rPr>
              <w:t>5</w:t>
            </w:r>
            <w:r>
              <w:rPr>
                <w:rFonts w:hint="default" w:ascii="宋体" w:hAnsi="宋体" w:eastAsia="宋体" w:cs="宋体"/>
                <w:color w:val="auto"/>
                <w:szCs w:val="21"/>
                <w:highlight w:val="none"/>
                <w:lang w:val="en-US" w:eastAsia="zh-CN"/>
              </w:rPr>
              <w:t>分）：提供的实施保障方案包含且不限于上述</w:t>
            </w:r>
            <w:r>
              <w:rPr>
                <w:rFonts w:hint="eastAsia" w:ascii="宋体" w:hAnsi="宋体" w:eastAsia="宋体" w:cs="宋体"/>
                <w:color w:val="auto"/>
                <w:szCs w:val="21"/>
                <w:highlight w:val="none"/>
                <w:lang w:val="en-US" w:eastAsia="zh-CN"/>
              </w:rPr>
              <w:t>4</w:t>
            </w:r>
            <w:r>
              <w:rPr>
                <w:rFonts w:hint="default" w:ascii="宋体" w:hAnsi="宋体" w:eastAsia="宋体" w:cs="宋体"/>
                <w:color w:val="auto"/>
                <w:szCs w:val="21"/>
                <w:highlight w:val="none"/>
                <w:lang w:val="en-US" w:eastAsia="zh-CN"/>
              </w:rPr>
              <w:t>项，</w:t>
            </w:r>
            <w:r>
              <w:rPr>
                <w:rFonts w:hint="eastAsia" w:ascii="宋体" w:hAnsi="宋体"/>
                <w:color w:val="auto"/>
                <w:highlight w:val="none"/>
                <w:lang w:val="en-US" w:eastAsia="zh-CN"/>
              </w:rPr>
              <w:t>并</w:t>
            </w:r>
            <w:r>
              <w:rPr>
                <w:rFonts w:hint="eastAsia" w:ascii="宋体" w:hAnsi="宋体" w:cs="宋体"/>
                <w:color w:val="auto"/>
                <w:sz w:val="21"/>
                <w:szCs w:val="21"/>
                <w:highlight w:val="none"/>
                <w:lang w:val="en-US" w:eastAsia="zh-CN"/>
              </w:rPr>
              <w:t>承诺提供质保期内的7x24小时电话技术支持和保修、</w:t>
            </w:r>
            <w:r>
              <w:rPr>
                <w:rFonts w:hint="eastAsia" w:ascii="宋体" w:hAnsi="宋体" w:eastAsia="宋体" w:cs="宋体"/>
                <w:color w:val="auto"/>
                <w:sz w:val="21"/>
                <w:szCs w:val="21"/>
                <w:highlight w:val="none"/>
              </w:rPr>
              <w:t>出现问题能在</w:t>
            </w:r>
            <w:r>
              <w:rPr>
                <w:rFonts w:hint="eastAsia" w:ascii="宋体" w:hAnsi="宋体" w:cs="宋体"/>
                <w:color w:val="auto"/>
                <w:sz w:val="21"/>
                <w:szCs w:val="21"/>
                <w:highlight w:val="none"/>
                <w:lang w:val="en-US" w:eastAsia="zh-CN"/>
              </w:rPr>
              <w:t>24</w:t>
            </w:r>
            <w:r>
              <w:rPr>
                <w:rFonts w:hint="eastAsia" w:ascii="宋体" w:hAnsi="宋体" w:eastAsia="宋体" w:cs="宋体"/>
                <w:color w:val="auto"/>
                <w:sz w:val="21"/>
                <w:szCs w:val="21"/>
                <w:highlight w:val="none"/>
              </w:rPr>
              <w:t>小时内</w:t>
            </w:r>
            <w:r>
              <w:rPr>
                <w:rFonts w:hint="eastAsia" w:ascii="宋体" w:hAnsi="宋体" w:eastAsia="宋体" w:cs="宋体"/>
                <w:color w:val="auto"/>
                <w:sz w:val="21"/>
                <w:szCs w:val="21"/>
                <w:highlight w:val="none"/>
                <w:lang w:val="en-US" w:eastAsia="zh-CN"/>
              </w:rPr>
              <w:t>至现场提供应急服务</w:t>
            </w:r>
            <w:r>
              <w:rPr>
                <w:rFonts w:hint="default" w:ascii="宋体" w:hAnsi="宋体" w:eastAsia="宋体" w:cs="宋体"/>
                <w:color w:val="auto"/>
                <w:szCs w:val="21"/>
                <w:highlight w:val="none"/>
                <w:lang w:val="en-US" w:eastAsia="zh-CN"/>
              </w:rPr>
              <w:t>。</w:t>
            </w:r>
          </w:p>
        </w:tc>
      </w:tr>
      <w:tr w14:paraId="6EB60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1" w:type="dxa"/>
            <w:vMerge w:val="continue"/>
            <w:tcBorders>
              <w:left w:val="single" w:color="auto" w:sz="4" w:space="0"/>
              <w:right w:val="single" w:color="auto" w:sz="4" w:space="0"/>
            </w:tcBorders>
            <w:noWrap/>
            <w:vAlign w:val="center"/>
          </w:tcPr>
          <w:p w14:paraId="6E412254">
            <w:pPr>
              <w:adjustRightInd w:val="0"/>
              <w:spacing w:line="360" w:lineRule="auto"/>
              <w:jc w:val="center"/>
              <w:textAlignment w:val="baseline"/>
              <w:rPr>
                <w:rFonts w:hint="eastAsia" w:ascii="宋体" w:hAnsi="宋体" w:cs="宋体"/>
                <w:color w:val="auto"/>
                <w:szCs w:val="21"/>
                <w:highlight w:val="none"/>
              </w:rPr>
            </w:pPr>
          </w:p>
        </w:tc>
        <w:tc>
          <w:tcPr>
            <w:tcW w:w="1134" w:type="dxa"/>
            <w:vMerge w:val="continue"/>
            <w:tcBorders>
              <w:left w:val="single" w:color="auto" w:sz="4" w:space="0"/>
              <w:right w:val="single" w:color="auto" w:sz="4" w:space="0"/>
            </w:tcBorders>
            <w:noWrap/>
            <w:vAlign w:val="center"/>
          </w:tcPr>
          <w:p w14:paraId="7A4E2C83">
            <w:pPr>
              <w:spacing w:line="360" w:lineRule="auto"/>
              <w:jc w:val="center"/>
              <w:rPr>
                <w:rFonts w:hint="eastAsia" w:ascii="宋体" w:hAnsi="宋体" w:cs="宋体"/>
                <w:bCs/>
                <w:color w:val="auto"/>
                <w:szCs w:val="21"/>
                <w:highlight w:val="none"/>
              </w:rPr>
            </w:pPr>
          </w:p>
        </w:tc>
        <w:tc>
          <w:tcPr>
            <w:tcW w:w="7036" w:type="dxa"/>
            <w:tcBorders>
              <w:top w:val="single" w:color="auto" w:sz="4" w:space="0"/>
              <w:left w:val="single" w:color="auto" w:sz="4" w:space="0"/>
              <w:bottom w:val="single" w:color="auto" w:sz="4" w:space="0"/>
              <w:right w:val="single" w:color="auto" w:sz="4" w:space="0"/>
            </w:tcBorders>
            <w:noWrap/>
          </w:tcPr>
          <w:p w14:paraId="0042808B">
            <w:pPr>
              <w:snapToGrid w:val="0"/>
              <w:spacing w:line="360" w:lineRule="auto"/>
              <w:rPr>
                <w:rFonts w:hint="eastAsia" w:ascii="宋体" w:hAnsi="宋体" w:cs="宋体"/>
                <w:bCs/>
                <w:color w:val="auto"/>
                <w:highlight w:val="none"/>
              </w:rPr>
            </w:pPr>
            <w:r>
              <w:rPr>
                <w:rStyle w:val="214"/>
                <w:rFonts w:hint="eastAsia"/>
                <w:b/>
                <w:bCs/>
                <w:color w:val="auto"/>
                <w:highlight w:val="none"/>
                <w:lang w:val="en-US" w:eastAsia="zh-CN" w:bidi="ar"/>
              </w:rPr>
              <w:t>4</w:t>
            </w:r>
            <w:r>
              <w:rPr>
                <w:rStyle w:val="214"/>
                <w:rFonts w:hint="default"/>
                <w:b/>
                <w:bCs/>
                <w:color w:val="auto"/>
                <w:highlight w:val="none"/>
                <w:lang w:bidi="ar"/>
              </w:rPr>
              <w:t>、培训方案（</w:t>
            </w:r>
            <w:r>
              <w:rPr>
                <w:rStyle w:val="214"/>
                <w:rFonts w:hint="eastAsia"/>
                <w:b/>
                <w:bCs/>
                <w:color w:val="auto"/>
                <w:highlight w:val="none"/>
                <w:lang w:val="en-US" w:eastAsia="zh-CN" w:bidi="ar"/>
              </w:rPr>
              <w:t>5</w:t>
            </w:r>
            <w:r>
              <w:rPr>
                <w:rStyle w:val="214"/>
                <w:rFonts w:hint="default"/>
                <w:b/>
                <w:bCs/>
                <w:color w:val="auto"/>
                <w:highlight w:val="none"/>
                <w:lang w:bidi="ar"/>
              </w:rPr>
              <w:t>分）</w:t>
            </w:r>
            <w:bookmarkStart w:id="119" w:name="_Toc28772"/>
          </w:p>
          <w:p w14:paraId="5E099D04">
            <w:pPr>
              <w:spacing w:line="360" w:lineRule="auto"/>
              <w:ind w:firstLine="420" w:firstLineChars="200"/>
              <w:outlineLvl w:val="0"/>
              <w:rPr>
                <w:rFonts w:ascii="宋体" w:hAnsi="宋体" w:cs="宋体"/>
                <w:bCs/>
                <w:color w:val="auto"/>
                <w:highlight w:val="none"/>
              </w:rPr>
            </w:pPr>
            <w:r>
              <w:rPr>
                <w:rFonts w:hint="eastAsia" w:ascii="宋体" w:hAnsi="宋体" w:cs="宋体"/>
                <w:bCs/>
                <w:color w:val="auto"/>
                <w:highlight w:val="none"/>
              </w:rPr>
              <w:t>一档（</w:t>
            </w:r>
            <w:r>
              <w:rPr>
                <w:rFonts w:hint="eastAsia" w:ascii="宋体" w:hAnsi="宋体" w:cs="宋体"/>
                <w:bCs/>
                <w:color w:val="auto"/>
                <w:highlight w:val="none"/>
                <w:lang w:val="en-US" w:eastAsia="zh-CN"/>
              </w:rPr>
              <w:t>1</w:t>
            </w:r>
            <w:r>
              <w:rPr>
                <w:rFonts w:hint="eastAsia" w:ascii="宋体" w:hAnsi="宋体" w:cs="宋体"/>
                <w:bCs/>
                <w:color w:val="auto"/>
                <w:highlight w:val="none"/>
              </w:rPr>
              <w:t>分）：投标人提供的培训方案有培训时间和内容安排</w:t>
            </w:r>
            <w:r>
              <w:rPr>
                <w:rFonts w:hint="eastAsia" w:ascii="宋体" w:hAnsi="宋体" w:cs="宋体"/>
                <w:bCs/>
                <w:color w:val="auto"/>
                <w:highlight w:val="none"/>
                <w:lang w:eastAsia="zh-CN"/>
              </w:rPr>
              <w:t>，</w:t>
            </w:r>
            <w:r>
              <w:rPr>
                <w:rFonts w:hint="eastAsia" w:hAnsi="宋体"/>
                <w:color w:val="auto"/>
                <w:sz w:val="21"/>
                <w:highlight w:val="none"/>
                <w:lang w:val="en-US" w:eastAsia="zh-CN"/>
              </w:rPr>
              <w:t>能满足采购文件要求</w:t>
            </w:r>
            <w:r>
              <w:rPr>
                <w:rFonts w:hint="eastAsia" w:ascii="宋体" w:hAnsi="宋体" w:cs="宋体"/>
                <w:bCs/>
                <w:color w:val="auto"/>
                <w:highlight w:val="none"/>
              </w:rPr>
              <w:t>。</w:t>
            </w:r>
            <w:bookmarkEnd w:id="119"/>
          </w:p>
          <w:p w14:paraId="74375E81">
            <w:pPr>
              <w:spacing w:line="360" w:lineRule="auto"/>
              <w:ind w:firstLine="420" w:firstLineChars="200"/>
              <w:outlineLvl w:val="0"/>
              <w:rPr>
                <w:rFonts w:hint="eastAsia" w:ascii="宋体" w:hAnsi="宋体" w:cs="宋体"/>
                <w:bCs/>
                <w:color w:val="auto"/>
                <w:highlight w:val="none"/>
              </w:rPr>
            </w:pPr>
            <w:bookmarkStart w:id="120" w:name="_Toc1703"/>
            <w:r>
              <w:rPr>
                <w:rFonts w:hint="eastAsia" w:ascii="宋体" w:hAnsi="宋体" w:cs="宋体"/>
                <w:bCs/>
                <w:color w:val="auto"/>
                <w:highlight w:val="none"/>
              </w:rPr>
              <w:t>二档（</w:t>
            </w:r>
            <w:r>
              <w:rPr>
                <w:rFonts w:hint="eastAsia" w:ascii="宋体" w:hAnsi="宋体" w:cs="宋体"/>
                <w:bCs/>
                <w:color w:val="auto"/>
                <w:highlight w:val="none"/>
                <w:lang w:val="en-US" w:eastAsia="zh-CN"/>
              </w:rPr>
              <w:t>3</w:t>
            </w:r>
            <w:r>
              <w:rPr>
                <w:rFonts w:hint="eastAsia" w:ascii="宋体" w:hAnsi="宋体" w:cs="宋体"/>
                <w:bCs/>
                <w:color w:val="auto"/>
                <w:highlight w:val="none"/>
              </w:rPr>
              <w:t>分）：</w:t>
            </w:r>
            <w:r>
              <w:rPr>
                <w:rFonts w:hint="eastAsia" w:ascii="宋体" w:hAnsi="宋体" w:eastAsia="宋体" w:cs="宋体"/>
                <w:color w:val="auto"/>
                <w:kern w:val="0"/>
                <w:szCs w:val="21"/>
                <w:highlight w:val="none"/>
                <w:lang w:val="en-US" w:eastAsia="zh-CN" w:bidi="ar"/>
              </w:rPr>
              <w:t>满足一档的基础上</w:t>
            </w:r>
            <w:r>
              <w:rPr>
                <w:rFonts w:hint="eastAsia" w:ascii="宋体" w:hAnsi="宋体" w:eastAsia="宋体" w:cs="宋体"/>
                <w:color w:val="auto"/>
                <w:kern w:val="0"/>
                <w:szCs w:val="21"/>
                <w:highlight w:val="none"/>
                <w:lang w:bidi="ar"/>
              </w:rPr>
              <w:t>，提供</w:t>
            </w:r>
            <w:r>
              <w:rPr>
                <w:rFonts w:hint="eastAsia" w:ascii="宋体" w:hAnsi="宋体" w:eastAsia="宋体" w:cs="宋体"/>
                <w:color w:val="auto"/>
                <w:kern w:val="0"/>
                <w:szCs w:val="21"/>
                <w:highlight w:val="none"/>
                <w:lang w:eastAsia="zh-CN" w:bidi="ar"/>
              </w:rPr>
              <w:t>的</w:t>
            </w:r>
            <w:r>
              <w:rPr>
                <w:rFonts w:hint="eastAsia" w:ascii="宋体" w:hAnsi="宋体" w:eastAsia="宋体" w:cs="宋体"/>
                <w:color w:val="auto"/>
                <w:kern w:val="0"/>
                <w:szCs w:val="21"/>
                <w:highlight w:val="none"/>
                <w:lang w:val="en-US" w:eastAsia="zh-CN" w:bidi="ar"/>
              </w:rPr>
              <w:t>培训方案包含了</w:t>
            </w:r>
            <w:r>
              <w:rPr>
                <w:rFonts w:hint="eastAsia" w:ascii="宋体" w:hAnsi="宋体" w:cs="宋体"/>
                <w:bCs/>
                <w:color w:val="auto"/>
                <w:highlight w:val="none"/>
                <w:lang w:val="en-US" w:eastAsia="zh-CN"/>
              </w:rPr>
              <w:t>培训计划、培训流程等内容</w:t>
            </w:r>
            <w:r>
              <w:rPr>
                <w:rFonts w:hint="eastAsia" w:ascii="宋体" w:hAnsi="宋体" w:cs="宋体"/>
                <w:bCs/>
                <w:color w:val="auto"/>
                <w:highlight w:val="none"/>
              </w:rPr>
              <w:t>，</w:t>
            </w:r>
            <w:r>
              <w:rPr>
                <w:rFonts w:hint="eastAsia" w:ascii="宋体" w:hAnsi="宋体" w:cs="宋体"/>
                <w:bCs/>
                <w:color w:val="auto"/>
                <w:highlight w:val="none"/>
                <w:lang w:val="en-US" w:eastAsia="zh-CN"/>
              </w:rPr>
              <w:t>拟投入1名及以上培训讲师且具有相关项目经验，培训讲师从业年限不低于3年。(以投标人出具的承诺函或项目合同复印件为准)。</w:t>
            </w:r>
            <w:bookmarkEnd w:id="120"/>
          </w:p>
          <w:p w14:paraId="4FD74554">
            <w:pPr>
              <w:spacing w:line="360" w:lineRule="auto"/>
              <w:ind w:firstLine="420" w:firstLineChars="200"/>
              <w:outlineLvl w:val="0"/>
              <w:rPr>
                <w:rFonts w:hint="eastAsia" w:ascii="宋体" w:hAnsi="宋体" w:cs="宋体"/>
                <w:bCs/>
                <w:color w:val="auto"/>
                <w:highlight w:val="none"/>
                <w:lang w:val="en-US" w:eastAsia="zh-CN"/>
              </w:rPr>
            </w:pPr>
            <w:bookmarkStart w:id="121" w:name="_Toc16587"/>
            <w:r>
              <w:rPr>
                <w:rFonts w:hint="eastAsia" w:ascii="宋体" w:hAnsi="宋体" w:cs="宋体"/>
                <w:bCs/>
                <w:color w:val="auto"/>
                <w:highlight w:val="none"/>
              </w:rPr>
              <w:t>三档（</w:t>
            </w:r>
            <w:r>
              <w:rPr>
                <w:rFonts w:hint="eastAsia" w:ascii="宋体" w:hAnsi="宋体" w:cs="宋体"/>
                <w:bCs/>
                <w:color w:val="auto"/>
                <w:highlight w:val="none"/>
                <w:lang w:val="en-US" w:eastAsia="zh-CN"/>
              </w:rPr>
              <w:t>5</w:t>
            </w:r>
            <w:r>
              <w:rPr>
                <w:rFonts w:hint="eastAsia" w:ascii="宋体" w:hAnsi="宋体" w:cs="宋体"/>
                <w:bCs/>
                <w:color w:val="auto"/>
                <w:highlight w:val="none"/>
              </w:rPr>
              <w:t>分）：</w:t>
            </w:r>
            <w:r>
              <w:rPr>
                <w:rFonts w:hint="eastAsia" w:ascii="宋体" w:hAnsi="宋体" w:eastAsia="宋体" w:cs="宋体"/>
                <w:color w:val="auto"/>
                <w:kern w:val="0"/>
                <w:szCs w:val="21"/>
                <w:highlight w:val="none"/>
                <w:lang w:val="en-US" w:eastAsia="zh-CN" w:bidi="ar"/>
              </w:rPr>
              <w:t>满足二档的基础上</w:t>
            </w:r>
            <w:r>
              <w:rPr>
                <w:rFonts w:hint="eastAsia" w:ascii="宋体" w:hAnsi="宋体" w:eastAsia="宋体" w:cs="宋体"/>
                <w:color w:val="auto"/>
                <w:kern w:val="0"/>
                <w:szCs w:val="21"/>
                <w:highlight w:val="none"/>
                <w:lang w:bidi="ar"/>
              </w:rPr>
              <w:t>，针对采购需求特点定制培训方案、并制定培训计划表，</w:t>
            </w:r>
            <w:r>
              <w:rPr>
                <w:rFonts w:hint="eastAsia" w:ascii="宋体" w:hAnsi="宋体" w:eastAsia="宋体" w:cs="宋体"/>
                <w:bCs/>
                <w:color w:val="auto"/>
                <w:kern w:val="2"/>
                <w:sz w:val="21"/>
                <w:szCs w:val="21"/>
                <w:highlight w:val="none"/>
                <w:lang w:val="en-US" w:eastAsia="zh-CN" w:bidi="ar-SA"/>
              </w:rPr>
              <w:t>有明确的课程及培训内容安排（包含但不限于技术培训计划</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培训</w:t>
            </w:r>
            <w:r>
              <w:rPr>
                <w:rFonts w:hint="eastAsia" w:ascii="宋体" w:hAnsi="宋体" w:eastAsia="宋体" w:cs="宋体"/>
                <w:color w:val="auto"/>
                <w:kern w:val="0"/>
                <w:szCs w:val="21"/>
                <w:highlight w:val="none"/>
                <w:lang w:val="en-US" w:eastAsia="zh-CN" w:bidi="ar"/>
              </w:rPr>
              <w:t>内容</w:t>
            </w:r>
            <w:r>
              <w:rPr>
                <w:rFonts w:hint="eastAsia" w:ascii="宋体" w:hAnsi="宋体" w:eastAsia="宋体" w:cs="宋体"/>
                <w:color w:val="auto"/>
                <w:kern w:val="0"/>
                <w:szCs w:val="21"/>
                <w:highlight w:val="none"/>
                <w:lang w:bidi="ar"/>
              </w:rPr>
              <w:t>、培训效果等</w:t>
            </w:r>
            <w:r>
              <w:rPr>
                <w:rFonts w:hint="eastAsia" w:ascii="宋体" w:hAnsi="宋体" w:eastAsia="宋体" w:cs="宋体"/>
                <w:bCs/>
                <w:color w:val="auto"/>
                <w:kern w:val="2"/>
                <w:sz w:val="21"/>
                <w:szCs w:val="21"/>
                <w:highlight w:val="none"/>
                <w:lang w:val="en-US" w:eastAsia="zh-CN" w:bidi="ar-SA"/>
              </w:rPr>
              <w:t>）</w:t>
            </w:r>
            <w:r>
              <w:rPr>
                <w:rFonts w:hint="eastAsia" w:ascii="宋体" w:hAnsi="宋体" w:cs="宋体"/>
                <w:bCs/>
                <w:color w:val="auto"/>
                <w:highlight w:val="none"/>
              </w:rPr>
              <w:t>，</w:t>
            </w:r>
            <w:r>
              <w:rPr>
                <w:rFonts w:hint="eastAsia" w:ascii="宋体" w:hAnsi="宋体" w:eastAsia="宋体" w:cs="宋体"/>
                <w:bCs/>
                <w:color w:val="auto"/>
                <w:kern w:val="2"/>
                <w:sz w:val="21"/>
                <w:szCs w:val="21"/>
                <w:highlight w:val="none"/>
                <w:lang w:val="en-US" w:eastAsia="zh-CN" w:bidi="ar-SA"/>
              </w:rPr>
              <w:t>对系统的操作过程中注意事项有指引，</w:t>
            </w:r>
            <w:r>
              <w:rPr>
                <w:rFonts w:hint="eastAsia" w:ascii="宋体" w:hAnsi="宋体" w:cs="宋体"/>
                <w:bCs/>
                <w:color w:val="auto"/>
                <w:highlight w:val="none"/>
                <w:lang w:val="en-US" w:eastAsia="zh-CN"/>
              </w:rPr>
              <w:t>培训方式能结合线上线下，拟投入2名及以上培训讲师且具有相关项目经验，培训讲师从业年限不低于5年。(以投标人出具的承诺函或项目合同复印件为准)。</w:t>
            </w:r>
            <w:bookmarkEnd w:id="121"/>
          </w:p>
          <w:p w14:paraId="4537E258">
            <w:pPr>
              <w:widowControl/>
              <w:snapToGrid w:val="0"/>
              <w:spacing w:line="360" w:lineRule="auto"/>
              <w:ind w:firstLine="420" w:firstLineChars="200"/>
              <w:rPr>
                <w:rStyle w:val="214"/>
                <w:rFonts w:hint="default"/>
                <w:color w:val="auto"/>
                <w:highlight w:val="none"/>
                <w:lang w:bidi="ar"/>
              </w:rPr>
            </w:pPr>
            <w:r>
              <w:rPr>
                <w:rFonts w:hint="eastAsia" w:ascii="宋体" w:hAnsi="宋体" w:eastAsia="宋体" w:cs="宋体"/>
                <w:bCs/>
                <w:color w:val="auto"/>
                <w:kern w:val="2"/>
                <w:sz w:val="21"/>
                <w:szCs w:val="21"/>
                <w:highlight w:val="none"/>
                <w:lang w:val="en-US" w:eastAsia="zh-CN" w:bidi="ar-SA"/>
              </w:rPr>
              <w:t>注：未提供方案的或经评委评审所提供的方案内容未达一档标准的，得0分。</w:t>
            </w:r>
          </w:p>
        </w:tc>
      </w:tr>
      <w:tr w14:paraId="398C7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71" w:type="dxa"/>
            <w:vMerge w:val="restart"/>
            <w:tcBorders>
              <w:top w:val="single" w:color="auto" w:sz="4" w:space="0"/>
              <w:left w:val="single" w:color="auto" w:sz="4" w:space="0"/>
              <w:right w:val="single" w:color="auto" w:sz="4" w:space="0"/>
            </w:tcBorders>
            <w:noWrap/>
            <w:vAlign w:val="center"/>
          </w:tcPr>
          <w:p w14:paraId="73AC5290">
            <w:pPr>
              <w:jc w:val="center"/>
              <w:rPr>
                <w:rFonts w:hint="eastAsia" w:eastAsia="宋体"/>
                <w:color w:val="auto"/>
                <w:highlight w:val="none"/>
                <w:lang w:eastAsia="zh-CN"/>
              </w:rPr>
            </w:pPr>
            <w:r>
              <w:rPr>
                <w:rFonts w:hint="eastAsia"/>
                <w:color w:val="auto"/>
                <w:highlight w:val="none"/>
                <w:lang w:val="en-US" w:eastAsia="zh-CN"/>
              </w:rPr>
              <w:t>2</w:t>
            </w:r>
          </w:p>
        </w:tc>
        <w:tc>
          <w:tcPr>
            <w:tcW w:w="1134" w:type="dxa"/>
            <w:vMerge w:val="restart"/>
            <w:tcBorders>
              <w:top w:val="single" w:color="auto" w:sz="4" w:space="0"/>
              <w:left w:val="single" w:color="auto" w:sz="4" w:space="0"/>
              <w:right w:val="single" w:color="auto" w:sz="4" w:space="0"/>
            </w:tcBorders>
            <w:noWrap/>
            <w:vAlign w:val="center"/>
          </w:tcPr>
          <w:p w14:paraId="521C971A">
            <w:pPr>
              <w:spacing w:line="360" w:lineRule="auto"/>
              <w:jc w:val="center"/>
              <w:rPr>
                <w:rFonts w:hint="eastAsia" w:ascii="宋体" w:hAnsi="宋体" w:cs="宋体"/>
                <w:bCs/>
                <w:color w:val="auto"/>
                <w:szCs w:val="21"/>
                <w:highlight w:val="none"/>
              </w:rPr>
            </w:pPr>
            <w:r>
              <w:rPr>
                <w:rFonts w:hint="eastAsia" w:ascii="宋体" w:hAnsi="宋体" w:cs="宋体"/>
                <w:b/>
                <w:color w:val="auto"/>
                <w:szCs w:val="21"/>
                <w:highlight w:val="none"/>
              </w:rPr>
              <w:t>商务分（</w:t>
            </w:r>
            <w:r>
              <w:rPr>
                <w:rFonts w:hint="eastAsia" w:ascii="宋体" w:hAnsi="宋体" w:cs="宋体"/>
                <w:b/>
                <w:color w:val="auto"/>
                <w:szCs w:val="21"/>
                <w:highlight w:val="none"/>
                <w:lang w:val="en-US" w:eastAsia="zh-CN"/>
              </w:rPr>
              <w:t>14</w:t>
            </w:r>
            <w:r>
              <w:rPr>
                <w:rFonts w:hint="eastAsia" w:ascii="宋体" w:hAnsi="宋体" w:cs="宋体"/>
                <w:b/>
                <w:color w:val="auto"/>
                <w:szCs w:val="21"/>
                <w:highlight w:val="none"/>
              </w:rPr>
              <w:t>分）</w:t>
            </w:r>
          </w:p>
        </w:tc>
        <w:tc>
          <w:tcPr>
            <w:tcW w:w="7036" w:type="dxa"/>
            <w:tcBorders>
              <w:top w:val="single" w:color="auto" w:sz="4" w:space="0"/>
              <w:left w:val="single" w:color="auto" w:sz="4" w:space="0"/>
              <w:right w:val="single" w:color="auto" w:sz="4" w:space="0"/>
            </w:tcBorders>
            <w:noWrap/>
            <w:vAlign w:val="center"/>
          </w:tcPr>
          <w:p w14:paraId="0869AC38">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服务团队实力</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分）</w:t>
            </w:r>
          </w:p>
          <w:p w14:paraId="2F917C1C">
            <w:pPr>
              <w:pStyle w:val="21"/>
              <w:spacing w:after="0" w:afterLines="0" w:line="360" w:lineRule="auto"/>
              <w:ind w:left="0" w:leftChars="0" w:firstLine="420" w:firstLineChars="200"/>
              <w:rPr>
                <w:rFonts w:hint="eastAsia"/>
                <w:color w:val="auto"/>
                <w:highlight w:val="none"/>
                <w:lang w:val="en-US" w:eastAsia="zh-CN"/>
              </w:rPr>
            </w:pPr>
            <w:r>
              <w:rPr>
                <w:rFonts w:hint="eastAsia"/>
                <w:color w:val="auto"/>
                <w:highlight w:val="none"/>
                <w:lang w:val="en-US" w:eastAsia="zh-CN"/>
              </w:rPr>
              <w:t>（1）拟投入本项目的项目经理应具有气象/生态环境等相关领域高级职称及3年以上（含3年）相关工作经验的得1分。</w:t>
            </w:r>
          </w:p>
          <w:p w14:paraId="4244CF76">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（2）其他人员（本项满分3分）：</w:t>
            </w:r>
          </w:p>
          <w:p w14:paraId="5481D0F6">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一档（1分）：拟投入本项目的技术人员（除项目经理外）至少5人具有1年以上（含1年）相关工作经验的（工作经验以投标人出具的工作年限证明或项目合同复印件为准），得1分；</w:t>
            </w:r>
          </w:p>
          <w:p w14:paraId="2014F25F">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color w:val="auto"/>
                <w:highlight w:val="none"/>
                <w:lang w:val="en-US" w:eastAsia="zh-CN"/>
              </w:rPr>
              <w:t>二档（3分）：拟投入本项目的技术人员（除项目经理外）至少8人具有气象/生态环境等相关领域中级以上（含中级）职称及2年以上（含2年）气象相关工作经验的（工作经验以投标人出具的工作年限证明或项目合同复印件为准），得3分。</w:t>
            </w:r>
          </w:p>
          <w:p w14:paraId="223999D6">
            <w:pPr>
              <w:widowControl/>
              <w:snapToGrid w:val="0"/>
              <w:spacing w:line="360" w:lineRule="auto"/>
              <w:ind w:firstLine="420" w:firstLineChars="200"/>
              <w:rPr>
                <w:rFonts w:hint="eastAsia" w:ascii="宋体" w:hAnsi="宋体"/>
                <w:color w:val="auto"/>
                <w:szCs w:val="21"/>
                <w:highlight w:val="none"/>
              </w:rPr>
            </w:pPr>
            <w:r>
              <w:rPr>
                <w:rFonts w:hint="eastAsia" w:ascii="宋体" w:hAnsi="宋体" w:eastAsia="宋体" w:cs="宋体"/>
                <w:color w:val="auto"/>
                <w:sz w:val="21"/>
                <w:szCs w:val="21"/>
                <w:highlight w:val="none"/>
                <w:lang w:val="en-US" w:eastAsia="zh-CN"/>
              </w:rPr>
              <w:t>注：提供</w:t>
            </w:r>
            <w:r>
              <w:rPr>
                <w:rFonts w:hint="eastAsia" w:ascii="宋体" w:hAnsi="宋体" w:cs="宋体"/>
                <w:color w:val="auto"/>
                <w:sz w:val="21"/>
                <w:szCs w:val="21"/>
                <w:highlight w:val="none"/>
                <w:lang w:val="en-US" w:eastAsia="zh-CN"/>
              </w:rPr>
              <w:t>拟投入人员</w:t>
            </w:r>
            <w:r>
              <w:rPr>
                <w:rFonts w:hint="eastAsia" w:ascii="宋体" w:hAnsi="宋体" w:eastAsia="宋体" w:cs="宋体"/>
                <w:color w:val="auto"/>
                <w:sz w:val="21"/>
                <w:szCs w:val="21"/>
                <w:highlight w:val="none"/>
                <w:lang w:val="en-US" w:eastAsia="zh-CN"/>
              </w:rPr>
              <w:t>身份证、</w:t>
            </w:r>
            <w:r>
              <w:rPr>
                <w:rFonts w:hint="eastAsia" w:ascii="宋体" w:hAnsi="宋体" w:cs="宋体"/>
                <w:color w:val="auto"/>
                <w:sz w:val="21"/>
                <w:szCs w:val="21"/>
                <w:highlight w:val="none"/>
                <w:lang w:val="en-US" w:eastAsia="zh-CN"/>
              </w:rPr>
              <w:t>职称</w:t>
            </w:r>
            <w:r>
              <w:rPr>
                <w:rFonts w:hint="eastAsia" w:ascii="宋体" w:hAnsi="宋体" w:eastAsia="宋体" w:cs="宋体"/>
                <w:color w:val="auto"/>
                <w:sz w:val="21"/>
                <w:szCs w:val="21"/>
                <w:highlight w:val="none"/>
                <w:lang w:val="en-US" w:eastAsia="zh-CN"/>
              </w:rPr>
              <w:t>证书、</w:t>
            </w: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为其缴纳的</w:t>
            </w:r>
            <w:r>
              <w:rPr>
                <w:rFonts w:hint="eastAsia" w:ascii="宋体" w:hAnsi="宋体" w:cs="宋体"/>
                <w:color w:val="auto"/>
                <w:sz w:val="21"/>
                <w:szCs w:val="21"/>
                <w:highlight w:val="none"/>
                <w:lang w:val="en-US" w:eastAsia="zh-CN"/>
              </w:rPr>
              <w:t>投标</w:t>
            </w:r>
            <w:bookmarkStart w:id="215" w:name="_GoBack"/>
            <w:bookmarkEnd w:id="215"/>
            <w:r>
              <w:rPr>
                <w:rFonts w:hint="eastAsia" w:ascii="宋体" w:hAnsi="宋体" w:eastAsia="宋体" w:cs="宋体"/>
                <w:color w:val="auto"/>
                <w:sz w:val="21"/>
                <w:szCs w:val="21"/>
                <w:highlight w:val="none"/>
                <w:lang w:val="en-US" w:eastAsia="zh-CN"/>
              </w:rPr>
              <w:t>文件递交截止时间前半年内任意1个月社保缴纳证明或劳动合同的扫描件加盖公章，未提供不得分。</w:t>
            </w:r>
          </w:p>
        </w:tc>
      </w:tr>
      <w:tr w14:paraId="70E1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71" w:type="dxa"/>
            <w:vMerge w:val="continue"/>
            <w:tcBorders>
              <w:left w:val="single" w:color="auto" w:sz="4" w:space="0"/>
              <w:right w:val="single" w:color="auto" w:sz="4" w:space="0"/>
            </w:tcBorders>
            <w:noWrap/>
            <w:vAlign w:val="center"/>
          </w:tcPr>
          <w:p w14:paraId="54D62E56">
            <w:pPr>
              <w:pStyle w:val="27"/>
              <w:spacing w:line="360" w:lineRule="auto"/>
              <w:jc w:val="center"/>
              <w:outlineLvl w:val="0"/>
              <w:rPr>
                <w:rFonts w:hint="eastAsia" w:hAnsi="宋体" w:cs="宋体"/>
                <w:color w:val="auto"/>
                <w:highlight w:val="none"/>
              </w:rPr>
            </w:pPr>
          </w:p>
        </w:tc>
        <w:tc>
          <w:tcPr>
            <w:tcW w:w="1134" w:type="dxa"/>
            <w:vMerge w:val="continue"/>
            <w:tcBorders>
              <w:left w:val="single" w:color="auto" w:sz="4" w:space="0"/>
              <w:right w:val="single" w:color="auto" w:sz="4" w:space="0"/>
            </w:tcBorders>
            <w:noWrap/>
            <w:vAlign w:val="center"/>
          </w:tcPr>
          <w:p w14:paraId="0AF00682">
            <w:pPr>
              <w:spacing w:line="360" w:lineRule="auto"/>
              <w:jc w:val="center"/>
              <w:rPr>
                <w:rFonts w:hint="eastAsia" w:ascii="宋体" w:hAnsi="宋体" w:cs="宋体"/>
                <w:b/>
                <w:color w:val="auto"/>
                <w:szCs w:val="21"/>
                <w:highlight w:val="none"/>
              </w:rPr>
            </w:pPr>
          </w:p>
        </w:tc>
        <w:tc>
          <w:tcPr>
            <w:tcW w:w="7036" w:type="dxa"/>
            <w:tcBorders>
              <w:top w:val="single" w:color="auto" w:sz="4" w:space="0"/>
              <w:left w:val="single" w:color="auto" w:sz="4" w:space="0"/>
              <w:right w:val="single" w:color="auto" w:sz="4" w:space="0"/>
            </w:tcBorders>
            <w:noWrap/>
          </w:tcPr>
          <w:p w14:paraId="65245D54">
            <w:pPr>
              <w:spacing w:after="0" w:line="360" w:lineRule="auto"/>
              <w:ind w:left="0" w:leftChars="0" w:firstLine="0" w:firstLineChars="0"/>
              <w:rPr>
                <w:rFonts w:hint="eastAsia" w:ascii="宋体" w:hAnsi="宋体" w:cs="Arial"/>
                <w:b/>
                <w:bCs/>
                <w:color w:val="auto"/>
                <w:szCs w:val="21"/>
                <w:highlight w:val="none"/>
              </w:rPr>
            </w:pPr>
            <w:r>
              <w:rPr>
                <w:rFonts w:hint="eastAsia" w:ascii="宋体" w:hAnsi="宋体" w:cs="Arial"/>
                <w:b/>
                <w:bCs/>
                <w:color w:val="auto"/>
                <w:szCs w:val="21"/>
                <w:highlight w:val="none"/>
                <w:lang w:val="en-US" w:eastAsia="zh-CN"/>
              </w:rPr>
              <w:t>2</w:t>
            </w:r>
            <w:r>
              <w:rPr>
                <w:rFonts w:hint="eastAsia" w:ascii="宋体" w:hAnsi="宋体" w:cs="Arial"/>
                <w:b/>
                <w:bCs/>
                <w:color w:val="auto"/>
                <w:szCs w:val="21"/>
                <w:highlight w:val="none"/>
              </w:rPr>
              <w:t>、</w:t>
            </w:r>
            <w:r>
              <w:rPr>
                <w:rFonts w:hint="eastAsia" w:ascii="宋体" w:hAnsi="宋体" w:cs="Arial"/>
                <w:b/>
                <w:bCs/>
                <w:color w:val="auto"/>
                <w:szCs w:val="21"/>
                <w:highlight w:val="none"/>
                <w:lang w:val="en-US" w:eastAsia="zh-CN"/>
              </w:rPr>
              <w:t>企业信誉</w:t>
            </w:r>
            <w:r>
              <w:rPr>
                <w:rFonts w:hint="eastAsia" w:ascii="宋体" w:hAnsi="宋体" w:cs="Arial"/>
                <w:b/>
                <w:bCs/>
                <w:color w:val="auto"/>
                <w:szCs w:val="21"/>
                <w:highlight w:val="none"/>
              </w:rPr>
              <w:t>（</w:t>
            </w:r>
            <w:r>
              <w:rPr>
                <w:rFonts w:hint="eastAsia" w:ascii="宋体" w:hAnsi="宋体" w:cs="Arial"/>
                <w:b/>
                <w:bCs/>
                <w:color w:val="auto"/>
                <w:szCs w:val="21"/>
                <w:highlight w:val="none"/>
                <w:lang w:val="en-US" w:eastAsia="zh-CN"/>
              </w:rPr>
              <w:t>3</w:t>
            </w:r>
            <w:r>
              <w:rPr>
                <w:rFonts w:hint="eastAsia" w:ascii="宋体" w:hAnsi="宋体" w:cs="Arial"/>
                <w:b/>
                <w:bCs/>
                <w:color w:val="auto"/>
                <w:szCs w:val="21"/>
                <w:highlight w:val="none"/>
              </w:rPr>
              <w:t>分）</w:t>
            </w:r>
          </w:p>
          <w:p w14:paraId="358C6478">
            <w:pPr>
              <w:spacing w:line="360" w:lineRule="auto"/>
              <w:rPr>
                <w:color w:val="auto"/>
                <w:highlight w:val="none"/>
              </w:rPr>
            </w:pPr>
            <w:r>
              <w:rPr>
                <w:rFonts w:hint="eastAsia"/>
                <w:color w:val="auto"/>
                <w:highlight w:val="none"/>
                <w:lang w:val="en-US" w:eastAsia="zh-CN"/>
              </w:rPr>
              <w:t>投标人</w:t>
            </w:r>
            <w:r>
              <w:rPr>
                <w:rFonts w:hint="eastAsia"/>
                <w:color w:val="auto"/>
                <w:highlight w:val="none"/>
              </w:rPr>
              <w:t>具有</w:t>
            </w:r>
            <w:r>
              <w:rPr>
                <w:rFonts w:hint="eastAsia"/>
                <w:bCs/>
                <w:color w:val="auto"/>
                <w:highlight w:val="none"/>
              </w:rPr>
              <w:t>质量管理体系ISO9001认证证书、</w:t>
            </w:r>
            <w:r>
              <w:rPr>
                <w:rFonts w:hint="eastAsia"/>
                <w:color w:val="auto"/>
                <w:highlight w:val="none"/>
              </w:rPr>
              <w:t>信息技术服务管理体系ISO20000认证证书、信息安全管理体系ISO27001认证证书，每个得</w:t>
            </w:r>
            <w:r>
              <w:rPr>
                <w:rFonts w:hint="eastAsia"/>
                <w:color w:val="auto"/>
                <w:highlight w:val="none"/>
                <w:lang w:val="en-US" w:eastAsia="zh-CN"/>
              </w:rPr>
              <w:t>1</w:t>
            </w:r>
            <w:r>
              <w:rPr>
                <w:rFonts w:hint="eastAsia"/>
                <w:color w:val="auto"/>
                <w:highlight w:val="none"/>
              </w:rPr>
              <w:t>分，满分</w:t>
            </w:r>
            <w:r>
              <w:rPr>
                <w:rFonts w:hint="eastAsia"/>
                <w:color w:val="auto"/>
                <w:highlight w:val="none"/>
                <w:lang w:val="en-US" w:eastAsia="zh-CN"/>
              </w:rPr>
              <w:t>3</w:t>
            </w:r>
            <w:r>
              <w:rPr>
                <w:rFonts w:hint="eastAsia"/>
                <w:color w:val="auto"/>
                <w:highlight w:val="none"/>
              </w:rPr>
              <w:t>分。（在</w:t>
            </w:r>
            <w:r>
              <w:rPr>
                <w:rFonts w:hint="eastAsia"/>
                <w:color w:val="auto"/>
                <w:highlight w:val="none"/>
                <w:lang w:val="en-US" w:eastAsia="zh-CN"/>
              </w:rPr>
              <w:t>投标</w:t>
            </w:r>
            <w:r>
              <w:rPr>
                <w:rFonts w:hint="eastAsia"/>
                <w:color w:val="auto"/>
                <w:highlight w:val="none"/>
              </w:rPr>
              <w:t>文件中提供上述有效期内的证书复印件）</w:t>
            </w:r>
          </w:p>
        </w:tc>
      </w:tr>
      <w:tr w14:paraId="700CF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671" w:type="dxa"/>
            <w:vMerge w:val="continue"/>
            <w:tcBorders>
              <w:left w:val="single" w:color="auto" w:sz="4" w:space="0"/>
              <w:right w:val="single" w:color="auto" w:sz="4" w:space="0"/>
            </w:tcBorders>
            <w:noWrap/>
            <w:vAlign w:val="center"/>
          </w:tcPr>
          <w:p w14:paraId="1C2C31E0">
            <w:pPr>
              <w:pStyle w:val="27"/>
              <w:spacing w:line="360" w:lineRule="auto"/>
              <w:jc w:val="center"/>
              <w:outlineLvl w:val="0"/>
              <w:rPr>
                <w:rFonts w:hint="eastAsia" w:hAnsi="宋体" w:cs="宋体"/>
                <w:color w:val="auto"/>
                <w:highlight w:val="none"/>
              </w:rPr>
            </w:pPr>
          </w:p>
        </w:tc>
        <w:tc>
          <w:tcPr>
            <w:tcW w:w="1134" w:type="dxa"/>
            <w:vMerge w:val="continue"/>
            <w:tcBorders>
              <w:left w:val="single" w:color="auto" w:sz="4" w:space="0"/>
              <w:right w:val="single" w:color="auto" w:sz="4" w:space="0"/>
            </w:tcBorders>
            <w:noWrap/>
            <w:vAlign w:val="center"/>
          </w:tcPr>
          <w:p w14:paraId="1FDE3645">
            <w:pPr>
              <w:spacing w:line="360" w:lineRule="auto"/>
              <w:jc w:val="center"/>
              <w:rPr>
                <w:rFonts w:hint="eastAsia" w:ascii="宋体" w:hAnsi="宋体" w:cs="宋体"/>
                <w:b/>
                <w:color w:val="auto"/>
                <w:szCs w:val="21"/>
                <w:highlight w:val="none"/>
              </w:rPr>
            </w:pPr>
          </w:p>
        </w:tc>
        <w:tc>
          <w:tcPr>
            <w:tcW w:w="7036" w:type="dxa"/>
            <w:tcBorders>
              <w:top w:val="single" w:color="auto" w:sz="4" w:space="0"/>
              <w:left w:val="single" w:color="auto" w:sz="4" w:space="0"/>
              <w:bottom w:val="single" w:color="auto" w:sz="4" w:space="0"/>
              <w:right w:val="single" w:color="auto" w:sz="4" w:space="0"/>
            </w:tcBorders>
            <w:noWrap/>
            <w:vAlign w:val="center"/>
          </w:tcPr>
          <w:p w14:paraId="5A6FBFB2">
            <w:pPr>
              <w:pStyle w:val="21"/>
              <w:spacing w:after="0" w:line="360" w:lineRule="auto"/>
              <w:ind w:left="0" w:leftChars="0" w:firstLine="0" w:firstLineChars="0"/>
              <w:rPr>
                <w:rFonts w:hint="eastAsia" w:ascii="宋体" w:hAnsi="宋体"/>
                <w:b/>
                <w:bCs/>
                <w:color w:val="auto"/>
                <w:szCs w:val="21"/>
                <w:highlight w:val="none"/>
              </w:rPr>
            </w:pPr>
            <w:r>
              <w:rPr>
                <w:rFonts w:hint="eastAsia" w:ascii="宋体" w:hAnsi="宋体"/>
                <w:b/>
                <w:bCs/>
                <w:color w:val="auto"/>
                <w:szCs w:val="21"/>
                <w:highlight w:val="none"/>
                <w:lang w:val="en-US" w:eastAsia="zh-CN"/>
              </w:rPr>
              <w:t>3</w:t>
            </w:r>
            <w:r>
              <w:rPr>
                <w:rFonts w:hint="eastAsia" w:ascii="宋体" w:hAnsi="宋体"/>
                <w:b/>
                <w:bCs/>
                <w:color w:val="auto"/>
                <w:szCs w:val="21"/>
                <w:highlight w:val="none"/>
              </w:rPr>
              <w:t>、业绩（5分）：</w:t>
            </w:r>
          </w:p>
          <w:p w14:paraId="0D90B43E">
            <w:pPr>
              <w:pStyle w:val="21"/>
              <w:spacing w:after="0" w:line="360" w:lineRule="auto"/>
              <w:ind w:left="0" w:leftChars="0"/>
              <w:rPr>
                <w:color w:val="auto"/>
                <w:highlight w:val="none"/>
              </w:rPr>
            </w:pPr>
            <w:r>
              <w:rPr>
                <w:rFonts w:hint="eastAsia"/>
                <w:color w:val="auto"/>
                <w:highlight w:val="none"/>
              </w:rPr>
              <w:t>投标人自</w:t>
            </w:r>
            <w:r>
              <w:rPr>
                <w:color w:val="auto"/>
                <w:highlight w:val="none"/>
              </w:rPr>
              <w:t>202</w:t>
            </w:r>
            <w:r>
              <w:rPr>
                <w:rFonts w:hint="eastAsia"/>
                <w:color w:val="auto"/>
                <w:highlight w:val="none"/>
                <w:lang w:val="en-US" w:eastAsia="zh-CN"/>
              </w:rPr>
              <w:t>3</w:t>
            </w:r>
            <w:r>
              <w:rPr>
                <w:rFonts w:hint="eastAsia"/>
                <w:color w:val="auto"/>
                <w:highlight w:val="none"/>
              </w:rPr>
              <w:t>年</w:t>
            </w:r>
            <w:r>
              <w:rPr>
                <w:color w:val="auto"/>
                <w:highlight w:val="none"/>
              </w:rPr>
              <w:t>1</w:t>
            </w:r>
            <w:r>
              <w:rPr>
                <w:rFonts w:hint="eastAsia"/>
                <w:color w:val="auto"/>
                <w:highlight w:val="none"/>
              </w:rPr>
              <w:t>月</w:t>
            </w:r>
            <w:r>
              <w:rPr>
                <w:color w:val="auto"/>
                <w:highlight w:val="none"/>
              </w:rPr>
              <w:t>1</w:t>
            </w:r>
            <w:r>
              <w:rPr>
                <w:rFonts w:hint="eastAsia"/>
                <w:color w:val="auto"/>
                <w:highlight w:val="none"/>
              </w:rPr>
              <w:t>日以来至投标文件递交截止日期止，承接过气象</w:t>
            </w:r>
            <w:r>
              <w:rPr>
                <w:rFonts w:hint="eastAsia"/>
                <w:color w:val="auto"/>
                <w:highlight w:val="none"/>
                <w:lang w:val="en-US" w:eastAsia="zh-CN"/>
              </w:rPr>
              <w:t>设备</w:t>
            </w:r>
            <w:r>
              <w:rPr>
                <w:rFonts w:hint="eastAsia"/>
                <w:color w:val="auto"/>
                <w:highlight w:val="none"/>
              </w:rPr>
              <w:t>相关集成类</w:t>
            </w:r>
            <w:r>
              <w:rPr>
                <w:rFonts w:hint="eastAsia"/>
                <w:color w:val="auto"/>
                <w:highlight w:val="none"/>
                <w:lang w:val="en-US" w:eastAsia="zh-CN"/>
              </w:rPr>
              <w:t>等</w:t>
            </w:r>
            <w:r>
              <w:rPr>
                <w:rFonts w:hint="eastAsia"/>
                <w:color w:val="auto"/>
                <w:highlight w:val="none"/>
              </w:rPr>
              <w:t>项目</w:t>
            </w:r>
            <w:r>
              <w:rPr>
                <w:rFonts w:hint="eastAsia" w:ascii="宋体" w:hAnsi="宋体" w:eastAsia="宋体" w:cs="宋体"/>
                <w:color w:val="auto"/>
                <w:sz w:val="21"/>
                <w:szCs w:val="21"/>
                <w:highlight w:val="none"/>
              </w:rPr>
              <w:t>业绩的</w:t>
            </w:r>
            <w:r>
              <w:rPr>
                <w:rFonts w:hint="eastAsia"/>
                <w:color w:val="auto"/>
                <w:highlight w:val="none"/>
              </w:rPr>
              <w:t>，每提供</w:t>
            </w:r>
            <w:r>
              <w:rPr>
                <w:color w:val="auto"/>
                <w:highlight w:val="none"/>
              </w:rPr>
              <w:t>1</w:t>
            </w:r>
            <w:r>
              <w:rPr>
                <w:rFonts w:hint="eastAsia"/>
                <w:color w:val="auto"/>
                <w:highlight w:val="none"/>
              </w:rPr>
              <w:t>个得</w:t>
            </w:r>
            <w:r>
              <w:rPr>
                <w:color w:val="auto"/>
                <w:highlight w:val="none"/>
              </w:rPr>
              <w:t>1</w:t>
            </w:r>
            <w:r>
              <w:rPr>
                <w:rFonts w:hint="eastAsia"/>
                <w:color w:val="auto"/>
                <w:highlight w:val="none"/>
              </w:rPr>
              <w:t>分，最多得</w:t>
            </w:r>
            <w:r>
              <w:rPr>
                <w:color w:val="auto"/>
                <w:highlight w:val="none"/>
              </w:rPr>
              <w:t>5</w:t>
            </w:r>
            <w:r>
              <w:rPr>
                <w:rFonts w:hint="eastAsia"/>
                <w:color w:val="auto"/>
                <w:highlight w:val="none"/>
              </w:rPr>
              <w:t>分。（须提供有效的合同或中标</w:t>
            </w:r>
            <w:r>
              <w:rPr>
                <w:color w:val="auto"/>
                <w:highlight w:val="none"/>
              </w:rPr>
              <w:t>/</w:t>
            </w:r>
            <w:r>
              <w:rPr>
                <w:rFonts w:hint="eastAsia"/>
                <w:color w:val="auto"/>
                <w:highlight w:val="none"/>
              </w:rPr>
              <w:t>成交通知书复印件作为证明材料，未提供不得分）</w:t>
            </w:r>
          </w:p>
        </w:tc>
      </w:tr>
      <w:tr w14:paraId="2E70A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671" w:type="dxa"/>
            <w:vMerge w:val="continue"/>
            <w:tcBorders>
              <w:left w:val="single" w:color="auto" w:sz="4" w:space="0"/>
              <w:right w:val="single" w:color="auto" w:sz="4" w:space="0"/>
            </w:tcBorders>
            <w:noWrap/>
            <w:vAlign w:val="center"/>
          </w:tcPr>
          <w:p w14:paraId="4EA93A0C">
            <w:pPr>
              <w:pStyle w:val="27"/>
              <w:spacing w:line="360" w:lineRule="auto"/>
              <w:jc w:val="center"/>
              <w:outlineLvl w:val="0"/>
              <w:rPr>
                <w:rFonts w:hint="eastAsia" w:hAnsi="宋体" w:cs="宋体"/>
                <w:color w:val="auto"/>
                <w:highlight w:val="none"/>
              </w:rPr>
            </w:pPr>
          </w:p>
        </w:tc>
        <w:tc>
          <w:tcPr>
            <w:tcW w:w="1134" w:type="dxa"/>
            <w:vMerge w:val="continue"/>
            <w:tcBorders>
              <w:left w:val="single" w:color="auto" w:sz="4" w:space="0"/>
              <w:right w:val="single" w:color="auto" w:sz="4" w:space="0"/>
            </w:tcBorders>
            <w:noWrap/>
            <w:vAlign w:val="center"/>
          </w:tcPr>
          <w:p w14:paraId="4ECA5688">
            <w:pPr>
              <w:spacing w:line="360" w:lineRule="auto"/>
              <w:jc w:val="center"/>
              <w:rPr>
                <w:rFonts w:hint="eastAsia" w:ascii="宋体" w:hAnsi="宋体" w:cs="宋体"/>
                <w:b/>
                <w:color w:val="auto"/>
                <w:szCs w:val="21"/>
                <w:highlight w:val="none"/>
              </w:rPr>
            </w:pPr>
          </w:p>
        </w:tc>
        <w:tc>
          <w:tcPr>
            <w:tcW w:w="7036" w:type="dxa"/>
            <w:tcBorders>
              <w:top w:val="single" w:color="auto" w:sz="4" w:space="0"/>
              <w:left w:val="single" w:color="auto" w:sz="4" w:space="0"/>
              <w:bottom w:val="single" w:color="auto" w:sz="4" w:space="0"/>
              <w:right w:val="single" w:color="auto" w:sz="4" w:space="0"/>
            </w:tcBorders>
            <w:noWrap/>
            <w:vAlign w:val="center"/>
          </w:tcPr>
          <w:p w14:paraId="5C0B5E2A">
            <w:pPr>
              <w:pStyle w:val="21"/>
              <w:spacing w:after="0" w:line="360" w:lineRule="auto"/>
              <w:ind w:left="0" w:leftChars="0" w:firstLine="0" w:firstLineChars="0"/>
              <w:rPr>
                <w:rFonts w:hint="eastAsia" w:eastAsia="宋体"/>
                <w:b/>
                <w:bCs/>
                <w:color w:val="auto"/>
                <w:highlight w:val="none"/>
                <w:lang w:val="en-US" w:eastAsia="zh-CN"/>
              </w:rPr>
            </w:pPr>
            <w:r>
              <w:rPr>
                <w:rFonts w:hint="eastAsia" w:eastAsia="宋体"/>
                <w:b/>
                <w:bCs/>
                <w:color w:val="auto"/>
                <w:highlight w:val="none"/>
                <w:lang w:val="en-US" w:eastAsia="zh-CN"/>
              </w:rPr>
              <w:t>4、政策功能分（2分）</w:t>
            </w:r>
          </w:p>
          <w:p w14:paraId="6B3A2A5C">
            <w:pPr>
              <w:pStyle w:val="21"/>
              <w:spacing w:after="0" w:line="360" w:lineRule="auto"/>
              <w:ind w:left="0" w:leftChars="0" w:firstLine="0" w:firstLineChars="0"/>
              <w:rPr>
                <w:rFonts w:hint="eastAsia" w:eastAsia="宋体"/>
                <w:color w:val="auto"/>
                <w:highlight w:val="none"/>
                <w:lang w:val="en-US" w:eastAsia="zh-CN"/>
              </w:rPr>
            </w:pPr>
            <w:r>
              <w:rPr>
                <w:rFonts w:hint="eastAsia" w:eastAsia="宋体"/>
                <w:color w:val="auto"/>
                <w:highlight w:val="none"/>
                <w:lang w:val="en-US" w:eastAsia="zh-CN"/>
              </w:rPr>
              <w:t>（1）节能产品分（1分）</w:t>
            </w:r>
          </w:p>
          <w:p w14:paraId="5A890DE0">
            <w:pPr>
              <w:pStyle w:val="21"/>
              <w:spacing w:after="0" w:line="360" w:lineRule="auto"/>
              <w:ind w:left="0" w:leftChars="0" w:firstLine="0" w:firstLineChars="0"/>
              <w:rPr>
                <w:rFonts w:hint="eastAsia" w:eastAsia="宋体"/>
                <w:color w:val="auto"/>
                <w:highlight w:val="none"/>
                <w:lang w:val="en-US" w:eastAsia="zh-CN"/>
              </w:rPr>
            </w:pPr>
            <w:r>
              <w:rPr>
                <w:rFonts w:hint="eastAsia" w:eastAsia="宋体"/>
                <w:color w:val="auto"/>
                <w:highlight w:val="none"/>
                <w:lang w:val="en-US" w:eastAsia="zh-CN"/>
              </w:rPr>
              <w:t>投标产品属于节能产品政府采购品目清单范围内优先采购的，每有一项得0.5分，最多得1分。采购内容中的强制产品不加分。</w:t>
            </w:r>
          </w:p>
          <w:p w14:paraId="55DC6619">
            <w:pPr>
              <w:pStyle w:val="21"/>
              <w:spacing w:after="0" w:line="360" w:lineRule="auto"/>
              <w:ind w:left="0" w:leftChars="0" w:firstLine="0" w:firstLineChars="0"/>
              <w:rPr>
                <w:rFonts w:hint="eastAsia" w:eastAsia="宋体"/>
                <w:color w:val="auto"/>
                <w:highlight w:val="none"/>
                <w:lang w:val="en-US" w:eastAsia="zh-CN"/>
              </w:rPr>
            </w:pPr>
            <w:r>
              <w:rPr>
                <w:rFonts w:hint="eastAsia" w:eastAsia="宋体"/>
                <w:color w:val="auto"/>
                <w:highlight w:val="none"/>
                <w:lang w:val="en-US" w:eastAsia="zh-CN"/>
              </w:rPr>
              <w:t>①在投标文件中列明属于节能产品的投标产品列表。</w:t>
            </w:r>
          </w:p>
          <w:p w14:paraId="03EA6679">
            <w:pPr>
              <w:pStyle w:val="21"/>
              <w:spacing w:after="0" w:line="360" w:lineRule="auto"/>
              <w:ind w:left="0" w:leftChars="0" w:firstLine="0" w:firstLineChars="0"/>
              <w:rPr>
                <w:rFonts w:hint="eastAsia" w:eastAsia="宋体"/>
                <w:color w:val="auto"/>
                <w:highlight w:val="none"/>
                <w:lang w:val="en-US" w:eastAsia="zh-CN"/>
              </w:rPr>
            </w:pPr>
            <w:r>
              <w:rPr>
                <w:rFonts w:hint="eastAsia" w:eastAsia="宋体"/>
                <w:color w:val="auto"/>
                <w:highlight w:val="none"/>
                <w:lang w:val="en-US" w:eastAsia="zh-CN"/>
              </w:rPr>
              <w:t>②以通过中国政府采购网“节能产品查询”结果与</w:t>
            </w:r>
            <w:r>
              <w:rPr>
                <w:rFonts w:hint="eastAsia"/>
                <w:color w:val="auto"/>
                <w:highlight w:val="none"/>
                <w:lang w:val="en-US" w:eastAsia="zh-CN"/>
              </w:rPr>
              <w:t>投标人</w:t>
            </w:r>
            <w:r>
              <w:rPr>
                <w:rFonts w:hint="eastAsia" w:eastAsia="宋体"/>
                <w:color w:val="auto"/>
                <w:highlight w:val="none"/>
                <w:lang w:val="en-US" w:eastAsia="zh-CN"/>
              </w:rPr>
              <w:t>所提供的投标产品列表进行比对作为评审依据。</w:t>
            </w:r>
          </w:p>
          <w:p w14:paraId="6F51D238">
            <w:pPr>
              <w:pStyle w:val="21"/>
              <w:spacing w:after="0" w:line="360" w:lineRule="auto"/>
              <w:ind w:left="0" w:leftChars="0" w:firstLine="0" w:firstLineChars="0"/>
              <w:rPr>
                <w:rFonts w:hint="eastAsia" w:eastAsia="宋体"/>
                <w:color w:val="auto"/>
                <w:highlight w:val="none"/>
                <w:lang w:val="en-US" w:eastAsia="zh-CN"/>
              </w:rPr>
            </w:pPr>
            <w:r>
              <w:rPr>
                <w:rFonts w:hint="eastAsia" w:eastAsia="宋体"/>
                <w:color w:val="auto"/>
                <w:highlight w:val="none"/>
                <w:lang w:val="en-US" w:eastAsia="zh-CN"/>
              </w:rPr>
              <w:t>（2）环境标志产品分（1分）</w:t>
            </w:r>
          </w:p>
          <w:p w14:paraId="65E612B8">
            <w:pPr>
              <w:pStyle w:val="21"/>
              <w:spacing w:after="0" w:line="360" w:lineRule="auto"/>
              <w:ind w:left="0" w:leftChars="0" w:firstLine="0" w:firstLineChars="0"/>
              <w:rPr>
                <w:rFonts w:hint="eastAsia" w:eastAsia="宋体"/>
                <w:color w:val="auto"/>
                <w:highlight w:val="none"/>
                <w:lang w:val="en-US" w:eastAsia="zh-CN"/>
              </w:rPr>
            </w:pPr>
            <w:r>
              <w:rPr>
                <w:rFonts w:hint="eastAsia" w:eastAsia="宋体"/>
                <w:color w:val="auto"/>
                <w:highlight w:val="none"/>
                <w:lang w:val="en-US" w:eastAsia="zh-CN"/>
              </w:rPr>
              <w:t>投标产品属于环境标志产品政府采购品目清单范围内优先采购的，每有一项得0.5分，最多得1分。</w:t>
            </w:r>
          </w:p>
          <w:p w14:paraId="64EFC441">
            <w:pPr>
              <w:pStyle w:val="21"/>
              <w:spacing w:after="0" w:line="360" w:lineRule="auto"/>
              <w:ind w:left="0" w:leftChars="0" w:firstLine="0" w:firstLineChars="0"/>
              <w:rPr>
                <w:rFonts w:hint="eastAsia" w:eastAsia="宋体"/>
                <w:color w:val="auto"/>
                <w:highlight w:val="none"/>
                <w:lang w:val="en-US" w:eastAsia="zh-CN"/>
              </w:rPr>
            </w:pPr>
            <w:r>
              <w:rPr>
                <w:rFonts w:hint="eastAsia" w:eastAsia="宋体"/>
                <w:color w:val="auto"/>
                <w:highlight w:val="none"/>
                <w:lang w:val="en-US" w:eastAsia="zh-CN"/>
              </w:rPr>
              <w:t>①在投标文件中列明属于环境标志产品的投标产品列表。</w:t>
            </w:r>
          </w:p>
          <w:p w14:paraId="66477AC5">
            <w:pPr>
              <w:pStyle w:val="21"/>
              <w:spacing w:after="0" w:line="360" w:lineRule="auto"/>
              <w:ind w:left="0" w:leftChars="0" w:firstLine="0" w:firstLineChars="0"/>
              <w:rPr>
                <w:rFonts w:hint="eastAsia" w:eastAsia="宋体"/>
                <w:color w:val="auto"/>
                <w:highlight w:val="none"/>
                <w:lang w:val="en-US" w:eastAsia="zh-CN"/>
              </w:rPr>
            </w:pPr>
            <w:r>
              <w:rPr>
                <w:rFonts w:hint="eastAsia" w:eastAsia="宋体"/>
                <w:color w:val="auto"/>
                <w:highlight w:val="none"/>
                <w:lang w:val="en-US" w:eastAsia="zh-CN"/>
              </w:rPr>
              <w:t>②以通过中国政府采购网“环境标志产品查询”结果与</w:t>
            </w:r>
            <w:r>
              <w:rPr>
                <w:rFonts w:hint="eastAsia"/>
                <w:color w:val="auto"/>
                <w:highlight w:val="none"/>
                <w:lang w:val="en-US" w:eastAsia="zh-CN"/>
              </w:rPr>
              <w:t>投标人</w:t>
            </w:r>
            <w:r>
              <w:rPr>
                <w:rFonts w:hint="eastAsia" w:eastAsia="宋体"/>
                <w:color w:val="auto"/>
                <w:highlight w:val="none"/>
                <w:lang w:val="en-US" w:eastAsia="zh-CN"/>
              </w:rPr>
              <w:t>所提供的投标产品列表进行比对作为评审依据。</w:t>
            </w:r>
          </w:p>
        </w:tc>
      </w:tr>
    </w:tbl>
    <w:p w14:paraId="449E0FFB">
      <w:pPr>
        <w:pStyle w:val="27"/>
        <w:snapToGrid w:val="0"/>
        <w:ind w:firstLine="316" w:firstLineChars="150"/>
        <w:rPr>
          <w:rFonts w:ascii="Times New Roman" w:hAnsi="Times New Roman" w:cs="Times New Roman"/>
          <w:b/>
          <w:bCs/>
          <w:color w:val="auto"/>
          <w:sz w:val="24"/>
          <w:szCs w:val="24"/>
          <w:highlight w:val="none"/>
        </w:rPr>
      </w:pPr>
      <w:r>
        <w:rPr>
          <w:rFonts w:hint="eastAsia"/>
          <w:b/>
          <w:bCs/>
          <w:color w:val="auto"/>
          <w:highlight w:val="none"/>
          <w:lang w:val="zh-CN"/>
        </w:rPr>
        <w:t>（2）投标报价分</w:t>
      </w:r>
    </w:p>
    <w:tbl>
      <w:tblPr>
        <w:tblStyle w:val="51"/>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2038"/>
        <w:gridCol w:w="3456"/>
        <w:gridCol w:w="783"/>
        <w:gridCol w:w="2112"/>
      </w:tblGrid>
      <w:tr w14:paraId="40753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661" w:type="dxa"/>
            <w:noWrap w:val="0"/>
            <w:vAlign w:val="center"/>
          </w:tcPr>
          <w:p w14:paraId="5B99D7C2">
            <w:pPr>
              <w:keepNext w:val="0"/>
              <w:keepLines w:val="0"/>
              <w:pageBreakBefore w:val="0"/>
              <w:widowControl w:val="0"/>
              <w:kinsoku/>
              <w:wordWrap/>
              <w:overflowPunct/>
              <w:topLinePunct w:val="0"/>
              <w:autoSpaceDE/>
              <w:autoSpaceDN/>
              <w:bidi w:val="0"/>
              <w:adjustRightInd/>
              <w:snapToGrid/>
              <w:jc w:val="center"/>
              <w:textAlignment w:val="auto"/>
              <w:rPr>
                <w:b/>
                <w:color w:val="auto"/>
                <w:szCs w:val="21"/>
                <w:highlight w:val="none"/>
              </w:rPr>
            </w:pPr>
            <w:r>
              <w:rPr>
                <w:b/>
                <w:color w:val="auto"/>
                <w:szCs w:val="21"/>
                <w:highlight w:val="none"/>
              </w:rPr>
              <w:t>序号</w:t>
            </w:r>
          </w:p>
        </w:tc>
        <w:tc>
          <w:tcPr>
            <w:tcW w:w="2038" w:type="dxa"/>
            <w:noWrap w:val="0"/>
            <w:vAlign w:val="center"/>
          </w:tcPr>
          <w:p w14:paraId="6C6E35DC">
            <w:pPr>
              <w:keepNext w:val="0"/>
              <w:keepLines w:val="0"/>
              <w:pageBreakBefore w:val="0"/>
              <w:widowControl w:val="0"/>
              <w:kinsoku/>
              <w:wordWrap/>
              <w:overflowPunct/>
              <w:topLinePunct w:val="0"/>
              <w:autoSpaceDE/>
              <w:autoSpaceDN/>
              <w:bidi w:val="0"/>
              <w:adjustRightInd/>
              <w:snapToGrid/>
              <w:jc w:val="center"/>
              <w:textAlignment w:val="auto"/>
              <w:rPr>
                <w:b/>
                <w:color w:val="auto"/>
                <w:szCs w:val="21"/>
                <w:highlight w:val="none"/>
              </w:rPr>
            </w:pPr>
            <w:r>
              <w:rPr>
                <w:rFonts w:hint="eastAsia"/>
                <w:b/>
                <w:color w:val="auto"/>
                <w:szCs w:val="21"/>
                <w:highlight w:val="none"/>
              </w:rPr>
              <w:t>类型</w:t>
            </w:r>
          </w:p>
        </w:tc>
        <w:tc>
          <w:tcPr>
            <w:tcW w:w="3456" w:type="dxa"/>
            <w:noWrap w:val="0"/>
            <w:vAlign w:val="center"/>
          </w:tcPr>
          <w:p w14:paraId="44A71216">
            <w:pPr>
              <w:keepNext w:val="0"/>
              <w:keepLines w:val="0"/>
              <w:pageBreakBefore w:val="0"/>
              <w:widowControl w:val="0"/>
              <w:kinsoku/>
              <w:wordWrap/>
              <w:overflowPunct/>
              <w:topLinePunct w:val="0"/>
              <w:autoSpaceDE/>
              <w:autoSpaceDN/>
              <w:bidi w:val="0"/>
              <w:adjustRightInd/>
              <w:snapToGrid/>
              <w:jc w:val="center"/>
              <w:textAlignment w:val="auto"/>
              <w:rPr>
                <w:b/>
                <w:color w:val="auto"/>
                <w:szCs w:val="21"/>
                <w:highlight w:val="none"/>
              </w:rPr>
            </w:pPr>
            <w:r>
              <w:rPr>
                <w:rFonts w:hint="eastAsia"/>
                <w:b/>
                <w:color w:val="auto"/>
                <w:szCs w:val="21"/>
                <w:highlight w:val="none"/>
              </w:rPr>
              <w:t>评分标准</w:t>
            </w:r>
          </w:p>
        </w:tc>
        <w:tc>
          <w:tcPr>
            <w:tcW w:w="783" w:type="dxa"/>
            <w:noWrap w:val="0"/>
            <w:vAlign w:val="center"/>
          </w:tcPr>
          <w:p w14:paraId="7A975A07">
            <w:pPr>
              <w:keepNext w:val="0"/>
              <w:keepLines w:val="0"/>
              <w:pageBreakBefore w:val="0"/>
              <w:widowControl w:val="0"/>
              <w:kinsoku/>
              <w:wordWrap/>
              <w:overflowPunct/>
              <w:topLinePunct w:val="0"/>
              <w:autoSpaceDE/>
              <w:autoSpaceDN/>
              <w:bidi w:val="0"/>
              <w:adjustRightInd/>
              <w:snapToGrid/>
              <w:jc w:val="center"/>
              <w:textAlignment w:val="auto"/>
              <w:rPr>
                <w:b/>
                <w:color w:val="auto"/>
                <w:szCs w:val="21"/>
                <w:highlight w:val="none"/>
              </w:rPr>
            </w:pPr>
            <w:r>
              <w:rPr>
                <w:rFonts w:hint="eastAsia"/>
                <w:b/>
                <w:color w:val="auto"/>
                <w:szCs w:val="21"/>
                <w:highlight w:val="none"/>
              </w:rPr>
              <w:t>分值权重</w:t>
            </w:r>
          </w:p>
        </w:tc>
        <w:tc>
          <w:tcPr>
            <w:tcW w:w="2112" w:type="dxa"/>
            <w:noWrap w:val="0"/>
            <w:vAlign w:val="center"/>
          </w:tcPr>
          <w:p w14:paraId="54D4A6EB">
            <w:pPr>
              <w:keepNext w:val="0"/>
              <w:keepLines w:val="0"/>
              <w:pageBreakBefore w:val="0"/>
              <w:widowControl w:val="0"/>
              <w:kinsoku/>
              <w:wordWrap/>
              <w:overflowPunct/>
              <w:topLinePunct w:val="0"/>
              <w:autoSpaceDE/>
              <w:autoSpaceDN/>
              <w:bidi w:val="0"/>
              <w:adjustRightInd/>
              <w:snapToGrid/>
              <w:jc w:val="center"/>
              <w:textAlignment w:val="auto"/>
              <w:rPr>
                <w:b/>
                <w:color w:val="auto"/>
                <w:szCs w:val="21"/>
                <w:highlight w:val="none"/>
              </w:rPr>
            </w:pPr>
            <w:r>
              <w:rPr>
                <w:b/>
                <w:color w:val="auto"/>
                <w:szCs w:val="21"/>
                <w:highlight w:val="none"/>
              </w:rPr>
              <w:t>说明</w:t>
            </w:r>
          </w:p>
        </w:tc>
      </w:tr>
      <w:tr w14:paraId="69C6C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5" w:hRule="atLeast"/>
          <w:jc w:val="center"/>
        </w:trPr>
        <w:tc>
          <w:tcPr>
            <w:tcW w:w="661" w:type="dxa"/>
            <w:noWrap w:val="0"/>
            <w:vAlign w:val="center"/>
          </w:tcPr>
          <w:p w14:paraId="490DC922">
            <w:pPr>
              <w:keepNext w:val="0"/>
              <w:keepLines w:val="0"/>
              <w:pageBreakBefore w:val="0"/>
              <w:widowControl w:val="0"/>
              <w:kinsoku/>
              <w:wordWrap/>
              <w:overflowPunct/>
              <w:topLinePunct w:val="0"/>
              <w:autoSpaceDE/>
              <w:autoSpaceDN/>
              <w:bidi w:val="0"/>
              <w:adjustRightInd/>
              <w:snapToGrid/>
              <w:jc w:val="center"/>
              <w:textAlignment w:val="auto"/>
              <w:rPr>
                <w:b/>
                <w:color w:val="auto"/>
                <w:szCs w:val="21"/>
                <w:highlight w:val="none"/>
              </w:rPr>
            </w:pPr>
            <w:r>
              <w:rPr>
                <w:rFonts w:hint="eastAsia"/>
                <w:b/>
                <w:color w:val="auto"/>
                <w:szCs w:val="21"/>
                <w:highlight w:val="none"/>
              </w:rPr>
              <w:t>1</w:t>
            </w:r>
          </w:p>
        </w:tc>
        <w:tc>
          <w:tcPr>
            <w:tcW w:w="2038" w:type="dxa"/>
            <w:noWrap w:val="0"/>
            <w:vAlign w:val="center"/>
          </w:tcPr>
          <w:p w14:paraId="6B00CC8E">
            <w:pPr>
              <w:keepNext w:val="0"/>
              <w:keepLines w:val="0"/>
              <w:pageBreakBefore w:val="0"/>
              <w:widowControl w:val="0"/>
              <w:kinsoku/>
              <w:wordWrap/>
              <w:overflowPunct/>
              <w:topLinePunct w:val="0"/>
              <w:autoSpaceDE/>
              <w:autoSpaceDN/>
              <w:bidi w:val="0"/>
              <w:adjustRightInd/>
              <w:snapToGrid/>
              <w:textAlignment w:val="auto"/>
              <w:rPr>
                <w:color w:val="auto"/>
                <w:szCs w:val="21"/>
                <w:highlight w:val="none"/>
              </w:rPr>
            </w:pPr>
            <w:r>
              <w:rPr>
                <w:rFonts w:hint="eastAsia"/>
                <w:color w:val="auto"/>
                <w:szCs w:val="21"/>
                <w:highlight w:val="none"/>
              </w:rPr>
              <w:t>投标报价分</w:t>
            </w:r>
          </w:p>
        </w:tc>
        <w:tc>
          <w:tcPr>
            <w:tcW w:w="3456" w:type="dxa"/>
            <w:noWrap w:val="0"/>
            <w:vAlign w:val="center"/>
          </w:tcPr>
          <w:p w14:paraId="60902950">
            <w:pPr>
              <w:keepNext w:val="0"/>
              <w:keepLines w:val="0"/>
              <w:pageBreakBefore w:val="0"/>
              <w:widowControl w:val="0"/>
              <w:kinsoku/>
              <w:wordWrap/>
              <w:overflowPunct/>
              <w:topLinePunct w:val="0"/>
              <w:autoSpaceDE/>
              <w:autoSpaceDN/>
              <w:bidi w:val="0"/>
              <w:adjustRightInd/>
              <w:snapToGrid/>
              <w:textAlignment w:val="auto"/>
              <w:rPr>
                <w:color w:val="auto"/>
                <w:szCs w:val="21"/>
                <w:highlight w:val="none"/>
              </w:rPr>
            </w:pPr>
            <w:r>
              <w:rPr>
                <w:rFonts w:hint="eastAsia"/>
                <w:color w:val="auto"/>
                <w:szCs w:val="21"/>
                <w:highlight w:val="none"/>
              </w:rPr>
              <w:t>以满足招标文件要求且投标价格最低的投标报价为评审基准价，其价格分为满分。其他</w:t>
            </w:r>
            <w:r>
              <w:rPr>
                <w:rFonts w:hint="eastAsia"/>
                <w:color w:val="auto"/>
                <w:szCs w:val="21"/>
                <w:highlight w:val="none"/>
                <w:lang w:eastAsia="zh-CN"/>
              </w:rPr>
              <w:t>投标人</w:t>
            </w:r>
            <w:r>
              <w:rPr>
                <w:rFonts w:hint="eastAsia"/>
                <w:color w:val="auto"/>
                <w:szCs w:val="21"/>
                <w:highlight w:val="none"/>
              </w:rPr>
              <w:t>的价格分统一按照下列公式计算：投标报价得分</w:t>
            </w:r>
            <w:r>
              <w:rPr>
                <w:color w:val="auto"/>
                <w:szCs w:val="21"/>
                <w:highlight w:val="none"/>
              </w:rPr>
              <w:t>=（评审基准价/投标报价）×投标报价分满分分值。</w:t>
            </w:r>
          </w:p>
        </w:tc>
        <w:tc>
          <w:tcPr>
            <w:tcW w:w="783" w:type="dxa"/>
            <w:noWrap w:val="0"/>
            <w:vAlign w:val="center"/>
          </w:tcPr>
          <w:p w14:paraId="321A3E5F">
            <w:pPr>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Cs w:val="21"/>
                <w:highlight w:val="none"/>
                <w:lang w:val="en-US" w:eastAsia="zh-CN"/>
              </w:rPr>
            </w:pPr>
            <w:r>
              <w:rPr>
                <w:rFonts w:hint="eastAsia"/>
                <w:color w:val="auto"/>
                <w:szCs w:val="21"/>
                <w:highlight w:val="none"/>
                <w:lang w:val="en-US" w:eastAsia="zh-CN"/>
              </w:rPr>
              <w:t>30分</w:t>
            </w:r>
          </w:p>
        </w:tc>
        <w:tc>
          <w:tcPr>
            <w:tcW w:w="2112" w:type="dxa"/>
            <w:noWrap w:val="0"/>
            <w:vAlign w:val="center"/>
          </w:tcPr>
          <w:p w14:paraId="3049B397">
            <w:pPr>
              <w:keepNext w:val="0"/>
              <w:keepLines w:val="0"/>
              <w:pageBreakBefore w:val="0"/>
              <w:widowControl w:val="0"/>
              <w:kinsoku/>
              <w:wordWrap/>
              <w:overflowPunct/>
              <w:topLinePunct w:val="0"/>
              <w:autoSpaceDE/>
              <w:autoSpaceDN/>
              <w:bidi w:val="0"/>
              <w:adjustRightInd/>
              <w:snapToGrid/>
              <w:textAlignment w:val="auto"/>
              <w:rPr>
                <w:color w:val="auto"/>
                <w:szCs w:val="21"/>
                <w:highlight w:val="none"/>
              </w:rPr>
            </w:pPr>
            <w:r>
              <w:rPr>
                <w:rFonts w:hint="eastAsia"/>
                <w:color w:val="auto"/>
                <w:szCs w:val="21"/>
                <w:highlight w:val="none"/>
              </w:rPr>
              <w:t>如有价格扣除时，投标报价分均按</w:t>
            </w:r>
            <w:r>
              <w:rPr>
                <w:rFonts w:hint="eastAsia"/>
                <w:color w:val="auto"/>
                <w:szCs w:val="21"/>
                <w:highlight w:val="none"/>
                <w:lang w:eastAsia="zh-CN"/>
              </w:rPr>
              <w:t>投标人</w:t>
            </w:r>
            <w:r>
              <w:rPr>
                <w:rFonts w:hint="eastAsia"/>
                <w:color w:val="auto"/>
                <w:szCs w:val="21"/>
                <w:highlight w:val="none"/>
              </w:rPr>
              <w:t>实际投标报价进行价格扣除后的价格进行计算，最终中标金额＝投标报价。价格扣除计算方法见后。</w:t>
            </w:r>
          </w:p>
        </w:tc>
      </w:tr>
    </w:tbl>
    <w:p w14:paraId="1218460C">
      <w:pPr>
        <w:spacing w:before="120" w:line="320" w:lineRule="atLeast"/>
        <w:ind w:firstLine="422" w:firstLineChars="200"/>
        <w:rPr>
          <w:rFonts w:hint="default" w:eastAsia="宋体"/>
          <w:b/>
          <w:bCs/>
          <w:color w:val="auto"/>
          <w:kern w:val="0"/>
          <w:szCs w:val="21"/>
          <w:highlight w:val="none"/>
          <w:lang w:val="en-US" w:eastAsia="zh-CN"/>
        </w:rPr>
      </w:pPr>
      <w:r>
        <w:rPr>
          <w:rFonts w:hint="eastAsia"/>
          <w:b/>
          <w:bCs/>
          <w:color w:val="auto"/>
          <w:kern w:val="0"/>
          <w:szCs w:val="21"/>
          <w:highlight w:val="none"/>
          <w:lang w:val="en-US" w:eastAsia="zh-CN"/>
        </w:rPr>
        <w:t>总得分=（1）+（2）</w:t>
      </w:r>
    </w:p>
    <w:p w14:paraId="36F1A9C4">
      <w:pPr>
        <w:spacing w:before="120" w:line="320" w:lineRule="atLeast"/>
        <w:ind w:firstLine="422" w:firstLineChars="200"/>
        <w:rPr>
          <w:rFonts w:hint="eastAsia"/>
          <w:b/>
          <w:bCs/>
          <w:color w:val="auto"/>
          <w:kern w:val="0"/>
          <w:szCs w:val="21"/>
          <w:highlight w:val="none"/>
        </w:rPr>
      </w:pPr>
      <w:r>
        <w:rPr>
          <w:rFonts w:hint="eastAsia"/>
          <w:b/>
          <w:bCs/>
          <w:color w:val="auto"/>
          <w:kern w:val="0"/>
          <w:szCs w:val="21"/>
          <w:highlight w:val="none"/>
        </w:rPr>
        <w:t>注：涉及政府采购价格评审优惠政策叠加的，按照相关政策要求统一从对应报价的基础上进行价格扣除，用投标总价减去扣除金额之和的价格参加评审。</w:t>
      </w:r>
    </w:p>
    <w:p w14:paraId="5793A8EA">
      <w:pPr>
        <w:spacing w:before="120" w:line="320" w:lineRule="atLeast"/>
        <w:ind w:firstLine="316" w:firstLineChars="150"/>
        <w:rPr>
          <w:rFonts w:hint="eastAsia" w:eastAsia="宋体"/>
          <w:color w:val="auto"/>
          <w:szCs w:val="21"/>
          <w:highlight w:val="none"/>
          <w:lang w:val="en-US" w:eastAsia="zh-CN"/>
        </w:rPr>
      </w:pPr>
      <w:r>
        <w:rPr>
          <w:b/>
          <w:bCs/>
          <w:color w:val="auto"/>
          <w:kern w:val="0"/>
          <w:szCs w:val="21"/>
          <w:highlight w:val="none"/>
        </w:rPr>
        <w:t>政策性扣除计算方法</w:t>
      </w:r>
      <w:r>
        <w:rPr>
          <w:rFonts w:hint="eastAsia"/>
          <w:color w:val="auto"/>
          <w:highlight w:val="none"/>
          <w:lang w:eastAsia="zh-CN"/>
        </w:rPr>
        <w:t>：</w:t>
      </w:r>
    </w:p>
    <w:p w14:paraId="1A7AAE14">
      <w:pPr>
        <w:spacing w:before="120" w:line="320" w:lineRule="atLeast"/>
        <w:ind w:firstLine="315" w:firstLineChars="150"/>
        <w:rPr>
          <w:color w:val="auto"/>
          <w:szCs w:val="21"/>
          <w:highlight w:val="none"/>
        </w:rPr>
      </w:pPr>
      <w:r>
        <w:rPr>
          <w:rFonts w:hint="eastAsia"/>
          <w:color w:val="auto"/>
          <w:szCs w:val="21"/>
          <w:highlight w:val="none"/>
          <w:lang w:val="en-US" w:eastAsia="zh-CN"/>
        </w:rPr>
        <w:t>1）小微企业的价格扣除计算:</w:t>
      </w:r>
      <w:r>
        <w:rPr>
          <w:rFonts w:hint="eastAsia"/>
          <w:color w:val="auto"/>
          <w:szCs w:val="21"/>
          <w:highlight w:val="none"/>
          <w:lang w:eastAsia="zh-CN"/>
        </w:rPr>
        <w:t>投标人</w:t>
      </w:r>
      <w:r>
        <w:rPr>
          <w:rFonts w:hint="eastAsia"/>
          <w:color w:val="auto"/>
          <w:szCs w:val="21"/>
          <w:highlight w:val="none"/>
        </w:rPr>
        <w:t>投标</w:t>
      </w:r>
      <w:r>
        <w:rPr>
          <w:color w:val="auto"/>
          <w:szCs w:val="21"/>
          <w:highlight w:val="none"/>
        </w:rPr>
        <w:t>报价将按相应比例进行扣除，用扣除后的价格参与评审（计算价格分）</w:t>
      </w:r>
      <w:r>
        <w:rPr>
          <w:rFonts w:hint="eastAsia"/>
          <w:color w:val="auto"/>
          <w:szCs w:val="21"/>
          <w:highlight w:val="none"/>
        </w:rPr>
        <w:t>，价格扣除比例分别如下：</w:t>
      </w:r>
    </w:p>
    <w:tbl>
      <w:tblPr>
        <w:tblStyle w:val="51"/>
        <w:tblW w:w="9860"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9"/>
        <w:gridCol w:w="5245"/>
        <w:gridCol w:w="2696"/>
      </w:tblGrid>
      <w:tr w14:paraId="711CE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919" w:type="dxa"/>
            <w:shd w:val="clear" w:color="auto" w:fill="auto"/>
            <w:noWrap w:val="0"/>
            <w:vAlign w:val="top"/>
          </w:tcPr>
          <w:p w14:paraId="704CF83E">
            <w:pPr>
              <w:spacing w:before="120" w:line="320" w:lineRule="atLeast"/>
              <w:jc w:val="center"/>
              <w:rPr>
                <w:color w:val="auto"/>
                <w:szCs w:val="21"/>
                <w:highlight w:val="none"/>
              </w:rPr>
            </w:pPr>
            <w:r>
              <w:rPr>
                <w:rFonts w:hint="eastAsia"/>
                <w:color w:val="auto"/>
                <w:szCs w:val="21"/>
                <w:highlight w:val="none"/>
              </w:rPr>
              <w:t>独立投标</w:t>
            </w:r>
          </w:p>
        </w:tc>
        <w:tc>
          <w:tcPr>
            <w:tcW w:w="5245" w:type="dxa"/>
            <w:shd w:val="clear" w:color="auto" w:fill="auto"/>
            <w:noWrap w:val="0"/>
            <w:vAlign w:val="top"/>
          </w:tcPr>
          <w:p w14:paraId="7BC06F76">
            <w:pPr>
              <w:spacing w:before="120" w:line="320" w:lineRule="atLeast"/>
              <w:rPr>
                <w:color w:val="auto"/>
                <w:szCs w:val="21"/>
                <w:highlight w:val="none"/>
              </w:rPr>
            </w:pPr>
            <w:r>
              <w:rPr>
                <w:rFonts w:hint="eastAsia"/>
                <w:color w:val="auto"/>
                <w:szCs w:val="21"/>
                <w:highlight w:val="none"/>
                <w:lang w:eastAsia="zh-CN"/>
              </w:rPr>
              <w:t>投标人</w:t>
            </w:r>
            <w:r>
              <w:rPr>
                <w:rFonts w:hint="eastAsia"/>
                <w:color w:val="auto"/>
                <w:szCs w:val="21"/>
                <w:highlight w:val="none"/>
              </w:rPr>
              <w:t>所提供产品制造商均为所列企业之一（小型企业、微型企业、残疾人福利企业、监狱企业）</w:t>
            </w:r>
          </w:p>
        </w:tc>
        <w:tc>
          <w:tcPr>
            <w:tcW w:w="2696" w:type="dxa"/>
            <w:shd w:val="clear" w:color="auto" w:fill="auto"/>
            <w:noWrap w:val="0"/>
            <w:vAlign w:val="top"/>
          </w:tcPr>
          <w:p w14:paraId="0D518BBC">
            <w:pPr>
              <w:spacing w:before="120" w:line="320" w:lineRule="atLeast"/>
              <w:rPr>
                <w:color w:val="auto"/>
                <w:szCs w:val="21"/>
                <w:highlight w:val="none"/>
              </w:rPr>
            </w:pPr>
            <w:r>
              <w:rPr>
                <w:rFonts w:hint="eastAsia"/>
                <w:color w:val="auto"/>
                <w:szCs w:val="21"/>
                <w:highlight w:val="none"/>
              </w:rPr>
              <w:t>价格扣除响应报价的10%</w:t>
            </w:r>
          </w:p>
        </w:tc>
      </w:tr>
      <w:tr w14:paraId="49D68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919" w:type="dxa"/>
            <w:vMerge w:val="restart"/>
            <w:shd w:val="clear" w:color="auto" w:fill="auto"/>
            <w:noWrap w:val="0"/>
            <w:vAlign w:val="top"/>
          </w:tcPr>
          <w:p w14:paraId="003759E0">
            <w:pPr>
              <w:spacing w:before="120" w:line="320" w:lineRule="atLeast"/>
              <w:jc w:val="center"/>
              <w:rPr>
                <w:color w:val="auto"/>
                <w:szCs w:val="21"/>
                <w:highlight w:val="none"/>
              </w:rPr>
            </w:pPr>
            <w:r>
              <w:rPr>
                <w:rFonts w:hint="eastAsia"/>
                <w:color w:val="auto"/>
                <w:szCs w:val="21"/>
                <w:highlight w:val="none"/>
              </w:rPr>
              <w:t>联合体或</w:t>
            </w:r>
          </w:p>
          <w:p w14:paraId="2F7DA981">
            <w:pPr>
              <w:spacing w:before="120" w:line="320" w:lineRule="atLeast"/>
              <w:jc w:val="center"/>
              <w:rPr>
                <w:color w:val="auto"/>
                <w:szCs w:val="21"/>
                <w:highlight w:val="none"/>
              </w:rPr>
            </w:pPr>
            <w:r>
              <w:rPr>
                <w:rFonts w:hint="eastAsia"/>
                <w:color w:val="auto"/>
                <w:szCs w:val="21"/>
                <w:highlight w:val="none"/>
              </w:rPr>
              <w:t>分包</w:t>
            </w:r>
          </w:p>
        </w:tc>
        <w:tc>
          <w:tcPr>
            <w:tcW w:w="5245" w:type="dxa"/>
            <w:shd w:val="clear" w:color="auto" w:fill="auto"/>
            <w:noWrap w:val="0"/>
            <w:vAlign w:val="top"/>
          </w:tcPr>
          <w:p w14:paraId="28F0B7D6">
            <w:pPr>
              <w:spacing w:before="120" w:line="320" w:lineRule="atLeast"/>
              <w:rPr>
                <w:color w:val="auto"/>
                <w:szCs w:val="21"/>
                <w:highlight w:val="none"/>
              </w:rPr>
            </w:pPr>
            <w:r>
              <w:rPr>
                <w:rFonts w:hint="eastAsia"/>
                <w:color w:val="auto"/>
                <w:szCs w:val="21"/>
                <w:highlight w:val="none"/>
              </w:rPr>
              <w:t>小微企业制造商承担的金额比例为1</w:t>
            </w:r>
            <w:r>
              <w:rPr>
                <w:color w:val="auto"/>
                <w:szCs w:val="21"/>
                <w:highlight w:val="none"/>
              </w:rPr>
              <w:t>00</w:t>
            </w:r>
            <w:r>
              <w:rPr>
                <w:rFonts w:hint="eastAsia"/>
                <w:color w:val="auto"/>
                <w:szCs w:val="21"/>
                <w:highlight w:val="none"/>
              </w:rPr>
              <w:t>%</w:t>
            </w:r>
          </w:p>
        </w:tc>
        <w:tc>
          <w:tcPr>
            <w:tcW w:w="2696" w:type="dxa"/>
            <w:shd w:val="clear" w:color="auto" w:fill="auto"/>
            <w:noWrap w:val="0"/>
            <w:vAlign w:val="top"/>
          </w:tcPr>
          <w:p w14:paraId="2CDD4674">
            <w:pPr>
              <w:spacing w:before="120" w:line="320" w:lineRule="atLeast"/>
              <w:rPr>
                <w:color w:val="auto"/>
                <w:szCs w:val="21"/>
                <w:highlight w:val="none"/>
              </w:rPr>
            </w:pPr>
            <w:r>
              <w:rPr>
                <w:rFonts w:hint="eastAsia"/>
                <w:color w:val="auto"/>
                <w:szCs w:val="21"/>
                <w:highlight w:val="none"/>
              </w:rPr>
              <w:t>价格扣除响应报价的10%</w:t>
            </w:r>
          </w:p>
        </w:tc>
      </w:tr>
      <w:tr w14:paraId="5D9E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919" w:type="dxa"/>
            <w:vMerge w:val="continue"/>
            <w:shd w:val="clear" w:color="auto" w:fill="auto"/>
            <w:noWrap w:val="0"/>
            <w:vAlign w:val="top"/>
          </w:tcPr>
          <w:p w14:paraId="74A303D5">
            <w:pPr>
              <w:spacing w:before="120" w:line="320" w:lineRule="atLeast"/>
              <w:rPr>
                <w:color w:val="auto"/>
                <w:szCs w:val="21"/>
                <w:highlight w:val="none"/>
              </w:rPr>
            </w:pPr>
          </w:p>
        </w:tc>
        <w:tc>
          <w:tcPr>
            <w:tcW w:w="5245" w:type="dxa"/>
            <w:shd w:val="clear" w:color="auto" w:fill="auto"/>
            <w:noWrap w:val="0"/>
            <w:vAlign w:val="top"/>
          </w:tcPr>
          <w:p w14:paraId="473F8CA8">
            <w:pPr>
              <w:spacing w:before="120" w:line="320" w:lineRule="atLeast"/>
              <w:rPr>
                <w:color w:val="auto"/>
                <w:szCs w:val="21"/>
                <w:highlight w:val="none"/>
              </w:rPr>
            </w:pPr>
            <w:r>
              <w:rPr>
                <w:rFonts w:hint="eastAsia"/>
                <w:color w:val="auto"/>
                <w:szCs w:val="21"/>
                <w:highlight w:val="none"/>
              </w:rPr>
              <w:t>小微企业制造商承担的金额比例达到合同总金额3</w:t>
            </w:r>
            <w:r>
              <w:rPr>
                <w:color w:val="auto"/>
                <w:szCs w:val="21"/>
                <w:highlight w:val="none"/>
              </w:rPr>
              <w:t>0%</w:t>
            </w:r>
            <w:r>
              <w:rPr>
                <w:rFonts w:hint="eastAsia"/>
                <w:color w:val="auto"/>
                <w:szCs w:val="21"/>
                <w:highlight w:val="none"/>
              </w:rPr>
              <w:t>以上</w:t>
            </w:r>
          </w:p>
        </w:tc>
        <w:tc>
          <w:tcPr>
            <w:tcW w:w="2696" w:type="dxa"/>
            <w:shd w:val="clear" w:color="auto" w:fill="auto"/>
            <w:noWrap w:val="0"/>
            <w:vAlign w:val="top"/>
          </w:tcPr>
          <w:p w14:paraId="5EDEF250">
            <w:pPr>
              <w:spacing w:before="120" w:line="320" w:lineRule="atLeast"/>
              <w:rPr>
                <w:color w:val="auto"/>
                <w:szCs w:val="21"/>
                <w:highlight w:val="none"/>
              </w:rPr>
            </w:pPr>
            <w:r>
              <w:rPr>
                <w:rFonts w:hint="eastAsia"/>
                <w:color w:val="auto"/>
                <w:szCs w:val="21"/>
                <w:highlight w:val="none"/>
              </w:rPr>
              <w:t>价格扣除响应报价的</w:t>
            </w:r>
            <w:r>
              <w:rPr>
                <w:color w:val="auto"/>
                <w:szCs w:val="21"/>
                <w:highlight w:val="none"/>
              </w:rPr>
              <w:t>4</w:t>
            </w:r>
            <w:r>
              <w:rPr>
                <w:rFonts w:hint="eastAsia"/>
                <w:color w:val="auto"/>
                <w:szCs w:val="21"/>
                <w:highlight w:val="none"/>
              </w:rPr>
              <w:t>%</w:t>
            </w:r>
          </w:p>
        </w:tc>
      </w:tr>
      <w:tr w14:paraId="14E9C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9860" w:type="dxa"/>
            <w:gridSpan w:val="3"/>
            <w:shd w:val="clear" w:color="auto" w:fill="auto"/>
            <w:noWrap w:val="0"/>
            <w:vAlign w:val="top"/>
          </w:tcPr>
          <w:p w14:paraId="5FED2FF5">
            <w:pPr>
              <w:spacing w:before="120" w:line="320" w:lineRule="atLeast"/>
              <w:rPr>
                <w:color w:val="auto"/>
                <w:szCs w:val="21"/>
                <w:highlight w:val="none"/>
              </w:rPr>
            </w:pPr>
            <w:r>
              <w:rPr>
                <w:rFonts w:hint="eastAsia"/>
                <w:color w:val="auto"/>
                <w:szCs w:val="21"/>
                <w:highlight w:val="none"/>
              </w:rPr>
              <w:t>注：未提供《中小企业声明函》、《分包意向协议书》或《联合体协议书》或不符合条件的，不享受价格扣除优惠。</w:t>
            </w:r>
          </w:p>
        </w:tc>
      </w:tr>
      <w:bookmarkEnd w:id="117"/>
    </w:tbl>
    <w:p w14:paraId="7060526E">
      <w:pPr>
        <w:rPr>
          <w:color w:val="auto"/>
          <w:highlight w:val="none"/>
        </w:rPr>
      </w:pPr>
    </w:p>
    <w:p w14:paraId="29D3A12B">
      <w:pPr>
        <w:ind w:firstLine="420" w:firstLineChars="200"/>
        <w:rPr>
          <w:rFonts w:hint="default" w:eastAsia="楷体_GB2312"/>
          <w:b/>
          <w:color w:val="auto"/>
          <w:sz w:val="24"/>
          <w:highlight w:val="none"/>
          <w:lang w:val="en-US"/>
        </w:rPr>
      </w:pPr>
      <w:r>
        <w:rPr>
          <w:rFonts w:hint="eastAsia"/>
          <w:color w:val="auto"/>
          <w:highlight w:val="none"/>
          <w:lang w:val="en-US" w:eastAsia="zh-CN"/>
        </w:rPr>
        <w:t>2）本国产品的价格扣除计算：</w:t>
      </w:r>
      <w:r>
        <w:rPr>
          <w:rFonts w:hint="eastAsia"/>
          <w:color w:val="auto"/>
          <w:highlight w:val="none"/>
          <w:lang w:eastAsia="zh-CN"/>
        </w:rPr>
        <w:t>投标人</w:t>
      </w:r>
      <w:r>
        <w:rPr>
          <w:rFonts w:hint="eastAsia"/>
          <w:color w:val="auto"/>
          <w:highlight w:val="none"/>
        </w:rPr>
        <w:t>投标</w:t>
      </w:r>
      <w:r>
        <w:rPr>
          <w:color w:val="auto"/>
          <w:highlight w:val="none"/>
        </w:rPr>
        <w:t>报价将按相应比例进行扣除，用扣除后的价格参与评审（计算价格分）</w:t>
      </w:r>
      <w:r>
        <w:rPr>
          <w:rFonts w:hint="eastAsia"/>
          <w:color w:val="auto"/>
          <w:highlight w:val="none"/>
        </w:rPr>
        <w:t>，价格扣除比例分别如下：</w:t>
      </w:r>
    </w:p>
    <w:p w14:paraId="3E23D5D3">
      <w:pPr>
        <w:ind w:firstLine="420" w:firstLineChars="200"/>
        <w:rPr>
          <w:color w:val="auto"/>
          <w:highlight w:val="none"/>
        </w:rPr>
      </w:pPr>
    </w:p>
    <w:tbl>
      <w:tblPr>
        <w:tblStyle w:val="51"/>
        <w:tblW w:w="9873"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1"/>
        <w:gridCol w:w="5069"/>
        <w:gridCol w:w="2553"/>
      </w:tblGrid>
      <w:tr w14:paraId="18FB6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shd w:val="clear" w:color="auto" w:fill="auto"/>
            <w:noWrap w:val="0"/>
            <w:vAlign w:val="top"/>
          </w:tcPr>
          <w:p w14:paraId="5DDFCF21">
            <w:pPr>
              <w:rPr>
                <w:rFonts w:hint="default" w:eastAsia="宋体"/>
                <w:color w:val="auto"/>
                <w:highlight w:val="none"/>
                <w:lang w:val="en-US" w:eastAsia="zh-CN"/>
              </w:rPr>
            </w:pPr>
            <w:r>
              <w:rPr>
                <w:rFonts w:hint="eastAsia"/>
                <w:color w:val="auto"/>
                <w:highlight w:val="none"/>
                <w:lang w:val="en-US" w:eastAsia="zh-CN"/>
              </w:rPr>
              <w:t>采购项目或者采购包中为单一产品</w:t>
            </w:r>
          </w:p>
        </w:tc>
        <w:tc>
          <w:tcPr>
            <w:tcW w:w="5069" w:type="dxa"/>
            <w:shd w:val="clear" w:color="auto" w:fill="auto"/>
            <w:noWrap w:val="0"/>
            <w:vAlign w:val="top"/>
          </w:tcPr>
          <w:p w14:paraId="17947390">
            <w:pPr>
              <w:rPr>
                <w:rFonts w:hint="eastAsia" w:eastAsia="宋体"/>
                <w:color w:val="auto"/>
                <w:highlight w:val="none"/>
                <w:lang w:eastAsia="zh-CN"/>
              </w:rPr>
            </w:pPr>
            <w:r>
              <w:rPr>
                <w:rFonts w:hint="eastAsia"/>
                <w:color w:val="auto"/>
                <w:highlight w:val="none"/>
              </w:rPr>
              <w:t>若</w:t>
            </w:r>
            <w:r>
              <w:rPr>
                <w:rFonts w:hint="eastAsia"/>
                <w:color w:val="auto"/>
                <w:highlight w:val="none"/>
                <w:lang w:val="en-US" w:eastAsia="zh-CN"/>
              </w:rPr>
              <w:t>本项目</w:t>
            </w:r>
            <w:r>
              <w:rPr>
                <w:rFonts w:hint="eastAsia"/>
                <w:color w:val="auto"/>
                <w:highlight w:val="none"/>
              </w:rPr>
              <w:t>既有本国产品又有非本国产品参与竞争的</w:t>
            </w:r>
            <w:r>
              <w:rPr>
                <w:rFonts w:hint="eastAsia"/>
                <w:color w:val="auto"/>
                <w:highlight w:val="none"/>
                <w:lang w:eastAsia="zh-CN"/>
              </w:rPr>
              <w:t>，投标人</w:t>
            </w:r>
            <w:r>
              <w:rPr>
                <w:rFonts w:hint="eastAsia"/>
                <w:color w:val="auto"/>
                <w:highlight w:val="none"/>
              </w:rPr>
              <w:t>所提供</w:t>
            </w:r>
            <w:r>
              <w:rPr>
                <w:rFonts w:hint="eastAsia"/>
                <w:color w:val="auto"/>
                <w:highlight w:val="none"/>
                <w:lang w:val="en-US" w:eastAsia="zh-CN"/>
              </w:rPr>
              <w:t>符合</w:t>
            </w:r>
            <w:r>
              <w:rPr>
                <w:rFonts w:hint="eastAsia"/>
                <w:color w:val="auto"/>
                <w:highlight w:val="none"/>
              </w:rPr>
              <w:t>本国产品标准的产品</w:t>
            </w:r>
          </w:p>
        </w:tc>
        <w:tc>
          <w:tcPr>
            <w:tcW w:w="2553" w:type="dxa"/>
            <w:vMerge w:val="restart"/>
            <w:shd w:val="clear" w:color="auto" w:fill="auto"/>
            <w:noWrap w:val="0"/>
            <w:vAlign w:val="top"/>
          </w:tcPr>
          <w:p w14:paraId="1D8CA924">
            <w:pPr>
              <w:rPr>
                <w:rFonts w:hint="eastAsia"/>
                <w:color w:val="auto"/>
                <w:highlight w:val="none"/>
              </w:rPr>
            </w:pPr>
          </w:p>
          <w:p w14:paraId="539359CB">
            <w:pPr>
              <w:rPr>
                <w:rFonts w:hint="eastAsia"/>
                <w:color w:val="auto"/>
                <w:highlight w:val="none"/>
              </w:rPr>
            </w:pPr>
          </w:p>
          <w:p w14:paraId="1F57FB23">
            <w:pPr>
              <w:rPr>
                <w:rFonts w:hint="eastAsia"/>
                <w:color w:val="auto"/>
                <w:highlight w:val="none"/>
              </w:rPr>
            </w:pPr>
          </w:p>
          <w:p w14:paraId="1203C9F8">
            <w:pPr>
              <w:rPr>
                <w:color w:val="auto"/>
                <w:highlight w:val="none"/>
              </w:rPr>
            </w:pPr>
            <w:r>
              <w:rPr>
                <w:rFonts w:hint="eastAsia"/>
                <w:color w:val="auto"/>
                <w:highlight w:val="none"/>
              </w:rPr>
              <w:t>价格扣除</w:t>
            </w:r>
            <w:r>
              <w:rPr>
                <w:rFonts w:hint="eastAsia"/>
                <w:color w:val="auto"/>
                <w:highlight w:val="none"/>
                <w:lang w:val="en-US" w:eastAsia="zh-CN"/>
              </w:rPr>
              <w:t>全部产品的</w:t>
            </w:r>
            <w:r>
              <w:rPr>
                <w:rFonts w:hint="eastAsia"/>
                <w:b/>
                <w:bCs/>
                <w:color w:val="auto"/>
                <w:highlight w:val="none"/>
                <w:lang w:val="en-US" w:eastAsia="zh-CN"/>
              </w:rPr>
              <w:t>总</w:t>
            </w:r>
            <w:r>
              <w:rPr>
                <w:rFonts w:hint="eastAsia"/>
                <w:color w:val="auto"/>
                <w:highlight w:val="none"/>
                <w:lang w:val="en-US" w:eastAsia="zh-CN"/>
              </w:rPr>
              <w:t>报价</w:t>
            </w:r>
            <w:r>
              <w:rPr>
                <w:rFonts w:hint="eastAsia"/>
                <w:color w:val="auto"/>
                <w:highlight w:val="none"/>
              </w:rPr>
              <w:t>的</w:t>
            </w:r>
            <w:r>
              <w:rPr>
                <w:rFonts w:hint="eastAsia"/>
                <w:color w:val="auto"/>
                <w:highlight w:val="none"/>
                <w:lang w:val="en-US" w:eastAsia="zh-CN"/>
              </w:rPr>
              <w:t>20</w:t>
            </w:r>
            <w:r>
              <w:rPr>
                <w:rFonts w:hint="eastAsia"/>
                <w:color w:val="auto"/>
                <w:highlight w:val="none"/>
              </w:rPr>
              <w:t>%</w:t>
            </w:r>
          </w:p>
        </w:tc>
      </w:tr>
      <w:tr w14:paraId="0C36F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251" w:type="dxa"/>
            <w:shd w:val="clear" w:color="auto" w:fill="auto"/>
            <w:noWrap w:val="0"/>
            <w:vAlign w:val="top"/>
          </w:tcPr>
          <w:p w14:paraId="1DB420F3">
            <w:pPr>
              <w:rPr>
                <w:rFonts w:hint="eastAsia"/>
                <w:color w:val="auto"/>
                <w:highlight w:val="none"/>
              </w:rPr>
            </w:pPr>
            <w:r>
              <w:rPr>
                <w:rFonts w:hint="eastAsia"/>
                <w:color w:val="auto"/>
                <w:highlight w:val="none"/>
              </w:rPr>
              <w:t>采购项目或者采购包中含有多种产品</w:t>
            </w:r>
          </w:p>
        </w:tc>
        <w:tc>
          <w:tcPr>
            <w:tcW w:w="5069" w:type="dxa"/>
            <w:shd w:val="clear" w:color="auto" w:fill="auto"/>
            <w:noWrap w:val="0"/>
            <w:vAlign w:val="top"/>
          </w:tcPr>
          <w:p w14:paraId="3918C647">
            <w:pPr>
              <w:rPr>
                <w:rFonts w:hint="eastAsia" w:eastAsia="宋体"/>
                <w:color w:val="auto"/>
                <w:highlight w:val="none"/>
                <w:lang w:eastAsia="zh-CN"/>
              </w:rPr>
            </w:pPr>
            <w:r>
              <w:rPr>
                <w:rFonts w:hint="eastAsia"/>
                <w:color w:val="auto"/>
                <w:highlight w:val="none"/>
              </w:rPr>
              <w:t>若</w:t>
            </w:r>
            <w:r>
              <w:rPr>
                <w:rFonts w:hint="eastAsia"/>
                <w:color w:val="auto"/>
                <w:highlight w:val="none"/>
                <w:lang w:val="en-US" w:eastAsia="zh-CN"/>
              </w:rPr>
              <w:t>本项目</w:t>
            </w:r>
            <w:r>
              <w:rPr>
                <w:rFonts w:hint="eastAsia"/>
                <w:color w:val="auto"/>
                <w:highlight w:val="none"/>
              </w:rPr>
              <w:t>既有本国产品又有非本国产品参与竞争的</w:t>
            </w:r>
            <w:r>
              <w:rPr>
                <w:rFonts w:hint="eastAsia"/>
                <w:color w:val="auto"/>
                <w:highlight w:val="none"/>
                <w:lang w:eastAsia="zh-CN"/>
              </w:rPr>
              <w:t>，投标人</w:t>
            </w:r>
            <w:r>
              <w:rPr>
                <w:rFonts w:hint="eastAsia"/>
                <w:color w:val="auto"/>
                <w:highlight w:val="none"/>
                <w:lang w:val="en-US" w:eastAsia="zh-CN"/>
              </w:rPr>
              <w:t>提供符合</w:t>
            </w:r>
            <w:r>
              <w:rPr>
                <w:rFonts w:hint="eastAsia"/>
                <w:color w:val="auto"/>
                <w:highlight w:val="none"/>
              </w:rPr>
              <w:t>本国产品标准的产品成本之和占该</w:t>
            </w:r>
            <w:r>
              <w:rPr>
                <w:rFonts w:hint="eastAsia"/>
                <w:color w:val="auto"/>
                <w:highlight w:val="none"/>
                <w:lang w:eastAsia="zh-CN"/>
              </w:rPr>
              <w:t>投标人</w:t>
            </w:r>
            <w:r>
              <w:rPr>
                <w:rFonts w:hint="eastAsia"/>
                <w:color w:val="auto"/>
                <w:highlight w:val="none"/>
              </w:rPr>
              <w:t>提供的全部产品成本之和的比例达到80%以上时</w:t>
            </w:r>
            <w:r>
              <w:rPr>
                <w:rFonts w:hint="eastAsia"/>
                <w:color w:val="auto"/>
                <w:highlight w:val="none"/>
                <w:lang w:eastAsia="zh-CN"/>
              </w:rPr>
              <w:t>。</w:t>
            </w:r>
            <w:r>
              <w:rPr>
                <w:rFonts w:hint="eastAsia"/>
                <w:b/>
                <w:bCs/>
                <w:color w:val="auto"/>
                <w:highlight w:val="none"/>
                <w:lang w:val="en-US" w:eastAsia="zh-CN"/>
              </w:rPr>
              <w:t>投标人须在投标文件提交《关于符合本国产品标准的成本占比承诺函》。如投标人所有产品均为本国产品且填写《关于符合本国产品标准的声明函》的，无须填写《关于符合本国产品标准的成本占比承诺函》。</w:t>
            </w:r>
          </w:p>
        </w:tc>
        <w:tc>
          <w:tcPr>
            <w:tcW w:w="2553" w:type="dxa"/>
            <w:vMerge w:val="continue"/>
            <w:shd w:val="clear" w:color="auto" w:fill="auto"/>
            <w:noWrap w:val="0"/>
            <w:vAlign w:val="top"/>
          </w:tcPr>
          <w:p w14:paraId="7048E13D">
            <w:pPr>
              <w:ind w:firstLine="420" w:firstLineChars="200"/>
              <w:rPr>
                <w:rFonts w:hint="eastAsia"/>
                <w:color w:val="auto"/>
                <w:highlight w:val="none"/>
              </w:rPr>
            </w:pPr>
          </w:p>
        </w:tc>
      </w:tr>
      <w:tr w14:paraId="78B85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9873" w:type="dxa"/>
            <w:gridSpan w:val="3"/>
            <w:shd w:val="clear" w:color="auto" w:fill="auto"/>
            <w:noWrap w:val="0"/>
            <w:vAlign w:val="top"/>
          </w:tcPr>
          <w:p w14:paraId="0AD15220">
            <w:pPr>
              <w:rPr>
                <w:color w:val="auto"/>
                <w:highlight w:val="none"/>
              </w:rPr>
            </w:pPr>
            <w:r>
              <w:rPr>
                <w:rFonts w:hint="eastAsia"/>
                <w:color w:val="auto"/>
                <w:highlight w:val="none"/>
              </w:rPr>
              <w:t>注：未提供《关于符合本国产品标准的声明函》</w:t>
            </w:r>
            <w:r>
              <w:rPr>
                <w:rFonts w:hint="eastAsia"/>
                <w:color w:val="auto"/>
                <w:highlight w:val="none"/>
                <w:lang w:eastAsia="zh-CN"/>
              </w:rPr>
              <w:t>、</w:t>
            </w:r>
            <w:r>
              <w:rPr>
                <w:rFonts w:hint="eastAsia"/>
                <w:color w:val="auto"/>
                <w:szCs w:val="21"/>
                <w:highlight w:val="none"/>
                <w:lang w:eastAsia="zh-CN"/>
              </w:rPr>
              <w:t>《</w:t>
            </w:r>
            <w:r>
              <w:rPr>
                <w:rFonts w:hint="eastAsia"/>
                <w:color w:val="auto"/>
                <w:szCs w:val="21"/>
                <w:highlight w:val="none"/>
                <w:lang w:val="en-US" w:eastAsia="zh-CN"/>
              </w:rPr>
              <w:t>关于符合本国产品标准的成本占比承诺函》（如适用）</w:t>
            </w:r>
            <w:r>
              <w:rPr>
                <w:rFonts w:hint="eastAsia"/>
                <w:color w:val="auto"/>
                <w:highlight w:val="none"/>
                <w:lang w:val="en-US" w:eastAsia="zh-CN"/>
              </w:rPr>
              <w:t>或</w:t>
            </w:r>
            <w:r>
              <w:rPr>
                <w:rFonts w:hint="eastAsia"/>
                <w:color w:val="auto"/>
                <w:highlight w:val="none"/>
              </w:rPr>
              <w:t>不符合条件的，不享受价格扣除优惠。</w:t>
            </w:r>
          </w:p>
        </w:tc>
      </w:tr>
    </w:tbl>
    <w:p w14:paraId="25EE3CDD">
      <w:pPr>
        <w:ind w:firstLine="420" w:firstLineChars="200"/>
        <w:rPr>
          <w:color w:val="auto"/>
          <w:highlight w:val="none"/>
        </w:rPr>
      </w:pPr>
    </w:p>
    <w:p w14:paraId="28409D35">
      <w:pPr>
        <w:pStyle w:val="19"/>
        <w:numPr>
          <w:ilvl w:val="0"/>
          <w:numId w:val="0"/>
        </w:numPr>
        <w:ind w:firstLine="420" w:firstLineChars="200"/>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3）</w:t>
      </w:r>
      <w:r>
        <w:rPr>
          <w:rFonts w:hint="eastAsia" w:ascii="Times New Roman" w:hAnsi="Times New Roman" w:eastAsia="宋体" w:cs="Times New Roman"/>
          <w:color w:val="auto"/>
          <w:kern w:val="2"/>
          <w:sz w:val="21"/>
          <w:szCs w:val="24"/>
          <w:highlight w:val="none"/>
          <w:lang w:val="en-US" w:eastAsia="zh-CN" w:bidi="ar-SA"/>
        </w:rPr>
        <w:t>评审报价计算示例：</w:t>
      </w:r>
    </w:p>
    <w:p w14:paraId="31273094">
      <w:pPr>
        <w:spacing w:before="120" w:beforeLines="0" w:afterLines="0" w:line="320" w:lineRule="atLeast"/>
        <w:ind w:firstLine="420" w:firstLineChars="200"/>
        <w:rPr>
          <w:rFonts w:hint="eastAsia"/>
          <w:color w:val="auto"/>
          <w:highlight w:val="none"/>
          <w:lang w:val="en-US" w:eastAsia="zh-CN"/>
        </w:rPr>
      </w:pPr>
      <w:r>
        <w:rPr>
          <w:rFonts w:hint="eastAsia"/>
          <w:color w:val="auto"/>
          <w:highlight w:val="none"/>
          <w:lang w:val="en-US" w:eastAsia="zh-CN"/>
        </w:rPr>
        <w:t>a.投标人若符合中小企业支持政策的要求，计算公式具体为：评审报价＝投标总报价－（投标总报价*小微企业价格扣除比例）</w:t>
      </w:r>
    </w:p>
    <w:p w14:paraId="1B49F0B1">
      <w:pPr>
        <w:ind w:firstLine="420" w:firstLineChars="200"/>
        <w:rPr>
          <w:rFonts w:hint="eastAsia"/>
          <w:color w:val="auto"/>
          <w:highlight w:val="none"/>
          <w:lang w:val="en-US" w:eastAsia="zh-CN"/>
        </w:rPr>
      </w:pPr>
      <w:r>
        <w:rPr>
          <w:rFonts w:hint="eastAsia"/>
          <w:color w:val="auto"/>
          <w:highlight w:val="none"/>
          <w:lang w:val="en-US" w:eastAsia="zh-CN"/>
        </w:rPr>
        <w:t>b.投标人若符合本国产品支持政策的要求，计算公式具体为：评审报价＝投标总报价－（全部产品的总报价*20%）</w:t>
      </w:r>
    </w:p>
    <w:p w14:paraId="1A329ECE">
      <w:pPr>
        <w:ind w:firstLine="420" w:firstLineChars="200"/>
        <w:rPr>
          <w:rFonts w:hint="eastAsia"/>
          <w:color w:val="auto"/>
          <w:highlight w:val="none"/>
          <w:lang w:val="en-US" w:eastAsia="zh-CN"/>
        </w:rPr>
      </w:pPr>
      <w:r>
        <w:rPr>
          <w:rFonts w:hint="eastAsia"/>
          <w:color w:val="auto"/>
          <w:highlight w:val="none"/>
          <w:lang w:val="en-US" w:eastAsia="zh-CN"/>
        </w:rPr>
        <w:t>c.投标人若同时符合中小企业、本国产品扶持政策的要求，计算公式具体为：评审报价＝投标总报价－（投标总报价*小微企业价格扣除比例）－（全部产品的总报价*20%）</w:t>
      </w:r>
    </w:p>
    <w:p w14:paraId="26F288DD">
      <w:pPr>
        <w:pStyle w:val="19"/>
        <w:ind w:firstLine="420" w:firstLineChars="20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备注：全部产品是指货物或服务采购项目或采购包中包含的全部货物、服务产品。</w:t>
      </w:r>
    </w:p>
    <w:bookmarkEnd w:id="118"/>
    <w:p w14:paraId="1BAAF03A">
      <w:pPr>
        <w:spacing w:before="120" w:line="320" w:lineRule="atLeast"/>
        <w:ind w:firstLine="420" w:firstLineChars="200"/>
        <w:rPr>
          <w:color w:val="auto"/>
          <w:highlight w:val="none"/>
        </w:rPr>
      </w:pPr>
      <w:r>
        <w:rPr>
          <w:rFonts w:hint="eastAsia"/>
          <w:color w:val="auto"/>
          <w:highlight w:val="none"/>
          <w:lang w:val="en-US" w:eastAsia="zh-CN"/>
        </w:rPr>
        <w:t>1</w:t>
      </w:r>
      <w:r>
        <w:rPr>
          <w:color w:val="auto"/>
          <w:highlight w:val="none"/>
        </w:rPr>
        <w:t>.1</w:t>
      </w:r>
      <w:r>
        <w:rPr>
          <w:rFonts w:hint="eastAsia"/>
          <w:color w:val="auto"/>
          <w:highlight w:val="none"/>
        </w:rPr>
        <w:t>偏离认定说明</w:t>
      </w:r>
    </w:p>
    <w:p w14:paraId="4EF8F6CB">
      <w:pPr>
        <w:spacing w:before="120" w:line="320" w:lineRule="atLeast"/>
        <w:ind w:firstLine="420" w:firstLineChars="200"/>
        <w:rPr>
          <w:color w:val="auto"/>
          <w:szCs w:val="21"/>
          <w:highlight w:val="none"/>
        </w:rPr>
      </w:pPr>
      <w:bookmarkStart w:id="122" w:name="_Hlk132792081"/>
      <w:r>
        <w:rPr>
          <w:rFonts w:hint="eastAsia"/>
          <w:color w:val="auto"/>
          <w:szCs w:val="21"/>
          <w:highlight w:val="none"/>
          <w:lang w:eastAsia="zh-CN"/>
        </w:rPr>
        <w:t>投标人</w:t>
      </w:r>
      <w:r>
        <w:rPr>
          <w:rFonts w:hint="eastAsia"/>
          <w:color w:val="auto"/>
          <w:szCs w:val="21"/>
          <w:highlight w:val="none"/>
        </w:rPr>
        <w:t>根据采购需求中技术参数为基准，填写响应表，对于响应表或证明材料与技术参数不符的，按如下规定：</w:t>
      </w:r>
    </w:p>
    <w:p w14:paraId="228A20CB">
      <w:pPr>
        <w:spacing w:before="120" w:line="320" w:lineRule="atLeast"/>
        <w:ind w:firstLine="420" w:firstLineChars="200"/>
        <w:rPr>
          <w:color w:val="auto"/>
          <w:szCs w:val="21"/>
          <w:highlight w:val="none"/>
        </w:rPr>
      </w:pPr>
      <w:r>
        <w:rPr>
          <w:rFonts w:hint="eastAsia"/>
          <w:color w:val="auto"/>
          <w:szCs w:val="21"/>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1DF49F5C">
      <w:pPr>
        <w:spacing w:before="120" w:line="320" w:lineRule="atLeast"/>
        <w:ind w:firstLine="420" w:firstLineChars="200"/>
        <w:rPr>
          <w:color w:val="auto"/>
          <w:szCs w:val="21"/>
          <w:highlight w:val="none"/>
        </w:rPr>
      </w:pPr>
      <w:r>
        <w:rPr>
          <w:rFonts w:hint="eastAsia"/>
          <w:color w:val="auto"/>
          <w:szCs w:val="21"/>
          <w:highlight w:val="none"/>
        </w:rPr>
        <w:t>（2）响应表中响应的内容与证明材料不一致的，以证明材料为准作为评审依据。</w:t>
      </w:r>
    </w:p>
    <w:p w14:paraId="1607E3B6">
      <w:pPr>
        <w:spacing w:before="120" w:line="320" w:lineRule="atLeast"/>
        <w:ind w:firstLine="420" w:firstLineChars="200"/>
        <w:rPr>
          <w:color w:val="auto"/>
          <w:szCs w:val="21"/>
          <w:highlight w:val="none"/>
        </w:rPr>
      </w:pPr>
      <w:r>
        <w:rPr>
          <w:rFonts w:hint="eastAsia"/>
          <w:color w:val="auto"/>
          <w:szCs w:val="21"/>
          <w:highlight w:val="none"/>
        </w:rPr>
        <w:t>（3）同时出现以上两种情况的，按照（1）-（2）顺序认定。</w:t>
      </w:r>
    </w:p>
    <w:p w14:paraId="31682C32">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）响应表与采购需求中技术参数比较有漏项的，如为实质性参数漏项，视为未响应；如为非实质性参数漏项，视为负偏离。</w:t>
      </w:r>
    </w:p>
    <w:p w14:paraId="4C26A746">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）一项技术参数有多条小项要求的，必须全部响应。如只响应部分参数，视为漏项，按照（4）判定。评审时以每一条技术参数为评审依据。</w:t>
      </w:r>
    </w:p>
    <w:p w14:paraId="6001B272">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）对于区间涵盖值参数，例：电压“测量范围</w:t>
      </w:r>
      <w:r>
        <w:rPr>
          <w:color w:val="auto"/>
          <w:szCs w:val="21"/>
          <w:highlight w:val="none"/>
        </w:rPr>
        <w:t>3V-5V</w:t>
      </w:r>
      <w:r>
        <w:rPr>
          <w:rFonts w:hint="eastAsia"/>
          <w:color w:val="auto"/>
          <w:szCs w:val="21"/>
          <w:highlight w:val="none"/>
        </w:rPr>
        <w:t>”，同时满足下限值更低及上限值更高才视为正偏离，例：响应为“测量范围</w:t>
      </w:r>
      <w:r>
        <w:rPr>
          <w:color w:val="auto"/>
          <w:szCs w:val="21"/>
          <w:highlight w:val="none"/>
        </w:rPr>
        <w:t>2V-6V”</w:t>
      </w:r>
      <w:r>
        <w:rPr>
          <w:rFonts w:hint="eastAsia"/>
          <w:color w:val="auto"/>
          <w:szCs w:val="21"/>
          <w:highlight w:val="none"/>
        </w:rPr>
        <w:t>。如有一端负偏离，不管另一端如何，均视为负偏离，例：响应为“测量范围4</w:t>
      </w:r>
      <w:r>
        <w:rPr>
          <w:color w:val="auto"/>
          <w:szCs w:val="21"/>
          <w:highlight w:val="none"/>
        </w:rPr>
        <w:t>V-6V</w:t>
      </w:r>
      <w:r>
        <w:rPr>
          <w:rFonts w:hint="eastAsia"/>
          <w:color w:val="auto"/>
          <w:szCs w:val="21"/>
          <w:highlight w:val="none"/>
        </w:rPr>
        <w:t>”。</w:t>
      </w:r>
    </w:p>
    <w:p w14:paraId="39B1807C">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）对于区间任意值参数，例“</w:t>
      </w:r>
      <w:r>
        <w:rPr>
          <w:color w:val="auto"/>
          <w:szCs w:val="21"/>
          <w:highlight w:val="none"/>
        </w:rPr>
        <w:t>5</w:t>
      </w:r>
      <w:r>
        <w:rPr>
          <w:rFonts w:hint="eastAsia"/>
          <w:color w:val="auto"/>
          <w:szCs w:val="21"/>
          <w:highlight w:val="none"/>
        </w:rPr>
        <w:t>m</w:t>
      </w:r>
      <w:r>
        <w:rPr>
          <w:color w:val="auto"/>
          <w:szCs w:val="21"/>
          <w:highlight w:val="none"/>
        </w:rPr>
        <w:t>m</w:t>
      </w:r>
      <w:r>
        <w:rPr>
          <w:rFonts w:hint="eastAsia"/>
          <w:color w:val="auto"/>
          <w:szCs w:val="21"/>
          <w:highlight w:val="none"/>
        </w:rPr>
        <w:t>≤间距≤1</w:t>
      </w:r>
      <w:r>
        <w:rPr>
          <w:color w:val="auto"/>
          <w:szCs w:val="21"/>
          <w:highlight w:val="none"/>
        </w:rPr>
        <w:t>0</w:t>
      </w:r>
      <w:r>
        <w:rPr>
          <w:rFonts w:hint="eastAsia"/>
          <w:color w:val="auto"/>
          <w:szCs w:val="21"/>
          <w:highlight w:val="none"/>
        </w:rPr>
        <w:t>m</w:t>
      </w:r>
      <w:r>
        <w:rPr>
          <w:color w:val="auto"/>
          <w:szCs w:val="21"/>
          <w:highlight w:val="none"/>
        </w:rPr>
        <w:t>m</w:t>
      </w:r>
      <w:r>
        <w:rPr>
          <w:rFonts w:hint="eastAsia"/>
          <w:color w:val="auto"/>
          <w:szCs w:val="21"/>
          <w:highlight w:val="none"/>
        </w:rPr>
        <w:t>”或“间距7.5±2.5mm”，若间距响应值为</w:t>
      </w:r>
      <w:r>
        <w:rPr>
          <w:color w:val="auto"/>
          <w:szCs w:val="21"/>
          <w:highlight w:val="none"/>
        </w:rPr>
        <w:t>5</w:t>
      </w:r>
      <w:r>
        <w:rPr>
          <w:rFonts w:hint="eastAsia"/>
          <w:color w:val="auto"/>
          <w:szCs w:val="21"/>
          <w:highlight w:val="none"/>
        </w:rPr>
        <w:t>m</w:t>
      </w:r>
      <w:r>
        <w:rPr>
          <w:color w:val="auto"/>
          <w:szCs w:val="21"/>
          <w:highlight w:val="none"/>
        </w:rPr>
        <w:t>m-10mm</w:t>
      </w:r>
      <w:r>
        <w:rPr>
          <w:rFonts w:hint="eastAsia"/>
          <w:color w:val="auto"/>
          <w:szCs w:val="21"/>
          <w:highlight w:val="none"/>
        </w:rPr>
        <w:t>中任意区间值或任意一个数值（含本数）时为无偏离，例：“6m</w:t>
      </w:r>
      <w:r>
        <w:rPr>
          <w:color w:val="auto"/>
          <w:szCs w:val="21"/>
          <w:highlight w:val="none"/>
        </w:rPr>
        <w:t>m</w:t>
      </w:r>
      <w:r>
        <w:rPr>
          <w:rFonts w:hint="eastAsia"/>
          <w:color w:val="auto"/>
          <w:szCs w:val="21"/>
          <w:highlight w:val="none"/>
        </w:rPr>
        <w:t>≤间距≤8m</w:t>
      </w:r>
      <w:r>
        <w:rPr>
          <w:color w:val="auto"/>
          <w:szCs w:val="21"/>
          <w:highlight w:val="none"/>
        </w:rPr>
        <w:t>m</w:t>
      </w:r>
      <w:r>
        <w:rPr>
          <w:rFonts w:hint="eastAsia"/>
          <w:color w:val="auto"/>
          <w:szCs w:val="21"/>
          <w:highlight w:val="none"/>
        </w:rPr>
        <w:t>”、“8±2mm”、“8mm”。超过区间范围视为负偏离，例：“3m</w:t>
      </w:r>
      <w:r>
        <w:rPr>
          <w:color w:val="auto"/>
          <w:szCs w:val="21"/>
          <w:highlight w:val="none"/>
        </w:rPr>
        <w:t>m</w:t>
      </w:r>
      <w:r>
        <w:rPr>
          <w:rFonts w:hint="eastAsia"/>
          <w:color w:val="auto"/>
          <w:szCs w:val="21"/>
          <w:highlight w:val="none"/>
        </w:rPr>
        <w:t>≤间距≤12m</w:t>
      </w:r>
      <w:r>
        <w:rPr>
          <w:color w:val="auto"/>
          <w:szCs w:val="21"/>
          <w:highlight w:val="none"/>
        </w:rPr>
        <w:t>m</w:t>
      </w:r>
      <w:r>
        <w:rPr>
          <w:rFonts w:hint="eastAsia"/>
          <w:color w:val="auto"/>
          <w:szCs w:val="21"/>
          <w:highlight w:val="none"/>
        </w:rPr>
        <w:t>”、“8±4mm”、“3-12mm”、“3mm”。此类参数不存在正偏离。</w:t>
      </w:r>
    </w:p>
    <w:p w14:paraId="41A6F4A3">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）对于单边任意参数的要求，例“长度≥5</w:t>
      </w:r>
      <w:r>
        <w:rPr>
          <w:color w:val="auto"/>
          <w:szCs w:val="21"/>
          <w:highlight w:val="none"/>
        </w:rPr>
        <w:t>0cm”</w:t>
      </w:r>
      <w:r>
        <w:rPr>
          <w:rFonts w:hint="eastAsia"/>
          <w:color w:val="auto"/>
          <w:szCs w:val="21"/>
          <w:highlight w:val="none"/>
        </w:rPr>
        <w:t>，若响应为5</w:t>
      </w:r>
      <w:r>
        <w:rPr>
          <w:color w:val="auto"/>
          <w:szCs w:val="21"/>
          <w:highlight w:val="none"/>
        </w:rPr>
        <w:t>0 cm</w:t>
      </w:r>
      <w:r>
        <w:rPr>
          <w:rFonts w:hint="eastAsia"/>
          <w:color w:val="auto"/>
          <w:szCs w:val="21"/>
          <w:highlight w:val="none"/>
        </w:rPr>
        <w:t>及5</w:t>
      </w:r>
      <w:r>
        <w:rPr>
          <w:color w:val="auto"/>
          <w:szCs w:val="21"/>
          <w:highlight w:val="none"/>
        </w:rPr>
        <w:t>0cm</w:t>
      </w:r>
      <w:r>
        <w:rPr>
          <w:rFonts w:hint="eastAsia"/>
          <w:color w:val="auto"/>
          <w:szCs w:val="21"/>
          <w:highlight w:val="none"/>
        </w:rPr>
        <w:t>以上任意一个数值，均视为无偏离；若响应小于5</w:t>
      </w:r>
      <w:r>
        <w:rPr>
          <w:color w:val="auto"/>
          <w:szCs w:val="21"/>
          <w:highlight w:val="none"/>
        </w:rPr>
        <w:t>0cm</w:t>
      </w:r>
      <w:r>
        <w:rPr>
          <w:rFonts w:hint="eastAsia"/>
          <w:color w:val="auto"/>
          <w:szCs w:val="21"/>
          <w:highlight w:val="none"/>
        </w:rPr>
        <w:t>，视为负偏离。此类参数无正偏离。</w:t>
      </w:r>
    </w:p>
    <w:p w14:paraId="79C79041">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9</w:t>
      </w:r>
      <w:r>
        <w:rPr>
          <w:rFonts w:hint="eastAsia"/>
          <w:color w:val="auto"/>
          <w:szCs w:val="21"/>
          <w:highlight w:val="none"/>
        </w:rPr>
        <w:t>）对于固定参数，响应与采购需求中技术参数一致，视为无偏离，其他均视为负偏离，此类参数无正偏离。</w:t>
      </w:r>
    </w:p>
    <w:p w14:paraId="75B05938">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10</w:t>
      </w:r>
      <w:r>
        <w:rPr>
          <w:rFonts w:hint="eastAsia"/>
          <w:color w:val="auto"/>
          <w:szCs w:val="21"/>
          <w:highlight w:val="none"/>
        </w:rPr>
        <w:t>）如采购需求中技术参数有特殊要求与上述说明不一致的，以特殊要求为准。</w:t>
      </w:r>
    </w:p>
    <w:bookmarkEnd w:id="122"/>
    <w:p w14:paraId="7789DDE0">
      <w:pPr>
        <w:rPr>
          <w:color w:val="auto"/>
          <w:highlight w:val="none"/>
        </w:rPr>
      </w:pPr>
    </w:p>
    <w:p w14:paraId="3C8A323F">
      <w:pPr>
        <w:rPr>
          <w:b/>
          <w:bCs/>
          <w:color w:val="auto"/>
          <w:kern w:val="0"/>
          <w:szCs w:val="21"/>
          <w:highlight w:val="none"/>
        </w:rPr>
      </w:pPr>
      <w:r>
        <w:rPr>
          <w:b/>
          <w:bCs/>
          <w:color w:val="auto"/>
          <w:kern w:val="0"/>
          <w:szCs w:val="21"/>
          <w:highlight w:val="none"/>
        </w:rPr>
        <w:br w:type="page"/>
      </w:r>
    </w:p>
    <w:p w14:paraId="047BC91C">
      <w:pPr>
        <w:rPr>
          <w:b/>
          <w:bCs/>
          <w:color w:val="auto"/>
          <w:kern w:val="0"/>
          <w:szCs w:val="21"/>
          <w:highlight w:val="none"/>
        </w:rPr>
      </w:pPr>
    </w:p>
    <w:bookmarkEnd w:id="107"/>
    <w:bookmarkEnd w:id="108"/>
    <w:bookmarkEnd w:id="114"/>
    <w:bookmarkEnd w:id="115"/>
    <w:p w14:paraId="7AFE49B1">
      <w:pPr>
        <w:pStyle w:val="27"/>
        <w:snapToGrid w:val="0"/>
        <w:spacing w:before="120" w:after="120" w:line="320" w:lineRule="exact"/>
        <w:jc w:val="center"/>
        <w:outlineLvl w:val="0"/>
        <w:rPr>
          <w:b/>
          <w:bCs/>
          <w:color w:val="auto"/>
          <w:sz w:val="36"/>
          <w:szCs w:val="36"/>
          <w:highlight w:val="none"/>
        </w:rPr>
      </w:pPr>
      <w:bookmarkStart w:id="123" w:name="_Toc20741"/>
      <w:bookmarkStart w:id="124" w:name="_Hlk132792163"/>
      <w:bookmarkStart w:id="125" w:name="_Hlk160525271"/>
      <w:r>
        <w:rPr>
          <w:rFonts w:ascii="Times New Roman" w:hAnsi="Times New Roman" w:cs="Times New Roman"/>
          <w:color w:val="auto"/>
          <w:sz w:val="32"/>
          <w:szCs w:val="32"/>
          <w:highlight w:val="none"/>
        </w:rPr>
        <w:t>第五章  合同主要条款格式</w:t>
      </w:r>
      <w:bookmarkEnd w:id="123"/>
    </w:p>
    <w:bookmarkEnd w:id="124"/>
    <w:bookmarkEnd w:id="125"/>
    <w:p w14:paraId="5B6502D3">
      <w:pPr>
        <w:spacing w:before="120" w:line="360" w:lineRule="auto"/>
        <w:ind w:firstLine="422" w:firstLineChars="200"/>
        <w:jc w:val="center"/>
        <w:outlineLvl w:val="1"/>
        <w:rPr>
          <w:b/>
          <w:bCs/>
          <w:color w:val="auto"/>
          <w:kern w:val="0"/>
          <w:szCs w:val="21"/>
          <w:highlight w:val="none"/>
        </w:rPr>
      </w:pPr>
      <w:r>
        <w:rPr>
          <w:b/>
          <w:bCs/>
          <w:color w:val="auto"/>
          <w:kern w:val="0"/>
          <w:szCs w:val="21"/>
          <w:highlight w:val="none"/>
        </w:rPr>
        <w:t>广西壮族自治区政府采购合同</w:t>
      </w:r>
    </w:p>
    <w:tbl>
      <w:tblPr>
        <w:tblStyle w:val="51"/>
        <w:tblW w:w="0" w:type="auto"/>
        <w:tblInd w:w="0" w:type="dxa"/>
        <w:tblLayout w:type="autofit"/>
        <w:tblCellMar>
          <w:top w:w="0" w:type="dxa"/>
          <w:left w:w="108" w:type="dxa"/>
          <w:bottom w:w="0" w:type="dxa"/>
          <w:right w:w="108" w:type="dxa"/>
        </w:tblCellMar>
      </w:tblPr>
      <w:tblGrid>
        <w:gridCol w:w="2336"/>
        <w:gridCol w:w="2336"/>
        <w:gridCol w:w="2336"/>
        <w:gridCol w:w="2337"/>
      </w:tblGrid>
      <w:tr w14:paraId="7E7CFEAD">
        <w:tblPrEx>
          <w:tblCellMar>
            <w:top w:w="0" w:type="dxa"/>
            <w:left w:w="108" w:type="dxa"/>
            <w:bottom w:w="0" w:type="dxa"/>
            <w:right w:w="108" w:type="dxa"/>
          </w:tblCellMar>
        </w:tblPrEx>
        <w:tc>
          <w:tcPr>
            <w:tcW w:w="2336" w:type="dxa"/>
          </w:tcPr>
          <w:p w14:paraId="624E0816">
            <w:pPr>
              <w:snapToGrid w:val="0"/>
              <w:spacing w:line="360" w:lineRule="auto"/>
              <w:ind w:right="480"/>
              <w:jc w:val="left"/>
              <w:rPr>
                <w:bCs/>
                <w:color w:val="auto"/>
                <w:szCs w:val="21"/>
                <w:highlight w:val="none"/>
              </w:rPr>
            </w:pPr>
            <w:bookmarkStart w:id="126" w:name="tip_risk_bookmark_7"/>
            <w:r>
              <w:rPr>
                <w:rFonts w:hint="eastAsia"/>
                <w:bCs/>
                <w:color w:val="auto"/>
                <w:szCs w:val="21"/>
                <w:highlight w:val="none"/>
              </w:rPr>
              <w:t>合同编号：</w:t>
            </w:r>
          </w:p>
        </w:tc>
        <w:tc>
          <w:tcPr>
            <w:tcW w:w="2336" w:type="dxa"/>
          </w:tcPr>
          <w:p w14:paraId="6DDCB629">
            <w:pPr>
              <w:snapToGrid w:val="0"/>
              <w:spacing w:line="360" w:lineRule="auto"/>
              <w:ind w:right="480"/>
              <w:jc w:val="left"/>
              <w:rPr>
                <w:bCs/>
                <w:color w:val="auto"/>
                <w:szCs w:val="21"/>
                <w:highlight w:val="none"/>
              </w:rPr>
            </w:pPr>
          </w:p>
        </w:tc>
        <w:tc>
          <w:tcPr>
            <w:tcW w:w="2336" w:type="dxa"/>
          </w:tcPr>
          <w:p w14:paraId="15E7B5D8">
            <w:pPr>
              <w:snapToGrid w:val="0"/>
              <w:spacing w:line="360" w:lineRule="auto"/>
              <w:ind w:right="480"/>
              <w:jc w:val="left"/>
              <w:rPr>
                <w:bCs/>
                <w:color w:val="auto"/>
                <w:szCs w:val="21"/>
                <w:highlight w:val="none"/>
              </w:rPr>
            </w:pPr>
            <w:r>
              <w:rPr>
                <w:rFonts w:hint="eastAsia"/>
                <w:bCs/>
                <w:color w:val="auto"/>
                <w:szCs w:val="21"/>
                <w:highlight w:val="none"/>
              </w:rPr>
              <w:t>采购计划号：</w:t>
            </w:r>
          </w:p>
        </w:tc>
        <w:tc>
          <w:tcPr>
            <w:tcW w:w="2337" w:type="dxa"/>
          </w:tcPr>
          <w:p w14:paraId="213C94D9">
            <w:pPr>
              <w:snapToGrid w:val="0"/>
              <w:spacing w:line="360" w:lineRule="auto"/>
              <w:ind w:right="480"/>
              <w:jc w:val="left"/>
              <w:rPr>
                <w:bCs/>
                <w:color w:val="auto"/>
                <w:szCs w:val="21"/>
                <w:highlight w:val="none"/>
              </w:rPr>
            </w:pPr>
          </w:p>
        </w:tc>
      </w:tr>
      <w:tr w14:paraId="66180FA2">
        <w:tblPrEx>
          <w:tblCellMar>
            <w:top w:w="0" w:type="dxa"/>
            <w:left w:w="108" w:type="dxa"/>
            <w:bottom w:w="0" w:type="dxa"/>
            <w:right w:w="108" w:type="dxa"/>
          </w:tblCellMar>
        </w:tblPrEx>
        <w:tc>
          <w:tcPr>
            <w:tcW w:w="2336" w:type="dxa"/>
          </w:tcPr>
          <w:p w14:paraId="74D3DFD5">
            <w:pPr>
              <w:snapToGrid w:val="0"/>
              <w:spacing w:line="360" w:lineRule="auto"/>
              <w:ind w:right="480"/>
              <w:jc w:val="left"/>
              <w:rPr>
                <w:bCs/>
                <w:color w:val="auto"/>
                <w:szCs w:val="21"/>
                <w:highlight w:val="none"/>
              </w:rPr>
            </w:pPr>
            <w:r>
              <w:rPr>
                <w:rFonts w:hint="eastAsia"/>
                <w:bCs/>
                <w:color w:val="auto"/>
                <w:szCs w:val="21"/>
                <w:highlight w:val="none"/>
              </w:rPr>
              <w:t>项目名称：</w:t>
            </w:r>
          </w:p>
        </w:tc>
        <w:tc>
          <w:tcPr>
            <w:tcW w:w="2336" w:type="dxa"/>
          </w:tcPr>
          <w:p w14:paraId="7FF79268">
            <w:pPr>
              <w:snapToGrid w:val="0"/>
              <w:spacing w:line="360" w:lineRule="auto"/>
              <w:ind w:right="480"/>
              <w:jc w:val="left"/>
              <w:rPr>
                <w:bCs/>
                <w:color w:val="auto"/>
                <w:szCs w:val="21"/>
                <w:highlight w:val="none"/>
              </w:rPr>
            </w:pPr>
          </w:p>
        </w:tc>
        <w:tc>
          <w:tcPr>
            <w:tcW w:w="2336" w:type="dxa"/>
          </w:tcPr>
          <w:p w14:paraId="1D7822A6">
            <w:pPr>
              <w:snapToGrid w:val="0"/>
              <w:spacing w:line="360" w:lineRule="auto"/>
              <w:ind w:right="480"/>
              <w:jc w:val="left"/>
              <w:rPr>
                <w:bCs/>
                <w:color w:val="auto"/>
                <w:szCs w:val="21"/>
                <w:highlight w:val="none"/>
              </w:rPr>
            </w:pPr>
            <w:r>
              <w:rPr>
                <w:rFonts w:hint="eastAsia"/>
                <w:bCs/>
                <w:color w:val="auto"/>
                <w:szCs w:val="21"/>
                <w:highlight w:val="none"/>
              </w:rPr>
              <w:t>项目编号：</w:t>
            </w:r>
          </w:p>
        </w:tc>
        <w:tc>
          <w:tcPr>
            <w:tcW w:w="2337" w:type="dxa"/>
          </w:tcPr>
          <w:p w14:paraId="7B2DE452">
            <w:pPr>
              <w:snapToGrid w:val="0"/>
              <w:spacing w:line="360" w:lineRule="auto"/>
              <w:ind w:right="480"/>
              <w:jc w:val="left"/>
              <w:rPr>
                <w:bCs/>
                <w:color w:val="auto"/>
                <w:szCs w:val="21"/>
                <w:highlight w:val="none"/>
              </w:rPr>
            </w:pPr>
          </w:p>
        </w:tc>
      </w:tr>
      <w:tr w14:paraId="781B77F7">
        <w:tblPrEx>
          <w:tblCellMar>
            <w:top w:w="0" w:type="dxa"/>
            <w:left w:w="108" w:type="dxa"/>
            <w:bottom w:w="0" w:type="dxa"/>
            <w:right w:w="108" w:type="dxa"/>
          </w:tblCellMar>
        </w:tblPrEx>
        <w:tc>
          <w:tcPr>
            <w:tcW w:w="2336" w:type="dxa"/>
          </w:tcPr>
          <w:p w14:paraId="77B0B642">
            <w:pPr>
              <w:snapToGrid w:val="0"/>
              <w:spacing w:line="360" w:lineRule="auto"/>
              <w:jc w:val="left"/>
              <w:rPr>
                <w:bCs/>
                <w:color w:val="auto"/>
                <w:szCs w:val="21"/>
                <w:highlight w:val="none"/>
              </w:rPr>
            </w:pPr>
            <w:r>
              <w:rPr>
                <w:rFonts w:hint="eastAsia"/>
                <w:bCs/>
                <w:color w:val="auto"/>
                <w:szCs w:val="21"/>
                <w:highlight w:val="none"/>
              </w:rPr>
              <w:t>采购人（甲方）：</w:t>
            </w:r>
          </w:p>
        </w:tc>
        <w:tc>
          <w:tcPr>
            <w:tcW w:w="2336" w:type="dxa"/>
          </w:tcPr>
          <w:p w14:paraId="1D6F0740">
            <w:pPr>
              <w:snapToGrid w:val="0"/>
              <w:spacing w:line="360" w:lineRule="auto"/>
              <w:ind w:right="480"/>
              <w:jc w:val="left"/>
              <w:rPr>
                <w:bCs/>
                <w:color w:val="auto"/>
                <w:szCs w:val="21"/>
                <w:highlight w:val="none"/>
              </w:rPr>
            </w:pPr>
          </w:p>
        </w:tc>
        <w:tc>
          <w:tcPr>
            <w:tcW w:w="2336" w:type="dxa"/>
          </w:tcPr>
          <w:p w14:paraId="2AB2CDF9">
            <w:pPr>
              <w:snapToGrid w:val="0"/>
              <w:spacing w:line="360" w:lineRule="auto"/>
              <w:jc w:val="left"/>
              <w:rPr>
                <w:bCs/>
                <w:color w:val="auto"/>
                <w:szCs w:val="21"/>
                <w:highlight w:val="none"/>
              </w:rPr>
            </w:pPr>
            <w:r>
              <w:rPr>
                <w:rFonts w:hint="eastAsia"/>
                <w:bCs/>
                <w:color w:val="auto"/>
                <w:szCs w:val="21"/>
                <w:highlight w:val="none"/>
                <w:lang w:val="en-US" w:eastAsia="zh-CN"/>
              </w:rPr>
              <w:t>中标人</w:t>
            </w:r>
            <w:r>
              <w:rPr>
                <w:rFonts w:hint="eastAsia"/>
                <w:bCs/>
                <w:color w:val="auto"/>
                <w:szCs w:val="21"/>
                <w:highlight w:val="none"/>
              </w:rPr>
              <w:t>（乙方）：</w:t>
            </w:r>
          </w:p>
        </w:tc>
        <w:tc>
          <w:tcPr>
            <w:tcW w:w="2337" w:type="dxa"/>
          </w:tcPr>
          <w:p w14:paraId="22E56A8B">
            <w:pPr>
              <w:snapToGrid w:val="0"/>
              <w:spacing w:line="360" w:lineRule="auto"/>
              <w:ind w:right="480"/>
              <w:jc w:val="left"/>
              <w:rPr>
                <w:bCs/>
                <w:color w:val="auto"/>
                <w:szCs w:val="21"/>
                <w:highlight w:val="none"/>
              </w:rPr>
            </w:pPr>
          </w:p>
        </w:tc>
      </w:tr>
      <w:tr w14:paraId="11EEB456">
        <w:tblPrEx>
          <w:tblCellMar>
            <w:top w:w="0" w:type="dxa"/>
            <w:left w:w="108" w:type="dxa"/>
            <w:bottom w:w="0" w:type="dxa"/>
            <w:right w:w="108" w:type="dxa"/>
          </w:tblCellMar>
        </w:tblPrEx>
        <w:tc>
          <w:tcPr>
            <w:tcW w:w="2336" w:type="dxa"/>
          </w:tcPr>
          <w:p w14:paraId="6FE78EF7">
            <w:pPr>
              <w:snapToGrid w:val="0"/>
              <w:spacing w:line="360" w:lineRule="auto"/>
              <w:ind w:right="480"/>
              <w:jc w:val="left"/>
              <w:rPr>
                <w:bCs/>
                <w:color w:val="auto"/>
                <w:szCs w:val="21"/>
                <w:highlight w:val="none"/>
              </w:rPr>
            </w:pPr>
            <w:r>
              <w:rPr>
                <w:rFonts w:hint="eastAsia"/>
                <w:bCs/>
                <w:color w:val="auto"/>
                <w:szCs w:val="21"/>
                <w:highlight w:val="none"/>
              </w:rPr>
              <w:t>签订地点：</w:t>
            </w:r>
          </w:p>
        </w:tc>
        <w:tc>
          <w:tcPr>
            <w:tcW w:w="2336" w:type="dxa"/>
          </w:tcPr>
          <w:p w14:paraId="1601E3CB">
            <w:pPr>
              <w:snapToGrid w:val="0"/>
              <w:spacing w:line="360" w:lineRule="auto"/>
              <w:ind w:right="480"/>
              <w:jc w:val="left"/>
              <w:rPr>
                <w:bCs/>
                <w:color w:val="auto"/>
                <w:szCs w:val="21"/>
                <w:highlight w:val="none"/>
              </w:rPr>
            </w:pPr>
          </w:p>
        </w:tc>
        <w:tc>
          <w:tcPr>
            <w:tcW w:w="2336" w:type="dxa"/>
          </w:tcPr>
          <w:p w14:paraId="3EA4C210">
            <w:pPr>
              <w:snapToGrid w:val="0"/>
              <w:spacing w:line="360" w:lineRule="auto"/>
              <w:ind w:right="480"/>
              <w:jc w:val="left"/>
              <w:rPr>
                <w:bCs/>
                <w:color w:val="auto"/>
                <w:szCs w:val="21"/>
                <w:highlight w:val="none"/>
              </w:rPr>
            </w:pPr>
            <w:r>
              <w:rPr>
                <w:rFonts w:hint="eastAsia"/>
                <w:bCs/>
                <w:color w:val="auto"/>
                <w:szCs w:val="21"/>
                <w:highlight w:val="none"/>
              </w:rPr>
              <w:t>签订时间：</w:t>
            </w:r>
          </w:p>
        </w:tc>
        <w:tc>
          <w:tcPr>
            <w:tcW w:w="2337" w:type="dxa"/>
          </w:tcPr>
          <w:p w14:paraId="5A0391FF">
            <w:pPr>
              <w:snapToGrid w:val="0"/>
              <w:spacing w:line="360" w:lineRule="auto"/>
              <w:ind w:right="480"/>
              <w:jc w:val="left"/>
              <w:rPr>
                <w:bCs/>
                <w:color w:val="auto"/>
                <w:szCs w:val="21"/>
                <w:highlight w:val="none"/>
              </w:rPr>
            </w:pPr>
          </w:p>
        </w:tc>
      </w:tr>
      <w:bookmarkEnd w:id="126"/>
    </w:tbl>
    <w:p w14:paraId="2A48ECCD">
      <w:pPr>
        <w:pStyle w:val="27"/>
        <w:spacing w:line="360" w:lineRule="auto"/>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根据《中华人民共和国政府采购法》</w:t>
      </w:r>
      <w:r>
        <w:rPr>
          <w:rFonts w:hint="eastAsia" w:ascii="Times New Roman" w:hAnsi="Times New Roman" w:cs="Times New Roman"/>
          <w:color w:val="auto"/>
          <w:highlight w:val="none"/>
        </w:rPr>
        <w:t>、</w:t>
      </w:r>
      <w:r>
        <w:rPr>
          <w:rFonts w:ascii="Times New Roman" w:hAnsi="Times New Roman" w:cs="Times New Roman"/>
          <w:color w:val="auto"/>
          <w:highlight w:val="none"/>
        </w:rPr>
        <w:t>《中华人民共和国政府采购法</w:t>
      </w:r>
      <w:r>
        <w:rPr>
          <w:rFonts w:hint="eastAsia" w:ascii="Times New Roman" w:hAnsi="Times New Roman" w:cs="Times New Roman"/>
          <w:color w:val="auto"/>
          <w:highlight w:val="none"/>
        </w:rPr>
        <w:t>实施条例</w:t>
      </w:r>
      <w:r>
        <w:rPr>
          <w:rFonts w:ascii="Times New Roman" w:hAnsi="Times New Roman" w:cs="Times New Roman"/>
          <w:color w:val="auto"/>
          <w:highlight w:val="none"/>
        </w:rPr>
        <w:t>》等法律、法规规定，按照招标文件规定</w:t>
      </w:r>
      <w:r>
        <w:rPr>
          <w:rFonts w:hint="eastAsia" w:ascii="Times New Roman" w:hAnsi="Times New Roman" w:cs="Times New Roman"/>
          <w:color w:val="auto"/>
          <w:highlight w:val="none"/>
        </w:rPr>
        <w:t>、</w:t>
      </w:r>
      <w:r>
        <w:rPr>
          <w:rFonts w:ascii="Times New Roman" w:hAnsi="Times New Roman" w:cs="Times New Roman"/>
          <w:color w:val="auto"/>
          <w:highlight w:val="none"/>
        </w:rPr>
        <w:t>乙方投标文件及其承诺</w:t>
      </w:r>
      <w:r>
        <w:rPr>
          <w:rFonts w:hint="eastAsia" w:ascii="Times New Roman" w:hAnsi="Times New Roman" w:cs="Times New Roman"/>
          <w:color w:val="auto"/>
          <w:highlight w:val="none"/>
        </w:rPr>
        <w:t>和中标通知书</w:t>
      </w:r>
      <w:r>
        <w:rPr>
          <w:rFonts w:ascii="Times New Roman" w:hAnsi="Times New Roman" w:cs="Times New Roman"/>
          <w:color w:val="auto"/>
          <w:highlight w:val="none"/>
        </w:rPr>
        <w:t>，甲乙双方签订本合同。</w:t>
      </w:r>
    </w:p>
    <w:p w14:paraId="2F5F4DAE">
      <w:pPr>
        <w:snapToGrid w:val="0"/>
        <w:spacing w:line="360" w:lineRule="auto"/>
        <w:ind w:firstLine="422" w:firstLineChars="200"/>
        <w:rPr>
          <w:b/>
          <w:color w:val="auto"/>
          <w:szCs w:val="21"/>
          <w:highlight w:val="none"/>
        </w:rPr>
      </w:pPr>
      <w:r>
        <w:rPr>
          <w:b/>
          <w:color w:val="auto"/>
          <w:szCs w:val="21"/>
          <w:highlight w:val="none"/>
        </w:rPr>
        <w:t>第一条　项目概况及服务范围</w:t>
      </w:r>
    </w:p>
    <w:p w14:paraId="77D639B2">
      <w:pPr>
        <w:snapToGrid w:val="0"/>
        <w:spacing w:line="360" w:lineRule="auto"/>
        <w:ind w:firstLine="420" w:firstLineChars="200"/>
        <w:rPr>
          <w:color w:val="auto"/>
          <w:szCs w:val="21"/>
          <w:highlight w:val="none"/>
        </w:rPr>
      </w:pPr>
      <w:r>
        <w:rPr>
          <w:color w:val="auto"/>
          <w:szCs w:val="21"/>
          <w:highlight w:val="none"/>
        </w:rPr>
        <w:t>1.</w:t>
      </w:r>
      <w:bookmarkStart w:id="127" w:name="tip_risk_bookmark_8"/>
      <w:bookmarkStart w:id="128" w:name="tip_risk_bookmark_21"/>
      <w:r>
        <w:rPr>
          <w:color w:val="auto"/>
          <w:szCs w:val="21"/>
          <w:highlight w:val="none"/>
        </w:rPr>
        <w:t>项目名称：</w:t>
      </w:r>
      <w:r>
        <w:rPr>
          <w:rFonts w:hint="eastAsia"/>
          <w:color w:val="auto"/>
          <w:kern w:val="0"/>
          <w:szCs w:val="21"/>
          <w:highlight w:val="none"/>
        </w:rPr>
        <w:t>广西壮族自治区人工影响天气水资源保障工程-机动集成作业系统</w:t>
      </w:r>
    </w:p>
    <w:p w14:paraId="16914CD3">
      <w:pPr>
        <w:snapToGrid w:val="0"/>
        <w:spacing w:line="360" w:lineRule="auto"/>
        <w:ind w:firstLine="420" w:firstLineChars="200"/>
        <w:rPr>
          <w:color w:val="auto"/>
          <w:szCs w:val="21"/>
          <w:highlight w:val="none"/>
        </w:rPr>
      </w:pPr>
      <w:r>
        <w:rPr>
          <w:color w:val="auto"/>
          <w:szCs w:val="21"/>
          <w:highlight w:val="none"/>
        </w:rPr>
        <w:t>2.</w:t>
      </w:r>
      <w:bookmarkStart w:id="129" w:name="tip_risk_bookmark_10"/>
      <w:bookmarkStart w:id="130" w:name="tip_risk_bookmark_22"/>
      <w:bookmarkStart w:id="131" w:name="tip_risk_bookmark_9"/>
      <w:r>
        <w:rPr>
          <w:color w:val="auto"/>
          <w:szCs w:val="21"/>
          <w:highlight w:val="none"/>
        </w:rPr>
        <w:t>服务内容及范围：</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p>
    <w:p w14:paraId="3ACA02DD">
      <w:pPr>
        <w:snapToGrid w:val="0"/>
        <w:spacing w:line="360" w:lineRule="auto"/>
        <w:ind w:firstLine="420" w:firstLineChars="200"/>
        <w:rPr>
          <w:color w:val="auto"/>
          <w:szCs w:val="21"/>
          <w:highlight w:val="none"/>
        </w:rPr>
      </w:pPr>
      <w:r>
        <w:rPr>
          <w:color w:val="auto"/>
          <w:szCs w:val="21"/>
          <w:highlight w:val="none"/>
        </w:rPr>
        <w:t>3.</w:t>
      </w:r>
      <w:r>
        <w:rPr>
          <w:rFonts w:hint="eastAsia"/>
          <w:color w:val="auto"/>
          <w:kern w:val="0"/>
          <w:szCs w:val="21"/>
          <w:highlight w:val="none"/>
        </w:rPr>
        <w:t>合同履约期限</w:t>
      </w:r>
      <w:r>
        <w:rPr>
          <w:color w:val="auto"/>
          <w:szCs w:val="21"/>
          <w:highlight w:val="none"/>
        </w:rPr>
        <w:t>：</w:t>
      </w:r>
      <w:r>
        <w:rPr>
          <w:color w:val="auto"/>
          <w:szCs w:val="21"/>
          <w:highlight w:val="none"/>
          <w:u w:val="single"/>
        </w:rPr>
        <w:t xml:space="preserve">                                   </w:t>
      </w:r>
      <w:r>
        <w:rPr>
          <w:color w:val="auto"/>
          <w:szCs w:val="21"/>
          <w:highlight w:val="none"/>
        </w:rPr>
        <w:t>；</w:t>
      </w:r>
    </w:p>
    <w:p w14:paraId="46A58F9B">
      <w:pPr>
        <w:snapToGrid w:val="0"/>
        <w:spacing w:line="360" w:lineRule="auto"/>
        <w:ind w:firstLine="420" w:firstLineChars="200"/>
        <w:rPr>
          <w:color w:val="auto"/>
          <w:szCs w:val="21"/>
          <w:highlight w:val="none"/>
        </w:rPr>
      </w:pPr>
      <w:r>
        <w:rPr>
          <w:color w:val="auto"/>
          <w:szCs w:val="21"/>
          <w:highlight w:val="none"/>
        </w:rPr>
        <w:t>4.交付时间及地点：</w:t>
      </w:r>
      <w:r>
        <w:rPr>
          <w:color w:val="auto"/>
          <w:szCs w:val="21"/>
          <w:highlight w:val="none"/>
          <w:u w:val="single"/>
        </w:rPr>
        <w:t xml:space="preserve">                                 </w:t>
      </w:r>
      <w:r>
        <w:rPr>
          <w:color w:val="auto"/>
          <w:szCs w:val="21"/>
          <w:highlight w:val="none"/>
        </w:rPr>
        <w:t>；</w:t>
      </w:r>
      <w:bookmarkEnd w:id="127"/>
      <w:bookmarkEnd w:id="128"/>
      <w:bookmarkEnd w:id="129"/>
      <w:bookmarkEnd w:id="130"/>
      <w:r>
        <w:rPr>
          <w:color w:val="auto"/>
          <w:szCs w:val="21"/>
          <w:highlight w:val="none"/>
        </w:rPr>
        <w:t xml:space="preserve"> </w:t>
      </w:r>
    </w:p>
    <w:p w14:paraId="572641FB">
      <w:pPr>
        <w:snapToGrid w:val="0"/>
        <w:spacing w:line="360" w:lineRule="auto"/>
        <w:ind w:firstLine="420" w:firstLineChars="200"/>
        <w:rPr>
          <w:color w:val="auto"/>
          <w:szCs w:val="21"/>
          <w:highlight w:val="none"/>
        </w:rPr>
      </w:pPr>
      <w:r>
        <w:rPr>
          <w:color w:val="auto"/>
          <w:szCs w:val="21"/>
          <w:highlight w:val="none"/>
        </w:rPr>
        <w:t>5.</w:t>
      </w:r>
      <w:bookmarkStart w:id="132" w:name="auto_fouce_23"/>
      <w:r>
        <w:rPr>
          <w:color w:val="auto"/>
          <w:szCs w:val="21"/>
          <w:highlight w:val="none"/>
        </w:rPr>
        <w:t>报价要求：</w:t>
      </w:r>
      <w:r>
        <w:rPr>
          <w:rFonts w:hint="eastAsia"/>
          <w:color w:val="auto"/>
          <w:szCs w:val="21"/>
          <w:highlight w:val="none"/>
        </w:rPr>
        <w:t>包含产品价格、运输费（含装卸费）、保险费、安装调试费、税费、培训费、产品检测费、产品质保期内</w:t>
      </w:r>
      <w:r>
        <w:rPr>
          <w:rFonts w:hint="eastAsia"/>
          <w:color w:val="auto"/>
          <w:szCs w:val="21"/>
          <w:highlight w:val="none"/>
          <w:lang w:val="en-US" w:eastAsia="zh-CN"/>
        </w:rPr>
        <w:t>维修</w:t>
      </w:r>
      <w:r>
        <w:rPr>
          <w:rFonts w:hint="eastAsia"/>
          <w:color w:val="auto"/>
          <w:szCs w:val="21"/>
          <w:highlight w:val="none"/>
        </w:rPr>
        <w:t>维护费</w:t>
      </w:r>
      <w:r>
        <w:rPr>
          <w:rFonts w:hint="eastAsia"/>
          <w:color w:val="auto"/>
          <w:szCs w:val="21"/>
          <w:highlight w:val="none"/>
          <w:lang w:eastAsia="zh-CN"/>
        </w:rPr>
        <w:t>、技术服务费</w:t>
      </w:r>
      <w:r>
        <w:rPr>
          <w:rFonts w:hint="eastAsia"/>
          <w:color w:val="auto"/>
          <w:szCs w:val="21"/>
          <w:highlight w:val="none"/>
        </w:rPr>
        <w:t>等</w:t>
      </w:r>
      <w:r>
        <w:rPr>
          <w:rFonts w:hint="eastAsia"/>
          <w:color w:val="auto"/>
          <w:szCs w:val="21"/>
          <w:highlight w:val="none"/>
          <w:lang w:eastAsia="zh-CN"/>
        </w:rPr>
        <w:t>乙方完成本合同项下全部义务所需的所有</w:t>
      </w:r>
      <w:r>
        <w:rPr>
          <w:rFonts w:hint="eastAsia"/>
          <w:color w:val="auto"/>
          <w:szCs w:val="21"/>
          <w:highlight w:val="none"/>
        </w:rPr>
        <w:t>费用。</w:t>
      </w:r>
      <w:bookmarkEnd w:id="131"/>
      <w:bookmarkEnd w:id="132"/>
    </w:p>
    <w:p w14:paraId="4FDEA02B">
      <w:pPr>
        <w:pStyle w:val="27"/>
        <w:spacing w:line="360" w:lineRule="auto"/>
        <w:ind w:firstLine="420" w:firstLineChars="200"/>
        <w:rPr>
          <w:rFonts w:ascii="Times New Roman" w:hAnsi="Times New Roman" w:cs="Times New Roman"/>
          <w:color w:val="auto"/>
          <w:highlight w:val="none"/>
        </w:rPr>
      </w:pPr>
      <w:bookmarkStart w:id="133" w:name="_Hlk77611311"/>
      <w:r>
        <w:rPr>
          <w:rFonts w:ascii="Times New Roman" w:hAnsi="Times New Roman" w:cs="Times New Roman"/>
          <w:color w:val="auto"/>
          <w:highlight w:val="none"/>
        </w:rPr>
        <w:t>6</w:t>
      </w:r>
      <w:r>
        <w:rPr>
          <w:rFonts w:hint="eastAsia" w:ascii="Times New Roman" w:hAnsi="Times New Roman" w:cs="Times New Roman"/>
          <w:color w:val="auto"/>
          <w:highlight w:val="none"/>
        </w:rPr>
        <w:t>.合同价格形式：固定总价，本合同总价已包含乙方完成本合同项下全部义务所需的所有费用，履行过程中不因任何市场价格波动、政策调整、成本增加等因素调整合同总价，甲方无需向乙方支付任何额外费用。</w:t>
      </w:r>
    </w:p>
    <w:bookmarkEnd w:id="133"/>
    <w:p w14:paraId="7C680420">
      <w:pPr>
        <w:snapToGrid w:val="0"/>
        <w:spacing w:line="360" w:lineRule="auto"/>
        <w:ind w:firstLine="422" w:firstLineChars="200"/>
        <w:rPr>
          <w:b/>
          <w:color w:val="auto"/>
          <w:szCs w:val="21"/>
          <w:highlight w:val="none"/>
        </w:rPr>
      </w:pPr>
      <w:r>
        <w:rPr>
          <w:b/>
          <w:color w:val="auto"/>
          <w:szCs w:val="21"/>
          <w:highlight w:val="none"/>
        </w:rPr>
        <w:t>第二条　服务交付成果（产品）清单</w:t>
      </w:r>
    </w:p>
    <w:tbl>
      <w:tblPr>
        <w:tblStyle w:val="51"/>
        <w:tblW w:w="9558"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859"/>
        <w:gridCol w:w="1086"/>
        <w:gridCol w:w="1409"/>
        <w:gridCol w:w="1395"/>
        <w:gridCol w:w="1546"/>
        <w:gridCol w:w="1557"/>
      </w:tblGrid>
      <w:tr w14:paraId="1F45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rPr>
        <w:tc>
          <w:tcPr>
            <w:tcW w:w="706" w:type="dxa"/>
            <w:vAlign w:val="center"/>
          </w:tcPr>
          <w:p w14:paraId="3E323E01">
            <w:pPr>
              <w:snapToGrid w:val="0"/>
              <w:spacing w:line="360" w:lineRule="auto"/>
              <w:jc w:val="center"/>
              <w:rPr>
                <w:color w:val="auto"/>
                <w:szCs w:val="21"/>
                <w:highlight w:val="none"/>
              </w:rPr>
            </w:pPr>
            <w:bookmarkStart w:id="134" w:name="tip_risk_bookmark_25" w:colFirst="0" w:colLast="6"/>
            <w:bookmarkStart w:id="135" w:name="tip_risk_bookmark_12"/>
            <w:r>
              <w:rPr>
                <w:color w:val="auto"/>
                <w:szCs w:val="21"/>
                <w:highlight w:val="none"/>
              </w:rPr>
              <w:t>序号</w:t>
            </w:r>
          </w:p>
        </w:tc>
        <w:tc>
          <w:tcPr>
            <w:tcW w:w="1859" w:type="dxa"/>
            <w:vAlign w:val="center"/>
          </w:tcPr>
          <w:p w14:paraId="7CE3EA2F">
            <w:pPr>
              <w:snapToGrid w:val="0"/>
              <w:spacing w:line="360" w:lineRule="auto"/>
              <w:jc w:val="center"/>
              <w:rPr>
                <w:color w:val="auto"/>
                <w:szCs w:val="21"/>
                <w:highlight w:val="none"/>
              </w:rPr>
            </w:pPr>
            <w:r>
              <w:rPr>
                <w:color w:val="auto"/>
                <w:szCs w:val="21"/>
                <w:highlight w:val="none"/>
              </w:rPr>
              <w:t>服务交付成果或产品名称</w:t>
            </w:r>
          </w:p>
        </w:tc>
        <w:tc>
          <w:tcPr>
            <w:tcW w:w="1086" w:type="dxa"/>
            <w:vAlign w:val="center"/>
          </w:tcPr>
          <w:p w14:paraId="4833725A">
            <w:pPr>
              <w:snapToGrid w:val="0"/>
              <w:spacing w:line="360" w:lineRule="auto"/>
              <w:jc w:val="center"/>
              <w:rPr>
                <w:color w:val="auto"/>
                <w:szCs w:val="21"/>
                <w:highlight w:val="none"/>
              </w:rPr>
            </w:pPr>
            <w:r>
              <w:rPr>
                <w:color w:val="auto"/>
                <w:szCs w:val="21"/>
                <w:highlight w:val="none"/>
              </w:rPr>
              <w:t>数  量</w:t>
            </w:r>
          </w:p>
        </w:tc>
        <w:tc>
          <w:tcPr>
            <w:tcW w:w="1409" w:type="dxa"/>
            <w:vAlign w:val="center"/>
          </w:tcPr>
          <w:p w14:paraId="50C2BAA8">
            <w:pPr>
              <w:snapToGrid w:val="0"/>
              <w:spacing w:line="360" w:lineRule="auto"/>
              <w:jc w:val="center"/>
              <w:rPr>
                <w:color w:val="auto"/>
                <w:szCs w:val="21"/>
                <w:highlight w:val="none"/>
              </w:rPr>
            </w:pPr>
            <w:r>
              <w:rPr>
                <w:color w:val="auto"/>
                <w:szCs w:val="21"/>
                <w:highlight w:val="none"/>
              </w:rPr>
              <w:t>单位</w:t>
            </w:r>
          </w:p>
        </w:tc>
        <w:tc>
          <w:tcPr>
            <w:tcW w:w="1395" w:type="dxa"/>
            <w:vAlign w:val="center"/>
          </w:tcPr>
          <w:p w14:paraId="611E1546">
            <w:pPr>
              <w:snapToGrid w:val="0"/>
              <w:spacing w:line="360" w:lineRule="auto"/>
              <w:jc w:val="center"/>
              <w:rPr>
                <w:color w:val="auto"/>
                <w:szCs w:val="21"/>
                <w:highlight w:val="none"/>
              </w:rPr>
            </w:pPr>
            <w:r>
              <w:rPr>
                <w:color w:val="auto"/>
                <w:szCs w:val="21"/>
                <w:highlight w:val="none"/>
              </w:rPr>
              <w:t>单  价</w:t>
            </w:r>
          </w:p>
          <w:p w14:paraId="59912215">
            <w:pPr>
              <w:snapToGrid w:val="0"/>
              <w:spacing w:line="360" w:lineRule="auto"/>
              <w:jc w:val="center"/>
              <w:rPr>
                <w:color w:val="auto"/>
                <w:szCs w:val="21"/>
                <w:highlight w:val="none"/>
              </w:rPr>
            </w:pPr>
            <w:r>
              <w:rPr>
                <w:color w:val="auto"/>
                <w:szCs w:val="21"/>
                <w:highlight w:val="none"/>
              </w:rPr>
              <w:t>（元）</w:t>
            </w:r>
          </w:p>
        </w:tc>
        <w:tc>
          <w:tcPr>
            <w:tcW w:w="1546" w:type="dxa"/>
            <w:vAlign w:val="center"/>
          </w:tcPr>
          <w:p w14:paraId="3999C6DE">
            <w:pPr>
              <w:snapToGrid w:val="0"/>
              <w:spacing w:line="360" w:lineRule="auto"/>
              <w:jc w:val="center"/>
              <w:rPr>
                <w:color w:val="auto"/>
                <w:szCs w:val="21"/>
                <w:highlight w:val="none"/>
              </w:rPr>
            </w:pPr>
            <w:r>
              <w:rPr>
                <w:color w:val="auto"/>
                <w:szCs w:val="21"/>
                <w:highlight w:val="none"/>
              </w:rPr>
              <w:t>金  额</w:t>
            </w:r>
          </w:p>
          <w:p w14:paraId="67DF4434">
            <w:pPr>
              <w:snapToGrid w:val="0"/>
              <w:spacing w:line="360" w:lineRule="auto"/>
              <w:jc w:val="center"/>
              <w:rPr>
                <w:color w:val="auto"/>
                <w:szCs w:val="21"/>
                <w:highlight w:val="none"/>
              </w:rPr>
            </w:pPr>
            <w:r>
              <w:rPr>
                <w:color w:val="auto"/>
                <w:szCs w:val="21"/>
                <w:highlight w:val="none"/>
              </w:rPr>
              <w:t>（元）</w:t>
            </w:r>
          </w:p>
        </w:tc>
        <w:tc>
          <w:tcPr>
            <w:tcW w:w="1557" w:type="dxa"/>
          </w:tcPr>
          <w:p w14:paraId="2D13A13F">
            <w:pPr>
              <w:snapToGrid w:val="0"/>
              <w:spacing w:line="360" w:lineRule="auto"/>
              <w:jc w:val="center"/>
              <w:rPr>
                <w:color w:val="auto"/>
                <w:szCs w:val="21"/>
                <w:highlight w:val="none"/>
              </w:rPr>
            </w:pPr>
            <w:r>
              <w:rPr>
                <w:color w:val="auto"/>
                <w:szCs w:val="21"/>
                <w:highlight w:val="none"/>
              </w:rPr>
              <w:t>备注</w:t>
            </w:r>
          </w:p>
        </w:tc>
      </w:tr>
      <w:bookmarkEnd w:id="134"/>
      <w:tr w14:paraId="1331F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706" w:type="dxa"/>
            <w:vAlign w:val="center"/>
          </w:tcPr>
          <w:p w14:paraId="1D4257BC">
            <w:pPr>
              <w:snapToGrid w:val="0"/>
              <w:spacing w:line="360" w:lineRule="auto"/>
              <w:jc w:val="center"/>
              <w:rPr>
                <w:color w:val="auto"/>
                <w:szCs w:val="21"/>
                <w:highlight w:val="none"/>
              </w:rPr>
            </w:pPr>
            <w:r>
              <w:rPr>
                <w:color w:val="auto"/>
                <w:szCs w:val="21"/>
                <w:highlight w:val="none"/>
              </w:rPr>
              <w:t>1</w:t>
            </w:r>
          </w:p>
        </w:tc>
        <w:tc>
          <w:tcPr>
            <w:tcW w:w="1859" w:type="dxa"/>
            <w:vAlign w:val="center"/>
          </w:tcPr>
          <w:p w14:paraId="70BAF898">
            <w:pPr>
              <w:snapToGrid w:val="0"/>
              <w:spacing w:line="360" w:lineRule="auto"/>
              <w:jc w:val="center"/>
              <w:rPr>
                <w:color w:val="auto"/>
                <w:szCs w:val="21"/>
                <w:highlight w:val="none"/>
              </w:rPr>
            </w:pPr>
          </w:p>
        </w:tc>
        <w:tc>
          <w:tcPr>
            <w:tcW w:w="1086" w:type="dxa"/>
          </w:tcPr>
          <w:p w14:paraId="064824C5">
            <w:pPr>
              <w:snapToGrid w:val="0"/>
              <w:spacing w:line="360" w:lineRule="auto"/>
              <w:jc w:val="center"/>
              <w:rPr>
                <w:color w:val="auto"/>
                <w:szCs w:val="21"/>
                <w:highlight w:val="none"/>
              </w:rPr>
            </w:pPr>
          </w:p>
        </w:tc>
        <w:tc>
          <w:tcPr>
            <w:tcW w:w="1409" w:type="dxa"/>
          </w:tcPr>
          <w:p w14:paraId="2ED2DE05">
            <w:pPr>
              <w:snapToGrid w:val="0"/>
              <w:spacing w:line="360" w:lineRule="auto"/>
              <w:jc w:val="center"/>
              <w:rPr>
                <w:color w:val="auto"/>
                <w:szCs w:val="21"/>
                <w:highlight w:val="none"/>
              </w:rPr>
            </w:pPr>
          </w:p>
        </w:tc>
        <w:tc>
          <w:tcPr>
            <w:tcW w:w="1395" w:type="dxa"/>
            <w:vAlign w:val="center"/>
          </w:tcPr>
          <w:p w14:paraId="0E7DA36F">
            <w:pPr>
              <w:snapToGrid w:val="0"/>
              <w:spacing w:line="360" w:lineRule="auto"/>
              <w:jc w:val="center"/>
              <w:rPr>
                <w:color w:val="auto"/>
                <w:szCs w:val="21"/>
                <w:highlight w:val="none"/>
              </w:rPr>
            </w:pPr>
          </w:p>
        </w:tc>
        <w:tc>
          <w:tcPr>
            <w:tcW w:w="1546" w:type="dxa"/>
            <w:vAlign w:val="center"/>
          </w:tcPr>
          <w:p w14:paraId="50F27637">
            <w:pPr>
              <w:snapToGrid w:val="0"/>
              <w:spacing w:line="360" w:lineRule="auto"/>
              <w:jc w:val="center"/>
              <w:rPr>
                <w:color w:val="auto"/>
                <w:szCs w:val="21"/>
                <w:highlight w:val="none"/>
              </w:rPr>
            </w:pPr>
          </w:p>
        </w:tc>
        <w:tc>
          <w:tcPr>
            <w:tcW w:w="1557" w:type="dxa"/>
            <w:vMerge w:val="restart"/>
          </w:tcPr>
          <w:p w14:paraId="0EB27749">
            <w:pPr>
              <w:snapToGrid w:val="0"/>
              <w:spacing w:line="360" w:lineRule="auto"/>
              <w:jc w:val="left"/>
              <w:rPr>
                <w:color w:val="auto"/>
                <w:szCs w:val="21"/>
                <w:highlight w:val="none"/>
              </w:rPr>
            </w:pPr>
            <w:r>
              <w:rPr>
                <w:color w:val="auto"/>
                <w:szCs w:val="21"/>
                <w:highlight w:val="none"/>
              </w:rPr>
              <w:t>如有商标品牌、型号参数、生产厂家等信息请注明</w:t>
            </w:r>
          </w:p>
        </w:tc>
      </w:tr>
      <w:tr w14:paraId="04D5C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706" w:type="dxa"/>
            <w:vAlign w:val="center"/>
          </w:tcPr>
          <w:p w14:paraId="3F184207">
            <w:pPr>
              <w:snapToGrid w:val="0"/>
              <w:spacing w:line="360" w:lineRule="auto"/>
              <w:jc w:val="center"/>
              <w:rPr>
                <w:color w:val="auto"/>
                <w:szCs w:val="21"/>
                <w:highlight w:val="none"/>
              </w:rPr>
            </w:pPr>
            <w:r>
              <w:rPr>
                <w:color w:val="auto"/>
                <w:szCs w:val="21"/>
                <w:highlight w:val="none"/>
              </w:rPr>
              <w:t>2</w:t>
            </w:r>
          </w:p>
        </w:tc>
        <w:tc>
          <w:tcPr>
            <w:tcW w:w="1859" w:type="dxa"/>
            <w:vAlign w:val="center"/>
          </w:tcPr>
          <w:p w14:paraId="12DDFD75">
            <w:pPr>
              <w:snapToGrid w:val="0"/>
              <w:spacing w:line="360" w:lineRule="auto"/>
              <w:jc w:val="center"/>
              <w:rPr>
                <w:color w:val="auto"/>
                <w:szCs w:val="21"/>
                <w:highlight w:val="none"/>
              </w:rPr>
            </w:pPr>
          </w:p>
        </w:tc>
        <w:tc>
          <w:tcPr>
            <w:tcW w:w="1086" w:type="dxa"/>
          </w:tcPr>
          <w:p w14:paraId="69722E14">
            <w:pPr>
              <w:snapToGrid w:val="0"/>
              <w:spacing w:line="360" w:lineRule="auto"/>
              <w:jc w:val="center"/>
              <w:rPr>
                <w:color w:val="auto"/>
                <w:szCs w:val="21"/>
                <w:highlight w:val="none"/>
              </w:rPr>
            </w:pPr>
          </w:p>
        </w:tc>
        <w:tc>
          <w:tcPr>
            <w:tcW w:w="1409" w:type="dxa"/>
          </w:tcPr>
          <w:p w14:paraId="613CF70B">
            <w:pPr>
              <w:snapToGrid w:val="0"/>
              <w:spacing w:line="360" w:lineRule="auto"/>
              <w:jc w:val="center"/>
              <w:rPr>
                <w:color w:val="auto"/>
                <w:szCs w:val="21"/>
                <w:highlight w:val="none"/>
              </w:rPr>
            </w:pPr>
          </w:p>
        </w:tc>
        <w:tc>
          <w:tcPr>
            <w:tcW w:w="1395" w:type="dxa"/>
            <w:vAlign w:val="center"/>
          </w:tcPr>
          <w:p w14:paraId="53F021CB">
            <w:pPr>
              <w:snapToGrid w:val="0"/>
              <w:spacing w:line="360" w:lineRule="auto"/>
              <w:jc w:val="center"/>
              <w:rPr>
                <w:color w:val="auto"/>
                <w:szCs w:val="21"/>
                <w:highlight w:val="none"/>
              </w:rPr>
            </w:pPr>
          </w:p>
        </w:tc>
        <w:tc>
          <w:tcPr>
            <w:tcW w:w="1546" w:type="dxa"/>
            <w:vAlign w:val="center"/>
          </w:tcPr>
          <w:p w14:paraId="0C348C57">
            <w:pPr>
              <w:snapToGrid w:val="0"/>
              <w:spacing w:line="360" w:lineRule="auto"/>
              <w:jc w:val="center"/>
              <w:rPr>
                <w:color w:val="auto"/>
                <w:szCs w:val="21"/>
                <w:highlight w:val="none"/>
              </w:rPr>
            </w:pPr>
          </w:p>
        </w:tc>
        <w:tc>
          <w:tcPr>
            <w:tcW w:w="1557" w:type="dxa"/>
            <w:vMerge w:val="continue"/>
          </w:tcPr>
          <w:p w14:paraId="6871538D">
            <w:pPr>
              <w:snapToGrid w:val="0"/>
              <w:spacing w:line="360" w:lineRule="auto"/>
              <w:jc w:val="center"/>
              <w:rPr>
                <w:color w:val="auto"/>
                <w:szCs w:val="21"/>
                <w:highlight w:val="none"/>
              </w:rPr>
            </w:pPr>
          </w:p>
        </w:tc>
      </w:tr>
      <w:tr w14:paraId="307F1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trPr>
        <w:tc>
          <w:tcPr>
            <w:tcW w:w="706" w:type="dxa"/>
            <w:vAlign w:val="center"/>
          </w:tcPr>
          <w:p w14:paraId="4AD3D6ED">
            <w:pPr>
              <w:snapToGrid w:val="0"/>
              <w:spacing w:line="360" w:lineRule="auto"/>
              <w:jc w:val="center"/>
              <w:rPr>
                <w:color w:val="auto"/>
                <w:szCs w:val="21"/>
                <w:highlight w:val="none"/>
              </w:rPr>
            </w:pPr>
            <w:r>
              <w:rPr>
                <w:color w:val="auto"/>
                <w:szCs w:val="21"/>
                <w:highlight w:val="none"/>
              </w:rPr>
              <w:t>3</w:t>
            </w:r>
          </w:p>
        </w:tc>
        <w:tc>
          <w:tcPr>
            <w:tcW w:w="1859" w:type="dxa"/>
            <w:vAlign w:val="center"/>
          </w:tcPr>
          <w:p w14:paraId="1938F8C0">
            <w:pPr>
              <w:snapToGrid w:val="0"/>
              <w:spacing w:line="360" w:lineRule="auto"/>
              <w:jc w:val="center"/>
              <w:rPr>
                <w:color w:val="auto"/>
                <w:szCs w:val="21"/>
                <w:highlight w:val="none"/>
              </w:rPr>
            </w:pPr>
          </w:p>
        </w:tc>
        <w:tc>
          <w:tcPr>
            <w:tcW w:w="1086" w:type="dxa"/>
          </w:tcPr>
          <w:p w14:paraId="3543BDFF">
            <w:pPr>
              <w:snapToGrid w:val="0"/>
              <w:spacing w:line="360" w:lineRule="auto"/>
              <w:jc w:val="center"/>
              <w:rPr>
                <w:color w:val="auto"/>
                <w:szCs w:val="21"/>
                <w:highlight w:val="none"/>
              </w:rPr>
            </w:pPr>
          </w:p>
        </w:tc>
        <w:tc>
          <w:tcPr>
            <w:tcW w:w="1409" w:type="dxa"/>
          </w:tcPr>
          <w:p w14:paraId="53FC5115">
            <w:pPr>
              <w:snapToGrid w:val="0"/>
              <w:spacing w:line="360" w:lineRule="auto"/>
              <w:jc w:val="center"/>
              <w:rPr>
                <w:color w:val="auto"/>
                <w:szCs w:val="21"/>
                <w:highlight w:val="none"/>
              </w:rPr>
            </w:pPr>
          </w:p>
        </w:tc>
        <w:tc>
          <w:tcPr>
            <w:tcW w:w="1395" w:type="dxa"/>
            <w:vAlign w:val="center"/>
          </w:tcPr>
          <w:p w14:paraId="308BE777">
            <w:pPr>
              <w:snapToGrid w:val="0"/>
              <w:spacing w:line="360" w:lineRule="auto"/>
              <w:jc w:val="center"/>
              <w:rPr>
                <w:color w:val="auto"/>
                <w:szCs w:val="21"/>
                <w:highlight w:val="none"/>
              </w:rPr>
            </w:pPr>
          </w:p>
        </w:tc>
        <w:tc>
          <w:tcPr>
            <w:tcW w:w="1546" w:type="dxa"/>
            <w:vAlign w:val="center"/>
          </w:tcPr>
          <w:p w14:paraId="31546737">
            <w:pPr>
              <w:snapToGrid w:val="0"/>
              <w:spacing w:line="360" w:lineRule="auto"/>
              <w:jc w:val="center"/>
              <w:rPr>
                <w:color w:val="auto"/>
                <w:szCs w:val="21"/>
                <w:highlight w:val="none"/>
              </w:rPr>
            </w:pPr>
          </w:p>
        </w:tc>
        <w:tc>
          <w:tcPr>
            <w:tcW w:w="1557" w:type="dxa"/>
            <w:vMerge w:val="continue"/>
          </w:tcPr>
          <w:p w14:paraId="25652EE7">
            <w:pPr>
              <w:snapToGrid w:val="0"/>
              <w:spacing w:line="360" w:lineRule="auto"/>
              <w:jc w:val="center"/>
              <w:rPr>
                <w:color w:val="auto"/>
                <w:szCs w:val="21"/>
                <w:highlight w:val="none"/>
              </w:rPr>
            </w:pPr>
          </w:p>
        </w:tc>
      </w:tr>
      <w:tr w14:paraId="7F00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706" w:type="dxa"/>
            <w:vAlign w:val="center"/>
          </w:tcPr>
          <w:p w14:paraId="504B5885">
            <w:pPr>
              <w:snapToGrid w:val="0"/>
              <w:spacing w:line="360" w:lineRule="auto"/>
              <w:jc w:val="center"/>
              <w:rPr>
                <w:color w:val="auto"/>
                <w:szCs w:val="21"/>
                <w:highlight w:val="none"/>
              </w:rPr>
            </w:pPr>
          </w:p>
        </w:tc>
        <w:tc>
          <w:tcPr>
            <w:tcW w:w="8852" w:type="dxa"/>
            <w:gridSpan w:val="6"/>
            <w:vAlign w:val="center"/>
          </w:tcPr>
          <w:p w14:paraId="1D1DC87E">
            <w:pPr>
              <w:snapToGrid w:val="0"/>
              <w:spacing w:line="360" w:lineRule="auto"/>
              <w:jc w:val="left"/>
              <w:rPr>
                <w:color w:val="auto"/>
                <w:szCs w:val="21"/>
                <w:highlight w:val="none"/>
              </w:rPr>
            </w:pPr>
            <w:r>
              <w:rPr>
                <w:rFonts w:hint="eastAsia"/>
                <w:color w:val="auto"/>
                <w:szCs w:val="21"/>
                <w:highlight w:val="none"/>
              </w:rPr>
              <w:t>总价（人民币）</w:t>
            </w:r>
            <w:r>
              <w:rPr>
                <w:color w:val="auto"/>
                <w:szCs w:val="21"/>
                <w:highlight w:val="none"/>
              </w:rPr>
              <w:t>（大写）                          （小写）</w:t>
            </w:r>
          </w:p>
        </w:tc>
      </w:tr>
      <w:bookmarkEnd w:id="135"/>
    </w:tbl>
    <w:p w14:paraId="3DE2866B">
      <w:pPr>
        <w:snapToGrid w:val="0"/>
        <w:spacing w:line="440" w:lineRule="exact"/>
        <w:ind w:firstLine="422" w:firstLineChars="200"/>
        <w:rPr>
          <w:b/>
          <w:color w:val="auto"/>
          <w:szCs w:val="21"/>
          <w:highlight w:val="none"/>
        </w:rPr>
      </w:pPr>
      <w:r>
        <w:rPr>
          <w:b/>
          <w:color w:val="auto"/>
          <w:szCs w:val="21"/>
          <w:highlight w:val="none"/>
        </w:rPr>
        <w:t>第三条  甲方权利和义务</w:t>
      </w:r>
    </w:p>
    <w:p w14:paraId="407174BA">
      <w:pPr>
        <w:snapToGrid w:val="0"/>
        <w:spacing w:line="440" w:lineRule="exact"/>
        <w:ind w:firstLine="420" w:firstLineChars="200"/>
        <w:rPr>
          <w:color w:val="auto"/>
          <w:szCs w:val="21"/>
          <w:highlight w:val="none"/>
        </w:rPr>
      </w:pPr>
      <w:r>
        <w:rPr>
          <w:color w:val="auto"/>
          <w:szCs w:val="21"/>
          <w:highlight w:val="none"/>
        </w:rPr>
        <w:t>1. 甲方有权要求乙方按时、按质、按量、按计划与合同协议约定完成本项目，并有权对乙方工作情况进行监督。</w:t>
      </w:r>
    </w:p>
    <w:p w14:paraId="20CCEC2B">
      <w:pPr>
        <w:snapToGrid w:val="0"/>
        <w:spacing w:line="440" w:lineRule="exact"/>
        <w:ind w:firstLine="420" w:firstLineChars="200"/>
        <w:rPr>
          <w:color w:val="auto"/>
          <w:szCs w:val="21"/>
          <w:highlight w:val="none"/>
        </w:rPr>
      </w:pPr>
      <w:r>
        <w:rPr>
          <w:color w:val="auto"/>
          <w:szCs w:val="21"/>
          <w:highlight w:val="none"/>
        </w:rPr>
        <w:t>2. 根据项目进度，甲方有权及时对乙方提交的方案提出修改意见，并要求乙方按修改意见完成服务工作。</w:t>
      </w:r>
    </w:p>
    <w:p w14:paraId="593D8647">
      <w:pPr>
        <w:snapToGrid w:val="0"/>
        <w:spacing w:line="440" w:lineRule="exact"/>
        <w:ind w:firstLine="420" w:firstLineChars="200"/>
        <w:rPr>
          <w:color w:val="auto"/>
          <w:szCs w:val="21"/>
          <w:highlight w:val="none"/>
        </w:rPr>
      </w:pPr>
      <w:r>
        <w:rPr>
          <w:color w:val="auto"/>
          <w:szCs w:val="21"/>
          <w:highlight w:val="none"/>
        </w:rPr>
        <w:t xml:space="preserve">3. </w:t>
      </w:r>
      <w:bookmarkStart w:id="136" w:name="auto_fouce_26"/>
      <w:r>
        <w:rPr>
          <w:color w:val="auto"/>
          <w:szCs w:val="21"/>
          <w:highlight w:val="none"/>
        </w:rPr>
        <w:t>乙方配备的项目投入人员应得到甲方的认可；</w:t>
      </w:r>
      <w:r>
        <w:rPr>
          <w:rFonts w:hint="eastAsia"/>
          <w:color w:val="auto"/>
          <w:szCs w:val="21"/>
          <w:highlight w:val="none"/>
        </w:rPr>
        <w:t>甲方有权</w:t>
      </w:r>
      <w:r>
        <w:rPr>
          <w:color w:val="auto"/>
          <w:szCs w:val="21"/>
          <w:highlight w:val="none"/>
        </w:rPr>
        <w:t>对</w:t>
      </w:r>
      <w:r>
        <w:rPr>
          <w:rFonts w:hint="eastAsia"/>
          <w:color w:val="auto"/>
          <w:szCs w:val="21"/>
          <w:highlight w:val="none"/>
        </w:rPr>
        <w:t>乙方</w:t>
      </w:r>
      <w:r>
        <w:rPr>
          <w:color w:val="auto"/>
          <w:szCs w:val="21"/>
          <w:highlight w:val="none"/>
        </w:rPr>
        <w:t>派遣的服务人员进行管理、考核</w:t>
      </w:r>
      <w:r>
        <w:rPr>
          <w:rFonts w:hint="eastAsia"/>
          <w:color w:val="auto"/>
          <w:szCs w:val="21"/>
          <w:highlight w:val="none"/>
        </w:rPr>
        <w:t>，考核结果作为乙方人员是否合格的直接依据</w:t>
      </w:r>
      <w:r>
        <w:rPr>
          <w:rFonts w:hint="eastAsia"/>
          <w:color w:val="auto"/>
          <w:szCs w:val="21"/>
          <w:highlight w:val="none"/>
          <w:lang w:eastAsia="zh-CN"/>
        </w:rPr>
        <w:t>，经考核不合格的人员，乙方应在3个工作日内更换为同等及以上资质的人员，且不得因此增加甲方任何费用</w:t>
      </w:r>
      <w:r>
        <w:rPr>
          <w:color w:val="auto"/>
          <w:szCs w:val="21"/>
          <w:highlight w:val="none"/>
        </w:rPr>
        <w:t>。</w:t>
      </w:r>
      <w:bookmarkEnd w:id="136"/>
    </w:p>
    <w:p w14:paraId="52370C06">
      <w:pPr>
        <w:snapToGrid w:val="0"/>
        <w:spacing w:line="440" w:lineRule="exact"/>
        <w:ind w:firstLine="420" w:firstLineChars="200"/>
        <w:rPr>
          <w:strike/>
          <w:color w:val="auto"/>
          <w:szCs w:val="21"/>
          <w:highlight w:val="none"/>
        </w:rPr>
      </w:pPr>
      <w:r>
        <w:rPr>
          <w:color w:val="auto"/>
          <w:szCs w:val="21"/>
          <w:highlight w:val="none"/>
        </w:rPr>
        <w:t>4.甲方有权要求乙方更换不合格的工作人员。</w:t>
      </w:r>
    </w:p>
    <w:p w14:paraId="3291C82A">
      <w:pPr>
        <w:snapToGrid w:val="0"/>
        <w:spacing w:line="440" w:lineRule="exact"/>
        <w:ind w:firstLine="420" w:firstLineChars="200"/>
        <w:rPr>
          <w:color w:val="auto"/>
          <w:szCs w:val="21"/>
          <w:highlight w:val="none"/>
        </w:rPr>
      </w:pPr>
      <w:r>
        <w:rPr>
          <w:color w:val="auto"/>
          <w:szCs w:val="21"/>
          <w:highlight w:val="none"/>
        </w:rPr>
        <w:t>5. 按合同要求及时向乙方支付产品和服务费用。</w:t>
      </w:r>
    </w:p>
    <w:p w14:paraId="32E31F39">
      <w:pPr>
        <w:snapToGrid w:val="0"/>
        <w:spacing w:line="440" w:lineRule="exact"/>
        <w:ind w:firstLine="420" w:firstLineChars="200"/>
        <w:rPr>
          <w:color w:val="auto"/>
          <w:szCs w:val="21"/>
          <w:highlight w:val="none"/>
        </w:rPr>
      </w:pPr>
      <w:bookmarkStart w:id="137" w:name="_Hlk77611324"/>
      <w:r>
        <w:rPr>
          <w:rFonts w:hint="eastAsia"/>
          <w:color w:val="auto"/>
          <w:szCs w:val="21"/>
          <w:highlight w:val="none"/>
        </w:rPr>
        <w:t>6</w:t>
      </w:r>
      <w:r>
        <w:rPr>
          <w:color w:val="auto"/>
          <w:szCs w:val="21"/>
          <w:highlight w:val="none"/>
        </w:rPr>
        <w:t>.</w:t>
      </w:r>
      <w:r>
        <w:rPr>
          <w:rFonts w:hint="eastAsia"/>
          <w:color w:val="auto"/>
          <w:highlight w:val="none"/>
        </w:rPr>
        <w:t xml:space="preserve"> </w:t>
      </w:r>
      <w:bookmarkStart w:id="138" w:name="auto_fouce_27"/>
      <w:r>
        <w:rPr>
          <w:rFonts w:hint="eastAsia"/>
          <w:color w:val="auto"/>
          <w:szCs w:val="21"/>
          <w:highlight w:val="none"/>
        </w:rPr>
        <w:t>本项目实施过程中产生的全部知识产权及衍生权益，包括但不限于系统升级成果、作业数据、模型算法、软件、系统的源代码及全套技术文档等，均归</w:t>
      </w:r>
      <w:r>
        <w:rPr>
          <w:rFonts w:hint="eastAsia"/>
          <w:color w:val="auto"/>
          <w:szCs w:val="21"/>
          <w:highlight w:val="none"/>
          <w:u w:val="single"/>
        </w:rPr>
        <w:t>甲方独家所有。乙方不得自行使用、复制、修改或许可任何第三方使用或泄露</w:t>
      </w:r>
      <w:r>
        <w:rPr>
          <w:rFonts w:hint="eastAsia"/>
          <w:color w:val="auto"/>
          <w:szCs w:val="21"/>
          <w:highlight w:val="none"/>
          <w:u w:val="single"/>
          <w:lang w:eastAsia="zh-CN"/>
        </w:rPr>
        <w:t>，否则需按合同总金额的30%支付违约金</w:t>
      </w:r>
      <w:r>
        <w:rPr>
          <w:rFonts w:hint="eastAsia"/>
          <w:color w:val="auto"/>
          <w:szCs w:val="21"/>
          <w:highlight w:val="none"/>
          <w:u w:val="single"/>
        </w:rPr>
        <w:t>。乙方因履行本合同所接触或获取的甲方所有非公开信息，仅限用于本合同履行之目的，不得对外泄露、出售或用于其他任何用途。</w:t>
      </w:r>
      <w:r>
        <w:rPr>
          <w:rFonts w:hint="eastAsia"/>
          <w:color w:val="auto"/>
          <w:szCs w:val="21"/>
          <w:highlight w:val="none"/>
          <w:u w:val="single"/>
          <w:lang w:eastAsia="zh-CN"/>
        </w:rPr>
        <w:t>项目最终验收</w:t>
      </w:r>
      <w:r>
        <w:rPr>
          <w:rFonts w:hint="eastAsia"/>
          <w:color w:val="auto"/>
          <w:szCs w:val="21"/>
          <w:highlight w:val="none"/>
          <w:u w:val="single"/>
        </w:rPr>
        <w:t>合</w:t>
      </w:r>
      <w:r>
        <w:rPr>
          <w:rFonts w:hint="eastAsia"/>
          <w:color w:val="auto"/>
          <w:szCs w:val="21"/>
          <w:highlight w:val="none"/>
          <w:u w:val="single"/>
          <w:lang w:eastAsia="zh-CN"/>
        </w:rPr>
        <w:t>格</w:t>
      </w:r>
      <w:r>
        <w:rPr>
          <w:rFonts w:hint="eastAsia"/>
          <w:color w:val="auto"/>
          <w:szCs w:val="21"/>
          <w:highlight w:val="none"/>
          <w:u w:val="single"/>
        </w:rPr>
        <w:t>后</w:t>
      </w:r>
      <w:r>
        <w:rPr>
          <w:rFonts w:hint="eastAsia"/>
          <w:color w:val="auto"/>
          <w:szCs w:val="21"/>
          <w:highlight w:val="none"/>
          <w:u w:val="single"/>
          <w:lang w:eastAsia="zh-CN"/>
        </w:rPr>
        <w:t>3个工作日内</w:t>
      </w:r>
      <w:r>
        <w:rPr>
          <w:rFonts w:hint="eastAsia"/>
          <w:color w:val="auto"/>
          <w:szCs w:val="21"/>
          <w:highlight w:val="none"/>
          <w:u w:val="single"/>
        </w:rPr>
        <w:t>，乙方应将全部相关数据、源代码及技术文档移交甲方，不得留存</w:t>
      </w:r>
      <w:r>
        <w:rPr>
          <w:rFonts w:hint="eastAsia"/>
          <w:color w:val="auto"/>
          <w:szCs w:val="21"/>
          <w:highlight w:val="none"/>
          <w:u w:val="single"/>
          <w:lang w:eastAsia="zh-CN"/>
        </w:rPr>
        <w:t>任何形式的</w:t>
      </w:r>
      <w:r>
        <w:rPr>
          <w:rFonts w:hint="eastAsia"/>
          <w:color w:val="auto"/>
          <w:szCs w:val="21"/>
          <w:highlight w:val="none"/>
          <w:u w:val="single"/>
        </w:rPr>
        <w:t>副本</w:t>
      </w:r>
      <w:r>
        <w:rPr>
          <w:rFonts w:hint="eastAsia"/>
          <w:color w:val="auto"/>
          <w:szCs w:val="21"/>
          <w:highlight w:val="none"/>
          <w:u w:val="single"/>
          <w:lang w:eastAsia="zh-CN"/>
        </w:rPr>
        <w:t>（包括云存储、离线存储、员工私人存储等），并出具无留存的书面承诺</w:t>
      </w:r>
      <w:r>
        <w:rPr>
          <w:rFonts w:hint="eastAsia"/>
          <w:color w:val="auto"/>
          <w:szCs w:val="21"/>
          <w:highlight w:val="none"/>
          <w:u w:val="single"/>
        </w:rPr>
        <w:t>。</w:t>
      </w:r>
      <w:bookmarkEnd w:id="138"/>
      <w:r>
        <w:rPr>
          <w:rFonts w:hint="eastAsia"/>
          <w:color w:val="auto"/>
          <w:szCs w:val="21"/>
          <w:highlight w:val="none"/>
          <w:u w:val="single"/>
        </w:rPr>
        <w:t xml:space="preserve">    </w:t>
      </w:r>
      <w:r>
        <w:rPr>
          <w:rFonts w:hint="eastAsia"/>
          <w:color w:val="auto"/>
          <w:szCs w:val="21"/>
          <w:highlight w:val="none"/>
        </w:rPr>
        <w:t xml:space="preserve">    </w:t>
      </w:r>
    </w:p>
    <w:p w14:paraId="3BDAF22B">
      <w:pPr>
        <w:snapToGrid w:val="0"/>
        <w:spacing w:line="440" w:lineRule="exact"/>
        <w:ind w:firstLine="420" w:firstLineChars="200"/>
        <w:rPr>
          <w:color w:val="auto"/>
          <w:szCs w:val="21"/>
          <w:highlight w:val="none"/>
          <w:u w:val="single"/>
        </w:rPr>
      </w:pPr>
      <w:r>
        <w:rPr>
          <w:rFonts w:hint="eastAsia"/>
          <w:color w:val="auto"/>
          <w:highlight w:val="none"/>
        </w:rPr>
        <w:t>7.产权纠纷</w:t>
      </w:r>
      <w:r>
        <w:rPr>
          <w:rFonts w:hint="eastAsia"/>
          <w:color w:val="auto"/>
          <w:szCs w:val="21"/>
          <w:highlight w:val="none"/>
        </w:rPr>
        <w:t>处理方式：</w:t>
      </w:r>
      <w:r>
        <w:rPr>
          <w:rFonts w:hint="eastAsia"/>
          <w:color w:val="auto"/>
          <w:szCs w:val="21"/>
          <w:highlight w:val="none"/>
          <w:u w:val="single"/>
        </w:rPr>
        <w:t>采购人在中华人民共和国境内使用</w:t>
      </w:r>
      <w:r>
        <w:rPr>
          <w:rFonts w:hint="eastAsia"/>
          <w:color w:val="auto"/>
          <w:szCs w:val="21"/>
          <w:highlight w:val="none"/>
          <w:u w:val="single"/>
          <w:lang w:eastAsia="zh-CN"/>
        </w:rPr>
        <w:t>投标人</w:t>
      </w:r>
      <w:r>
        <w:rPr>
          <w:rFonts w:hint="eastAsia"/>
          <w:color w:val="auto"/>
          <w:szCs w:val="21"/>
          <w:highlight w:val="none"/>
          <w:u w:val="single"/>
        </w:rPr>
        <w:t>提供的产品及服务时免受第三方提出的侵犯其专利权或其他知识产权的起诉。如果第三方提出侵权指控，乙方应妥善处理纠纷并承担由此而引起的一切法律责任和费用。</w:t>
      </w:r>
    </w:p>
    <w:bookmarkEnd w:id="137"/>
    <w:p w14:paraId="0A742A2C">
      <w:pPr>
        <w:snapToGrid w:val="0"/>
        <w:spacing w:line="440" w:lineRule="exact"/>
        <w:ind w:firstLine="422" w:firstLineChars="200"/>
        <w:rPr>
          <w:b/>
          <w:color w:val="auto"/>
          <w:szCs w:val="21"/>
          <w:highlight w:val="none"/>
        </w:rPr>
      </w:pPr>
      <w:r>
        <w:rPr>
          <w:b/>
          <w:color w:val="auto"/>
          <w:szCs w:val="21"/>
          <w:highlight w:val="none"/>
        </w:rPr>
        <w:t>第四条  乙方权利和义务</w:t>
      </w:r>
    </w:p>
    <w:p w14:paraId="7A40E6D9">
      <w:pPr>
        <w:snapToGrid w:val="0"/>
        <w:spacing w:line="440" w:lineRule="exact"/>
        <w:ind w:firstLine="420" w:firstLineChars="200"/>
        <w:rPr>
          <w:color w:val="auto"/>
          <w:szCs w:val="21"/>
          <w:highlight w:val="none"/>
        </w:rPr>
      </w:pPr>
      <w:r>
        <w:rPr>
          <w:color w:val="auto"/>
          <w:szCs w:val="21"/>
          <w:highlight w:val="none"/>
        </w:rPr>
        <w:t>1. 严格履行合同文件（含招标文件、投标文件等）约定和承诺的服务内容和质量标准，保证甲方项目的相关工作质量和进度。</w:t>
      </w:r>
    </w:p>
    <w:p w14:paraId="7E8B4D41">
      <w:pPr>
        <w:snapToGrid w:val="0"/>
        <w:spacing w:line="440" w:lineRule="exact"/>
        <w:ind w:firstLine="420" w:firstLineChars="200"/>
        <w:rPr>
          <w:color w:val="auto"/>
          <w:szCs w:val="21"/>
          <w:highlight w:val="none"/>
        </w:rPr>
      </w:pPr>
      <w:r>
        <w:rPr>
          <w:rFonts w:hint="eastAsia"/>
          <w:color w:val="auto"/>
          <w:szCs w:val="21"/>
          <w:highlight w:val="none"/>
        </w:rPr>
        <w:t>2</w:t>
      </w:r>
      <w:r>
        <w:rPr>
          <w:color w:val="auto"/>
          <w:szCs w:val="21"/>
          <w:highlight w:val="none"/>
        </w:rPr>
        <w:t>. 必须严格实施乙方投标文件中承诺的人力资源配置。在必须补充或更换人员时，必须补充或更换优于或等同于投标文件所承诺资质的服务人员，并需取得甲方书面同意。</w:t>
      </w:r>
    </w:p>
    <w:p w14:paraId="3ED41A80">
      <w:pPr>
        <w:snapToGrid w:val="0"/>
        <w:spacing w:line="440" w:lineRule="exact"/>
        <w:ind w:firstLine="420" w:firstLineChars="200"/>
        <w:rPr>
          <w:color w:val="auto"/>
          <w:szCs w:val="21"/>
          <w:highlight w:val="none"/>
        </w:rPr>
      </w:pPr>
      <w:r>
        <w:rPr>
          <w:rFonts w:hint="eastAsia"/>
          <w:color w:val="auto"/>
          <w:szCs w:val="21"/>
          <w:highlight w:val="none"/>
        </w:rPr>
        <w:t>3</w:t>
      </w:r>
      <w:r>
        <w:rPr>
          <w:color w:val="auto"/>
          <w:szCs w:val="21"/>
          <w:highlight w:val="none"/>
        </w:rPr>
        <w:t>. 乙方项目负责人及服务团队成员须与投标文件保持一致。合同存续期内，未经甲方书面要求或同意，项目负责人不应调整。项目负责人及服务团队成员必须保证在岗工作时间和重要活动在岗，如有变化，须取得甲方同意。</w:t>
      </w:r>
    </w:p>
    <w:p w14:paraId="7171E2E5">
      <w:pPr>
        <w:snapToGrid w:val="0"/>
        <w:spacing w:line="440" w:lineRule="exact"/>
        <w:ind w:firstLine="420" w:firstLineChars="200"/>
        <w:rPr>
          <w:color w:val="auto"/>
          <w:szCs w:val="21"/>
          <w:highlight w:val="none"/>
        </w:rPr>
      </w:pPr>
      <w:r>
        <w:rPr>
          <w:rFonts w:hint="eastAsia"/>
          <w:color w:val="auto"/>
          <w:szCs w:val="21"/>
          <w:highlight w:val="none"/>
        </w:rPr>
        <w:t>4</w:t>
      </w:r>
      <w:r>
        <w:rPr>
          <w:color w:val="auto"/>
          <w:szCs w:val="21"/>
          <w:highlight w:val="none"/>
        </w:rPr>
        <w:t>.乙方依本合同约定向甲方提供的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14:paraId="299F932A">
      <w:pPr>
        <w:snapToGrid w:val="0"/>
        <w:spacing w:line="440" w:lineRule="exact"/>
        <w:ind w:firstLine="420" w:firstLineChars="200"/>
        <w:rPr>
          <w:color w:val="auto"/>
          <w:szCs w:val="21"/>
          <w:highlight w:val="none"/>
        </w:rPr>
      </w:pPr>
      <w:r>
        <w:rPr>
          <w:rFonts w:hint="eastAsia"/>
          <w:color w:val="auto"/>
          <w:szCs w:val="21"/>
          <w:highlight w:val="none"/>
        </w:rPr>
        <w:t>5</w:t>
      </w:r>
      <w:r>
        <w:rPr>
          <w:color w:val="auto"/>
          <w:szCs w:val="21"/>
          <w:highlight w:val="none"/>
        </w:rPr>
        <w:t>. 乙方</w:t>
      </w:r>
      <w:r>
        <w:rPr>
          <w:rFonts w:hint="eastAsia"/>
          <w:color w:val="auto"/>
          <w:szCs w:val="21"/>
          <w:highlight w:val="none"/>
        </w:rPr>
        <w:t>的保密义务不受本合同期限限制，无论本合同是否终止、解除，乙方均需承担保密义务，直至相关信息已依法公开为止。乙方</w:t>
      </w:r>
      <w:r>
        <w:rPr>
          <w:color w:val="auto"/>
          <w:szCs w:val="21"/>
          <w:highlight w:val="none"/>
        </w:rPr>
        <w:t>服务人员应履行保密义务。如乙方因违反本条约定给甲方造成损失的，乙方应当承担相应的法律责任，并赔偿由此给甲方造成的一切损失。</w:t>
      </w:r>
    </w:p>
    <w:p w14:paraId="6619F34C">
      <w:pPr>
        <w:snapToGrid w:val="0"/>
        <w:spacing w:line="440" w:lineRule="exact"/>
        <w:ind w:firstLine="420" w:firstLineChars="200"/>
        <w:rPr>
          <w:color w:val="auto"/>
          <w:szCs w:val="21"/>
          <w:highlight w:val="none"/>
        </w:rPr>
      </w:pPr>
      <w:r>
        <w:rPr>
          <w:rFonts w:hint="eastAsia"/>
          <w:color w:val="auto"/>
          <w:szCs w:val="21"/>
          <w:highlight w:val="none"/>
        </w:rPr>
        <w:t>6</w:t>
      </w:r>
      <w:r>
        <w:rPr>
          <w:color w:val="auto"/>
          <w:szCs w:val="21"/>
          <w:highlight w:val="none"/>
        </w:rPr>
        <w:t xml:space="preserve">. </w:t>
      </w:r>
      <w:bookmarkStart w:id="139" w:name="auto_fouce_28"/>
      <w:bookmarkStart w:id="140" w:name="tip_risk_bookmark_29"/>
      <w:r>
        <w:rPr>
          <w:color w:val="auto"/>
          <w:szCs w:val="21"/>
          <w:highlight w:val="none"/>
        </w:rPr>
        <w:t>按照合同约定收取服务费，</w:t>
      </w:r>
      <w:r>
        <w:rPr>
          <w:rFonts w:hint="eastAsia"/>
          <w:color w:val="auto"/>
          <w:szCs w:val="21"/>
          <w:highlight w:val="none"/>
        </w:rPr>
        <w:t>如</w:t>
      </w:r>
      <w:r>
        <w:rPr>
          <w:color w:val="auto"/>
          <w:szCs w:val="21"/>
          <w:highlight w:val="none"/>
        </w:rPr>
        <w:t>甲方</w:t>
      </w:r>
      <w:r>
        <w:rPr>
          <w:rFonts w:hint="eastAsia"/>
          <w:color w:val="auto"/>
          <w:szCs w:val="21"/>
          <w:highlight w:val="none"/>
        </w:rPr>
        <w:t>逾期付款的</w:t>
      </w:r>
      <w:r>
        <w:rPr>
          <w:color w:val="auto"/>
          <w:szCs w:val="21"/>
          <w:highlight w:val="none"/>
        </w:rPr>
        <w:t>，乙方</w:t>
      </w:r>
      <w:r>
        <w:rPr>
          <w:rFonts w:hint="eastAsia"/>
          <w:color w:val="auto"/>
          <w:szCs w:val="21"/>
          <w:highlight w:val="none"/>
        </w:rPr>
        <w:t>应先向甲</w:t>
      </w:r>
      <w:r>
        <w:rPr>
          <w:color w:val="auto"/>
          <w:szCs w:val="21"/>
          <w:highlight w:val="none"/>
        </w:rPr>
        <w:t>方</w:t>
      </w:r>
      <w:r>
        <w:rPr>
          <w:rFonts w:hint="eastAsia"/>
          <w:color w:val="auto"/>
          <w:szCs w:val="21"/>
          <w:highlight w:val="none"/>
        </w:rPr>
        <w:t>发出书面</w:t>
      </w:r>
      <w:r>
        <w:rPr>
          <w:color w:val="auto"/>
          <w:szCs w:val="21"/>
          <w:highlight w:val="none"/>
        </w:rPr>
        <w:t>催</w:t>
      </w:r>
      <w:r>
        <w:rPr>
          <w:rFonts w:hint="eastAsia"/>
          <w:color w:val="auto"/>
          <w:szCs w:val="21"/>
          <w:highlight w:val="none"/>
        </w:rPr>
        <w:t>告</w:t>
      </w:r>
      <w:r>
        <w:rPr>
          <w:color w:val="auto"/>
          <w:szCs w:val="21"/>
          <w:highlight w:val="none"/>
        </w:rPr>
        <w:t>，</w:t>
      </w:r>
      <w:r>
        <w:rPr>
          <w:rFonts w:hint="eastAsia"/>
          <w:color w:val="auto"/>
          <w:szCs w:val="21"/>
          <w:highlight w:val="none"/>
        </w:rPr>
        <w:t>催告</w:t>
      </w:r>
      <w:r>
        <w:rPr>
          <w:rFonts w:hint="eastAsia"/>
          <w:color w:val="auto"/>
          <w:szCs w:val="21"/>
          <w:highlight w:val="none"/>
          <w:lang w:eastAsia="zh-CN"/>
        </w:rPr>
        <w:t>期间</w:t>
      </w:r>
      <w:r>
        <w:rPr>
          <w:color w:val="auto"/>
          <w:szCs w:val="21"/>
          <w:highlight w:val="none"/>
        </w:rPr>
        <w:t>乙方</w:t>
      </w:r>
      <w:r>
        <w:rPr>
          <w:rFonts w:hint="eastAsia"/>
          <w:color w:val="auto"/>
          <w:szCs w:val="21"/>
          <w:highlight w:val="none"/>
          <w:lang w:eastAsia="zh-CN"/>
        </w:rPr>
        <w:t>不得</w:t>
      </w:r>
      <w:r>
        <w:rPr>
          <w:rFonts w:hint="eastAsia"/>
          <w:color w:val="auto"/>
          <w:szCs w:val="21"/>
          <w:highlight w:val="none"/>
        </w:rPr>
        <w:t>暂</w:t>
      </w:r>
      <w:r>
        <w:rPr>
          <w:color w:val="auto"/>
          <w:szCs w:val="21"/>
          <w:highlight w:val="none"/>
        </w:rPr>
        <w:t>停</w:t>
      </w:r>
      <w:r>
        <w:rPr>
          <w:rFonts w:hint="eastAsia"/>
          <w:color w:val="auto"/>
          <w:szCs w:val="21"/>
          <w:highlight w:val="none"/>
          <w:lang w:eastAsia="zh-CN"/>
        </w:rPr>
        <w:t>任何工作，</w:t>
      </w:r>
      <w:r>
        <w:rPr>
          <w:rFonts w:hint="eastAsia"/>
          <w:color w:val="auto"/>
          <w:szCs w:val="21"/>
          <w:highlight w:val="none"/>
        </w:rPr>
        <w:t>不</w:t>
      </w:r>
      <w:r>
        <w:rPr>
          <w:rFonts w:hint="eastAsia"/>
          <w:color w:val="auto"/>
          <w:szCs w:val="21"/>
          <w:highlight w:val="none"/>
          <w:lang w:eastAsia="zh-CN"/>
        </w:rPr>
        <w:t>得</w:t>
      </w:r>
      <w:r>
        <w:rPr>
          <w:rFonts w:hint="eastAsia"/>
          <w:color w:val="auto"/>
          <w:szCs w:val="21"/>
          <w:highlight w:val="none"/>
        </w:rPr>
        <w:t>影响项目</w:t>
      </w:r>
      <w:r>
        <w:rPr>
          <w:rFonts w:hint="eastAsia"/>
          <w:color w:val="auto"/>
          <w:szCs w:val="21"/>
          <w:highlight w:val="none"/>
          <w:lang w:eastAsia="zh-CN"/>
        </w:rPr>
        <w:t>进度、</w:t>
      </w:r>
      <w:r>
        <w:rPr>
          <w:rFonts w:hint="eastAsia"/>
          <w:color w:val="auto"/>
          <w:szCs w:val="21"/>
          <w:highlight w:val="none"/>
        </w:rPr>
        <w:t>设备安全、数据安全及已交付成果</w:t>
      </w:r>
      <w:r>
        <w:rPr>
          <w:rFonts w:hint="eastAsia"/>
          <w:color w:val="auto"/>
          <w:szCs w:val="21"/>
          <w:highlight w:val="none"/>
          <w:lang w:eastAsia="zh-CN"/>
        </w:rPr>
        <w:t>的正常</w:t>
      </w:r>
      <w:r>
        <w:rPr>
          <w:rFonts w:hint="eastAsia"/>
          <w:color w:val="auto"/>
          <w:szCs w:val="21"/>
          <w:highlight w:val="none"/>
        </w:rPr>
        <w:t>运</w:t>
      </w:r>
      <w:r>
        <w:rPr>
          <w:rFonts w:hint="eastAsia"/>
          <w:color w:val="auto"/>
          <w:szCs w:val="21"/>
          <w:highlight w:val="none"/>
          <w:lang w:eastAsia="zh-CN"/>
        </w:rPr>
        <w:t>行，双方就付款事项协商不成</w:t>
      </w:r>
      <w:r>
        <w:rPr>
          <w:rFonts w:hint="eastAsia"/>
          <w:color w:val="auto"/>
          <w:szCs w:val="21"/>
          <w:highlight w:val="none"/>
        </w:rPr>
        <w:t>的</w:t>
      </w:r>
      <w:r>
        <w:rPr>
          <w:rFonts w:hint="eastAsia"/>
          <w:color w:val="auto"/>
          <w:szCs w:val="21"/>
          <w:highlight w:val="none"/>
          <w:lang w:eastAsia="zh-CN"/>
        </w:rPr>
        <w:t>，按合同约定的争议解决方式处理</w:t>
      </w:r>
      <w:r>
        <w:rPr>
          <w:color w:val="auto"/>
          <w:szCs w:val="21"/>
          <w:highlight w:val="none"/>
        </w:rPr>
        <w:t>。</w:t>
      </w:r>
      <w:bookmarkEnd w:id="139"/>
      <w:bookmarkEnd w:id="140"/>
    </w:p>
    <w:p w14:paraId="04D2FCDE">
      <w:pPr>
        <w:snapToGrid w:val="0"/>
        <w:spacing w:line="440" w:lineRule="exact"/>
        <w:ind w:firstLine="422" w:firstLineChars="200"/>
        <w:rPr>
          <w:b/>
          <w:color w:val="auto"/>
          <w:szCs w:val="21"/>
          <w:highlight w:val="none"/>
        </w:rPr>
      </w:pPr>
      <w:r>
        <w:rPr>
          <w:b/>
          <w:color w:val="auto"/>
          <w:szCs w:val="21"/>
          <w:highlight w:val="none"/>
        </w:rPr>
        <w:t>第五条  包装和运输</w:t>
      </w:r>
    </w:p>
    <w:p w14:paraId="53F89112">
      <w:pPr>
        <w:snapToGrid w:val="0"/>
        <w:spacing w:line="440" w:lineRule="exact"/>
        <w:ind w:firstLine="420" w:firstLineChars="200"/>
        <w:rPr>
          <w:color w:val="auto"/>
          <w:szCs w:val="21"/>
          <w:highlight w:val="none"/>
        </w:rPr>
      </w:pPr>
      <w:r>
        <w:rPr>
          <w:color w:val="auto"/>
          <w:szCs w:val="21"/>
          <w:highlight w:val="none"/>
        </w:rPr>
        <w:t>1.乙方提供的服务交付成果或产品均应按招标文件要求的包装材料、包装标准、包装方式进行包装，每一包装单元内应附详细的交付清单和质量合格证，如有缺失应及时补齐，否则视为逾期交付。</w:t>
      </w:r>
    </w:p>
    <w:p w14:paraId="50154338">
      <w:pPr>
        <w:snapToGrid w:val="0"/>
        <w:spacing w:line="440" w:lineRule="exact"/>
        <w:ind w:firstLine="420" w:firstLineChars="200"/>
        <w:rPr>
          <w:color w:val="auto"/>
          <w:szCs w:val="21"/>
          <w:highlight w:val="none"/>
        </w:rPr>
      </w:pPr>
      <w:r>
        <w:rPr>
          <w:color w:val="auto"/>
          <w:szCs w:val="21"/>
          <w:highlight w:val="none"/>
        </w:rPr>
        <w:t>2. 乙方负责服务交付成果、产品的运输。服务交付成果、产品的运输方式由乙方自定。服务交付成果、产品运输合理损耗及计算方法由乙方负责。</w:t>
      </w:r>
    </w:p>
    <w:p w14:paraId="7B093F22">
      <w:pPr>
        <w:pStyle w:val="27"/>
        <w:spacing w:line="440" w:lineRule="exact"/>
        <w:ind w:firstLine="420" w:firstLineChars="200"/>
        <w:rPr>
          <w:rFonts w:ascii="Times New Roman" w:hAnsi="Times New Roman" w:cs="Times New Roman"/>
          <w:color w:val="auto"/>
          <w:highlight w:val="none"/>
        </w:rPr>
      </w:pPr>
      <w:bookmarkStart w:id="141" w:name="_Hlk60651149"/>
      <w:r>
        <w:rPr>
          <w:rFonts w:ascii="Times New Roman" w:hAnsi="Times New Roman" w:cs="Times New Roman"/>
          <w:color w:val="auto"/>
          <w:highlight w:val="none"/>
        </w:rPr>
        <w:t>3.</w:t>
      </w:r>
      <w:r>
        <w:rPr>
          <w:rFonts w:hint="eastAsia" w:ascii="Times New Roman" w:hAnsi="Times New Roman" w:cs="Times New Roman"/>
          <w:color w:val="auto"/>
          <w:highlight w:val="none"/>
        </w:rPr>
        <w:t>乙方提供的产品包装及快递包装应满足《财政部等三部门联合印发商品包装和快递包装政府采购需求标准（试行）》财办库〔2020〕123号文要求。</w:t>
      </w:r>
      <w:bookmarkEnd w:id="141"/>
    </w:p>
    <w:p w14:paraId="10E98D3D">
      <w:pPr>
        <w:snapToGrid w:val="0"/>
        <w:spacing w:line="440" w:lineRule="exact"/>
        <w:ind w:firstLine="422" w:firstLineChars="200"/>
        <w:rPr>
          <w:color w:val="auto"/>
          <w:szCs w:val="21"/>
          <w:highlight w:val="none"/>
        </w:rPr>
      </w:pPr>
      <w:r>
        <w:rPr>
          <w:b/>
          <w:color w:val="auto"/>
          <w:szCs w:val="21"/>
          <w:highlight w:val="none"/>
        </w:rPr>
        <w:t>第六条  交付和验收</w:t>
      </w:r>
    </w:p>
    <w:p w14:paraId="49D18C86">
      <w:pPr>
        <w:snapToGrid w:val="0"/>
        <w:spacing w:line="440" w:lineRule="exact"/>
        <w:ind w:firstLine="420" w:firstLineChars="200"/>
        <w:rPr>
          <w:color w:val="auto"/>
          <w:szCs w:val="21"/>
          <w:highlight w:val="none"/>
        </w:rPr>
      </w:pPr>
      <w:r>
        <w:rPr>
          <w:color w:val="auto"/>
          <w:szCs w:val="21"/>
          <w:highlight w:val="none"/>
        </w:rPr>
        <w:t>1.</w:t>
      </w:r>
      <w:bookmarkStart w:id="142" w:name="auto_fouce_30"/>
      <w:r>
        <w:rPr>
          <w:color w:val="auto"/>
          <w:szCs w:val="21"/>
          <w:highlight w:val="none"/>
        </w:rPr>
        <w:t>交付使用时间：</w:t>
      </w:r>
      <w:r>
        <w:rPr>
          <w:color w:val="auto"/>
          <w:szCs w:val="21"/>
          <w:highlight w:val="none"/>
          <w:u w:val="single"/>
        </w:rPr>
        <w:t>按乙方投标文件中所承诺的时间</w:t>
      </w:r>
      <w:r>
        <w:rPr>
          <w:color w:val="auto"/>
          <w:szCs w:val="21"/>
          <w:highlight w:val="none"/>
        </w:rPr>
        <w:t>；</w:t>
      </w:r>
      <w:r>
        <w:rPr>
          <w:rFonts w:hint="eastAsia"/>
          <w:color w:val="auto"/>
          <w:szCs w:val="21"/>
          <w:highlight w:val="none"/>
          <w:lang w:eastAsia="zh-CN"/>
        </w:rPr>
        <w:t>交付</w:t>
      </w:r>
      <w:r>
        <w:rPr>
          <w:color w:val="auto"/>
          <w:szCs w:val="21"/>
          <w:highlight w:val="none"/>
        </w:rPr>
        <w:t>地点：</w:t>
      </w:r>
      <w:r>
        <w:rPr>
          <w:color w:val="auto"/>
          <w:szCs w:val="21"/>
          <w:highlight w:val="none"/>
          <w:u w:val="single"/>
        </w:rPr>
        <w:t>甲方指定地点</w:t>
      </w:r>
      <w:r>
        <w:rPr>
          <w:color w:val="auto"/>
          <w:szCs w:val="21"/>
          <w:highlight w:val="none"/>
        </w:rPr>
        <w:t>。</w:t>
      </w:r>
      <w:bookmarkEnd w:id="142"/>
    </w:p>
    <w:p w14:paraId="64B3F41C">
      <w:pPr>
        <w:snapToGrid w:val="0"/>
        <w:spacing w:line="440" w:lineRule="exact"/>
        <w:ind w:firstLine="420" w:firstLineChars="200"/>
        <w:rPr>
          <w:color w:val="auto"/>
          <w:highlight w:val="none"/>
        </w:rPr>
      </w:pPr>
      <w:r>
        <w:rPr>
          <w:color w:val="auto"/>
          <w:highlight w:val="none"/>
        </w:rPr>
        <w:t>2.</w:t>
      </w:r>
      <w:r>
        <w:rPr>
          <w:rFonts w:hint="eastAsia"/>
          <w:color w:val="auto"/>
          <w:highlight w:val="none"/>
        </w:rPr>
        <w:t>交付标准：</w:t>
      </w:r>
      <w:r>
        <w:rPr>
          <w:color w:val="auto"/>
          <w:highlight w:val="none"/>
        </w:rPr>
        <w:t>乙方交</w:t>
      </w:r>
      <w:r>
        <w:rPr>
          <w:rFonts w:hint="eastAsia"/>
          <w:color w:val="auto"/>
          <w:highlight w:val="none"/>
        </w:rPr>
        <w:t>付</w:t>
      </w:r>
      <w:r>
        <w:rPr>
          <w:color w:val="auto"/>
          <w:highlight w:val="none"/>
        </w:rPr>
        <w:t>前应对</w:t>
      </w:r>
      <w:r>
        <w:rPr>
          <w:color w:val="auto"/>
          <w:szCs w:val="21"/>
          <w:highlight w:val="none"/>
        </w:rPr>
        <w:t>产品或服务成果</w:t>
      </w:r>
      <w:r>
        <w:rPr>
          <w:color w:val="auto"/>
          <w:highlight w:val="none"/>
        </w:rPr>
        <w:t>作出全面检查</w:t>
      </w:r>
      <w:r>
        <w:rPr>
          <w:rFonts w:hint="eastAsia"/>
          <w:color w:val="auto"/>
          <w:highlight w:val="none"/>
        </w:rPr>
        <w:t>后</w:t>
      </w:r>
      <w:r>
        <w:rPr>
          <w:color w:val="auto"/>
          <w:highlight w:val="none"/>
        </w:rPr>
        <w:t>，</w:t>
      </w:r>
      <w:r>
        <w:rPr>
          <w:color w:val="auto"/>
          <w:szCs w:val="21"/>
          <w:highlight w:val="none"/>
        </w:rPr>
        <w:t>将</w:t>
      </w:r>
      <w:r>
        <w:rPr>
          <w:rFonts w:hint="eastAsia"/>
          <w:color w:val="auto"/>
          <w:szCs w:val="21"/>
          <w:highlight w:val="none"/>
        </w:rPr>
        <w:t>符合合同文件要求的</w:t>
      </w:r>
      <w:r>
        <w:rPr>
          <w:color w:val="auto"/>
          <w:szCs w:val="21"/>
          <w:highlight w:val="none"/>
        </w:rPr>
        <w:t>产品或服务成果交付给甲方。</w:t>
      </w:r>
    </w:p>
    <w:p w14:paraId="596FD87A">
      <w:pPr>
        <w:snapToGrid w:val="0"/>
        <w:spacing w:line="440" w:lineRule="exact"/>
        <w:ind w:firstLine="420" w:firstLineChars="200"/>
        <w:rPr>
          <w:color w:val="auto"/>
          <w:highlight w:val="none"/>
        </w:rPr>
      </w:pPr>
      <w:r>
        <w:rPr>
          <w:rFonts w:hint="eastAsia"/>
          <w:color w:val="auto"/>
          <w:highlight w:val="none"/>
        </w:rPr>
        <w:t>3</w:t>
      </w:r>
      <w:r>
        <w:rPr>
          <w:color w:val="auto"/>
          <w:highlight w:val="none"/>
        </w:rPr>
        <w:t>.</w:t>
      </w:r>
      <w:r>
        <w:rPr>
          <w:rFonts w:hint="eastAsia"/>
          <w:color w:val="auto"/>
          <w:highlight w:val="none"/>
        </w:rPr>
        <w:t>验收程序：</w:t>
      </w:r>
    </w:p>
    <w:p w14:paraId="26EA69B8">
      <w:pPr>
        <w:spacing w:line="440" w:lineRule="exact"/>
        <w:ind w:firstLine="420" w:firstLineChars="200"/>
        <w:rPr>
          <w:color w:val="auto"/>
          <w:highlight w:val="none"/>
        </w:rPr>
      </w:pPr>
      <w:r>
        <w:rPr>
          <w:rFonts w:hint="eastAsia"/>
          <w:color w:val="auto"/>
          <w:highlight w:val="none"/>
        </w:rPr>
        <w:t>3.1.出厂验收</w:t>
      </w:r>
    </w:p>
    <w:p w14:paraId="0F358A16">
      <w:pPr>
        <w:spacing w:line="440" w:lineRule="exact"/>
        <w:ind w:firstLine="420" w:firstLineChars="200"/>
        <w:rPr>
          <w:color w:val="auto"/>
          <w:highlight w:val="none"/>
        </w:rPr>
      </w:pPr>
      <w:bookmarkStart w:id="143" w:name="auto_fouce_31"/>
      <w:r>
        <w:rPr>
          <w:rFonts w:hint="eastAsia"/>
          <w:color w:val="auto"/>
          <w:highlight w:val="none"/>
          <w:lang w:val="en-US" w:eastAsia="zh-CN"/>
        </w:rPr>
        <w:t>乙方</w:t>
      </w:r>
      <w:r>
        <w:rPr>
          <w:rFonts w:hint="eastAsia"/>
          <w:color w:val="auto"/>
          <w:highlight w:val="none"/>
        </w:rPr>
        <w:t>应在合同签订后8个月内完成全部生产建造，向</w:t>
      </w:r>
      <w:r>
        <w:rPr>
          <w:rFonts w:hint="eastAsia"/>
          <w:color w:val="auto"/>
          <w:highlight w:val="none"/>
          <w:lang w:val="en-US" w:eastAsia="zh-CN"/>
        </w:rPr>
        <w:t>甲方</w:t>
      </w:r>
      <w:r>
        <w:rPr>
          <w:rFonts w:hint="eastAsia"/>
          <w:color w:val="auto"/>
          <w:highlight w:val="none"/>
        </w:rPr>
        <w:t>申请组织进行出厂验收，</w:t>
      </w:r>
      <w:r>
        <w:rPr>
          <w:rFonts w:hint="eastAsia"/>
          <w:color w:val="auto"/>
          <w:highlight w:val="none"/>
          <w:lang w:val="en-US" w:eastAsia="zh-CN"/>
        </w:rPr>
        <w:t>乙方</w:t>
      </w:r>
      <w:r>
        <w:rPr>
          <w:rFonts w:hint="eastAsia"/>
          <w:color w:val="auto"/>
          <w:highlight w:val="none"/>
        </w:rPr>
        <w:t>应提交产品总结报告，总结报告内容包括：产品实施概况、设备使用说明、提出售后维修服务条款，由</w:t>
      </w:r>
      <w:r>
        <w:rPr>
          <w:rFonts w:hint="eastAsia"/>
          <w:color w:val="auto"/>
          <w:highlight w:val="none"/>
          <w:lang w:val="en-US" w:eastAsia="zh-CN"/>
        </w:rPr>
        <w:t>甲方</w:t>
      </w:r>
      <w:r>
        <w:rPr>
          <w:rFonts w:hint="eastAsia"/>
          <w:color w:val="auto"/>
          <w:highlight w:val="none"/>
        </w:rPr>
        <w:t>组织制定验收技术大纲并组织验收出具出厂验收意见。</w:t>
      </w:r>
      <w:bookmarkEnd w:id="143"/>
    </w:p>
    <w:p w14:paraId="5A2D2BDD">
      <w:pPr>
        <w:spacing w:line="440" w:lineRule="exact"/>
        <w:ind w:firstLine="420" w:firstLineChars="200"/>
        <w:rPr>
          <w:color w:val="auto"/>
          <w:highlight w:val="none"/>
        </w:rPr>
      </w:pPr>
      <w:r>
        <w:rPr>
          <w:rFonts w:hint="eastAsia"/>
          <w:color w:val="auto"/>
          <w:highlight w:val="none"/>
        </w:rPr>
        <w:t>3.2.合同验收</w:t>
      </w:r>
    </w:p>
    <w:p w14:paraId="365958AB">
      <w:pPr>
        <w:spacing w:line="440" w:lineRule="exact"/>
        <w:ind w:firstLine="420" w:firstLineChars="200"/>
        <w:rPr>
          <w:color w:val="auto"/>
          <w:highlight w:val="none"/>
        </w:rPr>
      </w:pPr>
      <w:bookmarkStart w:id="144" w:name="auto_fouce_32"/>
      <w:r>
        <w:rPr>
          <w:rFonts w:hint="eastAsia"/>
          <w:color w:val="auto"/>
          <w:highlight w:val="none"/>
          <w:lang w:val="en-US" w:eastAsia="zh-CN"/>
        </w:rPr>
        <w:t>乙方</w:t>
      </w:r>
      <w:r>
        <w:rPr>
          <w:rFonts w:hint="eastAsia"/>
          <w:color w:val="auto"/>
          <w:highlight w:val="none"/>
        </w:rPr>
        <w:t>在合同签订后10个月内交付</w:t>
      </w:r>
      <w:r>
        <w:rPr>
          <w:rFonts w:hint="eastAsia"/>
          <w:color w:val="auto"/>
          <w:highlight w:val="none"/>
          <w:lang w:val="en-US" w:eastAsia="zh-CN"/>
        </w:rPr>
        <w:t>甲方</w:t>
      </w:r>
      <w:r>
        <w:rPr>
          <w:rFonts w:hint="eastAsia"/>
          <w:color w:val="auto"/>
          <w:highlight w:val="none"/>
        </w:rPr>
        <w:t>，</w:t>
      </w:r>
      <w:r>
        <w:rPr>
          <w:rFonts w:hint="eastAsia"/>
          <w:color w:val="auto"/>
          <w:highlight w:val="none"/>
          <w:lang w:val="en-US" w:eastAsia="zh-CN"/>
        </w:rPr>
        <w:t>乙方</w:t>
      </w:r>
      <w:r>
        <w:rPr>
          <w:rFonts w:hint="eastAsia"/>
          <w:color w:val="auto"/>
          <w:highlight w:val="none"/>
        </w:rPr>
        <w:t>在交付后1个月内向</w:t>
      </w:r>
      <w:r>
        <w:rPr>
          <w:rFonts w:hint="eastAsia"/>
          <w:color w:val="auto"/>
          <w:highlight w:val="none"/>
          <w:lang w:val="en-US" w:eastAsia="zh-CN"/>
        </w:rPr>
        <w:t>甲方</w:t>
      </w:r>
      <w:r>
        <w:rPr>
          <w:rFonts w:hint="eastAsia"/>
          <w:color w:val="auto"/>
          <w:highlight w:val="none"/>
        </w:rPr>
        <w:t>申请合同验收并配合完成合同验收工作。</w:t>
      </w:r>
      <w:bookmarkEnd w:id="144"/>
    </w:p>
    <w:p w14:paraId="4A92771F">
      <w:pPr>
        <w:spacing w:line="440" w:lineRule="exact"/>
        <w:ind w:firstLine="420" w:firstLineChars="200"/>
        <w:rPr>
          <w:color w:val="auto"/>
          <w:highlight w:val="none"/>
        </w:rPr>
      </w:pPr>
      <w:r>
        <w:rPr>
          <w:rFonts w:hint="eastAsia"/>
          <w:color w:val="auto"/>
          <w:highlight w:val="none"/>
        </w:rPr>
        <w:t>3.3.当满足以下条件时，</w:t>
      </w:r>
      <w:r>
        <w:rPr>
          <w:rFonts w:hint="eastAsia"/>
          <w:color w:val="auto"/>
          <w:highlight w:val="none"/>
          <w:lang w:val="en-US" w:eastAsia="zh-CN"/>
        </w:rPr>
        <w:t>甲方</w:t>
      </w:r>
      <w:r>
        <w:rPr>
          <w:rFonts w:hint="eastAsia"/>
          <w:color w:val="auto"/>
          <w:highlight w:val="none"/>
        </w:rPr>
        <w:t>才向</w:t>
      </w:r>
      <w:r>
        <w:rPr>
          <w:rFonts w:hint="eastAsia"/>
          <w:color w:val="auto"/>
          <w:highlight w:val="none"/>
          <w:lang w:val="en-US" w:eastAsia="zh-CN"/>
        </w:rPr>
        <w:t>乙方</w:t>
      </w:r>
      <w:r>
        <w:rPr>
          <w:rFonts w:hint="eastAsia"/>
          <w:color w:val="auto"/>
          <w:highlight w:val="none"/>
        </w:rPr>
        <w:t>签发货物验收报告：</w:t>
      </w:r>
    </w:p>
    <w:p w14:paraId="72A0AABB">
      <w:pPr>
        <w:spacing w:line="440" w:lineRule="exact"/>
        <w:ind w:firstLine="420" w:firstLineChars="200"/>
        <w:rPr>
          <w:color w:val="auto"/>
          <w:highlight w:val="none"/>
        </w:rPr>
      </w:pPr>
      <w:r>
        <w:rPr>
          <w:rFonts w:hint="eastAsia"/>
          <w:color w:val="auto"/>
          <w:highlight w:val="none"/>
        </w:rPr>
        <w:t>（1）</w:t>
      </w:r>
      <w:r>
        <w:rPr>
          <w:rFonts w:hint="eastAsia"/>
          <w:color w:val="auto"/>
          <w:highlight w:val="none"/>
          <w:lang w:val="en-US" w:eastAsia="zh-CN"/>
        </w:rPr>
        <w:t>乙方</w:t>
      </w:r>
      <w:r>
        <w:rPr>
          <w:rFonts w:hint="eastAsia"/>
          <w:color w:val="auto"/>
          <w:highlight w:val="none"/>
        </w:rPr>
        <w:t>已按照合同规定提供了全部产品及完整的技术资料。</w:t>
      </w:r>
    </w:p>
    <w:p w14:paraId="300BA0B5">
      <w:pPr>
        <w:spacing w:line="440" w:lineRule="exact"/>
        <w:ind w:firstLine="420" w:firstLineChars="200"/>
        <w:rPr>
          <w:color w:val="auto"/>
          <w:highlight w:val="none"/>
        </w:rPr>
      </w:pPr>
      <w:r>
        <w:rPr>
          <w:rFonts w:hint="eastAsia"/>
          <w:color w:val="auto"/>
          <w:highlight w:val="none"/>
        </w:rPr>
        <w:t>（2）货物各项参数完全符合《技术参数及性能（配置）要求》的要求，性能满足要求。</w:t>
      </w:r>
    </w:p>
    <w:p w14:paraId="14442E73">
      <w:pPr>
        <w:spacing w:line="440" w:lineRule="exact"/>
        <w:ind w:firstLine="420" w:firstLineChars="200"/>
        <w:rPr>
          <w:rFonts w:hint="eastAsia" w:ascii="宋体" w:hAnsi="宋体" w:cs="宋体"/>
          <w:color w:val="auto"/>
          <w:szCs w:val="21"/>
          <w:highlight w:val="none"/>
        </w:rPr>
      </w:pPr>
      <w:r>
        <w:rPr>
          <w:rFonts w:hint="eastAsia"/>
          <w:color w:val="auto"/>
          <w:highlight w:val="none"/>
        </w:rPr>
        <w:t>（3）</w:t>
      </w:r>
      <w:r>
        <w:rPr>
          <w:rFonts w:hint="eastAsia"/>
          <w:color w:val="auto"/>
          <w:highlight w:val="none"/>
          <w:lang w:val="en-US" w:eastAsia="zh-CN"/>
        </w:rPr>
        <w:t>乙方</w:t>
      </w:r>
      <w:r>
        <w:rPr>
          <w:rFonts w:hint="eastAsia"/>
          <w:color w:val="auto"/>
          <w:highlight w:val="none"/>
        </w:rPr>
        <w:t>需负责安装、调试（测试），并完成</w:t>
      </w:r>
      <w:r>
        <w:rPr>
          <w:rFonts w:hint="eastAsia"/>
          <w:color w:val="auto"/>
          <w:highlight w:val="none"/>
          <w:lang w:val="en-US" w:eastAsia="zh-CN"/>
        </w:rPr>
        <w:t>甲方</w:t>
      </w:r>
      <w:r>
        <w:rPr>
          <w:rFonts w:hint="eastAsia"/>
          <w:color w:val="auto"/>
          <w:highlight w:val="none"/>
        </w:rPr>
        <w:t>的使用操作培训。</w:t>
      </w:r>
    </w:p>
    <w:p w14:paraId="42AC104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bookmarkStart w:id="145" w:name="tip_risk_bookmark_20"/>
      <w:r>
        <w:rPr>
          <w:rFonts w:hint="eastAsia" w:ascii="宋体" w:hAnsi="宋体" w:cs="宋体"/>
          <w:color w:val="auto"/>
          <w:szCs w:val="21"/>
          <w:highlight w:val="none"/>
        </w:rPr>
        <w:t>4甲方预验收及履约验收过程中所产生的一切费用均由乙方承担，报价时应考虑相关费用。</w:t>
      </w:r>
      <w:bookmarkEnd w:id="145"/>
    </w:p>
    <w:p w14:paraId="231D87C8">
      <w:pPr>
        <w:spacing w:line="440" w:lineRule="exact"/>
        <w:ind w:firstLine="420" w:firstLineChars="200"/>
        <w:rPr>
          <w:color w:val="auto"/>
          <w:highlight w:val="none"/>
        </w:rPr>
      </w:pPr>
      <w:r>
        <w:rPr>
          <w:rFonts w:hint="eastAsia" w:ascii="宋体" w:hAnsi="宋体" w:cs="宋体"/>
          <w:color w:val="auto"/>
          <w:szCs w:val="21"/>
          <w:highlight w:val="none"/>
        </w:rPr>
        <w:t>3.5中标产品不能涉及任何法律纠纷。</w:t>
      </w:r>
    </w:p>
    <w:p w14:paraId="07E4AA56">
      <w:pPr>
        <w:snapToGrid w:val="0"/>
        <w:spacing w:line="440" w:lineRule="exact"/>
        <w:ind w:firstLine="420" w:firstLineChars="200"/>
        <w:rPr>
          <w:color w:val="auto"/>
          <w:highlight w:val="none"/>
        </w:rPr>
      </w:pPr>
      <w:r>
        <w:rPr>
          <w:rFonts w:hint="eastAsia"/>
          <w:color w:val="auto"/>
          <w:highlight w:val="none"/>
        </w:rPr>
        <w:t>4.</w:t>
      </w:r>
      <w:r>
        <w:rPr>
          <w:color w:val="auto"/>
          <w:highlight w:val="none"/>
        </w:rPr>
        <w:t>验收标准：按国家有关</w:t>
      </w:r>
      <w:r>
        <w:rPr>
          <w:rFonts w:hint="eastAsia"/>
          <w:color w:val="auto"/>
          <w:highlight w:val="none"/>
        </w:rPr>
        <w:t>标准</w:t>
      </w:r>
      <w:r>
        <w:rPr>
          <w:color w:val="auto"/>
          <w:highlight w:val="none"/>
        </w:rPr>
        <w:t>以及甲方招标文件的</w:t>
      </w:r>
      <w:r>
        <w:rPr>
          <w:rFonts w:hint="eastAsia"/>
          <w:color w:val="auto"/>
          <w:highlight w:val="none"/>
        </w:rPr>
        <w:t>采购需求</w:t>
      </w:r>
      <w:r>
        <w:rPr>
          <w:color w:val="auto"/>
          <w:highlight w:val="none"/>
        </w:rPr>
        <w:t>、乙方的投标文件</w:t>
      </w:r>
      <w:r>
        <w:rPr>
          <w:rFonts w:hint="eastAsia"/>
          <w:color w:val="auto"/>
          <w:highlight w:val="none"/>
        </w:rPr>
        <w:t>响应</w:t>
      </w:r>
      <w:r>
        <w:rPr>
          <w:color w:val="auto"/>
          <w:highlight w:val="none"/>
        </w:rPr>
        <w:t>及承诺与本合同约定进行验收；</w:t>
      </w:r>
      <w:r>
        <w:rPr>
          <w:rFonts w:hint="eastAsia"/>
          <w:color w:val="auto"/>
          <w:highlight w:val="none"/>
        </w:rPr>
        <w:t>上述标准如</w:t>
      </w:r>
      <w:r>
        <w:rPr>
          <w:color w:val="auto"/>
          <w:highlight w:val="none"/>
        </w:rPr>
        <w:t>有</w:t>
      </w:r>
      <w:r>
        <w:rPr>
          <w:rFonts w:hint="eastAsia"/>
          <w:color w:val="auto"/>
          <w:highlight w:val="none"/>
        </w:rPr>
        <w:t>不一致事项</w:t>
      </w:r>
      <w:r>
        <w:rPr>
          <w:color w:val="auto"/>
          <w:highlight w:val="none"/>
        </w:rPr>
        <w:t>，</w:t>
      </w:r>
      <w:r>
        <w:rPr>
          <w:rFonts w:hint="eastAsia"/>
          <w:color w:val="auto"/>
          <w:highlight w:val="none"/>
        </w:rPr>
        <w:t>以</w:t>
      </w:r>
      <w:r>
        <w:rPr>
          <w:color w:val="auto"/>
          <w:highlight w:val="none"/>
        </w:rPr>
        <w:t>招标</w:t>
      </w:r>
      <w:r>
        <w:rPr>
          <w:rFonts w:hint="eastAsia"/>
          <w:color w:val="auto"/>
          <w:highlight w:val="none"/>
        </w:rPr>
        <w:t>文件</w:t>
      </w:r>
      <w:r>
        <w:rPr>
          <w:color w:val="auto"/>
          <w:highlight w:val="none"/>
        </w:rPr>
        <w:t>与投标文件中</w:t>
      </w:r>
      <w:r>
        <w:rPr>
          <w:rFonts w:hint="eastAsia"/>
          <w:color w:val="auto"/>
          <w:highlight w:val="none"/>
        </w:rPr>
        <w:t>对应要求或指标中</w:t>
      </w:r>
      <w:r>
        <w:rPr>
          <w:color w:val="auto"/>
          <w:highlight w:val="none"/>
        </w:rPr>
        <w:t>较优</w:t>
      </w:r>
      <w:r>
        <w:rPr>
          <w:rFonts w:hint="eastAsia"/>
          <w:color w:val="auto"/>
          <w:highlight w:val="none"/>
        </w:rPr>
        <w:t>作为验收标准。如果交付的</w:t>
      </w:r>
      <w:r>
        <w:rPr>
          <w:color w:val="auto"/>
          <w:szCs w:val="21"/>
          <w:highlight w:val="none"/>
        </w:rPr>
        <w:t>产品或服务成果</w:t>
      </w:r>
      <w:r>
        <w:rPr>
          <w:rFonts w:hint="eastAsia"/>
          <w:color w:val="auto"/>
          <w:highlight w:val="none"/>
        </w:rPr>
        <w:t>中有执行国家强制标准的，则验收标准不得低于国家强制标准。</w:t>
      </w:r>
    </w:p>
    <w:p w14:paraId="27BC0590">
      <w:pPr>
        <w:pStyle w:val="27"/>
        <w:spacing w:line="440" w:lineRule="exact"/>
        <w:ind w:firstLine="420" w:firstLineChars="200"/>
        <w:jc w:val="left"/>
        <w:rPr>
          <w:color w:val="auto"/>
          <w:highlight w:val="none"/>
        </w:rPr>
      </w:pPr>
      <w:r>
        <w:rPr>
          <w:rFonts w:hint="eastAsia" w:ascii="Times New Roman" w:hAnsi="Times New Roman" w:cs="Times New Roman"/>
          <w:color w:val="auto"/>
          <w:highlight w:val="none"/>
        </w:rPr>
        <w:t>5</w:t>
      </w:r>
      <w:r>
        <w:rPr>
          <w:rFonts w:ascii="Times New Roman" w:hAnsi="Times New Roman" w:cs="Times New Roman"/>
          <w:color w:val="auto"/>
          <w:highlight w:val="none"/>
        </w:rPr>
        <w:t>.</w:t>
      </w:r>
      <w:bookmarkStart w:id="146" w:name="auto_fouce_33"/>
      <w:r>
        <w:rPr>
          <w:rFonts w:hint="eastAsia" w:ascii="Times New Roman" w:hAnsi="Times New Roman" w:cs="Times New Roman"/>
          <w:color w:val="auto"/>
          <w:highlight w:val="none"/>
        </w:rPr>
        <w:t>验收地点及验收期限：验收地点为产品</w:t>
      </w:r>
      <w:r>
        <w:rPr>
          <w:color w:val="auto"/>
          <w:highlight w:val="none"/>
        </w:rPr>
        <w:t>或服务成果</w:t>
      </w:r>
      <w:r>
        <w:rPr>
          <w:rFonts w:hint="eastAsia" w:ascii="Times New Roman" w:hAnsi="Times New Roman" w:cs="Times New Roman"/>
          <w:color w:val="auto"/>
          <w:highlight w:val="none"/>
        </w:rPr>
        <w:t>交付地点；</w:t>
      </w:r>
      <w:r>
        <w:rPr>
          <w:rFonts w:hint="eastAsia"/>
          <w:color w:val="auto"/>
          <w:highlight w:val="none"/>
        </w:rPr>
        <w:t>各单项验收应在甲方收到乙方的书面验收申请后5个工作日内组织。乙方在提出验收申请时，应确保已具备验收条件。</w:t>
      </w:r>
      <w:r>
        <w:rPr>
          <w:color w:val="auto"/>
          <w:highlight w:val="none"/>
        </w:rPr>
        <w:t>甲方</w:t>
      </w:r>
      <w:r>
        <w:rPr>
          <w:rFonts w:hint="eastAsia"/>
          <w:color w:val="auto"/>
          <w:highlight w:val="none"/>
        </w:rPr>
        <w:t>收到乙方书面通知后</w:t>
      </w:r>
      <w:r>
        <w:rPr>
          <w:color w:val="auto"/>
          <w:highlight w:val="none"/>
        </w:rPr>
        <w:t>无故不进行验收工作</w:t>
      </w:r>
      <w:r>
        <w:rPr>
          <w:rFonts w:hint="eastAsia"/>
          <w:color w:val="auto"/>
          <w:highlight w:val="none"/>
        </w:rPr>
        <w:t>的，验收期限结束之日起视为当次单项验收合格。</w:t>
      </w:r>
      <w:bookmarkEnd w:id="146"/>
    </w:p>
    <w:p w14:paraId="642CE5DC">
      <w:pPr>
        <w:pStyle w:val="27"/>
        <w:spacing w:line="440" w:lineRule="exact"/>
        <w:ind w:firstLine="420" w:firstLineChars="200"/>
        <w:jc w:val="left"/>
        <w:rPr>
          <w:color w:val="auto"/>
          <w:highlight w:val="none"/>
        </w:rPr>
      </w:pPr>
      <w:r>
        <w:rPr>
          <w:rFonts w:hint="eastAsia" w:ascii="Times New Roman" w:hAnsi="Times New Roman" w:cs="Times New Roman"/>
          <w:color w:val="auto"/>
          <w:highlight w:val="none"/>
        </w:rPr>
        <w:t>6.</w:t>
      </w:r>
      <w:r>
        <w:rPr>
          <w:rFonts w:ascii="Times New Roman" w:hAnsi="Times New Roman" w:cs="Times New Roman"/>
          <w:color w:val="auto"/>
          <w:highlight w:val="none"/>
        </w:rPr>
        <w:t>验收</w:t>
      </w:r>
      <w:r>
        <w:rPr>
          <w:rFonts w:hint="eastAsia" w:ascii="Times New Roman" w:hAnsi="Times New Roman" w:cs="Times New Roman"/>
          <w:color w:val="auto"/>
          <w:highlight w:val="none"/>
        </w:rPr>
        <w:t>结果：在任一单项验收环节，甲、乙双方代表均应在场，交付的产品</w:t>
      </w:r>
      <w:r>
        <w:rPr>
          <w:color w:val="auto"/>
          <w:highlight w:val="none"/>
        </w:rPr>
        <w:t>或服务成果</w:t>
      </w:r>
      <w:r>
        <w:rPr>
          <w:rFonts w:hint="eastAsia" w:ascii="Times New Roman" w:hAnsi="Times New Roman" w:cs="Times New Roman"/>
          <w:color w:val="auto"/>
          <w:highlight w:val="none"/>
        </w:rPr>
        <w:t>符合验收标准的为单项验收合格，不符合验收标准的为单项验收不合格。验收结果由甲方出具</w:t>
      </w:r>
      <w:r>
        <w:rPr>
          <w:color w:val="auto"/>
          <w:highlight w:val="none"/>
        </w:rPr>
        <w:t>验收结果报告</w:t>
      </w:r>
      <w:r>
        <w:rPr>
          <w:rFonts w:hint="eastAsia"/>
          <w:color w:val="auto"/>
          <w:highlight w:val="none"/>
        </w:rPr>
        <w:t>或</w:t>
      </w:r>
      <w:r>
        <w:rPr>
          <w:color w:val="auto"/>
          <w:highlight w:val="none"/>
        </w:rPr>
        <w:t>验收书</w:t>
      </w:r>
      <w:r>
        <w:rPr>
          <w:rFonts w:hint="eastAsia"/>
          <w:color w:val="auto"/>
          <w:highlight w:val="none"/>
        </w:rPr>
        <w:t>，</w:t>
      </w:r>
      <w:r>
        <w:rPr>
          <w:color w:val="auto"/>
          <w:highlight w:val="none"/>
        </w:rPr>
        <w:t>列明各项标准的验收情况</w:t>
      </w:r>
      <w:r>
        <w:rPr>
          <w:rFonts w:hint="eastAsia"/>
          <w:color w:val="auto"/>
          <w:highlight w:val="none"/>
        </w:rPr>
        <w:t>，由甲、乙双方代表共同签字确认并加盖甲方公章</w:t>
      </w:r>
      <w:r>
        <w:rPr>
          <w:color w:val="auto"/>
          <w:highlight w:val="none"/>
        </w:rPr>
        <w:t>，甲乙双方各执一份</w:t>
      </w:r>
      <w:r>
        <w:rPr>
          <w:rFonts w:hint="eastAsia"/>
          <w:color w:val="auto"/>
          <w:highlight w:val="none"/>
        </w:rPr>
        <w:t>。验收结果报告或验收书经双方代表签字后即视为验收结果已通知甲、乙双方。如乙方对验收结果有异议的，应在验收现场以书面的形式出具说明，否则视为认可验收结果。</w:t>
      </w:r>
    </w:p>
    <w:p w14:paraId="70AD35DA">
      <w:pPr>
        <w:pStyle w:val="27"/>
        <w:spacing w:line="440" w:lineRule="exact"/>
        <w:ind w:firstLine="420" w:firstLineChars="200"/>
        <w:jc w:val="left"/>
        <w:rPr>
          <w:color w:val="auto"/>
          <w:highlight w:val="none"/>
        </w:rPr>
      </w:pPr>
      <w:r>
        <w:rPr>
          <w:rFonts w:hint="eastAsia" w:ascii="Times New Roman" w:hAnsi="Times New Roman" w:cs="Times New Roman"/>
          <w:color w:val="auto"/>
          <w:highlight w:val="none"/>
        </w:rPr>
        <w:t>7.</w:t>
      </w:r>
      <w:bookmarkStart w:id="147" w:name="auto_fouce_34"/>
      <w:r>
        <w:rPr>
          <w:rFonts w:hint="eastAsia" w:ascii="Times New Roman" w:hAnsi="Times New Roman" w:cs="Times New Roman"/>
          <w:color w:val="auto"/>
          <w:highlight w:val="none"/>
          <w:lang w:eastAsia="zh-CN"/>
        </w:rPr>
        <w:t>不予签收或单项验收不合格的，乙方应在当次验收后5个工作日内就不符合要求项以补充、更换、修理等甲方认可的方式进行整改并重新验收。整改后重新验收仍不合格的，甲方有权单方解除合同，乙方需退还甲方已支付的全部款项并承担合同总金额10%的违约金。乙方针对验收不合格项的整改次数不得超过【 】次，超出整改次数仍不符合验收标准的，甲方有权拒绝接收相关成果。</w:t>
      </w:r>
      <w:bookmarkEnd w:id="147"/>
    </w:p>
    <w:p w14:paraId="0DB1B94A">
      <w:pPr>
        <w:snapToGrid w:val="0"/>
        <w:spacing w:line="440" w:lineRule="exact"/>
        <w:ind w:firstLine="420" w:firstLineChars="200"/>
        <w:rPr>
          <w:color w:val="auto"/>
          <w:szCs w:val="21"/>
          <w:highlight w:val="none"/>
        </w:rPr>
      </w:pPr>
      <w:r>
        <w:rPr>
          <w:rFonts w:hint="eastAsia"/>
          <w:color w:val="auto"/>
          <w:szCs w:val="21"/>
          <w:highlight w:val="none"/>
        </w:rPr>
        <w:t>8</w:t>
      </w:r>
      <w:r>
        <w:rPr>
          <w:color w:val="auto"/>
          <w:szCs w:val="21"/>
          <w:highlight w:val="none"/>
        </w:rPr>
        <w:t>.甲方</w:t>
      </w:r>
      <w:r>
        <w:rPr>
          <w:rFonts w:hint="eastAsia"/>
          <w:color w:val="auto"/>
          <w:highlight w:val="none"/>
        </w:rPr>
        <w:t>有权委托第三方机构组织验收</w:t>
      </w:r>
      <w:r>
        <w:rPr>
          <w:color w:val="auto"/>
          <w:highlight w:val="none"/>
        </w:rPr>
        <w:t>，</w:t>
      </w:r>
      <w:r>
        <w:rPr>
          <w:rFonts w:hint="eastAsia"/>
          <w:color w:val="auto"/>
          <w:highlight w:val="none"/>
        </w:rPr>
        <w:t>验收按上述规定执行，</w:t>
      </w:r>
      <w:r>
        <w:rPr>
          <w:color w:val="auto"/>
          <w:highlight w:val="none"/>
        </w:rPr>
        <w:t>乙方</w:t>
      </w:r>
      <w:r>
        <w:rPr>
          <w:rFonts w:hint="eastAsia"/>
          <w:color w:val="auto"/>
          <w:highlight w:val="none"/>
        </w:rPr>
        <w:t>应予以</w:t>
      </w:r>
      <w:r>
        <w:rPr>
          <w:color w:val="auto"/>
          <w:highlight w:val="none"/>
        </w:rPr>
        <w:t>配合。</w:t>
      </w:r>
      <w:r>
        <w:rPr>
          <w:rFonts w:hint="eastAsia"/>
          <w:color w:val="auto"/>
          <w:highlight w:val="none"/>
        </w:rPr>
        <w:t>甲方委托第三方机构组织或专业检测机构参与验收的，验收费用由乙方负责。费用标准参照国家或自治区有关规定执行。</w:t>
      </w:r>
    </w:p>
    <w:p w14:paraId="648CC157">
      <w:pPr>
        <w:snapToGrid w:val="0"/>
        <w:spacing w:line="440" w:lineRule="exact"/>
        <w:ind w:firstLine="420" w:firstLineChars="200"/>
        <w:rPr>
          <w:color w:val="auto"/>
          <w:szCs w:val="21"/>
          <w:highlight w:val="none"/>
        </w:rPr>
      </w:pPr>
      <w:r>
        <w:rPr>
          <w:rFonts w:hint="eastAsia"/>
          <w:color w:val="auto"/>
          <w:szCs w:val="21"/>
          <w:highlight w:val="none"/>
        </w:rPr>
        <w:t>9</w:t>
      </w:r>
      <w:r>
        <w:rPr>
          <w:color w:val="auto"/>
          <w:szCs w:val="21"/>
          <w:highlight w:val="none"/>
        </w:rPr>
        <w:t>. 其他未尽事宜应严格按照《关于印发广西壮族自治区政府采购项目履约验收管理办法的通知》[桂财采〔2015〕22号]以及《财政部关于进一步加强政府采购需求和履约验收管理的指导意见》[财库〔2016〕205号]规定执行。</w:t>
      </w:r>
    </w:p>
    <w:p w14:paraId="785AE33B">
      <w:pPr>
        <w:snapToGrid w:val="0"/>
        <w:spacing w:line="440" w:lineRule="exact"/>
        <w:ind w:firstLine="420" w:firstLineChars="200"/>
        <w:rPr>
          <w:color w:val="auto"/>
          <w:szCs w:val="21"/>
          <w:highlight w:val="none"/>
        </w:rPr>
      </w:pPr>
      <w:r>
        <w:rPr>
          <w:rFonts w:hint="eastAsia"/>
          <w:color w:val="auto"/>
          <w:szCs w:val="21"/>
          <w:highlight w:val="none"/>
        </w:rPr>
        <w:t>10</w:t>
      </w:r>
      <w:r>
        <w:rPr>
          <w:color w:val="auto"/>
          <w:szCs w:val="21"/>
          <w:highlight w:val="none"/>
        </w:rPr>
        <w:t>.甲方委托第三方组织</w:t>
      </w:r>
      <w:r>
        <w:rPr>
          <w:rFonts w:hint="eastAsia"/>
          <w:color w:val="auto"/>
          <w:szCs w:val="21"/>
          <w:highlight w:val="none"/>
        </w:rPr>
        <w:t>验收</w:t>
      </w:r>
      <w:r>
        <w:rPr>
          <w:color w:val="auto"/>
          <w:szCs w:val="21"/>
          <w:highlight w:val="none"/>
        </w:rPr>
        <w:t>的，其验收时间</w:t>
      </w:r>
      <w:r>
        <w:rPr>
          <w:rFonts w:hint="eastAsia"/>
          <w:color w:val="auto"/>
          <w:szCs w:val="21"/>
          <w:highlight w:val="none"/>
        </w:rPr>
        <w:t>、验收程序</w:t>
      </w:r>
      <w:r>
        <w:rPr>
          <w:color w:val="auto"/>
          <w:szCs w:val="21"/>
          <w:highlight w:val="none"/>
        </w:rPr>
        <w:t>以该项目验收方案确定的验收时间</w:t>
      </w:r>
      <w:r>
        <w:rPr>
          <w:rFonts w:hint="eastAsia"/>
          <w:color w:val="auto"/>
          <w:szCs w:val="21"/>
          <w:highlight w:val="none"/>
        </w:rPr>
        <w:t>、验收程序</w:t>
      </w:r>
      <w:r>
        <w:rPr>
          <w:color w:val="auto"/>
          <w:szCs w:val="21"/>
          <w:highlight w:val="none"/>
        </w:rPr>
        <w:t>为准，验收结果以该项目验收报告结论为准。</w:t>
      </w:r>
    </w:p>
    <w:p w14:paraId="39826CFC">
      <w:pPr>
        <w:snapToGrid w:val="0"/>
        <w:spacing w:line="440" w:lineRule="exact"/>
        <w:ind w:firstLine="422" w:firstLineChars="200"/>
        <w:rPr>
          <w:b/>
          <w:color w:val="auto"/>
          <w:szCs w:val="21"/>
          <w:highlight w:val="none"/>
        </w:rPr>
      </w:pPr>
      <w:r>
        <w:rPr>
          <w:b/>
          <w:color w:val="auto"/>
          <w:szCs w:val="21"/>
          <w:highlight w:val="none"/>
        </w:rPr>
        <w:t>第七条  安装和培训</w:t>
      </w:r>
    </w:p>
    <w:p w14:paraId="26BF4D12">
      <w:pPr>
        <w:snapToGrid w:val="0"/>
        <w:spacing w:line="440" w:lineRule="exact"/>
        <w:ind w:firstLine="420" w:firstLineChars="200"/>
        <w:rPr>
          <w:color w:val="auto"/>
          <w:szCs w:val="21"/>
          <w:highlight w:val="none"/>
        </w:rPr>
      </w:pPr>
      <w:r>
        <w:rPr>
          <w:color w:val="auto"/>
          <w:szCs w:val="21"/>
          <w:highlight w:val="none"/>
        </w:rPr>
        <w:t>1.甲方</w:t>
      </w:r>
      <w:r>
        <w:rPr>
          <w:rFonts w:hint="eastAsia"/>
          <w:color w:val="auto"/>
          <w:szCs w:val="21"/>
          <w:highlight w:val="none"/>
        </w:rPr>
        <w:t>仅</w:t>
      </w:r>
      <w:r>
        <w:rPr>
          <w:color w:val="auto"/>
          <w:szCs w:val="21"/>
          <w:highlight w:val="none"/>
        </w:rPr>
        <w:t>提供</w:t>
      </w:r>
      <w:r>
        <w:rPr>
          <w:rFonts w:hint="eastAsia"/>
          <w:color w:val="auto"/>
          <w:szCs w:val="21"/>
          <w:highlight w:val="none"/>
        </w:rPr>
        <w:t>合同约定的基础</w:t>
      </w:r>
      <w:r>
        <w:rPr>
          <w:color w:val="auto"/>
          <w:szCs w:val="21"/>
          <w:highlight w:val="none"/>
        </w:rPr>
        <w:t>安装条件（如场地、电源、水源</w:t>
      </w:r>
      <w:r>
        <w:rPr>
          <w:rFonts w:hint="eastAsia"/>
          <w:color w:val="auto"/>
          <w:szCs w:val="21"/>
          <w:highlight w:val="none"/>
        </w:rPr>
        <w:t>接口</w:t>
      </w:r>
      <w:r>
        <w:rPr>
          <w:color w:val="auto"/>
          <w:szCs w:val="21"/>
          <w:highlight w:val="none"/>
        </w:rPr>
        <w:t>）</w:t>
      </w:r>
      <w:r>
        <w:rPr>
          <w:rFonts w:hint="eastAsia"/>
          <w:color w:val="auto"/>
          <w:szCs w:val="21"/>
          <w:highlight w:val="none"/>
        </w:rPr>
        <w:t>，超出约定范围的配套设施、施工及相关费用均由乙方自行承担</w:t>
      </w:r>
      <w:r>
        <w:rPr>
          <w:color w:val="auto"/>
          <w:szCs w:val="21"/>
          <w:highlight w:val="none"/>
        </w:rPr>
        <w:t>。</w:t>
      </w:r>
    </w:p>
    <w:p w14:paraId="5703EFA3">
      <w:pPr>
        <w:snapToGrid w:val="0"/>
        <w:spacing w:line="440" w:lineRule="exact"/>
        <w:ind w:firstLine="420" w:firstLineChars="200"/>
        <w:rPr>
          <w:color w:val="auto"/>
          <w:szCs w:val="21"/>
          <w:highlight w:val="none"/>
          <w:u w:val="single"/>
        </w:rPr>
      </w:pPr>
      <w:r>
        <w:rPr>
          <w:color w:val="auto"/>
          <w:szCs w:val="21"/>
          <w:highlight w:val="none"/>
        </w:rPr>
        <w:t>2.乙方负责甲方有关人员的培训。培训时间、地点：</w:t>
      </w:r>
      <w:r>
        <w:rPr>
          <w:color w:val="auto"/>
          <w:szCs w:val="21"/>
          <w:highlight w:val="none"/>
          <w:u w:val="single"/>
        </w:rPr>
        <w:t xml:space="preserve"> 由甲方决定。</w:t>
      </w:r>
    </w:p>
    <w:p w14:paraId="3EF0A288">
      <w:pPr>
        <w:snapToGrid w:val="0"/>
        <w:spacing w:line="440" w:lineRule="exact"/>
        <w:ind w:firstLine="422" w:firstLineChars="200"/>
        <w:rPr>
          <w:b/>
          <w:color w:val="auto"/>
          <w:szCs w:val="21"/>
          <w:highlight w:val="none"/>
        </w:rPr>
      </w:pPr>
      <w:r>
        <w:rPr>
          <w:b/>
          <w:color w:val="auto"/>
          <w:szCs w:val="21"/>
          <w:highlight w:val="none"/>
        </w:rPr>
        <w:t>第八条  售后服务、质保期</w:t>
      </w:r>
    </w:p>
    <w:p w14:paraId="770920C6">
      <w:pPr>
        <w:snapToGrid w:val="0"/>
        <w:spacing w:line="440" w:lineRule="exact"/>
        <w:ind w:firstLine="420" w:firstLineChars="200"/>
        <w:rPr>
          <w:color w:val="auto"/>
          <w:szCs w:val="21"/>
          <w:highlight w:val="none"/>
        </w:rPr>
      </w:pPr>
      <w:r>
        <w:rPr>
          <w:color w:val="auto"/>
          <w:szCs w:val="21"/>
          <w:highlight w:val="none"/>
        </w:rPr>
        <w:t>1.</w:t>
      </w:r>
      <w:bookmarkStart w:id="148" w:name="tip_risk_bookmark_24"/>
      <w:r>
        <w:rPr>
          <w:color w:val="auto"/>
          <w:szCs w:val="21"/>
          <w:highlight w:val="none"/>
        </w:rPr>
        <w:t>乙方应按照国家有关法律法规和“三包”规定以及</w:t>
      </w:r>
      <w:r>
        <w:rPr>
          <w:rFonts w:hint="eastAsia"/>
          <w:color w:val="auto"/>
          <w:szCs w:val="21"/>
          <w:highlight w:val="none"/>
        </w:rPr>
        <w:t>招标文件、投标文件</w:t>
      </w:r>
      <w:r>
        <w:rPr>
          <w:color w:val="auto"/>
          <w:szCs w:val="21"/>
          <w:highlight w:val="none"/>
        </w:rPr>
        <w:t>和本合同附件，为甲方提供售后服务。</w:t>
      </w:r>
    </w:p>
    <w:p w14:paraId="7946AF69">
      <w:pPr>
        <w:snapToGrid w:val="0"/>
        <w:spacing w:line="440" w:lineRule="exact"/>
        <w:ind w:firstLine="420" w:firstLineChars="200"/>
        <w:rPr>
          <w:color w:val="auto"/>
          <w:szCs w:val="21"/>
          <w:highlight w:val="none"/>
          <w:u w:val="single"/>
        </w:rPr>
      </w:pPr>
      <w:r>
        <w:rPr>
          <w:color w:val="auto"/>
          <w:szCs w:val="21"/>
          <w:highlight w:val="none"/>
        </w:rPr>
        <w:t>2.</w:t>
      </w:r>
      <w:r>
        <w:rPr>
          <w:rFonts w:hint="eastAsia"/>
          <w:color w:val="auto"/>
          <w:szCs w:val="21"/>
          <w:highlight w:val="none"/>
        </w:rPr>
        <w:t>产品</w:t>
      </w:r>
      <w:r>
        <w:rPr>
          <w:color w:val="auto"/>
          <w:szCs w:val="21"/>
          <w:highlight w:val="none"/>
        </w:rPr>
        <w:t>或服务成果质保期</w:t>
      </w:r>
      <w:r>
        <w:rPr>
          <w:color w:val="auto"/>
          <w:szCs w:val="21"/>
          <w:highlight w:val="none"/>
          <w:u w:val="single"/>
        </w:rPr>
        <w:t>按乙方承诺，</w:t>
      </w:r>
      <w:r>
        <w:rPr>
          <w:rFonts w:hint="eastAsia"/>
          <w:color w:val="auto"/>
          <w:szCs w:val="21"/>
          <w:highlight w:val="none"/>
          <w:u w:val="single"/>
        </w:rPr>
        <w:t>且</w:t>
      </w:r>
      <w:r>
        <w:rPr>
          <w:color w:val="auto"/>
          <w:szCs w:val="21"/>
          <w:highlight w:val="none"/>
          <w:u w:val="single"/>
        </w:rPr>
        <w:t>不得低于</w:t>
      </w:r>
      <w:r>
        <w:rPr>
          <w:rFonts w:hint="eastAsia"/>
          <w:color w:val="auto"/>
          <w:szCs w:val="21"/>
          <w:highlight w:val="none"/>
          <w:u w:val="single"/>
        </w:rPr>
        <w:t>招标文件要求的整体质保期</w:t>
      </w:r>
      <w:r>
        <w:rPr>
          <w:rFonts w:hint="eastAsia"/>
          <w:color w:val="auto"/>
          <w:szCs w:val="21"/>
          <w:highlight w:val="none"/>
          <w:u w:val="single"/>
          <w:lang w:val="en-US" w:eastAsia="zh-CN"/>
        </w:rPr>
        <w:t>8</w:t>
      </w:r>
      <w:r>
        <w:rPr>
          <w:rFonts w:hint="eastAsia"/>
          <w:color w:val="auto"/>
          <w:szCs w:val="21"/>
          <w:highlight w:val="none"/>
          <w:u w:val="single"/>
        </w:rPr>
        <w:t>年及采购需求中约定的分项质保期要求，同时不得低于</w:t>
      </w:r>
      <w:r>
        <w:rPr>
          <w:color w:val="auto"/>
          <w:szCs w:val="21"/>
          <w:highlight w:val="none"/>
          <w:u w:val="single"/>
        </w:rPr>
        <w:t>国家相关标准</w:t>
      </w:r>
      <w:r>
        <w:rPr>
          <w:color w:val="auto"/>
          <w:szCs w:val="21"/>
          <w:highlight w:val="none"/>
        </w:rPr>
        <w:t>。</w:t>
      </w:r>
    </w:p>
    <w:p w14:paraId="375CD84C">
      <w:pPr>
        <w:snapToGrid w:val="0"/>
        <w:spacing w:line="440" w:lineRule="exact"/>
        <w:ind w:firstLine="420" w:firstLineChars="200"/>
        <w:rPr>
          <w:color w:val="auto"/>
          <w:szCs w:val="21"/>
          <w:highlight w:val="none"/>
        </w:rPr>
      </w:pPr>
      <w:r>
        <w:rPr>
          <w:color w:val="auto"/>
          <w:szCs w:val="21"/>
          <w:highlight w:val="none"/>
        </w:rPr>
        <w:t>3.按招标文件规定的服务质量标准，并达到或优于中标人承诺的标准。</w:t>
      </w:r>
    </w:p>
    <w:p w14:paraId="200F8ED9">
      <w:pPr>
        <w:snapToGrid w:val="0"/>
        <w:spacing w:line="440" w:lineRule="exact"/>
        <w:ind w:firstLine="420" w:firstLineChars="200"/>
        <w:rPr>
          <w:color w:val="auto"/>
          <w:szCs w:val="21"/>
          <w:highlight w:val="none"/>
        </w:rPr>
      </w:pPr>
      <w:r>
        <w:rPr>
          <w:color w:val="auto"/>
          <w:szCs w:val="21"/>
          <w:highlight w:val="none"/>
        </w:rPr>
        <w:t>4.乙方所提供的</w:t>
      </w:r>
      <w:r>
        <w:rPr>
          <w:rFonts w:hint="eastAsia"/>
          <w:color w:val="auto"/>
          <w:szCs w:val="21"/>
          <w:highlight w:val="none"/>
        </w:rPr>
        <w:t>服务内容、标准</w:t>
      </w:r>
      <w:r>
        <w:rPr>
          <w:color w:val="auto"/>
          <w:szCs w:val="21"/>
          <w:highlight w:val="none"/>
        </w:rPr>
        <w:t>必须与</w:t>
      </w:r>
      <w:bookmarkStart w:id="149" w:name="_Hlk19187447"/>
      <w:r>
        <w:rPr>
          <w:rFonts w:hint="eastAsia"/>
          <w:color w:val="auto"/>
          <w:szCs w:val="21"/>
          <w:highlight w:val="none"/>
        </w:rPr>
        <w:t>招标文件、投标文件</w:t>
      </w:r>
      <w:bookmarkEnd w:id="149"/>
      <w:r>
        <w:rPr>
          <w:color w:val="auto"/>
          <w:szCs w:val="21"/>
          <w:highlight w:val="none"/>
        </w:rPr>
        <w:t>和承诺相一致。</w:t>
      </w:r>
    </w:p>
    <w:p w14:paraId="45CB5FD6">
      <w:pPr>
        <w:snapToGrid w:val="0"/>
        <w:spacing w:line="440" w:lineRule="exact"/>
        <w:ind w:firstLine="420" w:firstLineChars="200"/>
        <w:rPr>
          <w:color w:val="auto"/>
          <w:szCs w:val="21"/>
          <w:highlight w:val="none"/>
        </w:rPr>
      </w:pPr>
      <w:r>
        <w:rPr>
          <w:color w:val="auto"/>
          <w:szCs w:val="21"/>
          <w:highlight w:val="none"/>
        </w:rPr>
        <w:t>5.</w:t>
      </w:r>
      <w:bookmarkStart w:id="150" w:name="auto_fouce_36"/>
      <w:r>
        <w:rPr>
          <w:color w:val="auto"/>
          <w:szCs w:val="21"/>
          <w:highlight w:val="none"/>
        </w:rPr>
        <w:t>如在使用过程中发生质量问题，乙方在接到甲方通知后在</w:t>
      </w:r>
      <w:r>
        <w:rPr>
          <w:rFonts w:hint="eastAsia"/>
          <w:color w:val="auto"/>
          <w:szCs w:val="21"/>
          <w:highlight w:val="none"/>
          <w:u w:val="single"/>
        </w:rPr>
        <w:t xml:space="preserve">   </w:t>
      </w:r>
      <w:r>
        <w:rPr>
          <w:color w:val="auto"/>
          <w:szCs w:val="21"/>
          <w:highlight w:val="none"/>
        </w:rPr>
        <w:t>小时内到达甲方现场。</w:t>
      </w:r>
      <w:bookmarkEnd w:id="150"/>
    </w:p>
    <w:p w14:paraId="4B92B59C">
      <w:pPr>
        <w:snapToGrid w:val="0"/>
        <w:spacing w:line="440" w:lineRule="exact"/>
        <w:ind w:firstLine="420" w:firstLineChars="200"/>
        <w:rPr>
          <w:color w:val="auto"/>
          <w:szCs w:val="21"/>
          <w:highlight w:val="none"/>
        </w:rPr>
      </w:pPr>
      <w:r>
        <w:rPr>
          <w:color w:val="auto"/>
          <w:szCs w:val="21"/>
          <w:highlight w:val="none"/>
        </w:rPr>
        <w:t>6.在质保期内，乙方应对</w:t>
      </w:r>
      <w:r>
        <w:rPr>
          <w:rFonts w:hint="eastAsia"/>
          <w:color w:val="auto"/>
          <w:szCs w:val="21"/>
          <w:highlight w:val="none"/>
        </w:rPr>
        <w:t>产品</w:t>
      </w:r>
      <w:r>
        <w:rPr>
          <w:color w:val="auto"/>
          <w:szCs w:val="21"/>
          <w:highlight w:val="none"/>
        </w:rPr>
        <w:t>或服务成果出现的质量及安全问题负责处理解决并承担一切费用。</w:t>
      </w:r>
      <w:bookmarkEnd w:id="148"/>
    </w:p>
    <w:p w14:paraId="2201CD50">
      <w:pPr>
        <w:snapToGrid w:val="0"/>
        <w:spacing w:line="440" w:lineRule="exact"/>
        <w:ind w:firstLine="420" w:firstLineChars="200"/>
        <w:rPr>
          <w:color w:val="auto"/>
          <w:szCs w:val="21"/>
          <w:highlight w:val="none"/>
        </w:rPr>
      </w:pPr>
      <w:r>
        <w:rPr>
          <w:rFonts w:hint="eastAsia"/>
          <w:color w:val="auto"/>
          <w:szCs w:val="21"/>
          <w:highlight w:val="none"/>
        </w:rPr>
        <w:t>7</w:t>
      </w:r>
      <w:r>
        <w:rPr>
          <w:color w:val="auto"/>
          <w:szCs w:val="21"/>
          <w:highlight w:val="none"/>
        </w:rPr>
        <w:t>.乙方提供的服务承诺和售后服务及质保期责任等</w:t>
      </w:r>
      <w:r>
        <w:rPr>
          <w:rFonts w:hint="eastAsia"/>
          <w:color w:val="auto"/>
          <w:szCs w:val="21"/>
          <w:highlight w:val="none"/>
        </w:rPr>
        <w:t>其他</w:t>
      </w:r>
      <w:r>
        <w:rPr>
          <w:color w:val="auto"/>
          <w:szCs w:val="21"/>
          <w:highlight w:val="none"/>
        </w:rPr>
        <w:t>具体约定事项。</w:t>
      </w:r>
    </w:p>
    <w:p w14:paraId="1E615D5E">
      <w:pPr>
        <w:snapToGrid w:val="0"/>
        <w:spacing w:line="440" w:lineRule="exact"/>
        <w:ind w:firstLine="422" w:firstLineChars="200"/>
        <w:rPr>
          <w:color w:val="auto"/>
          <w:szCs w:val="21"/>
          <w:highlight w:val="none"/>
        </w:rPr>
      </w:pPr>
      <w:r>
        <w:rPr>
          <w:b/>
          <w:color w:val="auto"/>
          <w:szCs w:val="21"/>
          <w:highlight w:val="none"/>
        </w:rPr>
        <w:t>第九条　付款方式</w:t>
      </w:r>
    </w:p>
    <w:p w14:paraId="24F70A85">
      <w:pPr>
        <w:snapToGrid w:val="0"/>
        <w:spacing w:line="440" w:lineRule="exact"/>
        <w:ind w:firstLine="420" w:firstLineChars="200"/>
        <w:rPr>
          <w:color w:val="auto"/>
          <w:szCs w:val="21"/>
          <w:highlight w:val="none"/>
        </w:rPr>
      </w:pPr>
      <w:r>
        <w:rPr>
          <w:color w:val="auto"/>
          <w:szCs w:val="21"/>
          <w:highlight w:val="none"/>
        </w:rPr>
        <w:t>1.资金性质：</w:t>
      </w:r>
      <w:r>
        <w:rPr>
          <w:color w:val="auto"/>
          <w:szCs w:val="21"/>
          <w:highlight w:val="none"/>
          <w:u w:val="single"/>
        </w:rPr>
        <w:t>财政性资金。</w:t>
      </w:r>
    </w:p>
    <w:p w14:paraId="169C943C">
      <w:pPr>
        <w:snapToGrid w:val="0"/>
        <w:spacing w:line="440" w:lineRule="exact"/>
        <w:ind w:firstLine="420" w:firstLineChars="200"/>
        <w:rPr>
          <w:color w:val="auto"/>
          <w:szCs w:val="21"/>
          <w:highlight w:val="none"/>
        </w:rPr>
      </w:pPr>
      <w:r>
        <w:rPr>
          <w:color w:val="auto"/>
          <w:szCs w:val="21"/>
          <w:highlight w:val="none"/>
        </w:rPr>
        <w:t>2.付款方式：</w:t>
      </w:r>
    </w:p>
    <w:p w14:paraId="02C01682">
      <w:pPr>
        <w:spacing w:line="440" w:lineRule="exact"/>
        <w:ind w:firstLine="420" w:firstLineChars="200"/>
        <w:rPr>
          <w:rFonts w:hint="eastAsia" w:ascii="宋体" w:hAnsi="宋体" w:eastAsia="宋体" w:cs="Times New Roman"/>
          <w:color w:val="auto"/>
          <w:szCs w:val="21"/>
          <w:highlight w:val="none"/>
          <w:lang w:eastAsia="zh-CN"/>
        </w:rPr>
      </w:pPr>
      <w:bookmarkStart w:id="151" w:name="auto_fouce_37"/>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rPr>
        <w:t>合同签订且</w:t>
      </w:r>
      <w:r>
        <w:rPr>
          <w:rFonts w:hint="eastAsia" w:ascii="宋体" w:hAnsi="宋体" w:eastAsia="宋体" w:cs="Times New Roman"/>
          <w:color w:val="auto"/>
          <w:szCs w:val="21"/>
          <w:highlight w:val="none"/>
          <w:lang w:val="en-US" w:eastAsia="zh-CN"/>
        </w:rPr>
        <w:t>乙方</w:t>
      </w:r>
      <w:r>
        <w:rPr>
          <w:rFonts w:hint="eastAsia" w:ascii="宋体" w:hAnsi="宋体" w:eastAsia="宋体" w:cs="Times New Roman"/>
          <w:color w:val="auto"/>
          <w:szCs w:val="21"/>
          <w:highlight w:val="none"/>
        </w:rPr>
        <w:t>提交同等金额的不可撤销预付款保函后，</w:t>
      </w:r>
      <w:r>
        <w:rPr>
          <w:rFonts w:hint="eastAsia" w:ascii="宋体" w:hAnsi="宋体" w:eastAsia="宋体" w:cs="Times New Roman"/>
          <w:color w:val="auto"/>
          <w:szCs w:val="21"/>
          <w:highlight w:val="none"/>
          <w:lang w:val="en-US" w:eastAsia="zh-CN"/>
        </w:rPr>
        <w:t>甲方</w:t>
      </w:r>
      <w:r>
        <w:rPr>
          <w:rFonts w:hint="eastAsia" w:ascii="宋体" w:hAnsi="宋体" w:eastAsia="宋体" w:cs="Times New Roman"/>
          <w:color w:val="auto"/>
          <w:szCs w:val="21"/>
          <w:highlight w:val="none"/>
        </w:rPr>
        <w:t>10个工作日内支付合同金额的50%</w:t>
      </w:r>
      <w:bookmarkEnd w:id="151"/>
      <w:r>
        <w:rPr>
          <w:rFonts w:hint="eastAsia" w:ascii="宋体" w:hAnsi="宋体" w:eastAsia="宋体" w:cs="Times New Roman"/>
          <w:color w:val="auto"/>
          <w:szCs w:val="21"/>
          <w:highlight w:val="none"/>
          <w:lang w:eastAsia="zh-CN"/>
        </w:rPr>
        <w:t>；</w:t>
      </w:r>
    </w:p>
    <w:p w14:paraId="05AE6803">
      <w:pPr>
        <w:rPr>
          <w:color w:val="auto"/>
          <w:highlight w:val="none"/>
        </w:rPr>
      </w:pPr>
    </w:p>
    <w:p w14:paraId="7E9E6A3E">
      <w:pPr>
        <w:snapToGrid w:val="0"/>
        <w:spacing w:line="360" w:lineRule="auto"/>
        <w:ind w:firstLine="420" w:firstLineChars="20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（2）完成全部仪器设备和配件的采购和生产，并向甲方出具告知函，经甲方确认复函后，支付至合同金额的90%；</w:t>
      </w:r>
    </w:p>
    <w:p w14:paraId="22513600">
      <w:pPr>
        <w:snapToGrid w:val="0"/>
        <w:spacing w:line="360" w:lineRule="auto"/>
        <w:ind w:firstLine="420" w:firstLineChars="20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（3）乙方按验收流程要求通过最终合同验收后，甲方签署项目验收报告或验收书后，10个工作日内付清合同尾款；</w:t>
      </w:r>
    </w:p>
    <w:p w14:paraId="056B1431">
      <w:pPr>
        <w:snapToGrid w:val="0"/>
        <w:spacing w:line="360" w:lineRule="auto"/>
        <w:ind w:firstLine="420" w:firstLineChars="20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（4）乙方向甲方提供付款申请书，并附与付款申请书等额的发票和验收书；</w:t>
      </w:r>
    </w:p>
    <w:p w14:paraId="12330FEC">
      <w:pPr>
        <w:snapToGrid w:val="0"/>
        <w:spacing w:line="360" w:lineRule="auto"/>
        <w:ind w:firstLine="420" w:firstLineChars="20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票据要求：乙方必须按照甲方要求提供正规的增值税普通发票。一旦发现乙方提供虚假发票，除须向甲方补开合法发票外，须赔偿甲方发票票面金额一倍的违约金，且甲方有权终止合同，乙方不得提出异议，因终止合同而产生的一切损失均由乙方承担；</w:t>
      </w:r>
    </w:p>
    <w:p w14:paraId="687F165C">
      <w:pPr>
        <w:snapToGrid w:val="0"/>
        <w:spacing w:line="44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（6）合同款支付形式为：转账。</w:t>
      </w:r>
    </w:p>
    <w:p w14:paraId="3F058320">
      <w:pPr>
        <w:snapToGrid w:val="0"/>
        <w:spacing w:line="440" w:lineRule="exact"/>
        <w:ind w:firstLine="422" w:firstLineChars="200"/>
        <w:rPr>
          <w:b/>
          <w:color w:val="auto"/>
          <w:szCs w:val="21"/>
          <w:highlight w:val="none"/>
        </w:rPr>
      </w:pPr>
      <w:r>
        <w:rPr>
          <w:b/>
          <w:color w:val="auto"/>
          <w:szCs w:val="21"/>
          <w:highlight w:val="none"/>
        </w:rPr>
        <w:t>第十条履约保证金</w:t>
      </w:r>
      <w:bookmarkStart w:id="152" w:name="_Hlk47715711"/>
      <w:r>
        <w:rPr>
          <w:b/>
          <w:color w:val="auto"/>
          <w:szCs w:val="21"/>
          <w:highlight w:val="none"/>
        </w:rPr>
        <w:t xml:space="preserve"> </w:t>
      </w:r>
      <w:bookmarkEnd w:id="152"/>
      <w:r>
        <w:rPr>
          <w:b/>
          <w:color w:val="auto"/>
          <w:szCs w:val="21"/>
          <w:highlight w:val="none"/>
        </w:rPr>
        <w:t xml:space="preserve">  </w:t>
      </w:r>
    </w:p>
    <w:p w14:paraId="2F706A1D">
      <w:pPr>
        <w:spacing w:line="440" w:lineRule="exact"/>
        <w:ind w:firstLine="420" w:firstLineChars="200"/>
        <w:rPr>
          <w:color w:val="auto"/>
          <w:szCs w:val="21"/>
          <w:highlight w:val="none"/>
        </w:rPr>
      </w:pPr>
      <w:r>
        <w:rPr>
          <w:rFonts w:hint="eastAsia"/>
          <w:color w:val="auto"/>
          <w:szCs w:val="21"/>
          <w:highlight w:val="none"/>
        </w:rPr>
        <w:t>履约保证金金额及缴纳时间：</w:t>
      </w:r>
      <w:r>
        <w:rPr>
          <w:rFonts w:hint="eastAsia"/>
          <w:color w:val="auto"/>
          <w:szCs w:val="21"/>
          <w:highlight w:val="none"/>
          <w:u w:val="single"/>
        </w:rPr>
        <w:t>履约保证金金额为中标金额的2%</w:t>
      </w:r>
      <w:r>
        <w:rPr>
          <w:rFonts w:hint="eastAsia"/>
          <w:color w:val="auto"/>
          <w:szCs w:val="21"/>
          <w:highlight w:val="none"/>
        </w:rPr>
        <w:t>，乙方须在签订合同前缴纳履约保证金，未能按时足额缴纳的，或按规定提交方式提交的，或保函有效期低于合同履行期限（即合同中规定的当事人履行自己的义务，如交付标的物、价款或者报酬，履行劳务、完成工作的时间界限）的，不予签订合同。</w:t>
      </w:r>
    </w:p>
    <w:p w14:paraId="1C9645B5">
      <w:pPr>
        <w:spacing w:line="440" w:lineRule="exact"/>
        <w:ind w:firstLine="420" w:firstLineChars="200"/>
        <w:rPr>
          <w:color w:val="auto"/>
          <w:szCs w:val="21"/>
          <w:highlight w:val="none"/>
        </w:rPr>
      </w:pPr>
      <w:r>
        <w:rPr>
          <w:rFonts w:hint="eastAsia"/>
          <w:color w:val="auto"/>
          <w:szCs w:val="21"/>
          <w:highlight w:val="none"/>
        </w:rPr>
        <w:t>履约保证金缴纳形式：</w:t>
      </w:r>
      <w:r>
        <w:rPr>
          <w:rFonts w:hint="eastAsia"/>
          <w:color w:val="auto"/>
          <w:szCs w:val="21"/>
          <w:highlight w:val="none"/>
          <w:lang w:eastAsia="zh-CN"/>
        </w:rPr>
        <w:t>投标人</w:t>
      </w:r>
      <w:r>
        <w:rPr>
          <w:rFonts w:hint="eastAsia"/>
          <w:color w:val="auto"/>
          <w:szCs w:val="21"/>
          <w:highlight w:val="none"/>
        </w:rPr>
        <w:t>可以选择电汇、转账、支票、汇票、本票、保函等形式缴纳或提交；采用保函形式缴纳的，甲方在保证期限届满后及时对收取的保证金进行核实和结算。</w:t>
      </w:r>
    </w:p>
    <w:p w14:paraId="0634856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保证金缴纳的账号信息：</w:t>
      </w:r>
    </w:p>
    <w:p w14:paraId="6B898BD8">
      <w:pPr>
        <w:snapToGrid w:val="0"/>
        <w:spacing w:line="440" w:lineRule="exact"/>
        <w:ind w:firstLine="420" w:firstLineChars="200"/>
        <w:rPr>
          <w:rFonts w:hint="eastAsia"/>
          <w:color w:val="auto"/>
          <w:szCs w:val="21"/>
          <w:highlight w:val="none"/>
        </w:rPr>
      </w:pPr>
      <w:r>
        <w:rPr>
          <w:rFonts w:hint="eastAsia"/>
          <w:color w:val="auto"/>
          <w:szCs w:val="21"/>
          <w:highlight w:val="none"/>
        </w:rPr>
        <w:t>开户名称：广西壮族自治区人工影响天气办公室</w:t>
      </w:r>
    </w:p>
    <w:p w14:paraId="41D8AD07">
      <w:pPr>
        <w:snapToGrid w:val="0"/>
        <w:spacing w:line="440" w:lineRule="exact"/>
        <w:ind w:firstLine="420" w:firstLineChars="200"/>
        <w:rPr>
          <w:rFonts w:hint="eastAsia"/>
          <w:color w:val="auto"/>
          <w:szCs w:val="21"/>
          <w:highlight w:val="none"/>
        </w:rPr>
      </w:pPr>
      <w:r>
        <w:rPr>
          <w:rFonts w:hint="eastAsia"/>
          <w:color w:val="auto"/>
          <w:szCs w:val="21"/>
          <w:highlight w:val="none"/>
        </w:rPr>
        <w:t>开户银行：中国农业银行广西南宁园湖支行</w:t>
      </w:r>
    </w:p>
    <w:p w14:paraId="5795DE8D">
      <w:pPr>
        <w:snapToGrid w:val="0"/>
        <w:spacing w:line="440" w:lineRule="exact"/>
        <w:ind w:firstLine="420" w:firstLineChars="200"/>
        <w:rPr>
          <w:color w:val="auto"/>
          <w:szCs w:val="21"/>
          <w:highlight w:val="none"/>
        </w:rPr>
      </w:pPr>
      <w:r>
        <w:rPr>
          <w:rFonts w:hint="eastAsia"/>
          <w:color w:val="auto"/>
          <w:szCs w:val="21"/>
          <w:highlight w:val="none"/>
        </w:rPr>
        <w:t xml:space="preserve">账号：20007001040001027     </w:t>
      </w:r>
    </w:p>
    <w:p w14:paraId="6BDA0CB9">
      <w:pPr>
        <w:snapToGrid w:val="0"/>
        <w:spacing w:line="440" w:lineRule="exact"/>
        <w:ind w:firstLine="420" w:firstLineChars="200"/>
        <w:rPr>
          <w:color w:val="auto"/>
          <w:szCs w:val="21"/>
          <w:highlight w:val="none"/>
        </w:rPr>
      </w:pPr>
      <w:bookmarkStart w:id="153" w:name="auto_fouce_38"/>
      <w:r>
        <w:rPr>
          <w:rFonts w:hint="eastAsia"/>
          <w:color w:val="auto"/>
          <w:szCs w:val="21"/>
          <w:highlight w:val="none"/>
        </w:rPr>
        <w:t>履约保证金自合同生效之日起生效至整体项目质保期届满</w:t>
      </w:r>
      <w:r>
        <w:rPr>
          <w:rFonts w:hint="eastAsia"/>
          <w:color w:val="auto"/>
          <w:szCs w:val="21"/>
          <w:highlight w:val="none"/>
          <w:lang w:eastAsia="zh-CN"/>
        </w:rPr>
        <w:t>且乙方完成全部质保义务</w:t>
      </w:r>
      <w:r>
        <w:rPr>
          <w:rFonts w:hint="eastAsia"/>
          <w:color w:val="auto"/>
          <w:szCs w:val="21"/>
          <w:highlight w:val="none"/>
        </w:rPr>
        <w:t>后30日失效</w:t>
      </w:r>
      <w:r>
        <w:rPr>
          <w:rFonts w:hint="eastAsia"/>
          <w:color w:val="auto"/>
          <w:szCs w:val="21"/>
          <w:highlight w:val="none"/>
          <w:lang w:eastAsia="zh-CN"/>
        </w:rPr>
        <w:t>，质保期内乙方未按约定</w:t>
      </w:r>
      <w:r>
        <w:rPr>
          <w:rFonts w:hint="eastAsia"/>
          <w:color w:val="auto"/>
          <w:szCs w:val="21"/>
          <w:highlight w:val="none"/>
        </w:rPr>
        <w:t>履</w:t>
      </w:r>
      <w:r>
        <w:rPr>
          <w:rFonts w:hint="eastAsia"/>
          <w:color w:val="auto"/>
          <w:szCs w:val="21"/>
          <w:highlight w:val="none"/>
          <w:lang w:eastAsia="zh-CN"/>
        </w:rPr>
        <w:t>行质</w:t>
      </w:r>
      <w:r>
        <w:rPr>
          <w:rFonts w:hint="eastAsia"/>
          <w:color w:val="auto"/>
          <w:szCs w:val="21"/>
          <w:highlight w:val="none"/>
        </w:rPr>
        <w:t>保</w:t>
      </w:r>
      <w:r>
        <w:rPr>
          <w:rFonts w:hint="eastAsia"/>
          <w:color w:val="auto"/>
          <w:szCs w:val="21"/>
          <w:highlight w:val="none"/>
          <w:lang w:eastAsia="zh-CN"/>
        </w:rPr>
        <w:t>义务</w:t>
      </w:r>
      <w:r>
        <w:rPr>
          <w:rFonts w:hint="eastAsia"/>
          <w:color w:val="auto"/>
          <w:szCs w:val="21"/>
          <w:highlight w:val="none"/>
        </w:rPr>
        <w:t>的，甲方</w:t>
      </w:r>
      <w:r>
        <w:rPr>
          <w:rFonts w:hint="eastAsia"/>
          <w:color w:val="auto"/>
          <w:szCs w:val="21"/>
          <w:highlight w:val="none"/>
          <w:lang w:eastAsia="zh-CN"/>
        </w:rPr>
        <w:t>有权直接扣除相应金额</w:t>
      </w:r>
      <w:r>
        <w:rPr>
          <w:rFonts w:hint="eastAsia"/>
          <w:color w:val="auto"/>
          <w:szCs w:val="21"/>
          <w:highlight w:val="none"/>
        </w:rPr>
        <w:t>的履约保证金。</w:t>
      </w:r>
      <w:bookmarkEnd w:id="153"/>
    </w:p>
    <w:p w14:paraId="326ABE4D">
      <w:pPr>
        <w:snapToGrid w:val="0"/>
        <w:spacing w:line="440" w:lineRule="exact"/>
        <w:ind w:firstLine="422" w:firstLineChars="200"/>
        <w:rPr>
          <w:b/>
          <w:color w:val="auto"/>
          <w:szCs w:val="21"/>
          <w:highlight w:val="none"/>
        </w:rPr>
      </w:pPr>
      <w:r>
        <w:rPr>
          <w:b/>
          <w:color w:val="auto"/>
          <w:szCs w:val="21"/>
          <w:highlight w:val="none"/>
        </w:rPr>
        <w:t>第十一条 税费</w:t>
      </w:r>
    </w:p>
    <w:p w14:paraId="03F3FFD5">
      <w:pPr>
        <w:snapToGrid w:val="0"/>
        <w:spacing w:line="440" w:lineRule="exact"/>
        <w:ind w:firstLine="420" w:firstLineChars="200"/>
        <w:rPr>
          <w:color w:val="auto"/>
          <w:szCs w:val="21"/>
          <w:highlight w:val="none"/>
        </w:rPr>
      </w:pPr>
      <w:r>
        <w:rPr>
          <w:color w:val="auto"/>
          <w:szCs w:val="21"/>
          <w:highlight w:val="none"/>
        </w:rPr>
        <w:t>本合同执行中相关的一切税费均由乙方</w:t>
      </w:r>
      <w:r>
        <w:rPr>
          <w:rFonts w:hint="eastAsia"/>
          <w:color w:val="auto"/>
          <w:szCs w:val="21"/>
          <w:highlight w:val="none"/>
        </w:rPr>
        <w:t>承</w:t>
      </w:r>
      <w:r>
        <w:rPr>
          <w:color w:val="auto"/>
          <w:szCs w:val="21"/>
          <w:highlight w:val="none"/>
        </w:rPr>
        <w:t>担。</w:t>
      </w:r>
    </w:p>
    <w:p w14:paraId="6586214D">
      <w:pPr>
        <w:snapToGrid w:val="0"/>
        <w:spacing w:line="440" w:lineRule="exact"/>
        <w:ind w:firstLine="422" w:firstLineChars="200"/>
        <w:rPr>
          <w:b/>
          <w:color w:val="auto"/>
          <w:szCs w:val="21"/>
          <w:highlight w:val="none"/>
        </w:rPr>
      </w:pPr>
      <w:r>
        <w:rPr>
          <w:b/>
          <w:color w:val="auto"/>
          <w:szCs w:val="21"/>
          <w:highlight w:val="none"/>
        </w:rPr>
        <w:t>第十</w:t>
      </w:r>
      <w:r>
        <w:rPr>
          <w:rFonts w:hint="eastAsia"/>
          <w:b/>
          <w:color w:val="auto"/>
          <w:szCs w:val="21"/>
          <w:highlight w:val="none"/>
        </w:rPr>
        <w:t>二</w:t>
      </w:r>
      <w:r>
        <w:rPr>
          <w:b/>
          <w:color w:val="auto"/>
          <w:szCs w:val="21"/>
          <w:highlight w:val="none"/>
        </w:rPr>
        <w:t>条　违约责任</w:t>
      </w:r>
    </w:p>
    <w:p w14:paraId="7D4615C7">
      <w:pPr>
        <w:snapToGrid w:val="0"/>
        <w:spacing w:line="440" w:lineRule="exact"/>
        <w:ind w:firstLine="420" w:firstLineChars="200"/>
        <w:rPr>
          <w:color w:val="auto"/>
          <w:szCs w:val="21"/>
          <w:highlight w:val="none"/>
        </w:rPr>
      </w:pPr>
      <w:r>
        <w:rPr>
          <w:color w:val="auto"/>
          <w:szCs w:val="21"/>
          <w:highlight w:val="none"/>
        </w:rPr>
        <w:t>1.</w:t>
      </w:r>
      <w:r>
        <w:rPr>
          <w:rFonts w:eastAsia="微软雅黑"/>
          <w:color w:val="auto"/>
          <w:szCs w:val="21"/>
          <w:highlight w:val="none"/>
        </w:rPr>
        <w:t xml:space="preserve"> </w:t>
      </w:r>
      <w:bookmarkStart w:id="154" w:name="auto_fouce_39"/>
      <w:r>
        <w:rPr>
          <w:color w:val="auto"/>
          <w:szCs w:val="21"/>
          <w:highlight w:val="none"/>
        </w:rPr>
        <w:t>若因乙方原因</w:t>
      </w:r>
      <w:r>
        <w:rPr>
          <w:rFonts w:hint="eastAsia"/>
          <w:color w:val="auto"/>
          <w:szCs w:val="21"/>
          <w:highlight w:val="none"/>
        </w:rPr>
        <w:t>（包括但不限于其提供的设备、技术、服务存在根本性缺陷或不符合合同约定）导致合同无法</w:t>
      </w:r>
      <w:r>
        <w:rPr>
          <w:color w:val="auto"/>
          <w:szCs w:val="21"/>
          <w:highlight w:val="none"/>
        </w:rPr>
        <w:t>履行或最终验收不合格的，甲方</w:t>
      </w:r>
      <w:r>
        <w:rPr>
          <w:rFonts w:hint="eastAsia"/>
          <w:color w:val="auto"/>
          <w:szCs w:val="21"/>
          <w:highlight w:val="none"/>
        </w:rPr>
        <w:t>有权单方</w:t>
      </w:r>
      <w:r>
        <w:rPr>
          <w:color w:val="auto"/>
          <w:szCs w:val="21"/>
          <w:highlight w:val="none"/>
        </w:rPr>
        <w:t>解除合同，乙方</w:t>
      </w:r>
      <w:r>
        <w:rPr>
          <w:rFonts w:hint="eastAsia"/>
          <w:color w:val="auto"/>
          <w:szCs w:val="21"/>
          <w:highlight w:val="none"/>
        </w:rPr>
        <w:t>应退还甲方已支付的全部款项，并赔偿甲方因此遭受的全部损失</w:t>
      </w:r>
      <w:r>
        <w:rPr>
          <w:rFonts w:hint="eastAsia"/>
          <w:color w:val="auto"/>
          <w:szCs w:val="21"/>
          <w:highlight w:val="none"/>
          <w:lang w:eastAsia="zh-CN"/>
        </w:rPr>
        <w:t>，</w:t>
      </w:r>
      <w:r>
        <w:rPr>
          <w:rFonts w:hint="eastAsia"/>
          <w:color w:val="auto"/>
          <w:szCs w:val="21"/>
          <w:highlight w:val="none"/>
        </w:rPr>
        <w:t>包括但不限于</w:t>
      </w:r>
      <w:r>
        <w:rPr>
          <w:rFonts w:hint="eastAsia"/>
          <w:color w:val="auto"/>
          <w:szCs w:val="21"/>
          <w:highlight w:val="none"/>
          <w:lang w:eastAsia="zh-CN"/>
        </w:rPr>
        <w:t>直接损失</w:t>
      </w:r>
      <w:r>
        <w:rPr>
          <w:rFonts w:hint="eastAsia"/>
          <w:color w:val="auto"/>
          <w:szCs w:val="21"/>
          <w:highlight w:val="none"/>
        </w:rPr>
        <w:t>、</w:t>
      </w:r>
      <w:r>
        <w:rPr>
          <w:rFonts w:hint="eastAsia"/>
          <w:color w:val="auto"/>
          <w:szCs w:val="21"/>
          <w:highlight w:val="none"/>
          <w:lang w:eastAsia="zh-CN"/>
        </w:rPr>
        <w:t>间接损失以及</w:t>
      </w:r>
      <w:r>
        <w:rPr>
          <w:rFonts w:hint="eastAsia"/>
          <w:color w:val="auto"/>
          <w:szCs w:val="21"/>
          <w:highlight w:val="none"/>
        </w:rPr>
        <w:t>甲方为获得同等</w:t>
      </w:r>
      <w:r>
        <w:rPr>
          <w:rFonts w:hint="eastAsia"/>
          <w:color w:val="auto"/>
          <w:szCs w:val="21"/>
          <w:highlight w:val="none"/>
          <w:lang w:eastAsia="zh-CN"/>
        </w:rPr>
        <w:t>替代产品或</w:t>
      </w:r>
      <w:r>
        <w:rPr>
          <w:rFonts w:hint="eastAsia"/>
          <w:color w:val="auto"/>
          <w:szCs w:val="21"/>
          <w:highlight w:val="none"/>
        </w:rPr>
        <w:t>服务</w:t>
      </w:r>
      <w:r>
        <w:rPr>
          <w:rFonts w:hint="eastAsia"/>
          <w:color w:val="auto"/>
          <w:szCs w:val="21"/>
          <w:highlight w:val="none"/>
          <w:lang w:eastAsia="zh-CN"/>
        </w:rPr>
        <w:t>所额外</w:t>
      </w:r>
      <w:r>
        <w:rPr>
          <w:rFonts w:hint="eastAsia"/>
          <w:color w:val="auto"/>
          <w:szCs w:val="21"/>
          <w:highlight w:val="none"/>
        </w:rPr>
        <w:t>支</w:t>
      </w:r>
      <w:r>
        <w:rPr>
          <w:rFonts w:hint="eastAsia"/>
          <w:color w:val="auto"/>
          <w:szCs w:val="21"/>
          <w:highlight w:val="none"/>
          <w:lang w:eastAsia="zh-CN"/>
        </w:rPr>
        <w:t>出</w:t>
      </w:r>
      <w:r>
        <w:rPr>
          <w:rFonts w:hint="eastAsia"/>
          <w:color w:val="auto"/>
          <w:szCs w:val="21"/>
          <w:highlight w:val="none"/>
        </w:rPr>
        <w:t>的费用。</w:t>
      </w:r>
      <w:bookmarkEnd w:id="154"/>
    </w:p>
    <w:p w14:paraId="4644E684">
      <w:pPr>
        <w:snapToGrid w:val="0"/>
        <w:spacing w:line="440" w:lineRule="exact"/>
        <w:ind w:firstLine="420" w:firstLineChars="200"/>
        <w:rPr>
          <w:color w:val="auto"/>
          <w:szCs w:val="21"/>
          <w:highlight w:val="none"/>
        </w:rPr>
      </w:pPr>
      <w:r>
        <w:rPr>
          <w:rFonts w:hint="eastAsia"/>
          <w:color w:val="auto"/>
          <w:szCs w:val="21"/>
          <w:highlight w:val="none"/>
        </w:rPr>
        <w:t>2</w:t>
      </w:r>
      <w:r>
        <w:rPr>
          <w:color w:val="auto"/>
          <w:szCs w:val="21"/>
          <w:highlight w:val="none"/>
        </w:rPr>
        <w:t>.</w:t>
      </w:r>
      <w:bookmarkStart w:id="155" w:name="auto_fouce_40"/>
      <w:bookmarkStart w:id="156" w:name="tip_risk_bookmark_33"/>
      <w:r>
        <w:rPr>
          <w:color w:val="auto"/>
          <w:szCs w:val="21"/>
          <w:highlight w:val="none"/>
        </w:rPr>
        <w:t>乙方逾期交</w:t>
      </w:r>
      <w:r>
        <w:rPr>
          <w:rFonts w:hint="eastAsia"/>
          <w:color w:val="auto"/>
          <w:szCs w:val="21"/>
          <w:highlight w:val="none"/>
        </w:rPr>
        <w:t>付产品</w:t>
      </w:r>
      <w:r>
        <w:rPr>
          <w:color w:val="auto"/>
          <w:szCs w:val="21"/>
          <w:highlight w:val="none"/>
        </w:rPr>
        <w:t>或服务成果的，</w:t>
      </w:r>
      <w:r>
        <w:rPr>
          <w:rFonts w:hint="eastAsia"/>
          <w:color w:val="auto"/>
          <w:szCs w:val="21"/>
          <w:highlight w:val="none"/>
        </w:rPr>
        <w:t>应</w:t>
      </w:r>
      <w:r>
        <w:rPr>
          <w:color w:val="auto"/>
          <w:szCs w:val="21"/>
          <w:highlight w:val="none"/>
        </w:rPr>
        <w:t>向</w:t>
      </w:r>
      <w:r>
        <w:rPr>
          <w:rFonts w:hint="eastAsia"/>
          <w:color w:val="auto"/>
          <w:szCs w:val="21"/>
          <w:highlight w:val="none"/>
        </w:rPr>
        <w:t>甲</w:t>
      </w:r>
      <w:r>
        <w:rPr>
          <w:color w:val="auto"/>
          <w:szCs w:val="21"/>
          <w:highlight w:val="none"/>
        </w:rPr>
        <w:t>方</w:t>
      </w:r>
      <w:r>
        <w:rPr>
          <w:rFonts w:hint="eastAsia"/>
          <w:color w:val="auto"/>
          <w:szCs w:val="21"/>
          <w:highlight w:val="none"/>
        </w:rPr>
        <w:t>支付</w:t>
      </w:r>
      <w:r>
        <w:rPr>
          <w:color w:val="auto"/>
          <w:szCs w:val="21"/>
          <w:highlight w:val="none"/>
        </w:rPr>
        <w:t>违约</w:t>
      </w:r>
      <w:r>
        <w:rPr>
          <w:rFonts w:hint="eastAsia"/>
          <w:color w:val="auto"/>
          <w:szCs w:val="21"/>
          <w:highlight w:val="none"/>
        </w:rPr>
        <w:t>金，标准为合同总价</w:t>
      </w:r>
      <w:r>
        <w:rPr>
          <w:color w:val="auto"/>
          <w:szCs w:val="21"/>
          <w:highlight w:val="none"/>
          <w:u w:val="single"/>
        </w:rPr>
        <w:t>3‰</w:t>
      </w:r>
      <w:r>
        <w:rPr>
          <w:color w:val="auto"/>
          <w:szCs w:val="21"/>
          <w:highlight w:val="none"/>
        </w:rPr>
        <w:t>/</w:t>
      </w:r>
      <w:r>
        <w:rPr>
          <w:rFonts w:hint="eastAsia"/>
          <w:color w:val="auto"/>
          <w:szCs w:val="21"/>
          <w:highlight w:val="none"/>
        </w:rPr>
        <w:t>日</w:t>
      </w:r>
      <w:r>
        <w:rPr>
          <w:color w:val="auto"/>
          <w:szCs w:val="21"/>
          <w:highlight w:val="none"/>
        </w:rPr>
        <w:t>，</w:t>
      </w:r>
      <w:r>
        <w:rPr>
          <w:rFonts w:hint="eastAsia"/>
          <w:color w:val="auto"/>
          <w:szCs w:val="21"/>
          <w:highlight w:val="none"/>
          <w:lang w:eastAsia="zh-CN"/>
        </w:rPr>
        <w:t>且</w:t>
      </w:r>
      <w:r>
        <w:rPr>
          <w:rFonts w:hint="eastAsia"/>
          <w:color w:val="auto"/>
          <w:szCs w:val="21"/>
          <w:highlight w:val="none"/>
        </w:rPr>
        <w:t>乙方</w:t>
      </w:r>
      <w:r>
        <w:rPr>
          <w:color w:val="auto"/>
          <w:szCs w:val="21"/>
          <w:highlight w:val="none"/>
        </w:rPr>
        <w:t>违约金累计</w:t>
      </w:r>
      <w:r>
        <w:rPr>
          <w:rFonts w:hint="eastAsia"/>
          <w:color w:val="auto"/>
          <w:szCs w:val="21"/>
          <w:highlight w:val="none"/>
        </w:rPr>
        <w:t>总额</w:t>
      </w:r>
      <w:r>
        <w:rPr>
          <w:color w:val="auto"/>
          <w:szCs w:val="21"/>
          <w:highlight w:val="none"/>
        </w:rPr>
        <w:t>不</w:t>
      </w:r>
      <w:r>
        <w:rPr>
          <w:rFonts w:hint="eastAsia"/>
          <w:color w:val="auto"/>
          <w:szCs w:val="21"/>
          <w:highlight w:val="none"/>
          <w:u w:val="single"/>
          <w:lang w:eastAsia="zh-CN"/>
        </w:rPr>
        <w:t>设上限</w:t>
      </w:r>
      <w:r>
        <w:rPr>
          <w:rFonts w:hint="eastAsia"/>
          <w:color w:val="auto"/>
          <w:szCs w:val="21"/>
          <w:highlight w:val="none"/>
          <w:u w:val="single"/>
        </w:rPr>
        <w:t>。</w:t>
      </w:r>
      <w:r>
        <w:rPr>
          <w:color w:val="auto"/>
          <w:szCs w:val="21"/>
          <w:highlight w:val="none"/>
        </w:rPr>
        <w:t>甲方延</w:t>
      </w:r>
      <w:r>
        <w:rPr>
          <w:rFonts w:hint="eastAsia"/>
          <w:color w:val="auto"/>
          <w:szCs w:val="21"/>
          <w:highlight w:val="none"/>
        </w:rPr>
        <w:t>期支</w:t>
      </w:r>
      <w:r>
        <w:rPr>
          <w:color w:val="auto"/>
          <w:szCs w:val="21"/>
          <w:highlight w:val="none"/>
        </w:rPr>
        <w:t>付</w:t>
      </w:r>
      <w:r>
        <w:rPr>
          <w:rFonts w:hint="eastAsia"/>
          <w:color w:val="auto"/>
          <w:szCs w:val="21"/>
          <w:highlight w:val="none"/>
        </w:rPr>
        <w:t>产品或服务费用</w:t>
      </w:r>
      <w:r>
        <w:rPr>
          <w:color w:val="auto"/>
          <w:szCs w:val="21"/>
          <w:highlight w:val="none"/>
        </w:rPr>
        <w:t>的，</w:t>
      </w:r>
      <w:r>
        <w:rPr>
          <w:rFonts w:hint="eastAsia"/>
          <w:color w:val="auto"/>
          <w:szCs w:val="21"/>
          <w:highlight w:val="none"/>
        </w:rPr>
        <w:t>且经乙方书面催告后30日内仍未支付的，应</w:t>
      </w:r>
      <w:r>
        <w:rPr>
          <w:color w:val="auto"/>
          <w:szCs w:val="21"/>
          <w:highlight w:val="none"/>
        </w:rPr>
        <w:t>向乙方</w:t>
      </w:r>
      <w:r>
        <w:rPr>
          <w:rFonts w:hint="eastAsia"/>
          <w:color w:val="auto"/>
          <w:szCs w:val="21"/>
          <w:highlight w:val="none"/>
        </w:rPr>
        <w:t>支</w:t>
      </w:r>
      <w:r>
        <w:rPr>
          <w:color w:val="auto"/>
          <w:szCs w:val="21"/>
          <w:highlight w:val="none"/>
        </w:rPr>
        <w:t>付延期滞纳金</w:t>
      </w:r>
      <w:r>
        <w:rPr>
          <w:rFonts w:hint="eastAsia"/>
          <w:color w:val="auto"/>
          <w:szCs w:val="21"/>
          <w:highlight w:val="none"/>
        </w:rPr>
        <w:t>，标准为合同总价</w:t>
      </w:r>
      <w:r>
        <w:rPr>
          <w:color w:val="auto"/>
          <w:szCs w:val="21"/>
          <w:highlight w:val="none"/>
        </w:rPr>
        <w:t>额</w:t>
      </w:r>
      <w:r>
        <w:rPr>
          <w:color w:val="auto"/>
          <w:szCs w:val="21"/>
          <w:highlight w:val="none"/>
          <w:u w:val="single"/>
        </w:rPr>
        <w:t>3‰/</w:t>
      </w:r>
      <w:r>
        <w:rPr>
          <w:rFonts w:hint="eastAsia"/>
          <w:color w:val="auto"/>
          <w:szCs w:val="21"/>
          <w:highlight w:val="none"/>
          <w:u w:val="single"/>
        </w:rPr>
        <w:t>日</w:t>
      </w:r>
      <w:r>
        <w:rPr>
          <w:color w:val="auto"/>
          <w:szCs w:val="21"/>
          <w:highlight w:val="none"/>
        </w:rPr>
        <w:t>，但滞纳金累计不得超过</w:t>
      </w:r>
      <w:r>
        <w:rPr>
          <w:rFonts w:hint="eastAsia"/>
          <w:color w:val="auto"/>
          <w:highlight w:val="none"/>
        </w:rPr>
        <w:t>合同总金额</w:t>
      </w:r>
      <w:r>
        <w:rPr>
          <w:color w:val="auto"/>
          <w:szCs w:val="21"/>
          <w:highlight w:val="none"/>
          <w:u w:val="single"/>
        </w:rPr>
        <w:t>5%</w:t>
      </w:r>
      <w:r>
        <w:rPr>
          <w:color w:val="auto"/>
          <w:szCs w:val="21"/>
          <w:highlight w:val="none"/>
        </w:rPr>
        <w:t>。</w:t>
      </w:r>
      <w:bookmarkEnd w:id="155"/>
    </w:p>
    <w:p w14:paraId="488AF37C">
      <w:pPr>
        <w:snapToGrid w:val="0"/>
        <w:spacing w:line="440" w:lineRule="exact"/>
        <w:ind w:firstLine="420" w:firstLineChars="200"/>
        <w:rPr>
          <w:color w:val="auto"/>
          <w:szCs w:val="21"/>
          <w:highlight w:val="none"/>
        </w:rPr>
      </w:pPr>
      <w:r>
        <w:rPr>
          <w:rFonts w:hint="eastAsia"/>
          <w:color w:val="auto"/>
          <w:szCs w:val="21"/>
          <w:highlight w:val="none"/>
        </w:rPr>
        <w:t>3</w:t>
      </w:r>
      <w:r>
        <w:rPr>
          <w:color w:val="auto"/>
          <w:szCs w:val="21"/>
          <w:highlight w:val="none"/>
        </w:rPr>
        <w:t>.乙方未得到甲方同意，擅自更换项目负责人及服务团队成员时，甲方有权书面通知乙方解除合同，且无需支付合同解除后的合同后续费用。同时，乙方必须退还甲方已付出的所有服务费用，并赔偿由此给甲方造成的全部损失。</w:t>
      </w:r>
      <w:bookmarkEnd w:id="156"/>
    </w:p>
    <w:p w14:paraId="6D7FE534">
      <w:pPr>
        <w:snapToGrid w:val="0"/>
        <w:spacing w:line="440" w:lineRule="exact"/>
        <w:ind w:firstLine="420" w:firstLineChars="200"/>
        <w:rPr>
          <w:color w:val="auto"/>
          <w:szCs w:val="21"/>
          <w:highlight w:val="none"/>
        </w:rPr>
      </w:pPr>
      <w:r>
        <w:rPr>
          <w:rFonts w:hint="eastAsia"/>
          <w:color w:val="auto"/>
          <w:szCs w:val="21"/>
          <w:highlight w:val="none"/>
        </w:rPr>
        <w:t>4</w:t>
      </w:r>
      <w:r>
        <w:rPr>
          <w:color w:val="auto"/>
          <w:szCs w:val="21"/>
          <w:highlight w:val="none"/>
        </w:rPr>
        <w:t>.乙方或乙方人员违反保密义务时，甲方有权书面通知乙方解除合同，且无需支付合同解除后的合同后续费用。同时，乙方必须退还甲方已付出的所有咨询费用，并赔偿由此给甲方造成的全部损失。</w:t>
      </w:r>
    </w:p>
    <w:p w14:paraId="05757481">
      <w:pPr>
        <w:snapToGrid w:val="0"/>
        <w:spacing w:line="440" w:lineRule="exact"/>
        <w:ind w:firstLine="420" w:firstLineChars="200"/>
        <w:rPr>
          <w:color w:val="auto"/>
          <w:szCs w:val="21"/>
          <w:highlight w:val="none"/>
        </w:rPr>
      </w:pPr>
      <w:r>
        <w:rPr>
          <w:rFonts w:hint="eastAsia"/>
          <w:color w:val="auto"/>
          <w:szCs w:val="21"/>
          <w:highlight w:val="none"/>
        </w:rPr>
        <w:t>5</w:t>
      </w:r>
      <w:r>
        <w:rPr>
          <w:color w:val="auto"/>
          <w:szCs w:val="21"/>
          <w:highlight w:val="none"/>
        </w:rPr>
        <w:t>.</w:t>
      </w:r>
      <w:bookmarkStart w:id="157" w:name="auto_fouce_41"/>
      <w:r>
        <w:rPr>
          <w:color w:val="auto"/>
          <w:szCs w:val="21"/>
          <w:highlight w:val="none"/>
        </w:rPr>
        <w:t>乙方未按本合同</w:t>
      </w:r>
      <w:r>
        <w:rPr>
          <w:rFonts w:hint="eastAsia"/>
          <w:color w:val="auto"/>
          <w:szCs w:val="21"/>
          <w:highlight w:val="none"/>
        </w:rPr>
        <w:t>约定、</w:t>
      </w:r>
      <w:r>
        <w:rPr>
          <w:color w:val="auto"/>
          <w:szCs w:val="21"/>
          <w:highlight w:val="none"/>
        </w:rPr>
        <w:t>投标文件</w:t>
      </w:r>
      <w:r>
        <w:rPr>
          <w:rFonts w:hint="eastAsia"/>
          <w:color w:val="auto"/>
          <w:szCs w:val="21"/>
          <w:highlight w:val="none"/>
        </w:rPr>
        <w:t>及其承诺（特别是第二章‘商务要求’第10条‘售后</w:t>
      </w:r>
      <w:r>
        <w:rPr>
          <w:color w:val="auto"/>
          <w:szCs w:val="21"/>
          <w:highlight w:val="none"/>
        </w:rPr>
        <w:t>服务</w:t>
      </w:r>
      <w:r>
        <w:rPr>
          <w:rFonts w:hint="eastAsia"/>
          <w:color w:val="auto"/>
          <w:szCs w:val="21"/>
          <w:highlight w:val="none"/>
        </w:rPr>
        <w:t>’部分）</w:t>
      </w:r>
      <w:r>
        <w:rPr>
          <w:color w:val="auto"/>
          <w:szCs w:val="21"/>
          <w:highlight w:val="none"/>
        </w:rPr>
        <w:t>提供售后服务的，</w:t>
      </w:r>
      <w:r>
        <w:rPr>
          <w:rFonts w:hint="eastAsia"/>
          <w:color w:val="auto"/>
          <w:szCs w:val="21"/>
          <w:highlight w:val="none"/>
        </w:rPr>
        <w:t>每发生一次</w:t>
      </w:r>
      <w:r>
        <w:rPr>
          <w:rFonts w:hint="eastAsia"/>
          <w:color w:val="auto"/>
          <w:szCs w:val="21"/>
          <w:highlight w:val="none"/>
          <w:lang w:eastAsia="zh-CN"/>
        </w:rPr>
        <w:t>或每次持续违约期间</w:t>
      </w:r>
      <w:r>
        <w:rPr>
          <w:rFonts w:hint="eastAsia"/>
          <w:color w:val="auto"/>
          <w:szCs w:val="21"/>
          <w:highlight w:val="none"/>
        </w:rPr>
        <w:t>，</w:t>
      </w:r>
      <w:r>
        <w:rPr>
          <w:color w:val="auto"/>
          <w:szCs w:val="21"/>
          <w:highlight w:val="none"/>
        </w:rPr>
        <w:t>乙方应</w:t>
      </w:r>
      <w:r>
        <w:rPr>
          <w:rFonts w:hint="eastAsia"/>
          <w:color w:val="auto"/>
          <w:szCs w:val="21"/>
          <w:highlight w:val="none"/>
          <w:lang w:eastAsia="zh-CN"/>
        </w:rPr>
        <w:t>按</w:t>
      </w:r>
      <w:r>
        <w:rPr>
          <w:color w:val="auto"/>
          <w:szCs w:val="21"/>
          <w:highlight w:val="none"/>
        </w:rPr>
        <w:t>合同</w:t>
      </w:r>
      <w:r>
        <w:rPr>
          <w:rStyle w:val="58"/>
          <w:rFonts w:hint="eastAsia"/>
          <w:color w:val="auto"/>
          <w:highlight w:val="none"/>
        </w:rPr>
        <w:t>总</w:t>
      </w:r>
      <w:r>
        <w:rPr>
          <w:color w:val="auto"/>
          <w:szCs w:val="21"/>
          <w:highlight w:val="none"/>
        </w:rPr>
        <w:t>金额</w:t>
      </w:r>
      <w:r>
        <w:rPr>
          <w:rFonts w:hint="eastAsia"/>
          <w:color w:val="auto"/>
          <w:szCs w:val="21"/>
          <w:highlight w:val="none"/>
          <w:lang w:eastAsia="zh-CN"/>
        </w:rPr>
        <w:t>的</w:t>
      </w:r>
      <w:r>
        <w:rPr>
          <w:rFonts w:hint="eastAsia"/>
          <w:color w:val="auto"/>
          <w:szCs w:val="21"/>
          <w:highlight w:val="none"/>
          <w:u w:val="single"/>
        </w:rPr>
        <w:t>1</w:t>
      </w:r>
      <w:r>
        <w:rPr>
          <w:rFonts w:hint="eastAsia"/>
          <w:color w:val="auto"/>
          <w:szCs w:val="21"/>
          <w:highlight w:val="none"/>
          <w:lang w:eastAsia="zh-CN"/>
        </w:rPr>
        <w:t>‰/日向甲方支付</w:t>
      </w:r>
      <w:r>
        <w:rPr>
          <w:rFonts w:hint="eastAsia"/>
          <w:color w:val="auto"/>
          <w:szCs w:val="21"/>
          <w:highlight w:val="none"/>
        </w:rPr>
        <w:t>违约金</w:t>
      </w:r>
      <w:r>
        <w:rPr>
          <w:rFonts w:hint="eastAsia"/>
          <w:color w:val="auto"/>
          <w:szCs w:val="21"/>
          <w:highlight w:val="none"/>
          <w:lang w:eastAsia="zh-CN"/>
        </w:rPr>
        <w:t>，不足一日的按一日计算</w:t>
      </w:r>
      <w:r>
        <w:rPr>
          <w:rFonts w:hint="eastAsia"/>
          <w:color w:val="auto"/>
          <w:szCs w:val="21"/>
          <w:highlight w:val="none"/>
        </w:rPr>
        <w:t>；因此给</w:t>
      </w:r>
      <w:r>
        <w:rPr>
          <w:color w:val="auto"/>
          <w:szCs w:val="21"/>
          <w:highlight w:val="none"/>
        </w:rPr>
        <w:t>甲方</w:t>
      </w:r>
      <w:r>
        <w:rPr>
          <w:rFonts w:hint="eastAsia"/>
          <w:color w:val="auto"/>
          <w:szCs w:val="21"/>
          <w:highlight w:val="none"/>
        </w:rPr>
        <w:t>造成损失的，乙方应另行赔偿。因乙方售后服务不及时或不当导致系统故障影响甲方正常使用的，甲方有权从履约保证金或合同尾款中直接扣除相应</w:t>
      </w:r>
      <w:r>
        <w:rPr>
          <w:color w:val="auto"/>
          <w:szCs w:val="21"/>
          <w:highlight w:val="none"/>
        </w:rPr>
        <w:t>违约金</w:t>
      </w:r>
      <w:r>
        <w:rPr>
          <w:rFonts w:hint="eastAsia"/>
          <w:color w:val="auto"/>
          <w:szCs w:val="21"/>
          <w:highlight w:val="none"/>
        </w:rPr>
        <w:t>及损失赔偿</w:t>
      </w:r>
      <w:r>
        <w:rPr>
          <w:color w:val="auto"/>
          <w:szCs w:val="21"/>
          <w:highlight w:val="none"/>
        </w:rPr>
        <w:t>。</w:t>
      </w:r>
      <w:bookmarkEnd w:id="157"/>
    </w:p>
    <w:p w14:paraId="1C6C82BC">
      <w:pPr>
        <w:snapToGrid w:val="0"/>
        <w:spacing w:line="440" w:lineRule="exact"/>
        <w:ind w:firstLine="420" w:firstLineChars="200"/>
        <w:rPr>
          <w:color w:val="auto"/>
          <w:szCs w:val="21"/>
          <w:highlight w:val="none"/>
        </w:rPr>
      </w:pPr>
      <w:r>
        <w:rPr>
          <w:rFonts w:hint="eastAsia"/>
          <w:color w:val="auto"/>
          <w:szCs w:val="21"/>
          <w:highlight w:val="none"/>
        </w:rPr>
        <w:t>6</w:t>
      </w:r>
      <w:r>
        <w:rPr>
          <w:color w:val="auto"/>
          <w:szCs w:val="21"/>
          <w:highlight w:val="none"/>
        </w:rPr>
        <w:t>.</w:t>
      </w:r>
      <w:bookmarkStart w:id="158" w:name="auto_fouce_42"/>
      <w:r>
        <w:rPr>
          <w:rFonts w:hint="eastAsia"/>
          <w:color w:val="auto"/>
          <w:szCs w:val="21"/>
          <w:highlight w:val="none"/>
        </w:rPr>
        <w:t>在质量保证期内，因</w:t>
      </w:r>
      <w:r>
        <w:rPr>
          <w:color w:val="auto"/>
          <w:szCs w:val="21"/>
          <w:highlight w:val="none"/>
        </w:rPr>
        <w:t>乙方提供的</w:t>
      </w:r>
      <w:r>
        <w:rPr>
          <w:rFonts w:hint="eastAsia"/>
          <w:color w:val="auto"/>
          <w:szCs w:val="21"/>
          <w:highlight w:val="none"/>
        </w:rPr>
        <w:t>产品</w:t>
      </w:r>
      <w:r>
        <w:rPr>
          <w:color w:val="auto"/>
          <w:szCs w:val="21"/>
          <w:highlight w:val="none"/>
        </w:rPr>
        <w:t>或服务成果</w:t>
      </w:r>
      <w:r>
        <w:rPr>
          <w:rFonts w:hint="eastAsia"/>
          <w:color w:val="auto"/>
          <w:szCs w:val="21"/>
          <w:highlight w:val="none"/>
        </w:rPr>
        <w:t>存</w:t>
      </w:r>
      <w:r>
        <w:rPr>
          <w:color w:val="auto"/>
          <w:szCs w:val="21"/>
          <w:highlight w:val="none"/>
        </w:rPr>
        <w:t>在设计</w:t>
      </w:r>
      <w:r>
        <w:rPr>
          <w:rFonts w:hint="eastAsia"/>
          <w:color w:val="auto"/>
          <w:szCs w:val="21"/>
          <w:highlight w:val="none"/>
        </w:rPr>
        <w:t>缺陷</w:t>
      </w:r>
      <w:r>
        <w:rPr>
          <w:color w:val="auto"/>
          <w:szCs w:val="21"/>
          <w:highlight w:val="none"/>
        </w:rPr>
        <w:t>、工艺</w:t>
      </w:r>
      <w:r>
        <w:rPr>
          <w:rFonts w:hint="eastAsia"/>
          <w:color w:val="auto"/>
          <w:szCs w:val="21"/>
          <w:highlight w:val="none"/>
        </w:rPr>
        <w:t>缺陷、</w:t>
      </w:r>
      <w:r>
        <w:rPr>
          <w:color w:val="auto"/>
          <w:szCs w:val="21"/>
          <w:highlight w:val="none"/>
        </w:rPr>
        <w:t>材料缺陷</w:t>
      </w:r>
      <w:r>
        <w:rPr>
          <w:rFonts w:hint="eastAsia"/>
          <w:color w:val="auto"/>
          <w:szCs w:val="21"/>
          <w:highlight w:val="none"/>
        </w:rPr>
        <w:t>、安装调试不当或不符合合同约定的</w:t>
      </w:r>
      <w:r>
        <w:rPr>
          <w:color w:val="auto"/>
          <w:szCs w:val="21"/>
          <w:highlight w:val="none"/>
        </w:rPr>
        <w:t>质量</w:t>
      </w:r>
      <w:r>
        <w:rPr>
          <w:rFonts w:hint="eastAsia"/>
          <w:color w:val="auto"/>
          <w:szCs w:val="21"/>
          <w:highlight w:val="none"/>
        </w:rPr>
        <w:t>标准等任何质量</w:t>
      </w:r>
      <w:r>
        <w:rPr>
          <w:color w:val="auto"/>
          <w:szCs w:val="21"/>
          <w:highlight w:val="none"/>
        </w:rPr>
        <w:t>问题</w:t>
      </w:r>
      <w:r>
        <w:rPr>
          <w:rFonts w:hint="eastAsia"/>
          <w:color w:val="auto"/>
          <w:szCs w:val="21"/>
          <w:highlight w:val="none"/>
        </w:rPr>
        <w:t>（包括但不限于性能故障、安全隐患、不符合适航要求等）导致甲方遭受损失的</w:t>
      </w:r>
      <w:r>
        <w:rPr>
          <w:color w:val="auto"/>
          <w:szCs w:val="21"/>
          <w:highlight w:val="none"/>
        </w:rPr>
        <w:t>，乙方</w:t>
      </w:r>
      <w:r>
        <w:rPr>
          <w:rFonts w:hint="eastAsia"/>
          <w:color w:val="auto"/>
          <w:szCs w:val="21"/>
          <w:highlight w:val="none"/>
        </w:rPr>
        <w:t>应</w:t>
      </w:r>
      <w:r>
        <w:rPr>
          <w:color w:val="auto"/>
          <w:szCs w:val="21"/>
          <w:highlight w:val="none"/>
        </w:rPr>
        <w:t>负责</w:t>
      </w:r>
      <w:r>
        <w:rPr>
          <w:rFonts w:hint="eastAsia"/>
          <w:color w:val="auto"/>
          <w:szCs w:val="21"/>
          <w:highlight w:val="none"/>
        </w:rPr>
        <w:t>免费维修、更换或退货</w:t>
      </w:r>
      <w:r>
        <w:rPr>
          <w:color w:val="auto"/>
          <w:szCs w:val="21"/>
          <w:highlight w:val="none"/>
        </w:rPr>
        <w:t>，</w:t>
      </w:r>
      <w:r>
        <w:rPr>
          <w:rFonts w:hint="eastAsia"/>
          <w:color w:val="auto"/>
          <w:szCs w:val="21"/>
          <w:highlight w:val="none"/>
        </w:rPr>
        <w:t>并承担因此产生的一切</w:t>
      </w:r>
      <w:r>
        <w:rPr>
          <w:color w:val="auto"/>
          <w:szCs w:val="21"/>
          <w:highlight w:val="none"/>
        </w:rPr>
        <w:t>费用</w:t>
      </w:r>
      <w:r>
        <w:rPr>
          <w:rFonts w:hint="eastAsia"/>
          <w:color w:val="auto"/>
          <w:szCs w:val="21"/>
          <w:highlight w:val="none"/>
        </w:rPr>
        <w:t>（包括但不限于检测费、运输费、人工费）及甲方的全部损失。相关费用及赔偿金甲方有权优先</w:t>
      </w:r>
      <w:r>
        <w:rPr>
          <w:color w:val="auto"/>
          <w:szCs w:val="21"/>
          <w:highlight w:val="none"/>
        </w:rPr>
        <w:t>从质量保证金中扣除，</w:t>
      </w:r>
      <w:r>
        <w:rPr>
          <w:rFonts w:hint="eastAsia"/>
          <w:color w:val="auto"/>
          <w:szCs w:val="21"/>
          <w:highlight w:val="none"/>
          <w:lang w:eastAsia="zh-CN"/>
        </w:rPr>
        <w:t>若质量保证金</w:t>
      </w:r>
      <w:r>
        <w:rPr>
          <w:color w:val="auto"/>
          <w:szCs w:val="21"/>
          <w:highlight w:val="none"/>
        </w:rPr>
        <w:t>不足</w:t>
      </w:r>
      <w:r>
        <w:rPr>
          <w:rFonts w:hint="eastAsia"/>
          <w:color w:val="auto"/>
          <w:szCs w:val="21"/>
          <w:highlight w:val="none"/>
          <w:lang w:eastAsia="zh-CN"/>
        </w:rPr>
        <w:t>以抵扣的，甲方有权从任何未付合同款项中直接扣除，仍有不足的，</w:t>
      </w:r>
      <w:r>
        <w:rPr>
          <w:color w:val="auto"/>
          <w:szCs w:val="21"/>
          <w:highlight w:val="none"/>
        </w:rPr>
        <w:t>乙方</w:t>
      </w:r>
      <w:r>
        <w:rPr>
          <w:rFonts w:hint="eastAsia"/>
          <w:color w:val="auto"/>
          <w:szCs w:val="21"/>
          <w:highlight w:val="none"/>
        </w:rPr>
        <w:t>应在甲方通知后10日内</w:t>
      </w:r>
      <w:r>
        <w:rPr>
          <w:color w:val="auto"/>
          <w:szCs w:val="21"/>
          <w:highlight w:val="none"/>
        </w:rPr>
        <w:t>另行支付。</w:t>
      </w:r>
      <w:bookmarkEnd w:id="158"/>
    </w:p>
    <w:p w14:paraId="00A62228">
      <w:pPr>
        <w:snapToGrid w:val="0"/>
        <w:spacing w:line="440" w:lineRule="exact"/>
        <w:ind w:firstLine="420" w:firstLineChars="200"/>
        <w:jc w:val="left"/>
        <w:rPr>
          <w:color w:val="auto"/>
          <w:szCs w:val="21"/>
          <w:highlight w:val="none"/>
        </w:rPr>
      </w:pPr>
      <w:r>
        <w:rPr>
          <w:rFonts w:hint="eastAsia"/>
          <w:color w:val="auto"/>
          <w:szCs w:val="21"/>
          <w:highlight w:val="none"/>
        </w:rPr>
        <w:t>7</w:t>
      </w:r>
      <w:r>
        <w:rPr>
          <w:color w:val="auto"/>
          <w:szCs w:val="21"/>
          <w:highlight w:val="none"/>
        </w:rPr>
        <w:t>.</w:t>
      </w:r>
      <w:bookmarkStart w:id="159" w:name="auto_fouce_43"/>
      <w:r>
        <w:rPr>
          <w:color w:val="auto"/>
          <w:szCs w:val="21"/>
          <w:highlight w:val="none"/>
        </w:rPr>
        <w:t>乙方提供的</w:t>
      </w:r>
      <w:r>
        <w:rPr>
          <w:rFonts w:hint="eastAsia"/>
          <w:color w:val="auto"/>
          <w:szCs w:val="21"/>
          <w:highlight w:val="none"/>
        </w:rPr>
        <w:t>产品</w:t>
      </w:r>
      <w:r>
        <w:rPr>
          <w:color w:val="auto"/>
          <w:szCs w:val="21"/>
          <w:highlight w:val="none"/>
        </w:rPr>
        <w:t>或服务如侵犯了第三方合法权益而引发的任何纠纷或诉讼，均由乙方负责交涉</w:t>
      </w:r>
      <w:r>
        <w:rPr>
          <w:rFonts w:hint="eastAsia"/>
          <w:color w:val="auto"/>
          <w:szCs w:val="21"/>
          <w:highlight w:val="none"/>
          <w:lang w:eastAsia="zh-CN"/>
        </w:rPr>
        <w:t>、应诉</w:t>
      </w:r>
      <w:r>
        <w:rPr>
          <w:color w:val="auto"/>
          <w:szCs w:val="21"/>
          <w:highlight w:val="none"/>
        </w:rPr>
        <w:t>并承担全部责任</w:t>
      </w:r>
      <w:r>
        <w:rPr>
          <w:rFonts w:hint="eastAsia"/>
          <w:color w:val="auto"/>
          <w:szCs w:val="21"/>
          <w:highlight w:val="none"/>
          <w:lang w:eastAsia="zh-CN"/>
        </w:rPr>
        <w:t>，包括但不限于诉讼费、律师费、鉴定费、和解或判决确定的赔偿金及甲方为解决争议所支出的其他一切费用</w:t>
      </w:r>
      <w:r>
        <w:rPr>
          <w:color w:val="auto"/>
          <w:szCs w:val="21"/>
          <w:highlight w:val="none"/>
        </w:rPr>
        <w:t>。</w:t>
      </w:r>
      <w:bookmarkEnd w:id="159"/>
    </w:p>
    <w:p w14:paraId="057B93F4">
      <w:pPr>
        <w:snapToGrid w:val="0"/>
        <w:spacing w:line="440" w:lineRule="exact"/>
        <w:ind w:firstLine="420" w:firstLineChars="200"/>
        <w:rPr>
          <w:rFonts w:hint="eastAsia" w:eastAsia="宋体"/>
          <w:color w:val="auto"/>
          <w:szCs w:val="21"/>
          <w:highlight w:val="none"/>
          <w:lang w:eastAsia="zh-CN"/>
        </w:rPr>
      </w:pPr>
      <w:r>
        <w:rPr>
          <w:rFonts w:hint="eastAsia"/>
          <w:color w:val="auto"/>
          <w:szCs w:val="21"/>
          <w:highlight w:val="none"/>
        </w:rPr>
        <w:t>8</w:t>
      </w:r>
      <w:r>
        <w:rPr>
          <w:color w:val="auto"/>
          <w:szCs w:val="21"/>
          <w:highlight w:val="none"/>
        </w:rPr>
        <w:t>.</w:t>
      </w:r>
      <w:bookmarkStart w:id="160" w:name="auto_fouce_46"/>
      <w:r>
        <w:rPr>
          <w:rFonts w:hint="eastAsia"/>
          <w:color w:val="auto"/>
          <w:szCs w:val="21"/>
          <w:highlight w:val="none"/>
        </w:rPr>
        <w:t>除本条前述约定外，乙方发生其他任何</w:t>
      </w:r>
      <w:r>
        <w:rPr>
          <w:color w:val="auto"/>
          <w:szCs w:val="21"/>
          <w:highlight w:val="none"/>
        </w:rPr>
        <w:t>违约行为</w:t>
      </w:r>
      <w:r>
        <w:rPr>
          <w:rFonts w:hint="eastAsia"/>
          <w:color w:val="auto"/>
          <w:szCs w:val="21"/>
          <w:highlight w:val="none"/>
        </w:rPr>
        <w:t>（包括但不限于</w:t>
      </w:r>
      <w:r>
        <w:rPr>
          <w:color w:val="auto"/>
          <w:szCs w:val="21"/>
          <w:highlight w:val="none"/>
        </w:rPr>
        <w:t>违</w:t>
      </w:r>
      <w:r>
        <w:rPr>
          <w:rFonts w:hint="eastAsia"/>
          <w:color w:val="auto"/>
          <w:szCs w:val="21"/>
          <w:highlight w:val="none"/>
        </w:rPr>
        <w:t>反保密义务、侵犯知识产权、违反分包规定、提供的文件资料存在虚假等）的，甲方有权根据违</w:t>
      </w:r>
      <w:r>
        <w:rPr>
          <w:color w:val="auto"/>
          <w:szCs w:val="21"/>
          <w:highlight w:val="none"/>
        </w:rPr>
        <w:t>约</w:t>
      </w:r>
      <w:r>
        <w:rPr>
          <w:rFonts w:hint="eastAsia"/>
          <w:color w:val="auto"/>
          <w:szCs w:val="21"/>
          <w:highlight w:val="none"/>
        </w:rPr>
        <w:t>情节轻重，要求乙方支付合同总</w:t>
      </w:r>
      <w:r>
        <w:rPr>
          <w:color w:val="auto"/>
          <w:szCs w:val="21"/>
          <w:highlight w:val="none"/>
        </w:rPr>
        <w:t>金额</w:t>
      </w:r>
      <w:r>
        <w:rPr>
          <w:rFonts w:hint="eastAsia"/>
          <w:color w:val="auto"/>
          <w:szCs w:val="21"/>
          <w:highlight w:val="none"/>
          <w:lang w:eastAsia="zh-CN"/>
        </w:rPr>
        <w:t>20</w:t>
      </w:r>
      <w:r>
        <w:rPr>
          <w:color w:val="auto"/>
          <w:szCs w:val="21"/>
          <w:highlight w:val="none"/>
        </w:rPr>
        <w:t>%</w:t>
      </w:r>
      <w:r>
        <w:rPr>
          <w:rFonts w:hint="eastAsia"/>
          <w:color w:val="auto"/>
          <w:szCs w:val="21"/>
          <w:highlight w:val="none"/>
          <w:lang w:eastAsia="zh-CN"/>
        </w:rPr>
        <w:t>的</w:t>
      </w:r>
      <w:r>
        <w:rPr>
          <w:color w:val="auto"/>
          <w:szCs w:val="21"/>
          <w:highlight w:val="none"/>
        </w:rPr>
        <w:t>违约金</w:t>
      </w:r>
      <w:r>
        <w:rPr>
          <w:rFonts w:hint="eastAsia"/>
          <w:color w:val="auto"/>
          <w:szCs w:val="21"/>
          <w:highlight w:val="none"/>
        </w:rPr>
        <w:t>；若该违约金不足以弥补甲方</w:t>
      </w:r>
      <w:r>
        <w:rPr>
          <w:rFonts w:hint="eastAsia"/>
          <w:color w:val="auto"/>
          <w:szCs w:val="21"/>
          <w:highlight w:val="none"/>
          <w:lang w:eastAsia="zh-CN"/>
        </w:rPr>
        <w:t>全部</w:t>
      </w:r>
      <w:r>
        <w:rPr>
          <w:rFonts w:hint="eastAsia"/>
          <w:color w:val="auto"/>
          <w:szCs w:val="21"/>
          <w:highlight w:val="none"/>
        </w:rPr>
        <w:t>损失的，乙方应</w:t>
      </w:r>
      <w:r>
        <w:rPr>
          <w:color w:val="auto"/>
          <w:szCs w:val="21"/>
          <w:highlight w:val="none"/>
        </w:rPr>
        <w:t>赔偿</w:t>
      </w:r>
      <w:r>
        <w:rPr>
          <w:rFonts w:hint="eastAsia"/>
          <w:color w:val="auto"/>
          <w:szCs w:val="21"/>
          <w:highlight w:val="none"/>
        </w:rPr>
        <w:t>甲方全部</w:t>
      </w:r>
      <w:r>
        <w:rPr>
          <w:color w:val="auto"/>
          <w:szCs w:val="21"/>
          <w:highlight w:val="none"/>
        </w:rPr>
        <w:t>损失。</w:t>
      </w:r>
      <w:bookmarkEnd w:id="160"/>
      <w:r>
        <w:rPr>
          <w:rFonts w:hint="eastAsia"/>
          <w:color w:val="auto"/>
          <w:szCs w:val="21"/>
          <w:highlight w:val="none"/>
          <w:lang w:eastAsia="zh-CN"/>
        </w:rPr>
        <w:t xml:space="preserve"> </w:t>
      </w:r>
      <w:bookmarkStart w:id="161" w:name="auto_fouce_45"/>
    </w:p>
    <w:p w14:paraId="429BE23F">
      <w:pPr>
        <w:snapToGrid w:val="0"/>
        <w:spacing w:line="440" w:lineRule="exact"/>
        <w:ind w:firstLine="420" w:firstLineChars="200"/>
        <w:rPr>
          <w:rFonts w:hint="eastAsia" w:eastAsia="宋体"/>
          <w:color w:val="auto"/>
          <w:szCs w:val="21"/>
          <w:highlight w:val="none"/>
          <w:lang w:eastAsia="zh-CN"/>
        </w:rPr>
      </w:pPr>
      <w:r>
        <w:rPr>
          <w:rFonts w:hint="eastAsia"/>
          <w:color w:val="auto"/>
          <w:szCs w:val="21"/>
          <w:highlight w:val="none"/>
          <w:lang w:eastAsia="zh-CN"/>
        </w:rPr>
        <w:t>任何一方主张对方违约的，应向对方发出书面违约通知，指明违约事实。被通知方应在收到通知后5个工作日内予以书面答复或纠正，逾期未答复或纠正的，视为认可违约事实。</w:t>
      </w:r>
      <w:bookmarkEnd w:id="161"/>
      <w:r>
        <w:rPr>
          <w:rFonts w:hint="eastAsia"/>
          <w:color w:val="auto"/>
          <w:szCs w:val="21"/>
          <w:highlight w:val="none"/>
          <w:lang w:eastAsia="zh-CN"/>
        </w:rPr>
        <w:t xml:space="preserve"> </w:t>
      </w:r>
      <w:bookmarkStart w:id="162" w:name="auto_fouce_47"/>
    </w:p>
    <w:p w14:paraId="25B39A55">
      <w:pPr>
        <w:snapToGrid w:val="0"/>
        <w:spacing w:line="440" w:lineRule="exact"/>
        <w:ind w:firstLine="420" w:firstLineChars="200"/>
        <w:rPr>
          <w:rFonts w:hint="eastAsia" w:eastAsia="宋体"/>
          <w:color w:val="auto"/>
          <w:szCs w:val="21"/>
          <w:highlight w:val="none"/>
          <w:lang w:eastAsia="zh-CN"/>
        </w:rPr>
      </w:pPr>
      <w:r>
        <w:rPr>
          <w:rFonts w:hint="eastAsia"/>
          <w:color w:val="auto"/>
          <w:szCs w:val="21"/>
          <w:highlight w:val="none"/>
          <w:lang w:eastAsia="zh-CN"/>
        </w:rPr>
        <w:t>本合同约定的甲方享有的解除权、拒付价款权、扣除款项权等权利，以及乙方支付的违约金、赔偿金，均为可累加行使及计收，不因甲方行使了某一项权利而视为放弃其他权利。</w:t>
      </w:r>
      <w:bookmarkEnd w:id="162"/>
    </w:p>
    <w:p w14:paraId="7C34D270">
      <w:pPr>
        <w:snapToGrid w:val="0"/>
        <w:spacing w:line="440" w:lineRule="exact"/>
        <w:ind w:firstLine="420" w:firstLineChars="200"/>
        <w:rPr>
          <w:color w:val="auto"/>
          <w:szCs w:val="21"/>
          <w:highlight w:val="none"/>
        </w:rPr>
      </w:pPr>
      <w:r>
        <w:rPr>
          <w:rFonts w:hint="eastAsia"/>
          <w:color w:val="auto"/>
          <w:szCs w:val="21"/>
          <w:highlight w:val="none"/>
        </w:rPr>
        <w:t>9</w:t>
      </w:r>
      <w:r>
        <w:rPr>
          <w:color w:val="auto"/>
          <w:szCs w:val="21"/>
          <w:highlight w:val="none"/>
        </w:rPr>
        <w:t>.</w:t>
      </w:r>
      <w:bookmarkStart w:id="163" w:name="tip_risk_bookmark_36"/>
      <w:r>
        <w:rPr>
          <w:rFonts w:hint="eastAsia"/>
          <w:color w:val="auto"/>
          <w:szCs w:val="21"/>
          <w:highlight w:val="none"/>
        </w:rPr>
        <w:t>因甲方原因导致变更、中止或者终止政府采购合同的，应当依照合同约定对乙方受到的损失予以赔偿或者补偿。</w:t>
      </w:r>
      <w:r>
        <w:rPr>
          <w:color w:val="auto"/>
          <w:szCs w:val="21"/>
          <w:highlight w:val="none"/>
        </w:rPr>
        <w:t>赔偿（补偿）标准：</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按实际损失赔偿</w:t>
      </w:r>
      <w:r>
        <w:rPr>
          <w:color w:val="auto"/>
          <w:szCs w:val="21"/>
          <w:highlight w:val="none"/>
          <w:u w:val="single"/>
        </w:rPr>
        <w:t xml:space="preserve">  </w:t>
      </w:r>
      <w:r>
        <w:rPr>
          <w:rFonts w:hint="eastAsia"/>
          <w:color w:val="auto"/>
          <w:szCs w:val="21"/>
          <w:highlight w:val="none"/>
        </w:rPr>
        <w:t>。</w:t>
      </w:r>
      <w:bookmarkEnd w:id="163"/>
    </w:p>
    <w:p w14:paraId="2F65EB8D">
      <w:pPr>
        <w:pStyle w:val="27"/>
        <w:snapToGrid w:val="0"/>
        <w:spacing w:before="120" w:after="120" w:line="440" w:lineRule="exact"/>
        <w:ind w:firstLine="413" w:firstLineChars="196"/>
        <w:rPr>
          <w:rFonts w:ascii="Times New Roman" w:hAnsi="Times New Roman" w:cs="Times New Roman"/>
          <w:b/>
          <w:color w:val="auto"/>
          <w:highlight w:val="none"/>
        </w:rPr>
      </w:pPr>
      <w:r>
        <w:rPr>
          <w:rFonts w:ascii="Times New Roman" w:hAnsi="Times New Roman" w:cs="Times New Roman"/>
          <w:b/>
          <w:color w:val="auto"/>
          <w:highlight w:val="none"/>
        </w:rPr>
        <w:t>第十</w:t>
      </w:r>
      <w:r>
        <w:rPr>
          <w:rFonts w:hint="eastAsia" w:ascii="Times New Roman" w:hAnsi="Times New Roman" w:cs="Times New Roman"/>
          <w:b/>
          <w:color w:val="auto"/>
          <w:highlight w:val="none"/>
        </w:rPr>
        <w:t>三</w:t>
      </w:r>
      <w:r>
        <w:rPr>
          <w:rFonts w:ascii="Times New Roman" w:hAnsi="Times New Roman" w:cs="Times New Roman"/>
          <w:b/>
          <w:color w:val="auto"/>
          <w:highlight w:val="none"/>
        </w:rPr>
        <w:t>条 不可抗力事件处理</w:t>
      </w:r>
    </w:p>
    <w:p w14:paraId="061A32F0">
      <w:pPr>
        <w:snapToGrid w:val="0"/>
        <w:spacing w:line="440" w:lineRule="exact"/>
        <w:ind w:firstLine="420" w:firstLineChars="200"/>
        <w:rPr>
          <w:color w:val="auto"/>
          <w:szCs w:val="21"/>
          <w:highlight w:val="none"/>
        </w:rPr>
      </w:pPr>
      <w:r>
        <w:rPr>
          <w:color w:val="auto"/>
          <w:szCs w:val="21"/>
          <w:highlight w:val="none"/>
        </w:rPr>
        <w:t>1.在合同有效期内，任何一方因不可抗力事件导致不能履行合同，则合同履行期可延长，其延长期与不可抗力影响期相同。</w:t>
      </w:r>
    </w:p>
    <w:p w14:paraId="0859AEFE">
      <w:pPr>
        <w:snapToGrid w:val="0"/>
        <w:spacing w:line="440" w:lineRule="exact"/>
        <w:ind w:firstLine="420" w:firstLineChars="200"/>
        <w:rPr>
          <w:color w:val="auto"/>
          <w:szCs w:val="21"/>
          <w:highlight w:val="none"/>
        </w:rPr>
      </w:pPr>
      <w:r>
        <w:rPr>
          <w:color w:val="auto"/>
          <w:szCs w:val="21"/>
          <w:highlight w:val="none"/>
        </w:rPr>
        <w:t>2.不可抗力事件发生后，应立即通知对方，并寄送有关权威机构出具的证明。</w:t>
      </w:r>
    </w:p>
    <w:p w14:paraId="02F028C0">
      <w:pPr>
        <w:snapToGrid w:val="0"/>
        <w:spacing w:line="440" w:lineRule="exact"/>
        <w:ind w:firstLine="420" w:firstLineChars="200"/>
        <w:rPr>
          <w:color w:val="auto"/>
          <w:szCs w:val="21"/>
          <w:highlight w:val="none"/>
        </w:rPr>
      </w:pPr>
      <w:r>
        <w:rPr>
          <w:color w:val="auto"/>
          <w:szCs w:val="21"/>
          <w:highlight w:val="none"/>
        </w:rPr>
        <w:t>3.不可抗力事件延续一百二十天以上，双方应通过友好协商，确定是否继续履行合同。</w:t>
      </w:r>
    </w:p>
    <w:p w14:paraId="54A6F676">
      <w:pPr>
        <w:snapToGrid w:val="0"/>
        <w:spacing w:line="440" w:lineRule="exact"/>
        <w:ind w:firstLine="422" w:firstLineChars="200"/>
        <w:rPr>
          <w:color w:val="auto"/>
          <w:szCs w:val="21"/>
          <w:highlight w:val="none"/>
        </w:rPr>
      </w:pPr>
      <w:r>
        <w:rPr>
          <w:b/>
          <w:color w:val="auto"/>
          <w:szCs w:val="21"/>
          <w:highlight w:val="none"/>
        </w:rPr>
        <w:t>第十</w:t>
      </w:r>
      <w:r>
        <w:rPr>
          <w:rFonts w:hint="eastAsia"/>
          <w:b/>
          <w:color w:val="auto"/>
          <w:szCs w:val="21"/>
          <w:highlight w:val="none"/>
        </w:rPr>
        <w:t>四</w:t>
      </w:r>
      <w:r>
        <w:rPr>
          <w:b/>
          <w:color w:val="auto"/>
          <w:szCs w:val="21"/>
          <w:highlight w:val="none"/>
        </w:rPr>
        <w:t>条  合同争议解决</w:t>
      </w:r>
    </w:p>
    <w:p w14:paraId="21478A1E">
      <w:pPr>
        <w:snapToGrid w:val="0"/>
        <w:spacing w:line="440" w:lineRule="exact"/>
        <w:ind w:firstLine="420" w:firstLineChars="200"/>
        <w:rPr>
          <w:color w:val="auto"/>
          <w:szCs w:val="21"/>
          <w:highlight w:val="none"/>
        </w:rPr>
      </w:pPr>
      <w:r>
        <w:rPr>
          <w:color w:val="auto"/>
          <w:szCs w:val="21"/>
          <w:highlight w:val="none"/>
        </w:rPr>
        <w:t>1</w:t>
      </w:r>
      <w:r>
        <w:rPr>
          <w:rFonts w:hint="eastAsia"/>
          <w:color w:val="auto"/>
          <w:szCs w:val="21"/>
          <w:highlight w:val="none"/>
        </w:rPr>
        <w:t>.</w:t>
      </w:r>
      <w:r>
        <w:rPr>
          <w:color w:val="auto"/>
          <w:szCs w:val="21"/>
          <w:highlight w:val="none"/>
        </w:rPr>
        <w:t>因</w:t>
      </w:r>
      <w:r>
        <w:rPr>
          <w:rFonts w:hint="eastAsia"/>
          <w:color w:val="auto"/>
          <w:szCs w:val="21"/>
          <w:highlight w:val="none"/>
        </w:rPr>
        <w:t>产品</w:t>
      </w:r>
      <w:r>
        <w:rPr>
          <w:color w:val="auto"/>
          <w:szCs w:val="21"/>
          <w:highlight w:val="none"/>
        </w:rPr>
        <w:t>或服务成果质量问题</w:t>
      </w:r>
      <w:r>
        <w:rPr>
          <w:rFonts w:hint="eastAsia"/>
          <w:color w:val="auto"/>
          <w:szCs w:val="21"/>
          <w:highlight w:val="none"/>
        </w:rPr>
        <w:t>或验收结果</w:t>
      </w:r>
      <w:r>
        <w:rPr>
          <w:color w:val="auto"/>
          <w:szCs w:val="21"/>
          <w:highlight w:val="none"/>
        </w:rPr>
        <w:t>发生争议的，应邀请国家认</w:t>
      </w:r>
      <w:r>
        <w:rPr>
          <w:rFonts w:hint="eastAsia"/>
          <w:color w:val="auto"/>
          <w:szCs w:val="21"/>
          <w:highlight w:val="none"/>
        </w:rPr>
        <w:t>定</w:t>
      </w:r>
      <w:r>
        <w:rPr>
          <w:color w:val="auto"/>
          <w:szCs w:val="21"/>
          <w:highlight w:val="none"/>
        </w:rPr>
        <w:t>的质量检测机构按照国家标准对</w:t>
      </w:r>
      <w:r>
        <w:rPr>
          <w:rFonts w:hint="eastAsia"/>
          <w:color w:val="auto"/>
          <w:szCs w:val="21"/>
          <w:highlight w:val="none"/>
        </w:rPr>
        <w:t>产品</w:t>
      </w:r>
      <w:r>
        <w:rPr>
          <w:color w:val="auto"/>
          <w:szCs w:val="21"/>
          <w:highlight w:val="none"/>
        </w:rPr>
        <w:t>或服务成果质量进行验收。</w:t>
      </w:r>
      <w:r>
        <w:rPr>
          <w:rFonts w:hint="eastAsia"/>
          <w:color w:val="auto"/>
          <w:szCs w:val="21"/>
          <w:highlight w:val="none"/>
        </w:rPr>
        <w:t>产品</w:t>
      </w:r>
      <w:r>
        <w:rPr>
          <w:color w:val="auto"/>
          <w:szCs w:val="21"/>
          <w:highlight w:val="none"/>
        </w:rPr>
        <w:t>或服务成果符合国家标准的，鉴定费由甲方承担；</w:t>
      </w:r>
      <w:r>
        <w:rPr>
          <w:rFonts w:hint="eastAsia"/>
          <w:color w:val="auto"/>
          <w:szCs w:val="21"/>
          <w:highlight w:val="none"/>
        </w:rPr>
        <w:t>产品</w:t>
      </w:r>
      <w:r>
        <w:rPr>
          <w:color w:val="auto"/>
          <w:szCs w:val="21"/>
          <w:highlight w:val="none"/>
        </w:rPr>
        <w:t>或服务成果不符合国家标准的，鉴定费由乙方承担。</w:t>
      </w:r>
    </w:p>
    <w:p w14:paraId="39329FAE">
      <w:pPr>
        <w:snapToGrid w:val="0"/>
        <w:spacing w:line="440" w:lineRule="exact"/>
        <w:ind w:firstLine="420" w:firstLineChars="200"/>
        <w:rPr>
          <w:color w:val="auto"/>
          <w:szCs w:val="21"/>
          <w:highlight w:val="none"/>
        </w:rPr>
      </w:pPr>
      <w:r>
        <w:rPr>
          <w:color w:val="auto"/>
          <w:szCs w:val="21"/>
          <w:highlight w:val="none"/>
        </w:rPr>
        <w:t>2</w:t>
      </w:r>
      <w:r>
        <w:rPr>
          <w:rFonts w:hint="eastAsia"/>
          <w:color w:val="auto"/>
          <w:szCs w:val="21"/>
          <w:highlight w:val="none"/>
        </w:rPr>
        <w:t>.</w:t>
      </w:r>
      <w:r>
        <w:rPr>
          <w:color w:val="auto"/>
          <w:szCs w:val="21"/>
          <w:highlight w:val="none"/>
        </w:rPr>
        <w:t>因履行本合同引起的或与本合同有关的争议，甲乙双方应首先通过友好协商解决，如果协商不能解决，可向甲方所在地人民法院提起诉讼。</w:t>
      </w:r>
    </w:p>
    <w:p w14:paraId="0F76531D">
      <w:pPr>
        <w:snapToGrid w:val="0"/>
        <w:spacing w:line="440" w:lineRule="exact"/>
        <w:ind w:firstLine="420" w:firstLineChars="200"/>
        <w:rPr>
          <w:color w:val="auto"/>
          <w:szCs w:val="21"/>
          <w:highlight w:val="none"/>
        </w:rPr>
      </w:pPr>
      <w:r>
        <w:rPr>
          <w:color w:val="auto"/>
          <w:szCs w:val="21"/>
          <w:highlight w:val="none"/>
        </w:rPr>
        <w:t>3</w:t>
      </w:r>
      <w:r>
        <w:rPr>
          <w:rFonts w:hint="eastAsia"/>
          <w:color w:val="auto"/>
          <w:szCs w:val="21"/>
          <w:highlight w:val="none"/>
        </w:rPr>
        <w:t>.</w:t>
      </w:r>
      <w:r>
        <w:rPr>
          <w:color w:val="auto"/>
          <w:szCs w:val="21"/>
          <w:highlight w:val="none"/>
        </w:rPr>
        <w:t>诉讼期间，本合同继续履行。</w:t>
      </w:r>
    </w:p>
    <w:p w14:paraId="59D01483">
      <w:pPr>
        <w:pStyle w:val="27"/>
        <w:snapToGrid w:val="0"/>
        <w:spacing w:before="120" w:after="120" w:line="440" w:lineRule="exact"/>
        <w:ind w:firstLine="422" w:firstLineChars="200"/>
        <w:rPr>
          <w:rFonts w:ascii="Times New Roman" w:hAnsi="Times New Roman" w:cs="Times New Roman"/>
          <w:b/>
          <w:color w:val="auto"/>
          <w:highlight w:val="none"/>
        </w:rPr>
      </w:pPr>
      <w:r>
        <w:rPr>
          <w:rFonts w:ascii="Times New Roman" w:hAnsi="Times New Roman" w:cs="Times New Roman"/>
          <w:b/>
          <w:color w:val="auto"/>
          <w:highlight w:val="none"/>
        </w:rPr>
        <w:t>第十</w:t>
      </w:r>
      <w:r>
        <w:rPr>
          <w:rFonts w:hint="eastAsia" w:ascii="Times New Roman" w:hAnsi="Times New Roman" w:cs="Times New Roman"/>
          <w:b/>
          <w:color w:val="auto"/>
          <w:highlight w:val="none"/>
        </w:rPr>
        <w:t>五</w:t>
      </w:r>
      <w:r>
        <w:rPr>
          <w:rFonts w:ascii="Times New Roman" w:hAnsi="Times New Roman" w:cs="Times New Roman"/>
          <w:b/>
          <w:color w:val="auto"/>
          <w:highlight w:val="none"/>
        </w:rPr>
        <w:t>条 合同生效</w:t>
      </w:r>
      <w:r>
        <w:rPr>
          <w:rFonts w:hint="eastAsia" w:ascii="Times New Roman" w:hAnsi="Times New Roman" w:cs="Times New Roman"/>
          <w:b/>
          <w:color w:val="auto"/>
          <w:highlight w:val="none"/>
        </w:rPr>
        <w:t>及其他</w:t>
      </w:r>
    </w:p>
    <w:p w14:paraId="58EA9B97">
      <w:pPr>
        <w:snapToGrid w:val="0"/>
        <w:spacing w:line="440" w:lineRule="exact"/>
        <w:ind w:firstLine="420" w:firstLineChars="200"/>
        <w:rPr>
          <w:color w:val="auto"/>
          <w:szCs w:val="21"/>
          <w:highlight w:val="none"/>
          <w:u w:val="single"/>
        </w:rPr>
      </w:pPr>
      <w:r>
        <w:rPr>
          <w:color w:val="auto"/>
          <w:szCs w:val="21"/>
          <w:highlight w:val="none"/>
          <w:u w:val="single"/>
        </w:rPr>
        <w:t>1</w:t>
      </w:r>
      <w:r>
        <w:rPr>
          <w:rFonts w:hint="eastAsia"/>
          <w:color w:val="auto"/>
          <w:szCs w:val="21"/>
          <w:highlight w:val="none"/>
          <w:u w:val="single"/>
        </w:rPr>
        <w:t>.</w:t>
      </w:r>
      <w:bookmarkStart w:id="164" w:name="tip_risk_bookmark_48"/>
      <w:bookmarkStart w:id="165" w:name="tip_risk_bookmark_37"/>
      <w:r>
        <w:rPr>
          <w:color w:val="auto"/>
          <w:szCs w:val="21"/>
          <w:highlight w:val="none"/>
          <w:u w:val="single"/>
        </w:rPr>
        <w:t>本合同履行期限为：         ；合同履行地点为：                    ；合同履行的方式： 按照本合同约定  。</w:t>
      </w:r>
      <w:bookmarkEnd w:id="164"/>
      <w:bookmarkEnd w:id="165"/>
    </w:p>
    <w:p w14:paraId="5AFB118C">
      <w:pPr>
        <w:snapToGrid w:val="0"/>
        <w:spacing w:line="440" w:lineRule="exact"/>
        <w:ind w:firstLine="420" w:firstLineChars="200"/>
        <w:rPr>
          <w:color w:val="auto"/>
          <w:szCs w:val="21"/>
          <w:highlight w:val="none"/>
        </w:rPr>
      </w:pPr>
      <w:r>
        <w:rPr>
          <w:color w:val="auto"/>
          <w:szCs w:val="21"/>
          <w:highlight w:val="none"/>
        </w:rPr>
        <w:t>2</w:t>
      </w:r>
      <w:r>
        <w:rPr>
          <w:rFonts w:hint="eastAsia"/>
          <w:color w:val="auto"/>
          <w:szCs w:val="21"/>
          <w:highlight w:val="none"/>
        </w:rPr>
        <w:t>.</w:t>
      </w:r>
      <w:r>
        <w:rPr>
          <w:color w:val="auto"/>
          <w:szCs w:val="21"/>
          <w:highlight w:val="none"/>
        </w:rPr>
        <w:t>合同经双方法定代表人或授权代表签字并加盖单位公章后生效。</w:t>
      </w:r>
    </w:p>
    <w:p w14:paraId="180D3E78">
      <w:pPr>
        <w:snapToGrid w:val="0"/>
        <w:spacing w:line="440" w:lineRule="exact"/>
        <w:ind w:firstLine="420" w:firstLineChars="200"/>
        <w:rPr>
          <w:color w:val="auto"/>
          <w:szCs w:val="21"/>
          <w:highlight w:val="none"/>
        </w:rPr>
      </w:pPr>
      <w:r>
        <w:rPr>
          <w:color w:val="auto"/>
          <w:szCs w:val="21"/>
          <w:highlight w:val="none"/>
        </w:rPr>
        <w:t>3</w:t>
      </w:r>
      <w:r>
        <w:rPr>
          <w:rFonts w:hint="eastAsia"/>
          <w:color w:val="auto"/>
          <w:szCs w:val="21"/>
          <w:highlight w:val="none"/>
        </w:rPr>
        <w:t>.</w:t>
      </w:r>
      <w:r>
        <w:rPr>
          <w:color w:val="auto"/>
          <w:szCs w:val="21"/>
          <w:highlight w:val="none"/>
        </w:rPr>
        <w:t>合同执行中涉及采购资金和采购内容</w:t>
      </w:r>
      <w:r>
        <w:rPr>
          <w:rFonts w:hint="eastAsia"/>
          <w:color w:val="auto"/>
          <w:szCs w:val="21"/>
          <w:highlight w:val="none"/>
        </w:rPr>
        <w:t>需要</w:t>
      </w:r>
      <w:r>
        <w:rPr>
          <w:color w:val="auto"/>
          <w:szCs w:val="21"/>
          <w:highlight w:val="none"/>
        </w:rPr>
        <w:t>修改或补充的，须经</w:t>
      </w:r>
      <w:r>
        <w:rPr>
          <w:rFonts w:hint="eastAsia"/>
          <w:color w:val="auto"/>
          <w:szCs w:val="21"/>
          <w:highlight w:val="none"/>
        </w:rPr>
        <w:t>甲乙双方协商一致后签订</w:t>
      </w:r>
      <w:r>
        <w:rPr>
          <w:color w:val="auto"/>
          <w:szCs w:val="21"/>
          <w:highlight w:val="none"/>
        </w:rPr>
        <w:t>书面补充协议</w:t>
      </w:r>
      <w:r>
        <w:rPr>
          <w:rFonts w:hint="eastAsia"/>
          <w:color w:val="auto"/>
          <w:szCs w:val="21"/>
          <w:highlight w:val="none"/>
        </w:rPr>
        <w:t>，并按规定报财政部门备案</w:t>
      </w:r>
      <w:r>
        <w:rPr>
          <w:color w:val="auto"/>
          <w:szCs w:val="21"/>
          <w:highlight w:val="none"/>
        </w:rPr>
        <w:t>。</w:t>
      </w:r>
    </w:p>
    <w:p w14:paraId="57BC0E98">
      <w:pPr>
        <w:snapToGrid w:val="0"/>
        <w:spacing w:line="440" w:lineRule="exact"/>
        <w:ind w:firstLine="420" w:firstLineChars="200"/>
        <w:rPr>
          <w:color w:val="auto"/>
          <w:szCs w:val="21"/>
          <w:highlight w:val="none"/>
        </w:rPr>
      </w:pPr>
      <w:r>
        <w:rPr>
          <w:color w:val="auto"/>
          <w:szCs w:val="21"/>
          <w:highlight w:val="none"/>
        </w:rPr>
        <w:t>4</w:t>
      </w:r>
      <w:r>
        <w:rPr>
          <w:rFonts w:hint="eastAsia"/>
          <w:color w:val="auto"/>
          <w:szCs w:val="21"/>
          <w:highlight w:val="none"/>
        </w:rPr>
        <w:t>.如无特别说明，</w:t>
      </w:r>
      <w:r>
        <w:rPr>
          <w:color w:val="auto"/>
          <w:szCs w:val="21"/>
          <w:highlight w:val="none"/>
        </w:rPr>
        <w:t>本合同使用货币币制为人民币</w:t>
      </w:r>
      <w:r>
        <w:rPr>
          <w:rFonts w:hint="eastAsia"/>
          <w:color w:val="auto"/>
          <w:szCs w:val="21"/>
          <w:highlight w:val="none"/>
        </w:rPr>
        <w:t>，使用单位为中国国家法定计量单位。</w:t>
      </w:r>
    </w:p>
    <w:p w14:paraId="331E57BA">
      <w:pPr>
        <w:snapToGrid w:val="0"/>
        <w:spacing w:line="440" w:lineRule="exact"/>
        <w:ind w:firstLine="420" w:firstLineChars="200"/>
        <w:rPr>
          <w:color w:val="auto"/>
          <w:szCs w:val="21"/>
          <w:highlight w:val="none"/>
        </w:rPr>
      </w:pPr>
      <w:r>
        <w:rPr>
          <w:rFonts w:hint="eastAsia"/>
          <w:color w:val="auto"/>
          <w:szCs w:val="21"/>
          <w:highlight w:val="none"/>
        </w:rPr>
        <w:t>5.本合同中提及的招标与谈判、磋商、询价、单一来源采购为同一含义，提及的投标与响应为同一含义，提及的中标与成交为同一含义。</w:t>
      </w:r>
    </w:p>
    <w:p w14:paraId="1183CD2A">
      <w:pPr>
        <w:snapToGrid w:val="0"/>
        <w:spacing w:line="440" w:lineRule="exact"/>
        <w:ind w:firstLine="420" w:firstLineChars="200"/>
        <w:rPr>
          <w:color w:val="auto"/>
          <w:szCs w:val="21"/>
          <w:highlight w:val="none"/>
        </w:rPr>
      </w:pPr>
      <w:r>
        <w:rPr>
          <w:rFonts w:hint="eastAsia"/>
          <w:color w:val="auto"/>
          <w:szCs w:val="21"/>
          <w:highlight w:val="none"/>
        </w:rPr>
        <w:t>6.</w:t>
      </w:r>
      <w:r>
        <w:rPr>
          <w:color w:val="auto"/>
          <w:szCs w:val="21"/>
          <w:highlight w:val="none"/>
        </w:rPr>
        <w:t>本合同未尽事宜，遵照《</w:t>
      </w:r>
      <w:r>
        <w:rPr>
          <w:rFonts w:hint="eastAsia"/>
          <w:color w:val="auto"/>
          <w:szCs w:val="21"/>
          <w:highlight w:val="none"/>
        </w:rPr>
        <w:t>民法典</w:t>
      </w:r>
      <w:r>
        <w:rPr>
          <w:color w:val="auto"/>
          <w:szCs w:val="21"/>
          <w:highlight w:val="none"/>
        </w:rPr>
        <w:t>》有关条文执行。</w:t>
      </w:r>
    </w:p>
    <w:p w14:paraId="04627D9D">
      <w:pPr>
        <w:snapToGrid w:val="0"/>
        <w:spacing w:line="440" w:lineRule="exact"/>
        <w:ind w:firstLine="420" w:firstLineChars="200"/>
        <w:rPr>
          <w:color w:val="auto"/>
          <w:szCs w:val="21"/>
          <w:highlight w:val="none"/>
        </w:rPr>
      </w:pPr>
      <w:r>
        <w:rPr>
          <w:rFonts w:hint="eastAsia"/>
          <w:color w:val="auto"/>
          <w:szCs w:val="21"/>
          <w:highlight w:val="none"/>
        </w:rPr>
        <w:t xml:space="preserve">7.本合同（□是  </w:t>
      </w:r>
      <w:r>
        <w:rPr>
          <w:rFonts w:ascii="Wingdings 2" w:hAnsi="Wingdings 2"/>
          <w:color w:val="auto"/>
          <w:szCs w:val="21"/>
          <w:highlight w:val="none"/>
        </w:rPr>
        <w:sym w:font="Wingdings 2" w:char="F052"/>
      </w:r>
      <w:r>
        <w:rPr>
          <w:rFonts w:hint="eastAsia"/>
          <w:color w:val="auto"/>
          <w:szCs w:val="21"/>
          <w:highlight w:val="none"/>
        </w:rPr>
        <w:t>否）为中小企业预留合同</w:t>
      </w:r>
    </w:p>
    <w:p w14:paraId="71F5F2F3">
      <w:pPr>
        <w:snapToGrid w:val="0"/>
        <w:spacing w:line="440" w:lineRule="exact"/>
        <w:ind w:firstLine="422" w:firstLineChars="200"/>
        <w:rPr>
          <w:b/>
          <w:color w:val="auto"/>
          <w:szCs w:val="21"/>
          <w:highlight w:val="none"/>
        </w:rPr>
      </w:pPr>
      <w:r>
        <w:rPr>
          <w:b/>
          <w:color w:val="auto"/>
          <w:szCs w:val="21"/>
          <w:highlight w:val="none"/>
        </w:rPr>
        <w:t>第十</w:t>
      </w:r>
      <w:r>
        <w:rPr>
          <w:rFonts w:hint="eastAsia"/>
          <w:b/>
          <w:color w:val="auto"/>
          <w:szCs w:val="21"/>
          <w:highlight w:val="none"/>
        </w:rPr>
        <w:t>六</w:t>
      </w:r>
      <w:r>
        <w:rPr>
          <w:b/>
          <w:color w:val="auto"/>
          <w:szCs w:val="21"/>
          <w:highlight w:val="none"/>
        </w:rPr>
        <w:t>条　合同的变更、终止与转让</w:t>
      </w:r>
    </w:p>
    <w:p w14:paraId="50A03968">
      <w:pPr>
        <w:snapToGrid w:val="0"/>
        <w:spacing w:line="440" w:lineRule="exact"/>
        <w:ind w:firstLine="420" w:firstLineChars="200"/>
        <w:rPr>
          <w:color w:val="auto"/>
          <w:szCs w:val="21"/>
          <w:highlight w:val="none"/>
        </w:rPr>
      </w:pPr>
      <w:r>
        <w:rPr>
          <w:color w:val="auto"/>
          <w:szCs w:val="21"/>
          <w:highlight w:val="none"/>
        </w:rPr>
        <w:t>1.除《中华人民共和国政府采购法》第五十条规定的情形外，本合同一经签订，甲乙双方不得擅自变更、中止或终止。</w:t>
      </w:r>
      <w:bookmarkStart w:id="166" w:name="_Hlk155172858"/>
      <w:r>
        <w:rPr>
          <w:rFonts w:hint="eastAsia"/>
          <w:color w:val="auto"/>
          <w:szCs w:val="21"/>
          <w:highlight w:val="none"/>
        </w:rPr>
        <w:t>如依照政府采购法确需变更合同内容的，甲方应当自合同变更之日起2个工作日内在省级以上财政部门指定的媒体上发布合同变更公告。</w:t>
      </w:r>
      <w:bookmarkEnd w:id="166"/>
    </w:p>
    <w:p w14:paraId="2ECA6C77">
      <w:pPr>
        <w:snapToGrid w:val="0"/>
        <w:spacing w:line="440" w:lineRule="exact"/>
        <w:ind w:firstLine="420" w:firstLineChars="200"/>
        <w:rPr>
          <w:color w:val="auto"/>
          <w:szCs w:val="21"/>
          <w:highlight w:val="none"/>
        </w:rPr>
      </w:pPr>
      <w:r>
        <w:rPr>
          <w:color w:val="auto"/>
          <w:szCs w:val="21"/>
          <w:highlight w:val="none"/>
        </w:rPr>
        <w:t>2.未经甲方书面同意，乙方不得擅自转让其应履行的合同义务。</w:t>
      </w:r>
    </w:p>
    <w:p w14:paraId="52CEA694">
      <w:pPr>
        <w:snapToGrid w:val="0"/>
        <w:spacing w:line="440" w:lineRule="exact"/>
        <w:ind w:firstLine="422" w:firstLineChars="200"/>
        <w:rPr>
          <w:b/>
          <w:color w:val="auto"/>
          <w:szCs w:val="21"/>
          <w:highlight w:val="none"/>
        </w:rPr>
      </w:pPr>
      <w:r>
        <w:rPr>
          <w:b/>
          <w:color w:val="auto"/>
          <w:szCs w:val="21"/>
          <w:highlight w:val="none"/>
        </w:rPr>
        <w:t>第十</w:t>
      </w:r>
      <w:r>
        <w:rPr>
          <w:rFonts w:hint="eastAsia"/>
          <w:b/>
          <w:color w:val="auto"/>
          <w:szCs w:val="21"/>
          <w:highlight w:val="none"/>
        </w:rPr>
        <w:t>七</w:t>
      </w:r>
      <w:r>
        <w:rPr>
          <w:b/>
          <w:color w:val="auto"/>
          <w:szCs w:val="21"/>
          <w:highlight w:val="none"/>
        </w:rPr>
        <w:t>条　</w:t>
      </w:r>
      <w:r>
        <w:rPr>
          <w:rFonts w:hint="eastAsia"/>
          <w:b/>
          <w:color w:val="auto"/>
          <w:szCs w:val="21"/>
          <w:highlight w:val="none"/>
        </w:rPr>
        <w:t>合同文件的组成</w:t>
      </w:r>
    </w:p>
    <w:p w14:paraId="46D2EEED">
      <w:pPr>
        <w:snapToGrid w:val="0"/>
        <w:spacing w:line="440" w:lineRule="exact"/>
        <w:ind w:firstLine="420" w:firstLineChars="200"/>
        <w:rPr>
          <w:color w:val="auto"/>
          <w:szCs w:val="21"/>
          <w:highlight w:val="none"/>
        </w:rPr>
      </w:pPr>
      <w:r>
        <w:rPr>
          <w:color w:val="auto"/>
          <w:szCs w:val="21"/>
          <w:highlight w:val="none"/>
        </w:rPr>
        <w:t>1.</w:t>
      </w:r>
      <w:r>
        <w:rPr>
          <w:rFonts w:hint="eastAsia" w:hAnsi="宋体" w:cs="宋体"/>
          <w:color w:val="auto"/>
          <w:kern w:val="0"/>
          <w:highlight w:val="none"/>
        </w:rPr>
        <w:t>政府采购合同；</w:t>
      </w:r>
    </w:p>
    <w:p w14:paraId="26359B57">
      <w:pPr>
        <w:snapToGrid w:val="0"/>
        <w:spacing w:line="440" w:lineRule="exact"/>
        <w:ind w:firstLine="420" w:firstLineChars="200"/>
        <w:rPr>
          <w:color w:val="auto"/>
          <w:szCs w:val="21"/>
          <w:highlight w:val="none"/>
        </w:rPr>
      </w:pPr>
      <w:r>
        <w:rPr>
          <w:rFonts w:hint="eastAsia"/>
          <w:color w:val="auto"/>
          <w:szCs w:val="21"/>
          <w:highlight w:val="none"/>
        </w:rPr>
        <w:t>2</w:t>
      </w:r>
      <w:r>
        <w:rPr>
          <w:color w:val="auto"/>
          <w:szCs w:val="21"/>
          <w:highlight w:val="none"/>
        </w:rPr>
        <w:t>.中标通知书</w:t>
      </w:r>
      <w:r>
        <w:rPr>
          <w:rFonts w:hint="eastAsia"/>
          <w:color w:val="auto"/>
          <w:szCs w:val="21"/>
          <w:highlight w:val="none"/>
        </w:rPr>
        <w:t>（如有）</w:t>
      </w:r>
      <w:r>
        <w:rPr>
          <w:color w:val="auto"/>
          <w:szCs w:val="21"/>
          <w:highlight w:val="none"/>
        </w:rPr>
        <w:t>；</w:t>
      </w:r>
    </w:p>
    <w:p w14:paraId="096AE78F">
      <w:pPr>
        <w:snapToGrid w:val="0"/>
        <w:spacing w:line="440" w:lineRule="exact"/>
        <w:ind w:firstLine="420" w:firstLineChars="200"/>
        <w:rPr>
          <w:color w:val="auto"/>
          <w:szCs w:val="21"/>
          <w:highlight w:val="none"/>
        </w:rPr>
      </w:pPr>
      <w:r>
        <w:rPr>
          <w:rFonts w:hint="eastAsia"/>
          <w:color w:val="auto"/>
          <w:szCs w:val="21"/>
          <w:highlight w:val="none"/>
        </w:rPr>
        <w:t>3</w:t>
      </w:r>
      <w:r>
        <w:rPr>
          <w:color w:val="auto"/>
          <w:szCs w:val="21"/>
          <w:highlight w:val="none"/>
        </w:rPr>
        <w:t>.乙方的投标文件；</w:t>
      </w:r>
    </w:p>
    <w:p w14:paraId="04A2CA7B">
      <w:pPr>
        <w:snapToGrid w:val="0"/>
        <w:spacing w:line="440" w:lineRule="exact"/>
        <w:ind w:firstLine="420" w:firstLineChars="200"/>
        <w:rPr>
          <w:color w:val="auto"/>
          <w:szCs w:val="21"/>
          <w:highlight w:val="none"/>
        </w:rPr>
      </w:pPr>
      <w:r>
        <w:rPr>
          <w:rFonts w:hint="eastAsia"/>
          <w:color w:val="auto"/>
          <w:szCs w:val="21"/>
          <w:highlight w:val="none"/>
        </w:rPr>
        <w:t>4</w:t>
      </w:r>
      <w:r>
        <w:rPr>
          <w:color w:val="auto"/>
          <w:szCs w:val="21"/>
          <w:highlight w:val="none"/>
        </w:rPr>
        <w:t>.</w:t>
      </w:r>
      <w:r>
        <w:rPr>
          <w:rFonts w:hint="eastAsia"/>
          <w:color w:val="auto"/>
          <w:szCs w:val="21"/>
          <w:highlight w:val="none"/>
        </w:rPr>
        <w:t>采购文件</w:t>
      </w:r>
      <w:r>
        <w:rPr>
          <w:color w:val="auto"/>
          <w:szCs w:val="21"/>
          <w:highlight w:val="none"/>
        </w:rPr>
        <w:t>；</w:t>
      </w:r>
    </w:p>
    <w:p w14:paraId="15D2CEAF">
      <w:pPr>
        <w:snapToGrid w:val="0"/>
        <w:spacing w:line="440" w:lineRule="exact"/>
        <w:ind w:firstLine="420" w:firstLineChars="200"/>
        <w:rPr>
          <w:color w:val="auto"/>
          <w:szCs w:val="21"/>
          <w:highlight w:val="none"/>
          <w:u w:val="single"/>
        </w:rPr>
      </w:pPr>
      <w:r>
        <w:rPr>
          <w:rFonts w:hint="eastAsia"/>
          <w:color w:val="auto"/>
          <w:highlight w:val="none"/>
        </w:rPr>
        <w:t>5.其他合同文件。</w:t>
      </w:r>
    </w:p>
    <w:p w14:paraId="50093267">
      <w:pPr>
        <w:snapToGrid w:val="0"/>
        <w:spacing w:line="440" w:lineRule="exact"/>
        <w:ind w:firstLine="422" w:firstLineChars="200"/>
        <w:rPr>
          <w:color w:val="auto"/>
          <w:szCs w:val="21"/>
          <w:highlight w:val="none"/>
        </w:rPr>
      </w:pPr>
      <w:r>
        <w:rPr>
          <w:b/>
          <w:color w:val="auto"/>
          <w:szCs w:val="21"/>
          <w:highlight w:val="none"/>
        </w:rPr>
        <w:t>第十</w:t>
      </w:r>
      <w:r>
        <w:rPr>
          <w:rFonts w:hint="eastAsia"/>
          <w:b/>
          <w:color w:val="auto"/>
          <w:szCs w:val="21"/>
          <w:highlight w:val="none"/>
        </w:rPr>
        <w:t>八</w:t>
      </w:r>
      <w:r>
        <w:rPr>
          <w:b/>
          <w:color w:val="auto"/>
          <w:szCs w:val="21"/>
          <w:highlight w:val="none"/>
        </w:rPr>
        <w:t>条　</w:t>
      </w:r>
      <w:r>
        <w:rPr>
          <w:color w:val="auto"/>
          <w:szCs w:val="21"/>
          <w:highlight w:val="none"/>
        </w:rPr>
        <w:t>本合同一式五份，具有同等法律效力。甲</w:t>
      </w:r>
      <w:r>
        <w:rPr>
          <w:rFonts w:hint="eastAsia"/>
          <w:color w:val="auto"/>
          <w:szCs w:val="21"/>
          <w:highlight w:val="none"/>
        </w:rPr>
        <w:t>、乙双方各执</w:t>
      </w:r>
      <w:r>
        <w:rPr>
          <w:color w:val="auto"/>
          <w:szCs w:val="21"/>
          <w:highlight w:val="none"/>
        </w:rPr>
        <w:t>两份，</w:t>
      </w:r>
      <w:r>
        <w:rPr>
          <w:color w:val="auto"/>
          <w:spacing w:val="4"/>
          <w:szCs w:val="21"/>
          <w:highlight w:val="none"/>
        </w:rPr>
        <w:t>采购代理机构</w:t>
      </w:r>
      <w:r>
        <w:rPr>
          <w:color w:val="auto"/>
          <w:szCs w:val="21"/>
          <w:highlight w:val="none"/>
        </w:rPr>
        <w:t>各一份。</w:t>
      </w:r>
    </w:p>
    <w:p w14:paraId="42EFDC57">
      <w:pPr>
        <w:snapToGrid w:val="0"/>
        <w:spacing w:line="440" w:lineRule="exact"/>
        <w:ind w:firstLine="420" w:firstLineChars="200"/>
        <w:rPr>
          <w:color w:val="auto"/>
          <w:szCs w:val="21"/>
          <w:highlight w:val="none"/>
        </w:rPr>
      </w:pPr>
      <w:r>
        <w:rPr>
          <w:color w:val="auto"/>
          <w:szCs w:val="21"/>
          <w:highlight w:val="none"/>
        </w:rPr>
        <w:t>本合同经甲乙双方法定代表人或被授权代表签字并加盖单位公章后生效。</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14:paraId="653E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437" w:type="dxa"/>
            <w:vAlign w:val="center"/>
          </w:tcPr>
          <w:p w14:paraId="009855B0">
            <w:pPr>
              <w:snapToGrid w:val="0"/>
              <w:spacing w:line="360" w:lineRule="exact"/>
              <w:rPr>
                <w:color w:val="auto"/>
                <w:szCs w:val="21"/>
                <w:highlight w:val="none"/>
              </w:rPr>
            </w:pPr>
            <w:r>
              <w:rPr>
                <w:color w:val="auto"/>
                <w:szCs w:val="21"/>
                <w:highlight w:val="none"/>
              </w:rPr>
              <w:t xml:space="preserve">甲方（章）           </w:t>
            </w:r>
          </w:p>
          <w:p w14:paraId="315A4C87">
            <w:pPr>
              <w:snapToGrid w:val="0"/>
              <w:spacing w:line="360" w:lineRule="exact"/>
              <w:ind w:firstLine="945" w:firstLineChars="450"/>
              <w:jc w:val="right"/>
              <w:rPr>
                <w:color w:val="auto"/>
                <w:szCs w:val="21"/>
                <w:highlight w:val="none"/>
              </w:rPr>
            </w:pPr>
          </w:p>
        </w:tc>
        <w:tc>
          <w:tcPr>
            <w:tcW w:w="4688" w:type="dxa"/>
            <w:vAlign w:val="center"/>
          </w:tcPr>
          <w:p w14:paraId="19ECC92A">
            <w:pPr>
              <w:snapToGrid w:val="0"/>
              <w:spacing w:line="360" w:lineRule="exact"/>
              <w:rPr>
                <w:color w:val="auto"/>
                <w:szCs w:val="21"/>
                <w:highlight w:val="none"/>
              </w:rPr>
            </w:pPr>
            <w:r>
              <w:rPr>
                <w:color w:val="auto"/>
                <w:szCs w:val="21"/>
                <w:highlight w:val="none"/>
              </w:rPr>
              <w:t xml:space="preserve">乙方（章）              </w:t>
            </w:r>
          </w:p>
          <w:p w14:paraId="5EC4CEB0">
            <w:pPr>
              <w:snapToGrid w:val="0"/>
              <w:spacing w:line="360" w:lineRule="exact"/>
              <w:jc w:val="right"/>
              <w:rPr>
                <w:color w:val="auto"/>
                <w:szCs w:val="21"/>
                <w:highlight w:val="none"/>
              </w:rPr>
            </w:pPr>
          </w:p>
        </w:tc>
      </w:tr>
      <w:tr w14:paraId="12B0A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437" w:type="dxa"/>
            <w:vAlign w:val="center"/>
          </w:tcPr>
          <w:p w14:paraId="1B73C695">
            <w:pPr>
              <w:snapToGrid w:val="0"/>
              <w:spacing w:line="360" w:lineRule="exact"/>
              <w:rPr>
                <w:color w:val="auto"/>
                <w:szCs w:val="21"/>
                <w:highlight w:val="none"/>
              </w:rPr>
            </w:pPr>
            <w:r>
              <w:rPr>
                <w:color w:val="auto"/>
                <w:szCs w:val="21"/>
                <w:highlight w:val="none"/>
              </w:rPr>
              <w:t>单位地址：</w:t>
            </w:r>
          </w:p>
        </w:tc>
        <w:tc>
          <w:tcPr>
            <w:tcW w:w="4688" w:type="dxa"/>
            <w:vAlign w:val="center"/>
          </w:tcPr>
          <w:p w14:paraId="2C9DD6E7">
            <w:pPr>
              <w:snapToGrid w:val="0"/>
              <w:spacing w:line="360" w:lineRule="exact"/>
              <w:rPr>
                <w:color w:val="auto"/>
                <w:szCs w:val="21"/>
                <w:highlight w:val="none"/>
              </w:rPr>
            </w:pPr>
            <w:r>
              <w:rPr>
                <w:color w:val="auto"/>
                <w:szCs w:val="21"/>
                <w:highlight w:val="none"/>
              </w:rPr>
              <w:t>单位地址：</w:t>
            </w:r>
          </w:p>
        </w:tc>
      </w:tr>
      <w:tr w14:paraId="61A5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437" w:type="dxa"/>
            <w:vAlign w:val="center"/>
          </w:tcPr>
          <w:p w14:paraId="48C9DDA4">
            <w:pPr>
              <w:snapToGrid w:val="0"/>
              <w:spacing w:line="360" w:lineRule="exact"/>
              <w:rPr>
                <w:color w:val="auto"/>
                <w:szCs w:val="21"/>
                <w:highlight w:val="none"/>
              </w:rPr>
            </w:pPr>
            <w:r>
              <w:rPr>
                <w:color w:val="auto"/>
                <w:szCs w:val="21"/>
                <w:highlight w:val="none"/>
              </w:rPr>
              <w:t>法定代表人：</w:t>
            </w:r>
          </w:p>
        </w:tc>
        <w:tc>
          <w:tcPr>
            <w:tcW w:w="4688" w:type="dxa"/>
            <w:vAlign w:val="center"/>
          </w:tcPr>
          <w:p w14:paraId="7356E945">
            <w:pPr>
              <w:snapToGrid w:val="0"/>
              <w:spacing w:line="360" w:lineRule="exact"/>
              <w:rPr>
                <w:color w:val="auto"/>
                <w:szCs w:val="21"/>
                <w:highlight w:val="none"/>
              </w:rPr>
            </w:pPr>
            <w:r>
              <w:rPr>
                <w:color w:val="auto"/>
                <w:szCs w:val="21"/>
                <w:highlight w:val="none"/>
              </w:rPr>
              <w:t>法定代表人：</w:t>
            </w:r>
          </w:p>
        </w:tc>
      </w:tr>
      <w:tr w14:paraId="5EB43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437" w:type="dxa"/>
            <w:vAlign w:val="center"/>
          </w:tcPr>
          <w:p w14:paraId="13D791C6">
            <w:pPr>
              <w:snapToGrid w:val="0"/>
              <w:spacing w:line="360" w:lineRule="exact"/>
              <w:rPr>
                <w:color w:val="auto"/>
                <w:szCs w:val="21"/>
                <w:highlight w:val="none"/>
              </w:rPr>
            </w:pPr>
            <w:r>
              <w:rPr>
                <w:color w:val="auto"/>
                <w:szCs w:val="21"/>
                <w:highlight w:val="none"/>
              </w:rPr>
              <w:t>委托代理人：</w:t>
            </w:r>
          </w:p>
        </w:tc>
        <w:tc>
          <w:tcPr>
            <w:tcW w:w="4688" w:type="dxa"/>
            <w:vAlign w:val="center"/>
          </w:tcPr>
          <w:p w14:paraId="34681C54">
            <w:pPr>
              <w:snapToGrid w:val="0"/>
              <w:spacing w:line="360" w:lineRule="exact"/>
              <w:rPr>
                <w:color w:val="auto"/>
                <w:szCs w:val="21"/>
                <w:highlight w:val="none"/>
              </w:rPr>
            </w:pPr>
            <w:r>
              <w:rPr>
                <w:color w:val="auto"/>
                <w:szCs w:val="21"/>
                <w:highlight w:val="none"/>
              </w:rPr>
              <w:t>委托代理人</w:t>
            </w:r>
          </w:p>
        </w:tc>
      </w:tr>
      <w:tr w14:paraId="4EB1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437" w:type="dxa"/>
            <w:vAlign w:val="center"/>
          </w:tcPr>
          <w:p w14:paraId="5F6FBC62">
            <w:pPr>
              <w:snapToGrid w:val="0"/>
              <w:spacing w:line="360" w:lineRule="exact"/>
              <w:rPr>
                <w:color w:val="auto"/>
                <w:szCs w:val="21"/>
                <w:highlight w:val="none"/>
              </w:rPr>
            </w:pPr>
            <w:r>
              <w:rPr>
                <w:color w:val="auto"/>
                <w:szCs w:val="21"/>
                <w:highlight w:val="none"/>
              </w:rPr>
              <w:t>电话：</w:t>
            </w:r>
          </w:p>
        </w:tc>
        <w:tc>
          <w:tcPr>
            <w:tcW w:w="4688" w:type="dxa"/>
            <w:vAlign w:val="center"/>
          </w:tcPr>
          <w:p w14:paraId="52E12961">
            <w:pPr>
              <w:snapToGrid w:val="0"/>
              <w:spacing w:line="360" w:lineRule="exact"/>
              <w:rPr>
                <w:color w:val="auto"/>
                <w:szCs w:val="21"/>
                <w:highlight w:val="none"/>
              </w:rPr>
            </w:pPr>
            <w:r>
              <w:rPr>
                <w:color w:val="auto"/>
                <w:szCs w:val="21"/>
                <w:highlight w:val="none"/>
              </w:rPr>
              <w:t>电话：</w:t>
            </w:r>
          </w:p>
        </w:tc>
      </w:tr>
      <w:tr w14:paraId="38835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437" w:type="dxa"/>
            <w:vAlign w:val="center"/>
          </w:tcPr>
          <w:p w14:paraId="49654A69">
            <w:pPr>
              <w:snapToGrid w:val="0"/>
              <w:spacing w:line="360" w:lineRule="exact"/>
              <w:rPr>
                <w:color w:val="auto"/>
                <w:szCs w:val="21"/>
                <w:highlight w:val="none"/>
              </w:rPr>
            </w:pPr>
            <w:r>
              <w:rPr>
                <w:color w:val="auto"/>
                <w:szCs w:val="21"/>
                <w:highlight w:val="none"/>
              </w:rPr>
              <w:t>开户银行：</w:t>
            </w:r>
          </w:p>
        </w:tc>
        <w:tc>
          <w:tcPr>
            <w:tcW w:w="4688" w:type="dxa"/>
            <w:vAlign w:val="center"/>
          </w:tcPr>
          <w:p w14:paraId="0A91D688">
            <w:pPr>
              <w:snapToGrid w:val="0"/>
              <w:spacing w:line="360" w:lineRule="exact"/>
              <w:rPr>
                <w:color w:val="auto"/>
                <w:szCs w:val="21"/>
                <w:highlight w:val="none"/>
              </w:rPr>
            </w:pPr>
            <w:r>
              <w:rPr>
                <w:color w:val="auto"/>
                <w:szCs w:val="21"/>
                <w:highlight w:val="none"/>
              </w:rPr>
              <w:t>开户银行：</w:t>
            </w:r>
          </w:p>
        </w:tc>
      </w:tr>
      <w:tr w14:paraId="5A55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437" w:type="dxa"/>
            <w:vAlign w:val="center"/>
          </w:tcPr>
          <w:p w14:paraId="4B1989D8">
            <w:pPr>
              <w:snapToGrid w:val="0"/>
              <w:spacing w:line="360" w:lineRule="exact"/>
              <w:rPr>
                <w:color w:val="auto"/>
                <w:szCs w:val="21"/>
                <w:highlight w:val="none"/>
              </w:rPr>
            </w:pPr>
            <w:r>
              <w:rPr>
                <w:color w:val="auto"/>
                <w:szCs w:val="21"/>
                <w:highlight w:val="none"/>
              </w:rPr>
              <w:t>账号：</w:t>
            </w:r>
          </w:p>
        </w:tc>
        <w:tc>
          <w:tcPr>
            <w:tcW w:w="4688" w:type="dxa"/>
            <w:vAlign w:val="center"/>
          </w:tcPr>
          <w:p w14:paraId="3AFACA8F">
            <w:pPr>
              <w:snapToGrid w:val="0"/>
              <w:spacing w:line="360" w:lineRule="exact"/>
              <w:rPr>
                <w:color w:val="auto"/>
                <w:szCs w:val="21"/>
                <w:highlight w:val="none"/>
              </w:rPr>
            </w:pPr>
            <w:r>
              <w:rPr>
                <w:color w:val="auto"/>
                <w:szCs w:val="21"/>
                <w:highlight w:val="none"/>
              </w:rPr>
              <w:t>账号：</w:t>
            </w:r>
          </w:p>
        </w:tc>
      </w:tr>
    </w:tbl>
    <w:p w14:paraId="3107165B">
      <w:pPr>
        <w:widowControl/>
        <w:jc w:val="left"/>
        <w:rPr>
          <w:color w:val="auto"/>
          <w:szCs w:val="21"/>
          <w:highlight w:val="none"/>
        </w:rPr>
      </w:pPr>
      <w:r>
        <w:rPr>
          <w:color w:val="auto"/>
          <w:highlight w:val="none"/>
        </w:rPr>
        <w:br w:type="page"/>
      </w:r>
    </w:p>
    <w:p w14:paraId="3948360A">
      <w:pPr>
        <w:spacing w:before="120" w:line="320" w:lineRule="atLeast"/>
        <w:jc w:val="left"/>
        <w:outlineLvl w:val="1"/>
        <w:rPr>
          <w:b/>
          <w:bCs/>
          <w:color w:val="auto"/>
          <w:kern w:val="0"/>
          <w:szCs w:val="21"/>
          <w:highlight w:val="none"/>
        </w:rPr>
      </w:pPr>
      <w:r>
        <w:rPr>
          <w:b/>
          <w:bCs/>
          <w:color w:val="auto"/>
          <w:kern w:val="0"/>
          <w:szCs w:val="21"/>
          <w:highlight w:val="none"/>
        </w:rPr>
        <w:t>合同附件1</w:t>
      </w:r>
    </w:p>
    <w:p w14:paraId="224DEDBC">
      <w:pPr>
        <w:snapToGrid w:val="0"/>
        <w:spacing w:line="360" w:lineRule="exact"/>
        <w:jc w:val="center"/>
        <w:rPr>
          <w:b/>
          <w:bCs/>
          <w:color w:val="auto"/>
          <w:szCs w:val="21"/>
          <w:highlight w:val="none"/>
        </w:rPr>
      </w:pPr>
      <w:r>
        <w:rPr>
          <w:b/>
          <w:bCs/>
          <w:color w:val="auto"/>
          <w:szCs w:val="21"/>
          <w:highlight w:val="none"/>
        </w:rPr>
        <w:t>政府采购项目履约保证金退付意见书</w:t>
      </w:r>
    </w:p>
    <w:p w14:paraId="22A5FF71">
      <w:pPr>
        <w:jc w:val="center"/>
        <w:rPr>
          <w:color w:val="auto"/>
          <w:sz w:val="36"/>
          <w:szCs w:val="36"/>
          <w:highlight w:val="none"/>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1AC5C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14:paraId="55456A17">
            <w:pPr>
              <w:jc w:val="center"/>
              <w:rPr>
                <w:color w:val="auto"/>
                <w:szCs w:val="21"/>
                <w:highlight w:val="none"/>
              </w:rPr>
            </w:pPr>
            <w:r>
              <w:rPr>
                <w:color w:val="auto"/>
                <w:szCs w:val="21"/>
                <w:highlight w:val="none"/>
              </w:rPr>
              <w:t>供</w:t>
            </w:r>
          </w:p>
          <w:p w14:paraId="6303DE9A">
            <w:pPr>
              <w:jc w:val="center"/>
              <w:rPr>
                <w:color w:val="auto"/>
                <w:szCs w:val="21"/>
                <w:highlight w:val="none"/>
              </w:rPr>
            </w:pPr>
            <w:r>
              <w:rPr>
                <w:color w:val="auto"/>
                <w:szCs w:val="21"/>
                <w:highlight w:val="none"/>
              </w:rPr>
              <w:t>应</w:t>
            </w:r>
          </w:p>
          <w:p w14:paraId="267FA984">
            <w:pPr>
              <w:jc w:val="center"/>
              <w:rPr>
                <w:color w:val="auto"/>
                <w:szCs w:val="21"/>
                <w:highlight w:val="none"/>
              </w:rPr>
            </w:pPr>
            <w:r>
              <w:rPr>
                <w:color w:val="auto"/>
                <w:szCs w:val="21"/>
                <w:highlight w:val="none"/>
              </w:rPr>
              <w:t>商</w:t>
            </w:r>
          </w:p>
          <w:p w14:paraId="0A96F231">
            <w:pPr>
              <w:jc w:val="center"/>
              <w:rPr>
                <w:color w:val="auto"/>
                <w:szCs w:val="21"/>
                <w:highlight w:val="none"/>
              </w:rPr>
            </w:pPr>
            <w:r>
              <w:rPr>
                <w:color w:val="auto"/>
                <w:szCs w:val="21"/>
                <w:highlight w:val="none"/>
              </w:rPr>
              <w:t>申</w:t>
            </w:r>
          </w:p>
          <w:p w14:paraId="5BD5EEFB">
            <w:pPr>
              <w:jc w:val="center"/>
              <w:rPr>
                <w:color w:val="auto"/>
                <w:szCs w:val="21"/>
                <w:highlight w:val="none"/>
              </w:rPr>
            </w:pPr>
            <w:r>
              <w:rPr>
                <w:color w:val="auto"/>
                <w:szCs w:val="21"/>
                <w:highlight w:val="none"/>
              </w:rPr>
              <w:t>请</w:t>
            </w:r>
          </w:p>
        </w:tc>
        <w:tc>
          <w:tcPr>
            <w:tcW w:w="8640" w:type="dxa"/>
            <w:vAlign w:val="center"/>
          </w:tcPr>
          <w:p w14:paraId="393E0154">
            <w:pPr>
              <w:rPr>
                <w:color w:val="auto"/>
                <w:szCs w:val="21"/>
                <w:highlight w:val="none"/>
              </w:rPr>
            </w:pPr>
            <w:r>
              <w:rPr>
                <w:color w:val="auto"/>
                <w:szCs w:val="21"/>
                <w:highlight w:val="none"/>
              </w:rPr>
              <w:t>项目编号：</w:t>
            </w:r>
          </w:p>
        </w:tc>
      </w:tr>
      <w:tr w14:paraId="7E443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14:paraId="31752CF5">
            <w:pPr>
              <w:rPr>
                <w:color w:val="auto"/>
                <w:szCs w:val="21"/>
                <w:highlight w:val="none"/>
              </w:rPr>
            </w:pPr>
          </w:p>
        </w:tc>
        <w:tc>
          <w:tcPr>
            <w:tcW w:w="8640" w:type="dxa"/>
            <w:vAlign w:val="center"/>
          </w:tcPr>
          <w:p w14:paraId="774A73AA">
            <w:pPr>
              <w:rPr>
                <w:color w:val="auto"/>
                <w:szCs w:val="21"/>
                <w:highlight w:val="none"/>
              </w:rPr>
            </w:pPr>
            <w:r>
              <w:rPr>
                <w:color w:val="auto"/>
                <w:szCs w:val="21"/>
                <w:highlight w:val="none"/>
              </w:rPr>
              <w:t>项目名称：</w:t>
            </w:r>
          </w:p>
        </w:tc>
      </w:tr>
      <w:tr w14:paraId="587A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14:paraId="1A159F5B">
            <w:pPr>
              <w:rPr>
                <w:color w:val="auto"/>
                <w:szCs w:val="21"/>
                <w:highlight w:val="none"/>
              </w:rPr>
            </w:pPr>
          </w:p>
        </w:tc>
        <w:tc>
          <w:tcPr>
            <w:tcW w:w="8640" w:type="dxa"/>
          </w:tcPr>
          <w:p w14:paraId="4A8F3781">
            <w:pPr>
              <w:rPr>
                <w:color w:val="auto"/>
                <w:szCs w:val="21"/>
                <w:highlight w:val="none"/>
              </w:rPr>
            </w:pPr>
            <w:r>
              <w:rPr>
                <w:color w:val="auto"/>
                <w:szCs w:val="21"/>
                <w:highlight w:val="none"/>
              </w:rPr>
              <w:t xml:space="preserve">  </w:t>
            </w:r>
          </w:p>
          <w:p w14:paraId="73513AB5">
            <w:pPr>
              <w:spacing w:line="400" w:lineRule="exact"/>
              <w:ind w:firstLine="420" w:firstLineChars="200"/>
              <w:rPr>
                <w:color w:val="auto"/>
                <w:szCs w:val="21"/>
                <w:highlight w:val="none"/>
              </w:rPr>
            </w:pPr>
            <w:r>
              <w:rPr>
                <w:color w:val="auto"/>
                <w:szCs w:val="21"/>
                <w:highlight w:val="none"/>
              </w:rPr>
              <w:t>该项目已于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日验收并交付使用。根据合同规定，该项目的履约保证金期限于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日已满，请将履约保证金</w:t>
            </w:r>
          </w:p>
          <w:p w14:paraId="0E4632B5">
            <w:pPr>
              <w:spacing w:line="400" w:lineRule="exact"/>
              <w:rPr>
                <w:color w:val="auto"/>
                <w:szCs w:val="21"/>
                <w:highlight w:val="none"/>
              </w:rPr>
            </w:pPr>
            <w:r>
              <w:rPr>
                <w:color w:val="auto"/>
                <w:szCs w:val="21"/>
                <w:highlight w:val="none"/>
                <w:u w:val="single"/>
              </w:rPr>
              <w:t xml:space="preserve">                                        </w:t>
            </w:r>
            <w:r>
              <w:rPr>
                <w:color w:val="auto"/>
                <w:szCs w:val="21"/>
                <w:highlight w:val="none"/>
              </w:rPr>
              <w:t>（大写）¥</w:t>
            </w:r>
            <w:r>
              <w:rPr>
                <w:color w:val="auto"/>
                <w:szCs w:val="21"/>
                <w:highlight w:val="none"/>
                <w:u w:val="single"/>
              </w:rPr>
              <w:t xml:space="preserve">          </w:t>
            </w:r>
            <w:r>
              <w:rPr>
                <w:color w:val="auto"/>
                <w:szCs w:val="21"/>
                <w:highlight w:val="none"/>
              </w:rPr>
              <w:t>（小写）退付到达以下账户。</w:t>
            </w:r>
          </w:p>
          <w:p w14:paraId="36141475">
            <w:pPr>
              <w:spacing w:line="400" w:lineRule="exact"/>
              <w:ind w:firstLine="705"/>
              <w:rPr>
                <w:color w:val="auto"/>
                <w:szCs w:val="21"/>
                <w:highlight w:val="none"/>
              </w:rPr>
            </w:pPr>
            <w:r>
              <w:rPr>
                <w:color w:val="auto"/>
                <w:szCs w:val="21"/>
                <w:highlight w:val="none"/>
              </w:rPr>
              <w:t>单位名称：</w:t>
            </w:r>
          </w:p>
          <w:p w14:paraId="3B61AA04">
            <w:pPr>
              <w:spacing w:line="400" w:lineRule="exact"/>
              <w:ind w:firstLine="705"/>
              <w:rPr>
                <w:color w:val="auto"/>
                <w:szCs w:val="21"/>
                <w:highlight w:val="none"/>
              </w:rPr>
            </w:pPr>
            <w:r>
              <w:rPr>
                <w:color w:val="auto"/>
                <w:szCs w:val="21"/>
                <w:highlight w:val="none"/>
              </w:rPr>
              <w:t>开户银行：</w:t>
            </w:r>
          </w:p>
          <w:p w14:paraId="2CC4294E">
            <w:pPr>
              <w:spacing w:line="400" w:lineRule="exact"/>
              <w:ind w:firstLine="705"/>
              <w:rPr>
                <w:color w:val="auto"/>
                <w:szCs w:val="21"/>
                <w:highlight w:val="none"/>
              </w:rPr>
            </w:pPr>
            <w:r>
              <w:rPr>
                <w:color w:val="auto"/>
                <w:szCs w:val="21"/>
                <w:highlight w:val="none"/>
              </w:rPr>
              <w:t>账   号：</w:t>
            </w:r>
          </w:p>
          <w:p w14:paraId="7C71649B">
            <w:pPr>
              <w:spacing w:line="400" w:lineRule="exact"/>
              <w:rPr>
                <w:color w:val="auto"/>
                <w:szCs w:val="21"/>
                <w:highlight w:val="none"/>
              </w:rPr>
            </w:pPr>
            <w:r>
              <w:rPr>
                <w:color w:val="auto"/>
                <w:szCs w:val="21"/>
                <w:highlight w:val="none"/>
              </w:rPr>
              <w:t>联系人及电话：</w:t>
            </w:r>
          </w:p>
          <w:p w14:paraId="252D9542">
            <w:pPr>
              <w:spacing w:line="400" w:lineRule="exact"/>
              <w:rPr>
                <w:color w:val="auto"/>
                <w:szCs w:val="21"/>
                <w:highlight w:val="none"/>
              </w:rPr>
            </w:pPr>
          </w:p>
          <w:p w14:paraId="60C3BDB2">
            <w:pPr>
              <w:spacing w:line="520" w:lineRule="exact"/>
              <w:jc w:val="center"/>
              <w:rPr>
                <w:color w:val="auto"/>
                <w:szCs w:val="21"/>
                <w:highlight w:val="none"/>
              </w:rPr>
            </w:pPr>
            <w:r>
              <w:rPr>
                <w:color w:val="auto"/>
                <w:szCs w:val="21"/>
                <w:highlight w:val="none"/>
              </w:rPr>
              <w:t xml:space="preserve">                                     </w:t>
            </w:r>
            <w:r>
              <w:rPr>
                <w:rFonts w:hint="eastAsia"/>
                <w:color w:val="auto"/>
                <w:szCs w:val="21"/>
                <w:highlight w:val="none"/>
                <w:lang w:eastAsia="zh-CN"/>
              </w:rPr>
              <w:t>投标人</w:t>
            </w:r>
            <w:r>
              <w:rPr>
                <w:rFonts w:hint="eastAsia"/>
                <w:color w:val="auto"/>
                <w:szCs w:val="21"/>
                <w:highlight w:val="none"/>
              </w:rPr>
              <w:t>公</w:t>
            </w:r>
            <w:r>
              <w:rPr>
                <w:color w:val="auto"/>
                <w:szCs w:val="21"/>
                <w:highlight w:val="none"/>
              </w:rPr>
              <w:t>章：</w:t>
            </w:r>
          </w:p>
          <w:p w14:paraId="505142C2">
            <w:pPr>
              <w:spacing w:line="520" w:lineRule="exact"/>
              <w:jc w:val="center"/>
              <w:rPr>
                <w:color w:val="auto"/>
                <w:szCs w:val="21"/>
                <w:highlight w:val="none"/>
              </w:rPr>
            </w:pPr>
            <w:r>
              <w:rPr>
                <w:color w:val="auto"/>
                <w:szCs w:val="21"/>
                <w:highlight w:val="none"/>
              </w:rPr>
              <w:t xml:space="preserve">                           年    月     日</w:t>
            </w:r>
          </w:p>
        </w:tc>
      </w:tr>
      <w:tr w14:paraId="6ED10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0946410">
            <w:pPr>
              <w:jc w:val="center"/>
              <w:rPr>
                <w:color w:val="auto"/>
                <w:szCs w:val="21"/>
                <w:highlight w:val="none"/>
              </w:rPr>
            </w:pPr>
            <w:r>
              <w:rPr>
                <w:color w:val="auto"/>
                <w:szCs w:val="21"/>
                <w:highlight w:val="none"/>
              </w:rPr>
              <w:t>采</w:t>
            </w:r>
          </w:p>
          <w:p w14:paraId="57CF753B">
            <w:pPr>
              <w:jc w:val="center"/>
              <w:rPr>
                <w:color w:val="auto"/>
                <w:szCs w:val="21"/>
                <w:highlight w:val="none"/>
              </w:rPr>
            </w:pPr>
            <w:r>
              <w:rPr>
                <w:color w:val="auto"/>
                <w:szCs w:val="21"/>
                <w:highlight w:val="none"/>
              </w:rPr>
              <w:t>购</w:t>
            </w:r>
          </w:p>
          <w:p w14:paraId="4CD133D9">
            <w:pPr>
              <w:jc w:val="center"/>
              <w:rPr>
                <w:color w:val="auto"/>
                <w:szCs w:val="21"/>
                <w:highlight w:val="none"/>
              </w:rPr>
            </w:pPr>
            <w:r>
              <w:rPr>
                <w:color w:val="auto"/>
                <w:szCs w:val="21"/>
                <w:highlight w:val="none"/>
              </w:rPr>
              <w:t>单</w:t>
            </w:r>
          </w:p>
          <w:p w14:paraId="10BEE1DA">
            <w:pPr>
              <w:jc w:val="center"/>
              <w:rPr>
                <w:color w:val="auto"/>
                <w:szCs w:val="21"/>
                <w:highlight w:val="none"/>
              </w:rPr>
            </w:pPr>
            <w:r>
              <w:rPr>
                <w:color w:val="auto"/>
                <w:szCs w:val="21"/>
                <w:highlight w:val="none"/>
              </w:rPr>
              <w:t>位</w:t>
            </w:r>
          </w:p>
          <w:p w14:paraId="05EB2FC1">
            <w:pPr>
              <w:jc w:val="center"/>
              <w:rPr>
                <w:color w:val="auto"/>
                <w:szCs w:val="21"/>
                <w:highlight w:val="none"/>
              </w:rPr>
            </w:pPr>
            <w:r>
              <w:rPr>
                <w:color w:val="auto"/>
                <w:szCs w:val="21"/>
                <w:highlight w:val="none"/>
              </w:rPr>
              <w:t>意</w:t>
            </w:r>
          </w:p>
          <w:p w14:paraId="2A93C480">
            <w:pPr>
              <w:jc w:val="center"/>
              <w:rPr>
                <w:color w:val="auto"/>
                <w:szCs w:val="21"/>
                <w:highlight w:val="none"/>
              </w:rPr>
            </w:pPr>
            <w:r>
              <w:rPr>
                <w:color w:val="auto"/>
                <w:szCs w:val="21"/>
                <w:highlight w:val="none"/>
              </w:rPr>
              <w:t>见</w:t>
            </w:r>
          </w:p>
        </w:tc>
        <w:tc>
          <w:tcPr>
            <w:tcW w:w="8640" w:type="dxa"/>
          </w:tcPr>
          <w:p w14:paraId="01E61D9F">
            <w:pPr>
              <w:rPr>
                <w:color w:val="auto"/>
                <w:szCs w:val="21"/>
                <w:highlight w:val="none"/>
              </w:rPr>
            </w:pPr>
          </w:p>
          <w:p w14:paraId="740B1C4C">
            <w:pPr>
              <w:rPr>
                <w:color w:val="auto"/>
                <w:szCs w:val="21"/>
                <w:highlight w:val="none"/>
              </w:rPr>
            </w:pPr>
            <w:r>
              <w:rPr>
                <w:color w:val="auto"/>
                <w:szCs w:val="21"/>
                <w:highlight w:val="none"/>
              </w:rPr>
              <w:t>退付意见：是否同意退付履约保证金及退付金额：</w:t>
            </w:r>
          </w:p>
          <w:p w14:paraId="69499103">
            <w:pPr>
              <w:rPr>
                <w:color w:val="auto"/>
                <w:szCs w:val="21"/>
                <w:highlight w:val="none"/>
              </w:rPr>
            </w:pPr>
          </w:p>
          <w:p w14:paraId="464D052B">
            <w:pPr>
              <w:rPr>
                <w:color w:val="auto"/>
                <w:szCs w:val="21"/>
                <w:highlight w:val="none"/>
              </w:rPr>
            </w:pPr>
          </w:p>
          <w:p w14:paraId="13CC1DBD">
            <w:pPr>
              <w:spacing w:line="520" w:lineRule="exact"/>
              <w:rPr>
                <w:color w:val="auto"/>
                <w:szCs w:val="21"/>
                <w:highlight w:val="none"/>
              </w:rPr>
            </w:pPr>
            <w:r>
              <w:rPr>
                <w:color w:val="auto"/>
                <w:szCs w:val="21"/>
                <w:highlight w:val="none"/>
              </w:rPr>
              <w:t>联系人及电话：                                 采购单位</w:t>
            </w:r>
            <w:r>
              <w:rPr>
                <w:rFonts w:hint="eastAsia"/>
                <w:color w:val="auto"/>
                <w:szCs w:val="21"/>
                <w:highlight w:val="none"/>
              </w:rPr>
              <w:t>公</w:t>
            </w:r>
            <w:r>
              <w:rPr>
                <w:color w:val="auto"/>
                <w:szCs w:val="21"/>
                <w:highlight w:val="none"/>
              </w:rPr>
              <w:t>章</w:t>
            </w:r>
          </w:p>
          <w:p w14:paraId="189D8A58">
            <w:pPr>
              <w:spacing w:line="520" w:lineRule="exact"/>
              <w:jc w:val="center"/>
              <w:rPr>
                <w:color w:val="auto"/>
                <w:szCs w:val="21"/>
                <w:highlight w:val="none"/>
              </w:rPr>
            </w:pPr>
            <w:r>
              <w:rPr>
                <w:color w:val="auto"/>
                <w:szCs w:val="21"/>
                <w:highlight w:val="none"/>
              </w:rPr>
              <w:t xml:space="preserve">                                        年    月     日</w:t>
            </w:r>
          </w:p>
        </w:tc>
      </w:tr>
      <w:tr w14:paraId="613B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4B94D5A">
            <w:pPr>
              <w:jc w:val="center"/>
              <w:rPr>
                <w:color w:val="auto"/>
                <w:szCs w:val="21"/>
                <w:highlight w:val="none"/>
              </w:rPr>
            </w:pPr>
            <w:r>
              <w:rPr>
                <w:color w:val="auto"/>
                <w:szCs w:val="21"/>
                <w:highlight w:val="none"/>
              </w:rPr>
              <w:t>财</w:t>
            </w:r>
          </w:p>
          <w:p w14:paraId="33D95262">
            <w:pPr>
              <w:jc w:val="center"/>
              <w:rPr>
                <w:color w:val="auto"/>
                <w:szCs w:val="21"/>
                <w:highlight w:val="none"/>
              </w:rPr>
            </w:pPr>
            <w:r>
              <w:rPr>
                <w:color w:val="auto"/>
                <w:szCs w:val="21"/>
                <w:highlight w:val="none"/>
              </w:rPr>
              <w:t>务</w:t>
            </w:r>
          </w:p>
          <w:p w14:paraId="333A4787">
            <w:pPr>
              <w:jc w:val="center"/>
              <w:rPr>
                <w:color w:val="auto"/>
                <w:szCs w:val="21"/>
                <w:highlight w:val="none"/>
              </w:rPr>
            </w:pPr>
            <w:r>
              <w:rPr>
                <w:color w:val="auto"/>
                <w:szCs w:val="21"/>
                <w:highlight w:val="none"/>
              </w:rPr>
              <w:t>部</w:t>
            </w:r>
          </w:p>
          <w:p w14:paraId="5DD6DC49">
            <w:pPr>
              <w:jc w:val="center"/>
              <w:rPr>
                <w:color w:val="auto"/>
                <w:szCs w:val="21"/>
                <w:highlight w:val="none"/>
              </w:rPr>
            </w:pPr>
            <w:r>
              <w:rPr>
                <w:color w:val="auto"/>
                <w:szCs w:val="21"/>
                <w:highlight w:val="none"/>
              </w:rPr>
              <w:t>门</w:t>
            </w:r>
          </w:p>
          <w:p w14:paraId="16CDB8FC">
            <w:pPr>
              <w:jc w:val="center"/>
              <w:rPr>
                <w:color w:val="auto"/>
                <w:szCs w:val="21"/>
                <w:highlight w:val="none"/>
              </w:rPr>
            </w:pPr>
            <w:r>
              <w:rPr>
                <w:color w:val="auto"/>
                <w:szCs w:val="21"/>
                <w:highlight w:val="none"/>
              </w:rPr>
              <w:t>意</w:t>
            </w:r>
          </w:p>
          <w:p w14:paraId="6D3E5491">
            <w:pPr>
              <w:jc w:val="center"/>
              <w:rPr>
                <w:color w:val="auto"/>
                <w:szCs w:val="21"/>
                <w:highlight w:val="none"/>
              </w:rPr>
            </w:pPr>
            <w:r>
              <w:rPr>
                <w:color w:val="auto"/>
                <w:szCs w:val="21"/>
                <w:highlight w:val="none"/>
              </w:rPr>
              <w:t>见</w:t>
            </w:r>
          </w:p>
        </w:tc>
        <w:tc>
          <w:tcPr>
            <w:tcW w:w="8640" w:type="dxa"/>
          </w:tcPr>
          <w:p w14:paraId="0B3F2149">
            <w:pPr>
              <w:spacing w:line="640" w:lineRule="exact"/>
              <w:rPr>
                <w:color w:val="auto"/>
                <w:szCs w:val="21"/>
                <w:highlight w:val="none"/>
              </w:rPr>
            </w:pPr>
            <w:r>
              <w:rPr>
                <w:color w:val="auto"/>
                <w:szCs w:val="21"/>
                <w:highlight w:val="none"/>
              </w:rPr>
              <w:t>此表于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 xml:space="preserve"> 月 </w:t>
            </w:r>
            <w:r>
              <w:rPr>
                <w:color w:val="auto"/>
                <w:szCs w:val="21"/>
                <w:highlight w:val="none"/>
                <w:u w:val="single"/>
              </w:rPr>
              <w:t xml:space="preserve">   </w:t>
            </w:r>
            <w:r>
              <w:rPr>
                <w:color w:val="auto"/>
                <w:szCs w:val="21"/>
                <w:highlight w:val="none"/>
              </w:rPr>
              <w:t xml:space="preserve"> 日收到。</w:t>
            </w:r>
          </w:p>
          <w:p w14:paraId="0FECA27F">
            <w:pPr>
              <w:spacing w:line="640" w:lineRule="exact"/>
              <w:rPr>
                <w:color w:val="auto"/>
                <w:szCs w:val="21"/>
                <w:highlight w:val="none"/>
              </w:rPr>
            </w:pPr>
            <w:r>
              <w:rPr>
                <w:color w:val="auto"/>
                <w:szCs w:val="21"/>
                <w:highlight w:val="none"/>
              </w:rPr>
              <w:t>会计审核：</w:t>
            </w:r>
          </w:p>
          <w:p w14:paraId="0422A5BA">
            <w:pPr>
              <w:spacing w:line="640" w:lineRule="exact"/>
              <w:rPr>
                <w:color w:val="auto"/>
                <w:szCs w:val="21"/>
                <w:highlight w:val="none"/>
              </w:rPr>
            </w:pPr>
            <w:r>
              <w:rPr>
                <w:color w:val="auto"/>
                <w:szCs w:val="21"/>
                <w:highlight w:val="none"/>
              </w:rPr>
              <w:t>财务负责人审核：</w:t>
            </w:r>
          </w:p>
          <w:p w14:paraId="403C7DE7">
            <w:pPr>
              <w:spacing w:line="640" w:lineRule="exact"/>
              <w:rPr>
                <w:color w:val="auto"/>
                <w:szCs w:val="21"/>
                <w:highlight w:val="none"/>
              </w:rPr>
            </w:pPr>
            <w:r>
              <w:rPr>
                <w:color w:val="auto"/>
                <w:szCs w:val="21"/>
                <w:highlight w:val="none"/>
              </w:rPr>
              <w:t>单位负责人签字：</w:t>
            </w:r>
          </w:p>
          <w:p w14:paraId="6BB6DCA2">
            <w:pPr>
              <w:spacing w:line="640" w:lineRule="exact"/>
              <w:rPr>
                <w:color w:val="auto"/>
                <w:szCs w:val="21"/>
                <w:highlight w:val="none"/>
              </w:rPr>
            </w:pPr>
            <w:r>
              <w:rPr>
                <w:color w:val="auto"/>
                <w:szCs w:val="21"/>
                <w:highlight w:val="none"/>
              </w:rPr>
              <w:t>出纳办理转账日期：</w:t>
            </w:r>
          </w:p>
        </w:tc>
      </w:tr>
    </w:tbl>
    <w:p w14:paraId="35F77F49">
      <w:pPr>
        <w:pStyle w:val="19"/>
        <w:ind w:left="450" w:leftChars="114" w:hanging="211" w:hangingChars="100"/>
        <w:rPr>
          <w:b/>
          <w:bCs/>
          <w:color w:val="auto"/>
          <w:sz w:val="21"/>
          <w:szCs w:val="21"/>
          <w:highlight w:val="none"/>
        </w:rPr>
      </w:pPr>
      <w:r>
        <w:rPr>
          <w:b/>
          <w:bCs/>
          <w:color w:val="auto"/>
          <w:sz w:val="21"/>
          <w:szCs w:val="21"/>
          <w:highlight w:val="none"/>
        </w:rPr>
        <w:t>注：</w:t>
      </w:r>
      <w:r>
        <w:rPr>
          <w:rFonts w:hint="eastAsia"/>
          <w:b/>
          <w:bCs/>
          <w:color w:val="auto"/>
          <w:sz w:val="21"/>
          <w:szCs w:val="21"/>
          <w:highlight w:val="none"/>
          <w:lang w:eastAsia="zh-CN"/>
        </w:rPr>
        <w:t>投标人</w:t>
      </w:r>
      <w:r>
        <w:rPr>
          <w:b/>
          <w:bCs/>
          <w:color w:val="auto"/>
          <w:sz w:val="21"/>
          <w:szCs w:val="21"/>
          <w:highlight w:val="none"/>
        </w:rPr>
        <w:t>凭经采购单位审批的退付意见书到相关财务部办理履约保证金退付事宜。</w:t>
      </w:r>
    </w:p>
    <w:p w14:paraId="72DAD41B">
      <w:pPr>
        <w:widowControl/>
        <w:jc w:val="left"/>
        <w:rPr>
          <w:b/>
          <w:bCs/>
          <w:color w:val="auto"/>
          <w:szCs w:val="21"/>
          <w:highlight w:val="none"/>
        </w:rPr>
      </w:pPr>
      <w:r>
        <w:rPr>
          <w:b/>
          <w:bCs/>
          <w:color w:val="auto"/>
          <w:szCs w:val="21"/>
          <w:highlight w:val="none"/>
        </w:rPr>
        <w:br w:type="page"/>
      </w:r>
    </w:p>
    <w:p w14:paraId="5007FFAD">
      <w:pPr>
        <w:spacing w:before="120" w:line="320" w:lineRule="atLeast"/>
        <w:jc w:val="left"/>
        <w:outlineLvl w:val="1"/>
        <w:rPr>
          <w:b/>
          <w:bCs/>
          <w:color w:val="auto"/>
          <w:kern w:val="0"/>
          <w:szCs w:val="21"/>
          <w:highlight w:val="none"/>
        </w:rPr>
      </w:pPr>
      <w:r>
        <w:rPr>
          <w:b/>
          <w:bCs/>
          <w:color w:val="auto"/>
          <w:kern w:val="0"/>
          <w:szCs w:val="21"/>
          <w:highlight w:val="none"/>
        </w:rPr>
        <w:t>合同附件2</w:t>
      </w:r>
    </w:p>
    <w:p w14:paraId="5DE87107">
      <w:pPr>
        <w:snapToGrid w:val="0"/>
        <w:spacing w:line="360" w:lineRule="exact"/>
        <w:jc w:val="center"/>
        <w:rPr>
          <w:b/>
          <w:bCs/>
          <w:color w:val="auto"/>
          <w:szCs w:val="21"/>
          <w:highlight w:val="none"/>
        </w:rPr>
      </w:pPr>
      <w:bookmarkStart w:id="167" w:name="_Hlk80978015"/>
    </w:p>
    <w:p w14:paraId="394509F0">
      <w:pPr>
        <w:snapToGrid w:val="0"/>
        <w:spacing w:line="360" w:lineRule="exact"/>
        <w:jc w:val="center"/>
        <w:rPr>
          <w:b/>
          <w:bCs/>
          <w:color w:val="auto"/>
          <w:szCs w:val="21"/>
          <w:highlight w:val="none"/>
        </w:rPr>
      </w:pPr>
      <w:bookmarkStart w:id="168" w:name="_Hlk77607667"/>
      <w:r>
        <w:rPr>
          <w:b/>
          <w:bCs/>
          <w:color w:val="auto"/>
          <w:szCs w:val="21"/>
          <w:highlight w:val="none"/>
        </w:rPr>
        <w:t>履约</w:t>
      </w:r>
      <w:r>
        <w:rPr>
          <w:rFonts w:hint="eastAsia"/>
          <w:b/>
          <w:bCs/>
          <w:color w:val="auto"/>
          <w:szCs w:val="21"/>
          <w:highlight w:val="none"/>
        </w:rPr>
        <w:t>验收方案</w:t>
      </w:r>
    </w:p>
    <w:p w14:paraId="289B0159">
      <w:pPr>
        <w:widowControl/>
        <w:jc w:val="left"/>
        <w:rPr>
          <w:color w:val="auto"/>
          <w:szCs w:val="21"/>
          <w:highlight w:val="none"/>
        </w:rPr>
      </w:pPr>
    </w:p>
    <w:p w14:paraId="5D8F7FE8">
      <w:pPr>
        <w:pStyle w:val="200"/>
        <w:ind w:firstLineChars="0"/>
        <w:rPr>
          <w:rFonts w:ascii="Times New Roman" w:hAnsi="Times New Roman" w:eastAsia="宋体"/>
          <w:color w:val="auto"/>
          <w:kern w:val="2"/>
          <w:sz w:val="21"/>
          <w:szCs w:val="21"/>
          <w:highlight w:val="none"/>
        </w:rPr>
      </w:pPr>
    </w:p>
    <w:p w14:paraId="652AD98C">
      <w:pPr>
        <w:spacing w:before="120" w:line="32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1.履约验收工作参加人员</w:t>
      </w:r>
    </w:p>
    <w:p w14:paraId="37E8A9C6">
      <w:pPr>
        <w:spacing w:before="120" w:line="320" w:lineRule="exact"/>
        <w:jc w:val="left"/>
        <w:rPr>
          <w:rFonts w:hint="eastAsia" w:ascii="宋体" w:hAnsi="宋体" w:cs="宋体"/>
          <w:color w:val="auto"/>
          <w:szCs w:val="21"/>
          <w:highlight w:val="none"/>
        </w:rPr>
      </w:pPr>
      <w:r>
        <w:rPr>
          <w:rFonts w:hint="eastAsia" w:ascii="宋体" w:hAnsi="宋体" w:cs="宋体"/>
          <w:b/>
          <w:bCs/>
          <w:color w:val="auto"/>
          <w:szCs w:val="21"/>
          <w:highlight w:val="none"/>
        </w:rPr>
        <w:t>1.1履约验收主体单位</w:t>
      </w:r>
    </w:p>
    <w:p w14:paraId="73C5E991">
      <w:pPr>
        <w:spacing w:before="120" w:line="320" w:lineRule="exact"/>
        <w:ind w:firstLine="420" w:firstLineChars="200"/>
        <w:jc w:val="left"/>
        <w:rPr>
          <w:rFonts w:hint="eastAsia" w:ascii="宋体" w:hAnsi="宋体" w:cs="宋体"/>
          <w:color w:val="auto"/>
          <w:szCs w:val="21"/>
          <w:highlight w:val="none"/>
          <w:u w:val="single"/>
        </w:rPr>
      </w:pPr>
      <w:r>
        <w:rPr>
          <w:rStyle w:val="58"/>
          <w:rFonts w:hint="eastAsia"/>
          <w:color w:val="auto"/>
          <w:highlight w:val="none"/>
          <w:u w:val="single"/>
        </w:rPr>
        <w:t>采购人</w:t>
      </w:r>
      <w:r>
        <w:rPr>
          <w:rStyle w:val="58"/>
          <w:rFonts w:hint="eastAsia"/>
          <w:color w:val="auto"/>
          <w:highlight w:val="none"/>
        </w:rPr>
        <w:t>（如委托第三方机构签订，应注明收费方式）</w:t>
      </w:r>
    </w:p>
    <w:p w14:paraId="0A9E5B50">
      <w:pPr>
        <w:spacing w:before="120" w:line="320" w:lineRule="exact"/>
        <w:jc w:val="left"/>
        <w:rPr>
          <w:rFonts w:hint="eastAsia" w:ascii="宋体" w:hAnsi="宋体" w:cs="宋体"/>
          <w:color w:val="auto"/>
          <w:szCs w:val="21"/>
          <w:highlight w:val="none"/>
        </w:rPr>
      </w:pPr>
      <w:r>
        <w:rPr>
          <w:rFonts w:hint="eastAsia" w:ascii="宋体" w:hAnsi="宋体" w:cs="宋体"/>
          <w:b/>
          <w:bCs/>
          <w:color w:val="auto"/>
          <w:szCs w:val="21"/>
          <w:highlight w:val="none"/>
        </w:rPr>
        <w:t>1.2履约验收参加人员</w:t>
      </w:r>
    </w:p>
    <w:p w14:paraId="7821B472">
      <w:pPr>
        <w:spacing w:before="120" w:line="320" w:lineRule="exact"/>
        <w:ind w:firstLine="420" w:firstLineChars="200"/>
        <w:jc w:val="left"/>
        <w:rPr>
          <w:rFonts w:hint="eastAsia" w:ascii="宋体" w:hAnsi="宋体" w:cs="宋体"/>
          <w:color w:val="auto"/>
          <w:szCs w:val="21"/>
          <w:highlight w:val="none"/>
          <w:u w:val="single"/>
        </w:rPr>
      </w:pPr>
      <w:r>
        <w:rPr>
          <w:rFonts w:hint="eastAsia"/>
          <w:color w:val="auto"/>
          <w:highlight w:val="none"/>
        </w:rPr>
        <w:t>采购人代表、委托机构代表、成交</w:t>
      </w:r>
      <w:r>
        <w:rPr>
          <w:rFonts w:hint="eastAsia"/>
          <w:color w:val="auto"/>
          <w:highlight w:val="none"/>
          <w:lang w:eastAsia="zh-CN"/>
        </w:rPr>
        <w:t>投标人</w:t>
      </w:r>
      <w:r>
        <w:rPr>
          <w:rFonts w:hint="eastAsia"/>
          <w:color w:val="auto"/>
          <w:highlight w:val="none"/>
        </w:rPr>
        <w:t>代表及采购人邀请的其他人员</w:t>
      </w:r>
    </w:p>
    <w:p w14:paraId="401475F2">
      <w:pPr>
        <w:spacing w:before="120" w:line="32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2.履约验收时间</w:t>
      </w:r>
    </w:p>
    <w:p w14:paraId="6BFD9A8E">
      <w:pPr>
        <w:spacing w:before="120"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20XX年XX月XX日</w:t>
      </w:r>
    </w:p>
    <w:p w14:paraId="7B1F2B06">
      <w:pPr>
        <w:spacing w:before="120" w:line="32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3.履约验收地点</w:t>
      </w:r>
    </w:p>
    <w:p w14:paraId="75C285AE">
      <w:pPr>
        <w:spacing w:before="120"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XX市XX区XX路XX号</w:t>
      </w:r>
    </w:p>
    <w:p w14:paraId="428F51D5">
      <w:pPr>
        <w:spacing w:before="120" w:line="32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4.履约验收方式</w:t>
      </w:r>
    </w:p>
    <w:p w14:paraId="0F432855">
      <w:pPr>
        <w:spacing w:before="120" w:line="320" w:lineRule="exact"/>
        <w:jc w:val="left"/>
        <w:rPr>
          <w:rFonts w:hint="eastAsia" w:ascii="宋体" w:hAnsi="宋体" w:cs="宋体"/>
          <w:b/>
          <w:bCs/>
          <w:color w:val="auto"/>
          <w:szCs w:val="21"/>
          <w:highlight w:val="none"/>
        </w:rPr>
      </w:pPr>
      <w:r>
        <w:rPr>
          <w:rFonts w:hint="eastAsia" w:ascii="宋体" w:hAnsi="宋体" w:cs="宋体"/>
          <w:color w:val="auto"/>
          <w:szCs w:val="21"/>
          <w:highlight w:val="none"/>
          <w:u w:val="single"/>
        </w:rPr>
        <w:t>采购人自行验收</w:t>
      </w:r>
    </w:p>
    <w:p w14:paraId="1E6EF117">
      <w:pPr>
        <w:spacing w:before="120" w:line="32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5.履约验收程序</w:t>
      </w:r>
    </w:p>
    <w:p w14:paraId="2123B947">
      <w:pPr>
        <w:spacing w:before="120" w:line="32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5.1成立验收小组</w:t>
      </w:r>
    </w:p>
    <w:p w14:paraId="72879BED">
      <w:pPr>
        <w:spacing w:before="120" w:line="32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.2</w:t>
      </w:r>
      <w:r>
        <w:rPr>
          <w:rFonts w:hint="eastAsia" w:ascii="宋体" w:hAnsi="宋体" w:cs="宋体"/>
          <w:b/>
          <w:bCs/>
          <w:color w:val="auto"/>
          <w:szCs w:val="21"/>
          <w:highlight w:val="none"/>
        </w:rPr>
        <w:t>量化验收标准</w:t>
      </w:r>
    </w:p>
    <w:p w14:paraId="5775C9B5">
      <w:pPr>
        <w:spacing w:before="120" w:line="32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3</w:t>
      </w:r>
      <w:r>
        <w:rPr>
          <w:rFonts w:hint="eastAsia" w:ascii="宋体" w:hAnsi="宋体" w:cs="宋体"/>
          <w:b/>
          <w:bCs/>
          <w:color w:val="auto"/>
          <w:szCs w:val="21"/>
          <w:highlight w:val="none"/>
        </w:rPr>
        <w:t>组织验收</w:t>
      </w:r>
    </w:p>
    <w:p w14:paraId="5CC81346">
      <w:pPr>
        <w:spacing w:before="120" w:line="32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4</w:t>
      </w:r>
      <w:r>
        <w:rPr>
          <w:rFonts w:hint="eastAsia" w:ascii="宋体" w:hAnsi="宋体" w:cs="宋体"/>
          <w:b/>
          <w:bCs/>
          <w:color w:val="auto"/>
          <w:szCs w:val="21"/>
          <w:highlight w:val="none"/>
        </w:rPr>
        <w:t>出具验收报告</w:t>
      </w:r>
    </w:p>
    <w:p w14:paraId="02983B33">
      <w:pPr>
        <w:spacing w:before="120" w:line="32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5</w:t>
      </w:r>
      <w:r>
        <w:rPr>
          <w:rFonts w:hint="eastAsia" w:ascii="宋体" w:hAnsi="宋体" w:cs="宋体"/>
          <w:b/>
          <w:bCs/>
          <w:color w:val="auto"/>
          <w:szCs w:val="21"/>
          <w:highlight w:val="none"/>
        </w:rPr>
        <w:t>验收结果公告</w:t>
      </w:r>
    </w:p>
    <w:p w14:paraId="2523D40B">
      <w:pPr>
        <w:spacing w:before="120" w:line="32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6</w:t>
      </w:r>
      <w:r>
        <w:rPr>
          <w:rFonts w:hint="eastAsia" w:ascii="宋体" w:hAnsi="宋体" w:cs="宋体"/>
          <w:b/>
          <w:bCs/>
          <w:color w:val="auto"/>
          <w:szCs w:val="21"/>
          <w:highlight w:val="none"/>
        </w:rPr>
        <w:t>验收资料归档</w:t>
      </w:r>
    </w:p>
    <w:p w14:paraId="6A8A6C88">
      <w:pPr>
        <w:spacing w:before="120" w:line="3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采购合同项目完成验收后，采购人整理好验收原始记录、验收书等资料后妥善保管，不得变造、隐匿或者销毁，验收资料保存期为采购结束之日起至少保存15年。</w:t>
      </w:r>
    </w:p>
    <w:p w14:paraId="5B7299A3">
      <w:pPr>
        <w:spacing w:before="120" w:line="320" w:lineRule="exact"/>
        <w:jc w:val="left"/>
        <w:rPr>
          <w:rFonts w:hint="eastAsia" w:ascii="宋体" w:hAnsi="宋体" w:cs="宋体"/>
          <w:b/>
          <w:bCs/>
          <w:iCs/>
          <w:color w:val="auto"/>
          <w:szCs w:val="21"/>
          <w:highlight w:val="none"/>
        </w:rPr>
      </w:pPr>
      <w:r>
        <w:rPr>
          <w:rFonts w:hint="eastAsia" w:ascii="宋体" w:hAnsi="宋体" w:cs="宋体"/>
          <w:b/>
          <w:bCs/>
          <w:color w:val="auto"/>
          <w:szCs w:val="21"/>
          <w:highlight w:val="none"/>
        </w:rPr>
        <w:t>6.履约验收内容</w:t>
      </w:r>
    </w:p>
    <w:p w14:paraId="567CE232">
      <w:pPr>
        <w:spacing w:before="120" w:line="320" w:lineRule="exact"/>
        <w:jc w:val="left"/>
        <w:rPr>
          <w:rFonts w:hint="eastAsia" w:ascii="宋体" w:hAnsi="宋体" w:cs="宋体"/>
          <w:iCs/>
          <w:color w:val="auto"/>
          <w:szCs w:val="21"/>
          <w:highlight w:val="none"/>
        </w:rPr>
      </w:pPr>
      <w:r>
        <w:rPr>
          <w:rFonts w:hint="eastAsia" w:ascii="宋体" w:hAnsi="宋体" w:cs="宋体"/>
          <w:b/>
          <w:bCs/>
          <w:color w:val="auto"/>
          <w:szCs w:val="21"/>
          <w:highlight w:val="none"/>
        </w:rPr>
        <w:t>6.1商务验收内容</w:t>
      </w:r>
    </w:p>
    <w:p w14:paraId="0FFE8C28">
      <w:pPr>
        <w:spacing w:before="120" w:line="320" w:lineRule="exact"/>
        <w:ind w:firstLine="420" w:firstLineChars="200"/>
        <w:jc w:val="left"/>
        <w:rPr>
          <w:rFonts w:hint="eastAsia" w:ascii="宋体" w:hAnsi="宋体" w:eastAsia="Microsoft YaHei UI" w:cs="宋体"/>
          <w:color w:val="auto"/>
          <w:szCs w:val="21"/>
          <w:highlight w:val="none"/>
          <w:u w:val="single"/>
        </w:rPr>
      </w:pPr>
      <w:r>
        <w:rPr>
          <w:rFonts w:hint="eastAsia" w:ascii="宋体" w:hAnsi="宋体" w:cs="宋体"/>
          <w:color w:val="auto"/>
          <w:szCs w:val="21"/>
          <w:highlight w:val="none"/>
        </w:rPr>
        <w:t>对采购标的交付的情况、财务和服务要求，包括交付（实施）的时间（期限）和地点（范围），付款条件（进度和方式），包装和运输，售后服务，保险等进行验收。</w:t>
      </w:r>
    </w:p>
    <w:p w14:paraId="335394E7">
      <w:pPr>
        <w:spacing w:before="120" w:line="320" w:lineRule="exact"/>
        <w:jc w:val="left"/>
        <w:rPr>
          <w:rFonts w:hint="eastAsia" w:ascii="宋体" w:hAnsi="宋体" w:cs="宋体"/>
          <w:iCs/>
          <w:color w:val="auto"/>
          <w:szCs w:val="21"/>
          <w:highlight w:val="none"/>
        </w:rPr>
      </w:pPr>
      <w:r>
        <w:rPr>
          <w:rFonts w:hint="eastAsia" w:ascii="宋体" w:hAnsi="宋体" w:cs="宋体"/>
          <w:b/>
          <w:bCs/>
          <w:color w:val="auto"/>
          <w:szCs w:val="21"/>
          <w:highlight w:val="none"/>
        </w:rPr>
        <w:t>6.2技术验收内容</w:t>
      </w:r>
    </w:p>
    <w:p w14:paraId="28842881">
      <w:pPr>
        <w:spacing w:before="120" w:line="32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对采购标的的功能和质量要求，包括性能、材料、结构、外观、安全，或者服务内容和标准等进行验收。</w:t>
      </w:r>
    </w:p>
    <w:p w14:paraId="71129462">
      <w:pPr>
        <w:spacing w:before="120" w:line="32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7.履约验收标准</w:t>
      </w:r>
    </w:p>
    <w:p w14:paraId="70D3644B">
      <w:pPr>
        <w:pStyle w:val="200"/>
        <w:spacing w:before="120" w:line="3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验收标准：</w:t>
      </w:r>
    </w:p>
    <w:p w14:paraId="78BB7246">
      <w:pPr>
        <w:pStyle w:val="200"/>
        <w:spacing w:before="120" w:line="320" w:lineRule="exact"/>
        <w:ind w:firstLine="42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r>
        <w:rPr>
          <w:rFonts w:ascii="宋体" w:hAnsi="宋体" w:eastAsia="宋体" w:cs="宋体"/>
          <w:color w:val="auto"/>
          <w:kern w:val="2"/>
          <w:sz w:val="21"/>
          <w:szCs w:val="21"/>
          <w:highlight w:val="none"/>
        </w:rPr>
        <w:t>1）中标（成交）</w:t>
      </w:r>
      <w:r>
        <w:rPr>
          <w:rFonts w:hint="eastAsia" w:ascii="宋体" w:hAnsi="宋体" w:eastAsia="宋体" w:cs="宋体"/>
          <w:color w:val="auto"/>
          <w:kern w:val="2"/>
          <w:sz w:val="21"/>
          <w:szCs w:val="21"/>
          <w:highlight w:val="none"/>
          <w:lang w:eastAsia="zh-CN"/>
        </w:rPr>
        <w:t>投标人</w:t>
      </w:r>
      <w:r>
        <w:rPr>
          <w:rFonts w:ascii="宋体" w:hAnsi="宋体" w:eastAsia="宋体" w:cs="宋体"/>
          <w:color w:val="auto"/>
          <w:kern w:val="2"/>
          <w:sz w:val="21"/>
          <w:szCs w:val="21"/>
          <w:highlight w:val="none"/>
        </w:rPr>
        <w:t>应提供完备的技术资料、装箱单和合格证等，并派遣专业人员进行现场安装调试。验收合格条件如下：</w:t>
      </w:r>
    </w:p>
    <w:p w14:paraId="4A1BF053">
      <w:pPr>
        <w:spacing w:before="120" w:line="320" w:lineRule="exact"/>
        <w:rPr>
          <w:rFonts w:hint="eastAsia" w:ascii="宋体" w:hAnsi="宋体" w:cs="宋体"/>
          <w:color w:val="auto"/>
          <w:szCs w:val="21"/>
          <w:highlight w:val="none"/>
        </w:rPr>
      </w:pPr>
      <w:r>
        <w:rPr>
          <w:rFonts w:hint="eastAsia" w:ascii="宋体" w:hAnsi="宋体" w:cs="宋体"/>
          <w:color w:val="auto"/>
          <w:szCs w:val="21"/>
          <w:highlight w:val="none"/>
        </w:rPr>
        <w:t>货物技术参数与投标文件中响应表或证明材料一致，性能或指标达到规定的标准。否则，以实际货物技术参数与投标文件响应表参数或证明材料比较，按如下情况处理：</w:t>
      </w:r>
    </w:p>
    <w:p w14:paraId="2CDF7499">
      <w:pPr>
        <w:spacing w:before="120" w:line="320" w:lineRule="exact"/>
        <w:rPr>
          <w:rFonts w:hint="eastAsia" w:ascii="宋体" w:hAnsi="宋体" w:cs="宋体"/>
          <w:color w:val="auto"/>
          <w:szCs w:val="21"/>
          <w:highlight w:val="none"/>
        </w:rPr>
      </w:pPr>
      <w:r>
        <w:rPr>
          <w:rFonts w:hint="eastAsia" w:ascii="宋体" w:hAnsi="宋体" w:cs="宋体"/>
          <w:color w:val="auto"/>
          <w:szCs w:val="21"/>
          <w:highlight w:val="none"/>
        </w:rPr>
        <w:t>①</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投标文件响应表或证明材料中满足或优于的技术参数，在验收时实际不满足技术参数要求的，视为</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违约，采购人有权解除合同拒收货物，并追究</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责任，同时报财政部门备案。</w:t>
      </w:r>
    </w:p>
    <w:p w14:paraId="1388E043">
      <w:pPr>
        <w:spacing w:before="120" w:line="320" w:lineRule="exact"/>
        <w:rPr>
          <w:rFonts w:hint="eastAsia" w:ascii="宋体" w:hAnsi="宋体" w:cs="宋体"/>
          <w:color w:val="auto"/>
          <w:szCs w:val="21"/>
          <w:highlight w:val="none"/>
        </w:rPr>
      </w:pPr>
      <w:r>
        <w:rPr>
          <w:rFonts w:hint="eastAsia" w:ascii="宋体" w:hAnsi="宋体" w:cs="宋体"/>
          <w:color w:val="auto"/>
          <w:szCs w:val="21"/>
          <w:highlight w:val="none"/>
        </w:rPr>
        <w:t>②</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投标文件响应表或证明材料中优于的技术参数，在验收时实际仅满足并未优于技术参数要求的，视为</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违约，采购人有权终止合同拒收货物，并追究</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责任，同时报财政部门备案。</w:t>
      </w:r>
    </w:p>
    <w:p w14:paraId="0510132E">
      <w:pPr>
        <w:spacing w:before="120" w:line="320" w:lineRule="exact"/>
        <w:rPr>
          <w:rFonts w:hint="eastAsia" w:ascii="宋体" w:hAnsi="宋体" w:cs="宋体"/>
          <w:color w:val="auto"/>
          <w:szCs w:val="21"/>
          <w:highlight w:val="none"/>
        </w:rPr>
      </w:pPr>
      <w:r>
        <w:rPr>
          <w:rFonts w:hint="eastAsia" w:ascii="宋体" w:hAnsi="宋体" w:cs="宋体"/>
          <w:color w:val="auto"/>
          <w:szCs w:val="21"/>
          <w:highlight w:val="none"/>
        </w:rPr>
        <w:t>③</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 xml:space="preserve">投标文件响应表或证明材料中不满足的技术参数，在验收时实际满足技术参数的要求，以满足技术参数的要求验收。 </w:t>
      </w:r>
    </w:p>
    <w:p w14:paraId="54BC7EF6">
      <w:pPr>
        <w:spacing w:before="120" w:line="320" w:lineRule="exact"/>
        <w:rPr>
          <w:rFonts w:hint="eastAsia" w:ascii="宋体" w:hAnsi="宋体" w:cs="宋体"/>
          <w:color w:val="auto"/>
          <w:szCs w:val="21"/>
          <w:highlight w:val="none"/>
        </w:rPr>
      </w:pPr>
      <w:r>
        <w:rPr>
          <w:rFonts w:hint="eastAsia" w:ascii="宋体" w:hAnsi="宋体" w:cs="宋体"/>
          <w:color w:val="auto"/>
          <w:szCs w:val="21"/>
          <w:highlight w:val="none"/>
        </w:rPr>
        <w:t>④</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投标文件响应表或证明材料中满足的技术参数，在验收时实际优于技术参数的要求，以满足技术参数的要求验收。</w:t>
      </w:r>
    </w:p>
    <w:p w14:paraId="5E5F867F">
      <w:pPr>
        <w:spacing w:before="120" w:line="320" w:lineRule="exact"/>
        <w:rPr>
          <w:rFonts w:hint="eastAsia" w:ascii="宋体" w:hAnsi="宋体" w:cs="宋体"/>
          <w:color w:val="auto"/>
          <w:szCs w:val="21"/>
          <w:highlight w:val="none"/>
        </w:rPr>
      </w:pPr>
      <w:r>
        <w:rPr>
          <w:rFonts w:hint="eastAsia" w:ascii="宋体" w:hAnsi="宋体" w:cs="宋体"/>
          <w:color w:val="auto"/>
          <w:szCs w:val="21"/>
          <w:highlight w:val="none"/>
        </w:rPr>
        <w:t>⑤</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投标文件响应表或证明材料中优于的技术参数，在验收时实际也优于技术参数的要求，但没有达到响应表或证明材料中优于的程度，由采购人与</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协商按是否满足要求验收。</w:t>
      </w:r>
    </w:p>
    <w:p w14:paraId="11B79BE4">
      <w:pPr>
        <w:spacing w:before="120" w:line="320" w:lineRule="exact"/>
        <w:rPr>
          <w:rFonts w:hint="eastAsia" w:ascii="宋体" w:hAnsi="宋体" w:cs="宋体"/>
          <w:color w:val="auto"/>
          <w:szCs w:val="21"/>
          <w:highlight w:val="none"/>
        </w:rPr>
      </w:pPr>
      <w:r>
        <w:rPr>
          <w:rFonts w:hint="eastAsia" w:ascii="宋体" w:hAnsi="宋体" w:cs="宋体"/>
          <w:color w:val="auto"/>
          <w:szCs w:val="21"/>
          <w:highlight w:val="none"/>
        </w:rPr>
        <w:t>⑥实际货物与响应货物型号不一致的，验收时不论实际是优于还是满足技术参数的要求，采购人均有权解除合同拒收货物。如影响货物的使用、质量、档次及采购人需求的，还可视为</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违约，追究</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责任，同时报财政部门备案。</w:t>
      </w:r>
    </w:p>
    <w:p w14:paraId="4BE446EE">
      <w:pPr>
        <w:spacing w:before="120" w:line="3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（1）技术资料、装箱单、合格证等资料齐全。</w:t>
      </w:r>
    </w:p>
    <w:p w14:paraId="0F81EEC8">
      <w:pPr>
        <w:spacing w:before="120" w:line="3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（2）在测试或试运行期间所出现的问题得到解决，并运行或工作正常。</w:t>
      </w:r>
    </w:p>
    <w:p w14:paraId="06B22BBA">
      <w:pPr>
        <w:spacing w:before="120" w:line="3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（3）在规定时间内完成交货及验收，并经采购人确认。</w:t>
      </w:r>
    </w:p>
    <w:p w14:paraId="7C443377">
      <w:pPr>
        <w:spacing w:before="120" w:line="3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（4）货物在安装调试并试运行符合要求后，才作为最终验收。</w:t>
      </w:r>
    </w:p>
    <w:p w14:paraId="5F776593">
      <w:pPr>
        <w:spacing w:before="120" w:line="3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（5）成交</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提供的货物未达到招标文件规定要求，且对采购人造成损失的，由成交</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承担一切责任，并赔偿所造成的损失。</w:t>
      </w:r>
    </w:p>
    <w:p w14:paraId="0280904C">
      <w:pPr>
        <w:spacing w:before="120" w:line="3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（6）采购人需要制造商对成交</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交付的产品（包括质量、参数等）进行确认的，制造商应予以配合并出具书面意见，相关配合事项由成交</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与制造商协调。</w:t>
      </w:r>
    </w:p>
    <w:p w14:paraId="192C698F">
      <w:pPr>
        <w:spacing w:before="120" w:line="3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（7）产品包装材料归采购人所有。</w:t>
      </w:r>
    </w:p>
    <w:p w14:paraId="57DA6466">
      <w:pPr>
        <w:spacing w:before="120" w:line="3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（8）政府采购合同约定的其他要求及投标文件响应的其他标准。</w:t>
      </w:r>
    </w:p>
    <w:p w14:paraId="704A788A">
      <w:pPr>
        <w:spacing w:before="120" w:line="32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8.履约验收其他事项</w:t>
      </w:r>
    </w:p>
    <w:p w14:paraId="73FF3E04">
      <w:pPr>
        <w:spacing w:before="120" w:line="320" w:lineRule="exact"/>
        <w:rPr>
          <w:rFonts w:hint="eastAsia" w:ascii="仿宋" w:hAnsi="仿宋" w:eastAsia="仿宋"/>
          <w:color w:val="auto"/>
          <w:szCs w:val="21"/>
          <w:highlight w:val="none"/>
          <w:u w:val="single"/>
        </w:rPr>
      </w:pPr>
      <w:r>
        <w:rPr>
          <w:rFonts w:hint="eastAsia" w:ascii="宋体" w:hAnsi="宋体" w:cs="宋体"/>
          <w:color w:val="auto"/>
          <w:szCs w:val="21"/>
          <w:highlight w:val="none"/>
        </w:rPr>
        <w:t>无</w:t>
      </w:r>
      <w:r>
        <w:rPr>
          <w:rFonts w:hint="eastAsia" w:ascii="仿宋" w:hAnsi="仿宋" w:eastAsia="仿宋"/>
          <w:color w:val="auto"/>
          <w:szCs w:val="21"/>
          <w:highlight w:val="none"/>
          <w:u w:val="single"/>
        </w:rPr>
        <w:br w:type="page"/>
      </w:r>
    </w:p>
    <w:bookmarkEnd w:id="167"/>
    <w:bookmarkEnd w:id="168"/>
    <w:p w14:paraId="21FB1145">
      <w:pPr>
        <w:snapToGrid w:val="0"/>
        <w:spacing w:line="360" w:lineRule="exact"/>
        <w:jc w:val="center"/>
        <w:rPr>
          <w:b/>
          <w:bCs/>
          <w:color w:val="auto"/>
          <w:szCs w:val="21"/>
          <w:highlight w:val="none"/>
        </w:rPr>
      </w:pPr>
      <w:r>
        <w:rPr>
          <w:b/>
          <w:bCs/>
          <w:color w:val="auto"/>
          <w:szCs w:val="21"/>
          <w:highlight w:val="none"/>
        </w:rPr>
        <w:t>广西壮族自治区政府采购项目合同验收书</w:t>
      </w:r>
    </w:p>
    <w:p w14:paraId="37D25A9C">
      <w:pPr>
        <w:widowControl/>
        <w:snapToGrid w:val="0"/>
        <w:spacing w:before="100" w:beforeAutospacing="1" w:after="100" w:afterAutospacing="1" w:line="320" w:lineRule="exact"/>
        <w:ind w:left="-359" w:leftChars="-171" w:firstLine="420" w:firstLineChars="200"/>
        <w:jc w:val="left"/>
        <w:rPr>
          <w:color w:val="auto"/>
          <w:kern w:val="0"/>
          <w:szCs w:val="21"/>
          <w:highlight w:val="none"/>
        </w:rPr>
      </w:pPr>
      <w:r>
        <w:rPr>
          <w:color w:val="auto"/>
          <w:kern w:val="0"/>
          <w:szCs w:val="21"/>
          <w:highlight w:val="none"/>
        </w:rPr>
        <w:t>根据政府采购项目（</w:t>
      </w:r>
      <w:r>
        <w:rPr>
          <w:color w:val="auto"/>
          <w:kern w:val="0"/>
          <w:szCs w:val="21"/>
          <w:highlight w:val="none"/>
          <w:u w:val="single"/>
        </w:rPr>
        <w:t>采购合同编号：</w:t>
      </w:r>
      <w:r>
        <w:rPr>
          <w:rFonts w:cs="Arial"/>
          <w:color w:val="auto"/>
          <w:szCs w:val="21"/>
          <w:highlight w:val="none"/>
          <w:u w:val="single"/>
        </w:rPr>
        <w:t>GXZC20XX-XX-XXXXX-JDZB</w:t>
      </w:r>
      <w:r>
        <w:rPr>
          <w:color w:val="auto"/>
          <w:kern w:val="0"/>
          <w:szCs w:val="21"/>
          <w:highlight w:val="none"/>
        </w:rPr>
        <w:t>）的约定，我单位对（</w:t>
      </w:r>
      <w:r>
        <w:rPr>
          <w:rFonts w:hint="eastAsia" w:cs="Arial"/>
          <w:color w:val="auto"/>
          <w:szCs w:val="21"/>
          <w:highlight w:val="none"/>
          <w:u w:val="single"/>
        </w:rPr>
        <w:t>XXXX采购项目</w:t>
      </w:r>
      <w:r>
        <w:rPr>
          <w:color w:val="auto"/>
          <w:kern w:val="0"/>
          <w:szCs w:val="21"/>
          <w:highlight w:val="none"/>
        </w:rPr>
        <w:t>）政府采购项目中标（或成交）</w:t>
      </w:r>
      <w:r>
        <w:rPr>
          <w:rFonts w:hint="eastAsia"/>
          <w:color w:val="auto"/>
          <w:kern w:val="0"/>
          <w:szCs w:val="21"/>
          <w:highlight w:val="none"/>
          <w:lang w:eastAsia="zh-CN"/>
        </w:rPr>
        <w:t>投标人</w:t>
      </w:r>
      <w:r>
        <w:rPr>
          <w:rFonts w:hint="eastAsia"/>
          <w:color w:val="auto"/>
          <w:kern w:val="0"/>
          <w:szCs w:val="21"/>
          <w:highlight w:val="none"/>
          <w:u w:val="single"/>
        </w:rPr>
        <w:t>XX公司（填写</w:t>
      </w:r>
      <w:r>
        <w:rPr>
          <w:rFonts w:hint="eastAsia"/>
          <w:color w:val="auto"/>
          <w:kern w:val="0"/>
          <w:szCs w:val="21"/>
          <w:highlight w:val="none"/>
          <w:u w:val="single"/>
          <w:lang w:eastAsia="zh-CN"/>
        </w:rPr>
        <w:t>投标人</w:t>
      </w:r>
      <w:r>
        <w:rPr>
          <w:rFonts w:hint="eastAsia"/>
          <w:color w:val="auto"/>
          <w:kern w:val="0"/>
          <w:szCs w:val="21"/>
          <w:highlight w:val="none"/>
          <w:u w:val="single"/>
        </w:rPr>
        <w:t>名称）</w:t>
      </w:r>
      <w:r>
        <w:rPr>
          <w:color w:val="auto"/>
          <w:kern w:val="0"/>
          <w:szCs w:val="21"/>
          <w:highlight w:val="none"/>
        </w:rPr>
        <w:t>提供的</w:t>
      </w:r>
      <w:r>
        <w:rPr>
          <w:rFonts w:hint="eastAsia"/>
          <w:color w:val="auto"/>
          <w:kern w:val="0"/>
          <w:szCs w:val="21"/>
          <w:highlight w:val="none"/>
        </w:rPr>
        <w:t>货物（或工程、服务）</w:t>
      </w:r>
      <w:r>
        <w:rPr>
          <w:color w:val="auto"/>
          <w:kern w:val="0"/>
          <w:szCs w:val="21"/>
          <w:highlight w:val="none"/>
        </w:rPr>
        <w:t>进行了验收，验收情况如下：</w:t>
      </w:r>
    </w:p>
    <w:tbl>
      <w:tblPr>
        <w:tblStyle w:val="51"/>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866"/>
        <w:gridCol w:w="977"/>
        <w:gridCol w:w="2263"/>
        <w:gridCol w:w="1608"/>
        <w:gridCol w:w="850"/>
        <w:gridCol w:w="242"/>
        <w:gridCol w:w="2160"/>
      </w:tblGrid>
      <w:tr w14:paraId="7BC088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1" w:hRule="atLeast"/>
          <w:jc w:val="center"/>
        </w:trPr>
        <w:tc>
          <w:tcPr>
            <w:tcW w:w="2504" w:type="dxa"/>
            <w:gridSpan w:val="3"/>
            <w:tcBorders>
              <w:top w:val="single" w:color="auto" w:sz="8" w:space="0"/>
              <w:left w:val="single" w:color="auto" w:sz="8" w:space="0"/>
              <w:bottom w:val="single" w:color="auto" w:sz="8" w:space="0"/>
              <w:right w:val="single" w:color="auto" w:sz="8" w:space="0"/>
            </w:tcBorders>
            <w:vAlign w:val="center"/>
          </w:tcPr>
          <w:p w14:paraId="1BEAE4A5">
            <w:pPr>
              <w:widowControl/>
              <w:snapToGrid w:val="0"/>
              <w:spacing w:before="100" w:beforeAutospacing="1" w:after="100" w:afterAutospacing="1" w:line="320" w:lineRule="exact"/>
              <w:ind w:left="-3" w:firstLine="4" w:firstLineChars="2"/>
              <w:jc w:val="center"/>
              <w:rPr>
                <w:color w:val="auto"/>
                <w:kern w:val="0"/>
                <w:szCs w:val="21"/>
                <w:highlight w:val="none"/>
              </w:rPr>
            </w:pPr>
            <w:r>
              <w:rPr>
                <w:color w:val="auto"/>
                <w:kern w:val="0"/>
                <w:szCs w:val="21"/>
                <w:highlight w:val="none"/>
              </w:rPr>
              <w:t>验收方式：</w:t>
            </w:r>
          </w:p>
        </w:tc>
        <w:tc>
          <w:tcPr>
            <w:tcW w:w="7123" w:type="dxa"/>
            <w:gridSpan w:val="5"/>
            <w:tcBorders>
              <w:top w:val="single" w:color="auto" w:sz="8" w:space="0"/>
              <w:left w:val="single" w:color="auto" w:sz="8" w:space="0"/>
              <w:bottom w:val="single" w:color="auto" w:sz="8" w:space="0"/>
              <w:right w:val="single" w:color="auto" w:sz="8" w:space="0"/>
            </w:tcBorders>
            <w:vAlign w:val="center"/>
          </w:tcPr>
          <w:p w14:paraId="1D525CD8">
            <w:pPr>
              <w:widowControl/>
              <w:snapToGrid w:val="0"/>
              <w:spacing w:before="100" w:beforeAutospacing="1" w:after="100" w:afterAutospacing="1" w:line="320" w:lineRule="exact"/>
              <w:ind w:left="-3" w:firstLine="420" w:firstLineChars="200"/>
              <w:jc w:val="center"/>
              <w:rPr>
                <w:color w:val="auto"/>
                <w:kern w:val="0"/>
                <w:szCs w:val="21"/>
                <w:highlight w:val="none"/>
              </w:rPr>
            </w:pPr>
            <w:r>
              <w:rPr>
                <w:rFonts w:hint="eastAsia" w:cs="Arial"/>
                <w:color w:val="auto"/>
                <w:szCs w:val="21"/>
                <w:highlight w:val="none"/>
              </w:rPr>
              <w:t>□</w:t>
            </w:r>
            <w:r>
              <w:rPr>
                <w:color w:val="auto"/>
                <w:kern w:val="0"/>
                <w:szCs w:val="21"/>
                <w:highlight w:val="none"/>
              </w:rPr>
              <w:t>自行验收        </w:t>
            </w:r>
            <w:r>
              <w:rPr>
                <w:rFonts w:cs="Arial"/>
                <w:color w:val="auto"/>
                <w:szCs w:val="21"/>
                <w:highlight w:val="none"/>
              </w:rPr>
              <w:sym w:font="Wingdings 2" w:char="00A3"/>
            </w:r>
            <w:r>
              <w:rPr>
                <w:color w:val="auto"/>
                <w:kern w:val="0"/>
                <w:szCs w:val="21"/>
                <w:highlight w:val="none"/>
              </w:rPr>
              <w:t>委托验收</w:t>
            </w:r>
          </w:p>
        </w:tc>
      </w:tr>
      <w:tr w14:paraId="5369A1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661" w:type="dxa"/>
            <w:tcBorders>
              <w:top w:val="single" w:color="auto" w:sz="8" w:space="0"/>
              <w:left w:val="single" w:color="auto" w:sz="8" w:space="0"/>
              <w:bottom w:val="single" w:color="auto" w:sz="8" w:space="0"/>
              <w:right w:val="single" w:color="auto" w:sz="8" w:space="0"/>
            </w:tcBorders>
            <w:vAlign w:val="center"/>
          </w:tcPr>
          <w:p w14:paraId="24364CDF">
            <w:pPr>
              <w:widowControl/>
              <w:snapToGrid w:val="0"/>
              <w:spacing w:before="100" w:beforeAutospacing="1" w:after="100" w:afterAutospacing="1" w:line="320" w:lineRule="exact"/>
              <w:ind w:firstLine="2" w:firstLineChars="1"/>
              <w:jc w:val="center"/>
              <w:rPr>
                <w:color w:val="auto"/>
                <w:kern w:val="0"/>
                <w:szCs w:val="21"/>
                <w:highlight w:val="none"/>
              </w:rPr>
            </w:pPr>
            <w:r>
              <w:rPr>
                <w:color w:val="auto"/>
                <w:kern w:val="0"/>
                <w:szCs w:val="21"/>
                <w:highlight w:val="none"/>
              </w:rPr>
              <w:t>序号</w:t>
            </w:r>
          </w:p>
        </w:tc>
        <w:tc>
          <w:tcPr>
            <w:tcW w:w="1843" w:type="dxa"/>
            <w:gridSpan w:val="2"/>
            <w:tcBorders>
              <w:top w:val="single" w:color="auto" w:sz="8" w:space="0"/>
              <w:left w:val="single" w:color="auto" w:sz="8" w:space="0"/>
              <w:bottom w:val="single" w:color="auto" w:sz="8" w:space="0"/>
              <w:right w:val="single" w:color="auto" w:sz="8" w:space="0"/>
            </w:tcBorders>
            <w:vAlign w:val="center"/>
          </w:tcPr>
          <w:p w14:paraId="522FC4FA">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名  称</w:t>
            </w:r>
          </w:p>
        </w:tc>
        <w:tc>
          <w:tcPr>
            <w:tcW w:w="3871" w:type="dxa"/>
            <w:gridSpan w:val="2"/>
            <w:tcBorders>
              <w:top w:val="single" w:color="auto" w:sz="8" w:space="0"/>
              <w:left w:val="single" w:color="auto" w:sz="8" w:space="0"/>
              <w:bottom w:val="single" w:color="auto" w:sz="8" w:space="0"/>
              <w:right w:val="single" w:color="auto" w:sz="8" w:space="0"/>
            </w:tcBorders>
            <w:vAlign w:val="center"/>
          </w:tcPr>
          <w:p w14:paraId="0DA48CFB">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货物型号规格、标准及配置等（或服务内容、标准）</w:t>
            </w:r>
          </w:p>
        </w:tc>
        <w:tc>
          <w:tcPr>
            <w:tcW w:w="850" w:type="dxa"/>
            <w:tcBorders>
              <w:top w:val="single" w:color="auto" w:sz="8" w:space="0"/>
              <w:left w:val="single" w:color="auto" w:sz="8" w:space="0"/>
              <w:bottom w:val="single" w:color="auto" w:sz="8" w:space="0"/>
              <w:right w:val="single" w:color="auto" w:sz="8" w:space="0"/>
            </w:tcBorders>
            <w:vAlign w:val="center"/>
          </w:tcPr>
          <w:p w14:paraId="7CC12AB5">
            <w:pPr>
              <w:widowControl/>
              <w:snapToGrid w:val="0"/>
              <w:spacing w:before="100" w:beforeAutospacing="1" w:after="100" w:afterAutospacing="1" w:line="320" w:lineRule="exact"/>
              <w:jc w:val="center"/>
              <w:rPr>
                <w:color w:val="auto"/>
                <w:kern w:val="0"/>
                <w:szCs w:val="21"/>
                <w:highlight w:val="none"/>
              </w:rPr>
            </w:pPr>
            <w:r>
              <w:rPr>
                <w:color w:val="auto"/>
                <w:kern w:val="0"/>
                <w:szCs w:val="21"/>
                <w:highlight w:val="none"/>
              </w:rPr>
              <w:t>数量</w:t>
            </w: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1990646E">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金  额</w:t>
            </w:r>
          </w:p>
        </w:tc>
      </w:tr>
      <w:tr w14:paraId="65881B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61" w:type="dxa"/>
            <w:tcBorders>
              <w:top w:val="single" w:color="auto" w:sz="8" w:space="0"/>
              <w:left w:val="single" w:color="auto" w:sz="8" w:space="0"/>
              <w:bottom w:val="single" w:color="auto" w:sz="8" w:space="0"/>
              <w:right w:val="single" w:color="auto" w:sz="8" w:space="0"/>
            </w:tcBorders>
            <w:vAlign w:val="center"/>
          </w:tcPr>
          <w:p w14:paraId="1661FDA2">
            <w:pPr>
              <w:widowControl/>
              <w:snapToGrid w:val="0"/>
              <w:spacing w:before="100" w:beforeAutospacing="1" w:after="100" w:afterAutospacing="1" w:line="320" w:lineRule="exact"/>
              <w:ind w:left="-3" w:firstLine="4" w:firstLineChars="2"/>
              <w:jc w:val="center"/>
              <w:rPr>
                <w:color w:val="auto"/>
                <w:kern w:val="0"/>
                <w:szCs w:val="21"/>
                <w:highlight w:val="none"/>
              </w:rPr>
            </w:pPr>
            <w:r>
              <w:rPr>
                <w:rFonts w:hint="eastAsia"/>
                <w:color w:val="auto"/>
                <w:kern w:val="0"/>
                <w:szCs w:val="21"/>
                <w:highlight w:val="none"/>
              </w:rPr>
              <w:t>1</w:t>
            </w:r>
          </w:p>
        </w:tc>
        <w:tc>
          <w:tcPr>
            <w:tcW w:w="1843" w:type="dxa"/>
            <w:gridSpan w:val="2"/>
            <w:tcBorders>
              <w:top w:val="single" w:color="auto" w:sz="8" w:space="0"/>
              <w:left w:val="single" w:color="auto" w:sz="8" w:space="0"/>
              <w:bottom w:val="single" w:color="auto" w:sz="8" w:space="0"/>
              <w:right w:val="single" w:color="auto" w:sz="8" w:space="0"/>
            </w:tcBorders>
            <w:vAlign w:val="center"/>
          </w:tcPr>
          <w:p w14:paraId="484BE414">
            <w:pPr>
              <w:widowControl/>
              <w:snapToGrid w:val="0"/>
              <w:spacing w:before="100" w:beforeAutospacing="1" w:after="100" w:afterAutospacing="1" w:line="320" w:lineRule="exact"/>
              <w:ind w:left="-3" w:firstLine="420" w:firstLineChars="200"/>
              <w:jc w:val="left"/>
              <w:rPr>
                <w:color w:val="auto"/>
                <w:kern w:val="0"/>
                <w:szCs w:val="21"/>
                <w:highlight w:val="none"/>
              </w:rPr>
            </w:pPr>
            <w:r>
              <w:rPr>
                <w:rFonts w:hint="eastAsia"/>
                <w:color w:val="auto"/>
                <w:kern w:val="0"/>
                <w:szCs w:val="21"/>
                <w:highlight w:val="none"/>
              </w:rPr>
              <w:t>XXXX设备</w:t>
            </w:r>
          </w:p>
        </w:tc>
        <w:tc>
          <w:tcPr>
            <w:tcW w:w="3871" w:type="dxa"/>
            <w:gridSpan w:val="2"/>
            <w:tcBorders>
              <w:top w:val="single" w:color="auto" w:sz="8" w:space="0"/>
              <w:left w:val="single" w:color="auto" w:sz="8" w:space="0"/>
              <w:bottom w:val="single" w:color="auto" w:sz="8" w:space="0"/>
              <w:right w:val="single" w:color="auto" w:sz="8" w:space="0"/>
            </w:tcBorders>
            <w:vAlign w:val="center"/>
          </w:tcPr>
          <w:p w14:paraId="22799DE5">
            <w:pPr>
              <w:pStyle w:val="202"/>
              <w:ind w:firstLine="0" w:firstLineChars="0"/>
              <w:rPr>
                <w:rFonts w:hint="eastAsia"/>
                <w:color w:val="auto"/>
                <w:kern w:val="0"/>
                <w:szCs w:val="21"/>
                <w:highlight w:val="none"/>
              </w:rPr>
            </w:pPr>
          </w:p>
        </w:tc>
        <w:tc>
          <w:tcPr>
            <w:tcW w:w="850" w:type="dxa"/>
            <w:tcBorders>
              <w:top w:val="single" w:color="auto" w:sz="8" w:space="0"/>
              <w:left w:val="single" w:color="auto" w:sz="8" w:space="0"/>
              <w:bottom w:val="single" w:color="auto" w:sz="8" w:space="0"/>
              <w:right w:val="single" w:color="auto" w:sz="8" w:space="0"/>
            </w:tcBorders>
            <w:vAlign w:val="center"/>
          </w:tcPr>
          <w:p w14:paraId="2EAB30BC">
            <w:pPr>
              <w:widowControl/>
              <w:snapToGrid w:val="0"/>
              <w:spacing w:before="100" w:beforeAutospacing="1" w:after="100" w:afterAutospacing="1" w:line="320" w:lineRule="exact"/>
              <w:jc w:val="center"/>
              <w:rPr>
                <w:color w:val="auto"/>
                <w:kern w:val="0"/>
                <w:szCs w:val="21"/>
                <w:highlight w:val="none"/>
              </w:rPr>
            </w:pPr>
            <w:r>
              <w:rPr>
                <w:color w:val="auto"/>
                <w:kern w:val="0"/>
                <w:szCs w:val="21"/>
                <w:highlight w:val="none"/>
              </w:rPr>
              <w:t>1</w:t>
            </w:r>
            <w:r>
              <w:rPr>
                <w:rFonts w:hint="eastAsia"/>
                <w:color w:val="auto"/>
                <w:kern w:val="0"/>
                <w:szCs w:val="21"/>
                <w:highlight w:val="none"/>
              </w:rPr>
              <w:t>套</w:t>
            </w: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78796E44">
            <w:pPr>
              <w:pStyle w:val="202"/>
              <w:ind w:firstLine="0" w:firstLineChars="0"/>
              <w:jc w:val="center"/>
              <w:rPr>
                <w:rFonts w:hint="eastAsia"/>
                <w:color w:val="auto"/>
                <w:kern w:val="0"/>
                <w:szCs w:val="21"/>
                <w:highlight w:val="none"/>
              </w:rPr>
            </w:pPr>
            <w:r>
              <w:rPr>
                <w:color w:val="auto"/>
                <w:kern w:val="0"/>
                <w:szCs w:val="21"/>
                <w:highlight w:val="none"/>
              </w:rPr>
              <w:t>¥0.00元</w:t>
            </w:r>
          </w:p>
        </w:tc>
      </w:tr>
      <w:tr w14:paraId="18B4E6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375" w:type="dxa"/>
            <w:gridSpan w:val="5"/>
            <w:tcBorders>
              <w:top w:val="single" w:color="auto" w:sz="8" w:space="0"/>
              <w:left w:val="single" w:color="auto" w:sz="8" w:space="0"/>
              <w:bottom w:val="single" w:color="auto" w:sz="8" w:space="0"/>
              <w:right w:val="single" w:color="auto" w:sz="8" w:space="0"/>
            </w:tcBorders>
            <w:vAlign w:val="center"/>
          </w:tcPr>
          <w:p w14:paraId="31A5B6E9">
            <w:pPr>
              <w:pStyle w:val="202"/>
              <w:ind w:firstLine="0" w:firstLineChars="0"/>
              <w:jc w:val="center"/>
              <w:rPr>
                <w:rFonts w:hint="eastAsia"/>
                <w:color w:val="auto"/>
                <w:kern w:val="0"/>
                <w:szCs w:val="21"/>
                <w:highlight w:val="none"/>
              </w:rPr>
            </w:pPr>
            <w:r>
              <w:rPr>
                <w:rFonts w:hint="eastAsia"/>
                <w:color w:val="auto"/>
                <w:kern w:val="0"/>
                <w:szCs w:val="21"/>
                <w:highlight w:val="none"/>
              </w:rPr>
              <w:t>合 计</w:t>
            </w:r>
          </w:p>
        </w:tc>
        <w:tc>
          <w:tcPr>
            <w:tcW w:w="850" w:type="dxa"/>
            <w:tcBorders>
              <w:top w:val="single" w:color="auto" w:sz="8" w:space="0"/>
              <w:left w:val="single" w:color="auto" w:sz="8" w:space="0"/>
              <w:bottom w:val="single" w:color="auto" w:sz="8" w:space="0"/>
              <w:right w:val="single" w:color="auto" w:sz="8" w:space="0"/>
            </w:tcBorders>
            <w:vAlign w:val="center"/>
          </w:tcPr>
          <w:p w14:paraId="3D66DCDD">
            <w:pPr>
              <w:widowControl/>
              <w:snapToGrid w:val="0"/>
              <w:spacing w:before="100" w:beforeAutospacing="1" w:after="100" w:afterAutospacing="1" w:line="320" w:lineRule="exact"/>
              <w:jc w:val="center"/>
              <w:rPr>
                <w:color w:val="auto"/>
                <w:kern w:val="0"/>
                <w:szCs w:val="21"/>
                <w:highlight w:val="none"/>
              </w:rPr>
            </w:pP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2E33EA6B">
            <w:pPr>
              <w:pStyle w:val="202"/>
              <w:ind w:firstLine="0" w:firstLineChars="0"/>
              <w:jc w:val="center"/>
              <w:rPr>
                <w:rFonts w:hint="eastAsia"/>
                <w:color w:val="auto"/>
                <w:kern w:val="0"/>
                <w:szCs w:val="21"/>
                <w:highlight w:val="none"/>
              </w:rPr>
            </w:pPr>
            <w:r>
              <w:rPr>
                <w:color w:val="auto"/>
                <w:kern w:val="0"/>
                <w:szCs w:val="21"/>
                <w:highlight w:val="none"/>
              </w:rPr>
              <w:t>¥0.00元</w:t>
            </w:r>
          </w:p>
        </w:tc>
      </w:tr>
      <w:tr w14:paraId="62D401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9627" w:type="dxa"/>
            <w:gridSpan w:val="8"/>
            <w:tcBorders>
              <w:top w:val="single" w:color="auto" w:sz="8" w:space="0"/>
              <w:left w:val="single" w:color="auto" w:sz="8" w:space="0"/>
              <w:bottom w:val="single" w:color="auto" w:sz="8" w:space="0"/>
              <w:right w:val="single" w:color="auto" w:sz="8" w:space="0"/>
            </w:tcBorders>
            <w:vAlign w:val="center"/>
          </w:tcPr>
          <w:p w14:paraId="6EF908D0">
            <w:pPr>
              <w:widowControl/>
              <w:snapToGrid w:val="0"/>
              <w:spacing w:before="100" w:beforeAutospacing="1" w:after="100" w:afterAutospacing="1" w:line="320" w:lineRule="exact"/>
              <w:ind w:firstLine="2" w:firstLineChars="1"/>
              <w:jc w:val="left"/>
              <w:rPr>
                <w:color w:val="auto"/>
                <w:kern w:val="0"/>
                <w:szCs w:val="21"/>
                <w:highlight w:val="none"/>
              </w:rPr>
            </w:pPr>
            <w:r>
              <w:rPr>
                <w:color w:val="auto"/>
                <w:kern w:val="0"/>
                <w:szCs w:val="21"/>
                <w:highlight w:val="none"/>
              </w:rPr>
              <w:t>合计大写金额：</w:t>
            </w:r>
            <w:r>
              <w:rPr>
                <w:rFonts w:hint="eastAsia"/>
                <w:color w:val="auto"/>
                <w:kern w:val="0"/>
                <w:szCs w:val="21"/>
                <w:highlight w:val="none"/>
              </w:rPr>
              <w:t>人民币元整</w:t>
            </w:r>
          </w:p>
        </w:tc>
      </w:tr>
      <w:tr w14:paraId="4F5077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jc w:val="center"/>
        </w:trPr>
        <w:tc>
          <w:tcPr>
            <w:tcW w:w="1527" w:type="dxa"/>
            <w:gridSpan w:val="2"/>
            <w:tcBorders>
              <w:top w:val="single" w:color="auto" w:sz="8" w:space="0"/>
              <w:left w:val="single" w:color="auto" w:sz="8" w:space="0"/>
              <w:bottom w:val="single" w:color="auto" w:sz="8" w:space="0"/>
              <w:right w:val="single" w:color="auto" w:sz="8" w:space="0"/>
            </w:tcBorders>
            <w:vAlign w:val="center"/>
          </w:tcPr>
          <w:p w14:paraId="7A4117D1">
            <w:pPr>
              <w:widowControl/>
              <w:snapToGrid w:val="0"/>
              <w:spacing w:before="100" w:beforeAutospacing="1" w:after="100" w:afterAutospacing="1" w:line="320" w:lineRule="exact"/>
              <w:ind w:firstLine="2" w:firstLineChars="1"/>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3240" w:type="dxa"/>
            <w:gridSpan w:val="2"/>
            <w:tcBorders>
              <w:top w:val="single" w:color="auto" w:sz="8" w:space="0"/>
              <w:left w:val="single" w:color="auto" w:sz="8" w:space="0"/>
              <w:bottom w:val="single" w:color="auto" w:sz="8" w:space="0"/>
              <w:right w:val="single" w:color="auto" w:sz="8" w:space="0"/>
            </w:tcBorders>
            <w:vAlign w:val="center"/>
          </w:tcPr>
          <w:p w14:paraId="2E3B9AC6">
            <w:pPr>
              <w:snapToGrid w:val="0"/>
              <w:spacing w:before="100" w:beforeAutospacing="1" w:after="100" w:afterAutospacing="1" w:line="3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  年  月  日</w:t>
            </w:r>
          </w:p>
        </w:tc>
        <w:tc>
          <w:tcPr>
            <w:tcW w:w="2700" w:type="dxa"/>
            <w:gridSpan w:val="3"/>
            <w:tcBorders>
              <w:top w:val="single" w:color="auto" w:sz="8" w:space="0"/>
              <w:left w:val="single" w:color="auto" w:sz="8" w:space="0"/>
              <w:bottom w:val="single" w:color="auto" w:sz="8" w:space="0"/>
              <w:right w:val="single" w:color="auto" w:sz="8" w:space="0"/>
            </w:tcBorders>
            <w:vAlign w:val="center"/>
          </w:tcPr>
          <w:p w14:paraId="3FAD5C7F">
            <w:pPr>
              <w:snapToGrid w:val="0"/>
              <w:spacing w:before="100" w:beforeAutospacing="1" w:after="100" w:afterAutospacing="1" w:line="320" w:lineRule="exact"/>
              <w:ind w:firstLine="39" w:firstLineChars="19"/>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160" w:type="dxa"/>
            <w:tcBorders>
              <w:top w:val="single" w:color="auto" w:sz="8" w:space="0"/>
              <w:left w:val="single" w:color="auto" w:sz="8" w:space="0"/>
              <w:bottom w:val="single" w:color="auto" w:sz="8" w:space="0"/>
              <w:right w:val="single" w:color="auto" w:sz="8" w:space="0"/>
            </w:tcBorders>
            <w:vAlign w:val="center"/>
          </w:tcPr>
          <w:p w14:paraId="78C2414F">
            <w:pPr>
              <w:snapToGrid w:val="0"/>
              <w:spacing w:before="100" w:beforeAutospacing="1" w:after="100" w:afterAutospacing="1" w:line="3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  年  月  日</w:t>
            </w:r>
          </w:p>
        </w:tc>
      </w:tr>
      <w:tr w14:paraId="79FDD3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FF70B7">
            <w:pPr>
              <w:widowControl/>
              <w:snapToGrid w:val="0"/>
              <w:spacing w:before="100" w:beforeAutospacing="1" w:after="100" w:afterAutospacing="1" w:line="32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100"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93FF16">
            <w:pPr>
              <w:pStyle w:val="202"/>
              <w:ind w:firstLine="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1.中标人所供货的1套设备的技术性能能满足采购合同约定的技术标准。</w:t>
            </w:r>
          </w:p>
          <w:p w14:paraId="1EADCA55">
            <w:pPr>
              <w:pStyle w:val="202"/>
              <w:ind w:firstLine="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2.中标人对设备的安装调试符合合同约定或服务规范的要求。</w:t>
            </w:r>
          </w:p>
          <w:p w14:paraId="0C37E278">
            <w:pPr>
              <w:pStyle w:val="202"/>
              <w:ind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3.中标人提供的质量保证证明材料齐全。</w:t>
            </w:r>
          </w:p>
          <w:p w14:paraId="56F7C2ED">
            <w:pPr>
              <w:pStyle w:val="202"/>
              <w:ind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验收过程材料详见验收书附件《验收书附表——商务（服务）验收》以及《验收书附表——技术验收、安全验收》。</w:t>
            </w:r>
          </w:p>
        </w:tc>
      </w:tr>
      <w:tr w14:paraId="0E4398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527" w:type="dxa"/>
            <w:gridSpan w:val="2"/>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9B3CAFA">
            <w:pPr>
              <w:widowControl/>
              <w:spacing w:before="100" w:beforeAutospacing="1" w:after="100" w:afterAutospacing="1" w:line="32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100" w:type="dxa"/>
            <w:gridSpan w:val="6"/>
            <w:tcBorders>
              <w:top w:val="single" w:color="auto" w:sz="8" w:space="0"/>
              <w:left w:val="single" w:color="auto" w:sz="8" w:space="0"/>
              <w:bottom w:val="single" w:color="auto" w:sz="4" w:space="0"/>
              <w:right w:val="single" w:color="auto" w:sz="8" w:space="0"/>
            </w:tcBorders>
            <w:vAlign w:val="center"/>
          </w:tcPr>
          <w:p w14:paraId="217E8867">
            <w:pPr>
              <w:widowControl/>
              <w:spacing w:before="100" w:beforeAutospacing="1" w:after="100" w:afterAutospacing="1" w:line="32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验收结论性意见：同意（不同意）通过项目验收</w:t>
            </w:r>
          </w:p>
        </w:tc>
      </w:tr>
      <w:tr w14:paraId="416E10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527" w:type="dxa"/>
            <w:gridSpan w:val="2"/>
            <w:vMerge w:val="continue"/>
            <w:tcBorders>
              <w:top w:val="single" w:color="auto" w:sz="8" w:space="0"/>
              <w:left w:val="single" w:color="auto" w:sz="8" w:space="0"/>
              <w:bottom w:val="single" w:color="auto" w:sz="8" w:space="0"/>
              <w:right w:val="single" w:color="auto" w:sz="8" w:space="0"/>
            </w:tcBorders>
            <w:vAlign w:val="center"/>
          </w:tcPr>
          <w:p w14:paraId="522B4E3B">
            <w:pPr>
              <w:widowControl/>
              <w:spacing w:line="320" w:lineRule="exact"/>
              <w:jc w:val="left"/>
              <w:rPr>
                <w:rFonts w:hint="eastAsia" w:ascii="宋体" w:hAnsi="宋体" w:cs="宋体"/>
                <w:color w:val="auto"/>
                <w:kern w:val="0"/>
                <w:szCs w:val="21"/>
                <w:highlight w:val="none"/>
              </w:rPr>
            </w:pPr>
          </w:p>
        </w:tc>
        <w:tc>
          <w:tcPr>
            <w:tcW w:w="8100" w:type="dxa"/>
            <w:gridSpan w:val="6"/>
            <w:tcBorders>
              <w:top w:val="single" w:color="auto" w:sz="4" w:space="0"/>
              <w:left w:val="single" w:color="auto" w:sz="8" w:space="0"/>
              <w:bottom w:val="single" w:color="auto" w:sz="8" w:space="0"/>
              <w:right w:val="single" w:color="auto" w:sz="8" w:space="0"/>
            </w:tcBorders>
            <w:vAlign w:val="center"/>
          </w:tcPr>
          <w:p w14:paraId="62650E8A">
            <w:pPr>
              <w:pStyle w:val="202"/>
              <w:ind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14:paraId="59EBAD8E">
            <w:pPr>
              <w:pStyle w:val="202"/>
              <w:ind w:firstLine="5880" w:firstLineChars="28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w:t>
            </w:r>
          </w:p>
        </w:tc>
      </w:tr>
      <w:tr w14:paraId="4C8E72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31" w:hRule="atLeast"/>
          <w:jc w:val="center"/>
        </w:trPr>
        <w:tc>
          <w:tcPr>
            <w:tcW w:w="962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7173A3">
            <w:pPr>
              <w:widowControl/>
              <w:spacing w:before="100" w:beforeAutospacing="1" w:after="100" w:afterAutospacing="1" w:line="320" w:lineRule="exact"/>
              <w:jc w:val="left"/>
              <w:rPr>
                <w:color w:val="auto"/>
                <w:kern w:val="0"/>
                <w:szCs w:val="21"/>
                <w:highlight w:val="none"/>
              </w:rPr>
            </w:pPr>
            <w:r>
              <w:rPr>
                <w:color w:val="auto"/>
                <w:kern w:val="0"/>
                <w:szCs w:val="21"/>
                <w:highlight w:val="none"/>
              </w:rPr>
              <w:t>验收小组成员签字：</w:t>
            </w:r>
          </w:p>
          <w:p w14:paraId="396E03A4">
            <w:pPr>
              <w:widowControl/>
              <w:spacing w:before="100" w:beforeAutospacing="1" w:after="100" w:afterAutospacing="1" w:line="320" w:lineRule="exact"/>
              <w:jc w:val="left"/>
              <w:rPr>
                <w:color w:val="auto"/>
                <w:kern w:val="0"/>
                <w:szCs w:val="21"/>
                <w:highlight w:val="none"/>
              </w:rPr>
            </w:pPr>
          </w:p>
        </w:tc>
      </w:tr>
      <w:tr w14:paraId="4A4079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962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FD46D11">
            <w:pPr>
              <w:widowControl/>
              <w:spacing w:before="100" w:beforeAutospacing="1" w:after="100" w:afterAutospacing="1" w:line="320" w:lineRule="exact"/>
              <w:jc w:val="left"/>
              <w:rPr>
                <w:color w:val="auto"/>
                <w:kern w:val="0"/>
                <w:szCs w:val="21"/>
                <w:highlight w:val="none"/>
              </w:rPr>
            </w:pPr>
            <w:r>
              <w:rPr>
                <w:color w:val="auto"/>
                <w:kern w:val="0"/>
                <w:szCs w:val="21"/>
                <w:highlight w:val="none"/>
              </w:rPr>
              <w:t>监督人员或其他相关人员签字：</w:t>
            </w:r>
          </w:p>
          <w:p w14:paraId="6368E5B0">
            <w:pPr>
              <w:widowControl/>
              <w:spacing w:before="100" w:beforeAutospacing="1" w:after="100" w:afterAutospacing="1" w:line="320" w:lineRule="exact"/>
              <w:ind w:firstLine="65" w:firstLineChars="31"/>
              <w:jc w:val="left"/>
              <w:rPr>
                <w:color w:val="auto"/>
                <w:kern w:val="0"/>
                <w:szCs w:val="21"/>
                <w:highlight w:val="none"/>
              </w:rPr>
            </w:pPr>
            <w:r>
              <w:rPr>
                <w:color w:val="auto"/>
                <w:kern w:val="0"/>
                <w:szCs w:val="21"/>
                <w:highlight w:val="none"/>
              </w:rPr>
              <w:t>或受邀机构的意见（盖章）：</w:t>
            </w:r>
          </w:p>
        </w:tc>
      </w:tr>
      <w:tr w14:paraId="71AC00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4767" w:type="dxa"/>
            <w:gridSpan w:val="4"/>
            <w:tcBorders>
              <w:top w:val="single" w:color="auto" w:sz="8" w:space="0"/>
              <w:left w:val="single" w:color="auto" w:sz="8" w:space="0"/>
              <w:bottom w:val="single" w:color="auto" w:sz="8" w:space="0"/>
              <w:right w:val="nil"/>
            </w:tcBorders>
            <w:tcMar>
              <w:top w:w="0" w:type="dxa"/>
              <w:left w:w="108" w:type="dxa"/>
              <w:bottom w:w="0" w:type="dxa"/>
              <w:right w:w="108" w:type="dxa"/>
            </w:tcMar>
            <w:vAlign w:val="center"/>
          </w:tcPr>
          <w:p w14:paraId="268EEBF9">
            <w:pPr>
              <w:widowControl/>
              <w:spacing w:before="100" w:beforeAutospacing="1" w:after="100" w:afterAutospacing="1" w:line="320" w:lineRule="exact"/>
              <w:ind w:firstLine="65" w:firstLineChars="31"/>
              <w:jc w:val="left"/>
              <w:rPr>
                <w:color w:val="auto"/>
                <w:kern w:val="0"/>
                <w:szCs w:val="21"/>
                <w:highlight w:val="none"/>
              </w:rPr>
            </w:pPr>
            <w:r>
              <w:rPr>
                <w:color w:val="auto"/>
                <w:kern w:val="0"/>
                <w:szCs w:val="21"/>
                <w:highlight w:val="none"/>
              </w:rPr>
              <w:t>中标或者成交</w:t>
            </w:r>
            <w:r>
              <w:rPr>
                <w:rFonts w:hint="eastAsia"/>
                <w:color w:val="auto"/>
                <w:kern w:val="0"/>
                <w:szCs w:val="21"/>
                <w:highlight w:val="none"/>
                <w:lang w:eastAsia="zh-CN"/>
              </w:rPr>
              <w:t>投标人</w:t>
            </w:r>
            <w:r>
              <w:rPr>
                <w:color w:val="auto"/>
                <w:kern w:val="0"/>
                <w:szCs w:val="21"/>
                <w:highlight w:val="none"/>
              </w:rPr>
              <w:t>负责人签字或盖章：</w:t>
            </w:r>
          </w:p>
          <w:p w14:paraId="53FF7224">
            <w:pPr>
              <w:widowControl/>
              <w:spacing w:before="100" w:beforeAutospacing="1" w:after="100" w:afterAutospacing="1" w:line="320" w:lineRule="exact"/>
              <w:jc w:val="left"/>
              <w:rPr>
                <w:color w:val="auto"/>
                <w:kern w:val="0"/>
                <w:szCs w:val="21"/>
                <w:highlight w:val="none"/>
              </w:rPr>
            </w:pPr>
            <w:r>
              <w:rPr>
                <w:color w:val="auto"/>
                <w:kern w:val="0"/>
                <w:szCs w:val="21"/>
                <w:highlight w:val="none"/>
              </w:rPr>
              <w:t>联系电话：     </w:t>
            </w:r>
            <w:r>
              <w:rPr>
                <w:rFonts w:hint="eastAsia"/>
                <w:color w:val="auto"/>
                <w:kern w:val="0"/>
                <w:szCs w:val="21"/>
                <w:highlight w:val="none"/>
              </w:rPr>
              <w:t xml:space="preserve">   </w:t>
            </w:r>
            <w:r>
              <w:rPr>
                <w:color w:val="auto"/>
                <w:kern w:val="0"/>
                <w:szCs w:val="21"/>
                <w:highlight w:val="none"/>
              </w:rPr>
              <w:t>  年</w:t>
            </w:r>
            <w:r>
              <w:rPr>
                <w:rFonts w:hint="eastAsia"/>
                <w:color w:val="auto"/>
                <w:kern w:val="0"/>
                <w:szCs w:val="21"/>
                <w:highlight w:val="none"/>
              </w:rPr>
              <w:t xml:space="preserve">  </w:t>
            </w:r>
            <w:r>
              <w:rPr>
                <w:color w:val="auto"/>
                <w:kern w:val="0"/>
                <w:szCs w:val="21"/>
                <w:highlight w:val="none"/>
              </w:rPr>
              <w:t> 月 </w:t>
            </w:r>
            <w:r>
              <w:rPr>
                <w:rFonts w:hint="eastAsia"/>
                <w:color w:val="auto"/>
                <w:kern w:val="0"/>
                <w:szCs w:val="21"/>
                <w:highlight w:val="none"/>
              </w:rPr>
              <w:t xml:space="preserve">  </w:t>
            </w:r>
            <w:r>
              <w:rPr>
                <w:color w:val="auto"/>
                <w:kern w:val="0"/>
                <w:szCs w:val="21"/>
                <w:highlight w:val="none"/>
              </w:rPr>
              <w:t>日</w:t>
            </w:r>
          </w:p>
          <w:p w14:paraId="09CAC23F">
            <w:pPr>
              <w:widowControl/>
              <w:spacing w:before="100" w:beforeAutospacing="1" w:after="100" w:afterAutospacing="1" w:line="320" w:lineRule="exact"/>
              <w:jc w:val="left"/>
              <w:rPr>
                <w:color w:val="auto"/>
                <w:kern w:val="0"/>
                <w:szCs w:val="21"/>
                <w:highlight w:val="none"/>
              </w:rPr>
            </w:pPr>
          </w:p>
          <w:p w14:paraId="428AA555">
            <w:pPr>
              <w:widowControl/>
              <w:spacing w:before="100" w:beforeAutospacing="1" w:after="100" w:afterAutospacing="1" w:line="320" w:lineRule="exact"/>
              <w:ind w:firstLine="65" w:firstLineChars="31"/>
              <w:jc w:val="left"/>
              <w:rPr>
                <w:color w:val="auto"/>
                <w:kern w:val="0"/>
                <w:szCs w:val="21"/>
                <w:highlight w:val="none"/>
              </w:rPr>
            </w:pPr>
            <w:r>
              <w:rPr>
                <w:rFonts w:hint="eastAsia"/>
                <w:color w:val="auto"/>
                <w:kern w:val="0"/>
                <w:szCs w:val="21"/>
                <w:highlight w:val="none"/>
              </w:rPr>
              <w:t>采购人</w:t>
            </w:r>
            <w:r>
              <w:rPr>
                <w:color w:val="auto"/>
                <w:kern w:val="0"/>
                <w:szCs w:val="21"/>
                <w:highlight w:val="none"/>
              </w:rPr>
              <w:t>签字或盖章：</w:t>
            </w:r>
          </w:p>
          <w:p w14:paraId="5BF57B6E">
            <w:pPr>
              <w:widowControl/>
              <w:spacing w:before="100" w:beforeAutospacing="1" w:after="100" w:afterAutospacing="1" w:line="320" w:lineRule="exact"/>
              <w:jc w:val="left"/>
              <w:rPr>
                <w:color w:val="auto"/>
                <w:kern w:val="0"/>
                <w:szCs w:val="21"/>
                <w:highlight w:val="none"/>
              </w:rPr>
            </w:pPr>
            <w:r>
              <w:rPr>
                <w:color w:val="auto"/>
                <w:kern w:val="0"/>
                <w:szCs w:val="21"/>
                <w:highlight w:val="none"/>
              </w:rPr>
              <w:t xml:space="preserve">联系电话：      </w:t>
            </w:r>
            <w:r>
              <w:rPr>
                <w:rFonts w:hint="eastAsia"/>
                <w:color w:val="auto"/>
                <w:kern w:val="0"/>
                <w:szCs w:val="21"/>
                <w:highlight w:val="none"/>
              </w:rPr>
              <w:t xml:space="preserve"> </w:t>
            </w:r>
            <w:r>
              <w:rPr>
                <w:color w:val="auto"/>
                <w:kern w:val="0"/>
                <w:szCs w:val="21"/>
                <w:highlight w:val="none"/>
              </w:rPr>
              <w:t>  年</w:t>
            </w:r>
            <w:r>
              <w:rPr>
                <w:rFonts w:hint="eastAsia"/>
                <w:color w:val="auto"/>
                <w:kern w:val="0"/>
                <w:szCs w:val="21"/>
                <w:highlight w:val="none"/>
              </w:rPr>
              <w:t xml:space="preserve">  </w:t>
            </w:r>
            <w:r>
              <w:rPr>
                <w:color w:val="auto"/>
                <w:kern w:val="0"/>
                <w:szCs w:val="21"/>
                <w:highlight w:val="none"/>
              </w:rPr>
              <w:t> 月 </w:t>
            </w:r>
            <w:r>
              <w:rPr>
                <w:rFonts w:hint="eastAsia"/>
                <w:color w:val="auto"/>
                <w:kern w:val="0"/>
                <w:szCs w:val="21"/>
                <w:highlight w:val="none"/>
              </w:rPr>
              <w:t xml:space="preserve">  </w:t>
            </w:r>
            <w:r>
              <w:rPr>
                <w:color w:val="auto"/>
                <w:kern w:val="0"/>
                <w:szCs w:val="21"/>
                <w:highlight w:val="none"/>
              </w:rPr>
              <w:t>日</w:t>
            </w:r>
          </w:p>
        </w:tc>
        <w:tc>
          <w:tcPr>
            <w:tcW w:w="4860" w:type="dxa"/>
            <w:gridSpan w:val="4"/>
            <w:tcBorders>
              <w:top w:val="single" w:color="auto" w:sz="8" w:space="0"/>
              <w:left w:val="nil"/>
              <w:bottom w:val="single" w:color="auto" w:sz="8" w:space="0"/>
              <w:right w:val="single" w:color="auto" w:sz="8" w:space="0"/>
            </w:tcBorders>
            <w:vAlign w:val="center"/>
          </w:tcPr>
          <w:p w14:paraId="738D04B9">
            <w:pPr>
              <w:widowControl/>
              <w:spacing w:before="100" w:beforeAutospacing="1" w:after="100" w:afterAutospacing="1" w:line="320" w:lineRule="exact"/>
              <w:jc w:val="left"/>
              <w:rPr>
                <w:color w:val="auto"/>
                <w:kern w:val="0"/>
                <w:szCs w:val="21"/>
                <w:highlight w:val="none"/>
              </w:rPr>
            </w:pPr>
            <w:r>
              <w:rPr>
                <w:color w:val="auto"/>
                <w:kern w:val="0"/>
                <w:szCs w:val="21"/>
                <w:highlight w:val="none"/>
              </w:rPr>
              <w:t> 受托机构的意见（盖章）：</w:t>
            </w:r>
          </w:p>
          <w:p w14:paraId="03FB1E47">
            <w:pPr>
              <w:widowControl/>
              <w:spacing w:before="100" w:beforeAutospacing="1" w:after="100" w:afterAutospacing="1" w:line="320" w:lineRule="exact"/>
              <w:jc w:val="left"/>
              <w:rPr>
                <w:color w:val="auto"/>
                <w:kern w:val="0"/>
                <w:szCs w:val="21"/>
                <w:highlight w:val="none"/>
              </w:rPr>
            </w:pPr>
            <w:r>
              <w:rPr>
                <w:color w:val="auto"/>
                <w:kern w:val="0"/>
                <w:szCs w:val="21"/>
                <w:highlight w:val="none"/>
              </w:rPr>
              <w:t xml:space="preserve">联系电话：                 </w:t>
            </w:r>
            <w:r>
              <w:rPr>
                <w:rFonts w:hint="eastAsia"/>
                <w:color w:val="auto"/>
                <w:kern w:val="0"/>
                <w:szCs w:val="21"/>
                <w:highlight w:val="none"/>
              </w:rPr>
              <w:t xml:space="preserve">    </w:t>
            </w:r>
            <w:r>
              <w:rPr>
                <w:color w:val="auto"/>
                <w:kern w:val="0"/>
                <w:szCs w:val="21"/>
                <w:highlight w:val="none"/>
              </w:rPr>
              <w:t>年   月   日</w:t>
            </w:r>
          </w:p>
          <w:p w14:paraId="53C54104">
            <w:pPr>
              <w:widowControl/>
              <w:spacing w:before="100" w:beforeAutospacing="1" w:after="100" w:afterAutospacing="1" w:line="320" w:lineRule="exact"/>
              <w:jc w:val="left"/>
              <w:rPr>
                <w:color w:val="auto"/>
                <w:kern w:val="0"/>
                <w:szCs w:val="21"/>
                <w:highlight w:val="none"/>
              </w:rPr>
            </w:pPr>
          </w:p>
          <w:p w14:paraId="515C0B45">
            <w:pPr>
              <w:widowControl/>
              <w:spacing w:before="100" w:beforeAutospacing="1" w:after="100" w:afterAutospacing="1" w:line="320" w:lineRule="exact"/>
              <w:jc w:val="left"/>
              <w:rPr>
                <w:color w:val="auto"/>
                <w:kern w:val="0"/>
                <w:szCs w:val="21"/>
                <w:highlight w:val="none"/>
              </w:rPr>
            </w:pPr>
          </w:p>
          <w:p w14:paraId="53294795">
            <w:pPr>
              <w:widowControl/>
              <w:spacing w:before="100" w:beforeAutospacing="1" w:after="100" w:afterAutospacing="1" w:line="320" w:lineRule="exact"/>
              <w:jc w:val="left"/>
              <w:rPr>
                <w:color w:val="auto"/>
                <w:kern w:val="0"/>
                <w:szCs w:val="21"/>
                <w:highlight w:val="none"/>
              </w:rPr>
            </w:pPr>
          </w:p>
        </w:tc>
      </w:tr>
    </w:tbl>
    <w:p w14:paraId="6E8C277A">
      <w:pPr>
        <w:widowControl/>
        <w:jc w:val="left"/>
        <w:rPr>
          <w:rFonts w:hint="eastAsia" w:ascii="仿宋" w:hAnsi="仿宋" w:eastAsia="仿宋"/>
          <w:color w:val="auto"/>
          <w:szCs w:val="21"/>
          <w:highlight w:val="none"/>
          <w:u w:val="single"/>
        </w:rPr>
      </w:pPr>
      <w:r>
        <w:rPr>
          <w:color w:val="auto"/>
          <w:spacing w:val="-10"/>
          <w:kern w:val="0"/>
          <w:szCs w:val="21"/>
          <w:highlight w:val="none"/>
        </w:rPr>
        <w:t>备注：本报告单一式4份（采购单位1份、</w:t>
      </w:r>
      <w:r>
        <w:rPr>
          <w:rFonts w:hint="eastAsia"/>
          <w:color w:val="auto"/>
          <w:spacing w:val="-10"/>
          <w:kern w:val="0"/>
          <w:szCs w:val="21"/>
          <w:highlight w:val="none"/>
          <w:lang w:eastAsia="zh-CN"/>
        </w:rPr>
        <w:t>投标人</w:t>
      </w:r>
      <w:r>
        <w:rPr>
          <w:color w:val="auto"/>
          <w:spacing w:val="-10"/>
          <w:kern w:val="0"/>
          <w:szCs w:val="21"/>
          <w:highlight w:val="none"/>
        </w:rPr>
        <w:t>1份、采购监督部门备案1份、采购代理机构1份）</w:t>
      </w:r>
    </w:p>
    <w:p w14:paraId="11D36B49">
      <w:pPr>
        <w:widowControl/>
        <w:jc w:val="left"/>
        <w:rPr>
          <w:color w:val="auto"/>
          <w:sz w:val="32"/>
          <w:szCs w:val="32"/>
          <w:highlight w:val="none"/>
        </w:rPr>
      </w:pPr>
    </w:p>
    <w:p w14:paraId="40DC364F">
      <w:pPr>
        <w:spacing w:line="500" w:lineRule="exact"/>
        <w:rPr>
          <w:bCs/>
          <w:color w:val="auto"/>
          <w:sz w:val="24"/>
          <w:highlight w:val="none"/>
        </w:rPr>
      </w:pPr>
      <w:r>
        <w:rPr>
          <w:rFonts w:ascii="宋体" w:hAnsi="宋体"/>
          <w:color w:val="auto"/>
          <w:sz w:val="24"/>
          <w:highlight w:val="none"/>
        </w:rPr>
        <w:br w:type="page"/>
      </w:r>
      <w:bookmarkEnd w:id="0"/>
      <w:bookmarkEnd w:id="1"/>
    </w:p>
    <w:p w14:paraId="2A6C2250">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169" w:name="_Toc1049"/>
      <w:bookmarkStart w:id="170" w:name="_Toc4753"/>
      <w:r>
        <w:rPr>
          <w:rFonts w:ascii="Times New Roman" w:hAnsi="Times New Roman" w:cs="Times New Roman"/>
          <w:color w:val="auto"/>
          <w:sz w:val="32"/>
          <w:szCs w:val="32"/>
          <w:highlight w:val="none"/>
        </w:rPr>
        <w:t>第六章  投标文件格式</w:t>
      </w:r>
      <w:bookmarkEnd w:id="169"/>
      <w:bookmarkEnd w:id="170"/>
    </w:p>
    <w:p w14:paraId="57C74124">
      <w:pPr>
        <w:rPr>
          <w:rFonts w:hint="eastAsia"/>
          <w:color w:val="auto"/>
          <w:sz w:val="28"/>
          <w:szCs w:val="28"/>
          <w:highlight w:val="none"/>
        </w:rPr>
      </w:pPr>
    </w:p>
    <w:p w14:paraId="78188867">
      <w:pPr>
        <w:rPr>
          <w:rFonts w:hint="eastAsia"/>
          <w:color w:val="auto"/>
          <w:sz w:val="28"/>
          <w:szCs w:val="28"/>
          <w:highlight w:val="none"/>
        </w:rPr>
      </w:pPr>
    </w:p>
    <w:p w14:paraId="2ADF69AA">
      <w:pPr>
        <w:rPr>
          <w:rFonts w:hint="eastAsia"/>
          <w:color w:val="auto"/>
          <w:sz w:val="28"/>
          <w:szCs w:val="28"/>
          <w:highlight w:val="none"/>
        </w:rPr>
      </w:pPr>
    </w:p>
    <w:p w14:paraId="2B5AE6B6">
      <w:pPr>
        <w:rPr>
          <w:rFonts w:hint="eastAsia"/>
          <w:color w:val="auto"/>
          <w:sz w:val="28"/>
          <w:szCs w:val="28"/>
          <w:highlight w:val="none"/>
        </w:rPr>
      </w:pPr>
    </w:p>
    <w:p w14:paraId="6F62AA03">
      <w:pPr>
        <w:spacing w:line="500" w:lineRule="exact"/>
        <w:ind w:firstLine="560" w:firstLineChars="200"/>
        <w:rPr>
          <w:bCs/>
          <w:color w:val="auto"/>
          <w:sz w:val="24"/>
          <w:highlight w:val="none"/>
        </w:rPr>
      </w:pPr>
      <w:r>
        <w:rPr>
          <w:rFonts w:hint="eastAsia"/>
          <w:color w:val="auto"/>
          <w:sz w:val="28"/>
          <w:szCs w:val="28"/>
          <w:highlight w:val="none"/>
        </w:rPr>
        <w:t>注：有签字、盖章要求的应按要求</w:t>
      </w:r>
      <w:bookmarkStart w:id="171" w:name="_Hlk89032274"/>
      <w:r>
        <w:rPr>
          <w:rFonts w:hint="eastAsia"/>
          <w:color w:val="auto"/>
          <w:sz w:val="28"/>
          <w:szCs w:val="28"/>
          <w:highlight w:val="none"/>
        </w:rPr>
        <w:t>签字（签章）、盖章（签章）</w:t>
      </w:r>
      <w:bookmarkEnd w:id="171"/>
      <w:r>
        <w:rPr>
          <w:rFonts w:hint="eastAsia"/>
          <w:color w:val="auto"/>
          <w:sz w:val="28"/>
          <w:szCs w:val="28"/>
          <w:highlight w:val="none"/>
        </w:rPr>
        <w:t>。</w:t>
      </w:r>
      <w:r>
        <w:rPr>
          <w:bCs/>
          <w:color w:val="auto"/>
          <w:sz w:val="24"/>
          <w:highlight w:val="none"/>
        </w:rPr>
        <w:br w:type="page"/>
      </w:r>
    </w:p>
    <w:p w14:paraId="5159DB8C">
      <w:pPr>
        <w:snapToGrid w:val="0"/>
        <w:spacing w:before="120" w:beforeLines="50" w:after="50" w:line="440" w:lineRule="exact"/>
        <w:jc w:val="left"/>
        <w:outlineLvl w:val="1"/>
        <w:rPr>
          <w:bCs/>
          <w:color w:val="auto"/>
          <w:sz w:val="24"/>
          <w:highlight w:val="none"/>
        </w:rPr>
      </w:pPr>
      <w:r>
        <w:rPr>
          <w:bCs/>
          <w:color w:val="auto"/>
          <w:sz w:val="24"/>
          <w:highlight w:val="none"/>
        </w:rPr>
        <w:t>1．投标文件封面参考格式</w:t>
      </w:r>
      <w:bookmarkStart w:id="172" w:name="_Hlk92966991"/>
      <w:r>
        <w:rPr>
          <w:rFonts w:hint="eastAsia"/>
          <w:bCs/>
          <w:color w:val="auto"/>
          <w:sz w:val="24"/>
          <w:highlight w:val="none"/>
        </w:rPr>
        <w:t>（资格证明文件）</w:t>
      </w:r>
      <w:bookmarkEnd w:id="172"/>
      <w:r>
        <w:rPr>
          <w:bCs/>
          <w:color w:val="auto"/>
          <w:sz w:val="24"/>
          <w:highlight w:val="none"/>
        </w:rPr>
        <w:t xml:space="preserve">： </w:t>
      </w:r>
    </w:p>
    <w:p w14:paraId="4CA46232">
      <w:pPr>
        <w:snapToGrid w:val="0"/>
        <w:spacing w:before="120" w:beforeLines="50" w:after="50" w:line="360" w:lineRule="exact"/>
        <w:rPr>
          <w:color w:val="auto"/>
          <w:sz w:val="24"/>
          <w:highlight w:val="none"/>
        </w:rPr>
      </w:pPr>
    </w:p>
    <w:p w14:paraId="485D2EA3">
      <w:pPr>
        <w:snapToGrid w:val="0"/>
        <w:spacing w:before="120" w:beforeLines="50" w:after="50" w:line="360" w:lineRule="exact"/>
        <w:jc w:val="center"/>
        <w:rPr>
          <w:bCs/>
          <w:color w:val="auto"/>
          <w:sz w:val="24"/>
          <w:highlight w:val="none"/>
        </w:rPr>
      </w:pPr>
    </w:p>
    <w:p w14:paraId="50F62142">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电子</w:t>
      </w:r>
      <w:r>
        <w:rPr>
          <w:b/>
          <w:bCs/>
          <w:color w:val="auto"/>
          <w:sz w:val="44"/>
          <w:szCs w:val="44"/>
          <w:highlight w:val="none"/>
        </w:rPr>
        <w:t>投标文件</w:t>
      </w:r>
    </w:p>
    <w:p w14:paraId="74F7353D">
      <w:pPr>
        <w:snapToGrid w:val="0"/>
        <w:spacing w:before="120" w:beforeLines="50" w:after="50" w:line="360" w:lineRule="exact"/>
        <w:jc w:val="center"/>
        <w:rPr>
          <w:b/>
          <w:bCs/>
          <w:color w:val="auto"/>
          <w:sz w:val="44"/>
          <w:szCs w:val="44"/>
          <w:highlight w:val="none"/>
        </w:rPr>
      </w:pPr>
    </w:p>
    <w:p w14:paraId="22E64F5D">
      <w:pPr>
        <w:snapToGrid w:val="0"/>
        <w:spacing w:before="120" w:beforeLines="50" w:after="50" w:line="360" w:lineRule="exact"/>
        <w:jc w:val="center"/>
        <w:rPr>
          <w:b/>
          <w:bCs/>
          <w:color w:val="auto"/>
          <w:sz w:val="44"/>
          <w:szCs w:val="44"/>
          <w:highlight w:val="none"/>
        </w:rPr>
      </w:pPr>
    </w:p>
    <w:p w14:paraId="5EAFA673">
      <w:pPr>
        <w:snapToGrid w:val="0"/>
        <w:spacing w:before="120" w:beforeLines="50" w:after="50" w:line="360" w:lineRule="exact"/>
        <w:jc w:val="center"/>
        <w:rPr>
          <w:b/>
          <w:bCs/>
          <w:color w:val="auto"/>
          <w:sz w:val="44"/>
          <w:szCs w:val="44"/>
          <w:highlight w:val="none"/>
        </w:rPr>
      </w:pPr>
      <w:bookmarkStart w:id="173" w:name="_Hlk92967018"/>
      <w:r>
        <w:rPr>
          <w:b/>
          <w:bCs/>
          <w:color w:val="auto"/>
          <w:sz w:val="44"/>
          <w:szCs w:val="44"/>
          <w:highlight w:val="none"/>
        </w:rPr>
        <w:t>资格</w:t>
      </w:r>
      <w:r>
        <w:rPr>
          <w:rFonts w:hint="eastAsia"/>
          <w:b/>
          <w:bCs/>
          <w:color w:val="auto"/>
          <w:sz w:val="44"/>
          <w:szCs w:val="44"/>
          <w:highlight w:val="none"/>
        </w:rPr>
        <w:t>证明文件</w:t>
      </w:r>
    </w:p>
    <w:bookmarkEnd w:id="173"/>
    <w:p w14:paraId="76A06558">
      <w:pPr>
        <w:snapToGrid w:val="0"/>
        <w:spacing w:before="120" w:beforeLines="50" w:after="50" w:line="360" w:lineRule="exact"/>
        <w:rPr>
          <w:bCs/>
          <w:color w:val="auto"/>
          <w:sz w:val="24"/>
          <w:highlight w:val="none"/>
        </w:rPr>
      </w:pPr>
    </w:p>
    <w:p w14:paraId="55718783">
      <w:pPr>
        <w:snapToGrid w:val="0"/>
        <w:spacing w:before="120" w:beforeLines="50" w:after="50" w:line="360" w:lineRule="exact"/>
        <w:rPr>
          <w:bCs/>
          <w:color w:val="auto"/>
          <w:sz w:val="24"/>
          <w:highlight w:val="none"/>
        </w:rPr>
      </w:pPr>
    </w:p>
    <w:p w14:paraId="7635960C">
      <w:pPr>
        <w:snapToGrid w:val="0"/>
        <w:spacing w:before="120" w:beforeLines="50" w:after="50" w:line="360" w:lineRule="exact"/>
        <w:rPr>
          <w:bCs/>
          <w:color w:val="auto"/>
          <w:sz w:val="24"/>
          <w:highlight w:val="none"/>
        </w:rPr>
      </w:pPr>
    </w:p>
    <w:p w14:paraId="62F1168B">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6E618778">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6C63DBE4">
      <w:pPr>
        <w:snapToGrid w:val="0"/>
        <w:spacing w:before="120" w:beforeLines="50" w:after="50" w:line="36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12A057F9">
      <w:pPr>
        <w:snapToGrid w:val="0"/>
        <w:spacing w:before="120" w:beforeLines="50" w:after="50" w:line="360" w:lineRule="exact"/>
        <w:ind w:firstLine="720" w:firstLineChars="300"/>
        <w:rPr>
          <w:bCs/>
          <w:color w:val="auto"/>
          <w:sz w:val="24"/>
          <w:highlight w:val="none"/>
        </w:rPr>
      </w:pPr>
      <w:r>
        <w:rPr>
          <w:rFonts w:hint="eastAsia"/>
          <w:bCs/>
          <w:color w:val="auto"/>
          <w:sz w:val="24"/>
          <w:highlight w:val="none"/>
          <w:lang w:eastAsia="zh-CN"/>
        </w:rPr>
        <w:t>投标人</w:t>
      </w:r>
      <w:r>
        <w:rPr>
          <w:bCs/>
          <w:color w:val="auto"/>
          <w:sz w:val="24"/>
          <w:highlight w:val="none"/>
        </w:rPr>
        <w:t>名称：</w:t>
      </w:r>
    </w:p>
    <w:p w14:paraId="10D854B3">
      <w:pPr>
        <w:snapToGrid w:val="0"/>
        <w:spacing w:before="120" w:beforeLines="50" w:after="50" w:line="360" w:lineRule="exact"/>
        <w:ind w:firstLine="720" w:firstLineChars="300"/>
        <w:rPr>
          <w:bCs/>
          <w:color w:val="auto"/>
          <w:sz w:val="24"/>
          <w:highlight w:val="none"/>
        </w:rPr>
      </w:pPr>
      <w:r>
        <w:rPr>
          <w:rFonts w:hint="eastAsia"/>
          <w:bCs/>
          <w:color w:val="auto"/>
          <w:sz w:val="24"/>
          <w:highlight w:val="none"/>
          <w:lang w:eastAsia="zh-CN"/>
        </w:rPr>
        <w:t>投标人</w:t>
      </w:r>
      <w:r>
        <w:rPr>
          <w:bCs/>
          <w:color w:val="auto"/>
          <w:sz w:val="24"/>
          <w:highlight w:val="none"/>
        </w:rPr>
        <w:t>地址：</w:t>
      </w:r>
    </w:p>
    <w:p w14:paraId="61FB685B">
      <w:pPr>
        <w:pStyle w:val="8"/>
        <w:snapToGrid w:val="0"/>
        <w:spacing w:before="50" w:after="50" w:line="360" w:lineRule="exact"/>
        <w:ind w:firstLine="960" w:firstLineChars="400"/>
        <w:rPr>
          <w:bCs/>
          <w:color w:val="auto"/>
          <w:sz w:val="24"/>
          <w:szCs w:val="24"/>
          <w:highlight w:val="none"/>
        </w:rPr>
      </w:pPr>
    </w:p>
    <w:p w14:paraId="56734E9A">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68B64C7E">
      <w:pPr>
        <w:rPr>
          <w:color w:val="auto"/>
          <w:highlight w:val="none"/>
        </w:rPr>
      </w:pPr>
      <w:bookmarkStart w:id="174" w:name="_Toc254970698"/>
      <w:bookmarkStart w:id="175" w:name="_Toc254970557"/>
      <w:r>
        <w:rPr>
          <w:color w:val="auto"/>
          <w:highlight w:val="none"/>
        </w:rPr>
        <w:br w:type="page"/>
      </w:r>
      <w:bookmarkEnd w:id="174"/>
      <w:bookmarkEnd w:id="175"/>
      <w:r>
        <w:rPr>
          <w:b/>
          <w:bCs/>
          <w:color w:val="auto"/>
          <w:highlight w:val="none"/>
        </w:rPr>
        <w:t xml:space="preserve"> </w:t>
      </w:r>
    </w:p>
    <w:p w14:paraId="0AF6F105">
      <w:pPr>
        <w:snapToGrid w:val="0"/>
        <w:spacing w:before="50" w:after="50" w:line="440" w:lineRule="exact"/>
        <w:ind w:firstLine="138" w:firstLineChars="49"/>
        <w:jc w:val="center"/>
        <w:rPr>
          <w:b/>
          <w:color w:val="auto"/>
          <w:sz w:val="28"/>
          <w:szCs w:val="28"/>
          <w:highlight w:val="none"/>
        </w:rPr>
      </w:pPr>
      <w:r>
        <w:rPr>
          <w:b/>
          <w:color w:val="auto"/>
          <w:sz w:val="28"/>
          <w:szCs w:val="28"/>
          <w:highlight w:val="none"/>
        </w:rPr>
        <w:t>目录</w:t>
      </w:r>
    </w:p>
    <w:p w14:paraId="7A8CAC0F">
      <w:pPr>
        <w:snapToGrid w:val="0"/>
        <w:spacing w:before="50" w:after="50" w:line="440" w:lineRule="exact"/>
        <w:ind w:firstLine="118" w:firstLineChars="49"/>
        <w:jc w:val="center"/>
        <w:rPr>
          <w:b/>
          <w:color w:val="auto"/>
          <w:sz w:val="24"/>
          <w:highlight w:val="none"/>
        </w:rPr>
      </w:pPr>
      <w:r>
        <w:rPr>
          <w:b/>
          <w:color w:val="auto"/>
          <w:sz w:val="24"/>
          <w:highlight w:val="none"/>
        </w:rPr>
        <w:t>（应有页码）</w:t>
      </w:r>
    </w:p>
    <w:p w14:paraId="61EF468D">
      <w:pPr>
        <w:snapToGrid w:val="0"/>
        <w:spacing w:before="50" w:after="50" w:line="440" w:lineRule="exact"/>
        <w:ind w:firstLine="118" w:firstLineChars="49"/>
        <w:jc w:val="center"/>
        <w:rPr>
          <w:b/>
          <w:color w:val="auto"/>
          <w:sz w:val="24"/>
          <w:highlight w:val="none"/>
        </w:rPr>
      </w:pPr>
      <w:r>
        <w:rPr>
          <w:b/>
          <w:color w:val="auto"/>
          <w:sz w:val="24"/>
          <w:highlight w:val="none"/>
        </w:rPr>
        <w:br w:type="page"/>
      </w:r>
    </w:p>
    <w:p w14:paraId="0EE96A9D">
      <w:pPr>
        <w:snapToGrid w:val="0"/>
        <w:spacing w:before="50" w:after="50" w:line="440" w:lineRule="exact"/>
        <w:jc w:val="left"/>
        <w:rPr>
          <w:b/>
          <w:color w:val="auto"/>
          <w:szCs w:val="21"/>
          <w:highlight w:val="none"/>
        </w:rPr>
      </w:pPr>
      <w:bookmarkStart w:id="176" w:name="_Hlk19114217"/>
      <w:r>
        <w:rPr>
          <w:b/>
          <w:color w:val="auto"/>
          <w:szCs w:val="21"/>
          <w:highlight w:val="none"/>
        </w:rPr>
        <w:t>1．投标声明书格式：</w:t>
      </w:r>
    </w:p>
    <w:p w14:paraId="04E58CD9">
      <w:pPr>
        <w:snapToGrid w:val="0"/>
        <w:spacing w:before="120" w:beforeLines="50" w:after="50" w:line="360" w:lineRule="exact"/>
        <w:jc w:val="center"/>
        <w:rPr>
          <w:b/>
          <w:color w:val="auto"/>
          <w:szCs w:val="21"/>
          <w:highlight w:val="none"/>
        </w:rPr>
      </w:pPr>
    </w:p>
    <w:p w14:paraId="2ED6C6F6">
      <w:pPr>
        <w:snapToGrid w:val="0"/>
        <w:spacing w:before="120" w:beforeLines="50" w:after="50" w:line="360" w:lineRule="exact"/>
        <w:jc w:val="center"/>
        <w:rPr>
          <w:b/>
          <w:color w:val="auto"/>
          <w:szCs w:val="21"/>
          <w:highlight w:val="none"/>
        </w:rPr>
      </w:pPr>
      <w:r>
        <w:rPr>
          <w:b/>
          <w:color w:val="auto"/>
          <w:szCs w:val="21"/>
          <w:highlight w:val="none"/>
        </w:rPr>
        <w:t>投标声明书</w:t>
      </w:r>
    </w:p>
    <w:p w14:paraId="02316F9C">
      <w:pPr>
        <w:snapToGrid w:val="0"/>
        <w:spacing w:before="120" w:beforeLines="50" w:after="50" w:line="360" w:lineRule="exact"/>
        <w:jc w:val="center"/>
        <w:rPr>
          <w:color w:val="auto"/>
          <w:szCs w:val="21"/>
          <w:highlight w:val="none"/>
        </w:rPr>
      </w:pPr>
    </w:p>
    <w:p w14:paraId="7E74C89B">
      <w:pPr>
        <w:snapToGrid w:val="0"/>
        <w:spacing w:before="120" w:beforeLines="50" w:after="50" w:line="360" w:lineRule="exact"/>
        <w:rPr>
          <w:color w:val="auto"/>
          <w:szCs w:val="21"/>
          <w:highlight w:val="none"/>
        </w:rPr>
      </w:pPr>
      <w:r>
        <w:rPr>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color w:val="auto"/>
          <w:szCs w:val="21"/>
          <w:highlight w:val="none"/>
        </w:rPr>
        <w:t>：</w:t>
      </w:r>
    </w:p>
    <w:p w14:paraId="33C26FAF">
      <w:pPr>
        <w:snapToGrid w:val="0"/>
        <w:spacing w:before="120" w:beforeLines="50" w:after="50" w:line="360" w:lineRule="exact"/>
        <w:ind w:firstLine="630" w:firstLineChars="300"/>
        <w:rPr>
          <w:color w:val="auto"/>
          <w:szCs w:val="21"/>
          <w:highlight w:val="none"/>
        </w:rPr>
      </w:pPr>
      <w:r>
        <w:rPr>
          <w:i/>
          <w:iCs/>
          <w:color w:val="auto"/>
          <w:szCs w:val="21"/>
          <w:highlight w:val="none"/>
          <w:u w:val="single"/>
        </w:rPr>
        <w:t>（</w:t>
      </w:r>
      <w:r>
        <w:rPr>
          <w:rFonts w:hint="eastAsia"/>
          <w:i/>
          <w:iCs/>
          <w:color w:val="auto"/>
          <w:szCs w:val="21"/>
          <w:highlight w:val="none"/>
          <w:u w:val="single"/>
          <w:lang w:eastAsia="zh-CN"/>
        </w:rPr>
        <w:t>投标人</w:t>
      </w:r>
      <w:r>
        <w:rPr>
          <w:i/>
          <w:iCs/>
          <w:color w:val="auto"/>
          <w:szCs w:val="21"/>
          <w:highlight w:val="none"/>
          <w:u w:val="single"/>
        </w:rPr>
        <w:t>名称）</w:t>
      </w:r>
      <w:r>
        <w:rPr>
          <w:color w:val="auto"/>
          <w:szCs w:val="21"/>
          <w:highlight w:val="none"/>
        </w:rPr>
        <w:t>系中华人民共和国合法企业，</w:t>
      </w:r>
      <w:r>
        <w:rPr>
          <w:rFonts w:hint="eastAsia"/>
          <w:color w:val="auto"/>
          <w:szCs w:val="21"/>
          <w:highlight w:val="none"/>
          <w:u w:val="single"/>
        </w:rPr>
        <w:t xml:space="preserve"> </w:t>
      </w:r>
      <w:r>
        <w:rPr>
          <w:i/>
          <w:iCs/>
          <w:color w:val="auto"/>
          <w:szCs w:val="21"/>
          <w:highlight w:val="none"/>
          <w:u w:val="single"/>
        </w:rPr>
        <w:t xml:space="preserve"> </w:t>
      </w:r>
      <w:r>
        <w:rPr>
          <w:rFonts w:hint="eastAsia"/>
          <w:i/>
          <w:iCs/>
          <w:color w:val="auto"/>
          <w:szCs w:val="21"/>
          <w:highlight w:val="none"/>
          <w:u w:val="single"/>
        </w:rPr>
        <w:t>（</w:t>
      </w:r>
      <w:r>
        <w:rPr>
          <w:i/>
          <w:iCs/>
          <w:color w:val="auto"/>
          <w:szCs w:val="21"/>
          <w:highlight w:val="none"/>
          <w:u w:val="single"/>
        </w:rPr>
        <w:t>经营地址</w:t>
      </w:r>
      <w:r>
        <w:rPr>
          <w:rFonts w:hint="eastAsia"/>
          <w:i/>
          <w:iCs/>
          <w:color w:val="auto"/>
          <w:szCs w:val="21"/>
          <w:highlight w:val="none"/>
          <w:u w:val="single"/>
        </w:rPr>
        <w:t xml:space="preserve">） </w:t>
      </w:r>
      <w:r>
        <w:rPr>
          <w:i/>
          <w:iCs/>
          <w:color w:val="auto"/>
          <w:szCs w:val="21"/>
          <w:highlight w:val="none"/>
          <w:u w:val="single"/>
        </w:rPr>
        <w:t xml:space="preserve"> </w:t>
      </w:r>
      <w:r>
        <w:rPr>
          <w:color w:val="auto"/>
          <w:szCs w:val="21"/>
          <w:highlight w:val="none"/>
          <w:u w:val="single"/>
        </w:rPr>
        <w:t xml:space="preserve"> </w:t>
      </w:r>
      <w:r>
        <w:rPr>
          <w:color w:val="auto"/>
          <w:szCs w:val="21"/>
          <w:highlight w:val="none"/>
        </w:rPr>
        <w:t>。</w:t>
      </w:r>
    </w:p>
    <w:p w14:paraId="2DA5ACBE">
      <w:pPr>
        <w:snapToGrid w:val="0"/>
        <w:spacing w:before="120" w:beforeLines="50" w:after="50" w:line="360" w:lineRule="exact"/>
        <w:ind w:firstLine="645"/>
        <w:rPr>
          <w:color w:val="auto"/>
          <w:szCs w:val="21"/>
          <w:highlight w:val="none"/>
        </w:rPr>
      </w:pPr>
      <w:r>
        <w:rPr>
          <w:color w:val="auto"/>
          <w:szCs w:val="21"/>
          <w:highlight w:val="none"/>
        </w:rPr>
        <w:t>我</w:t>
      </w:r>
      <w:r>
        <w:rPr>
          <w:i/>
          <w:iCs/>
          <w:color w:val="auto"/>
          <w:szCs w:val="21"/>
          <w:highlight w:val="none"/>
          <w:u w:val="single"/>
        </w:rPr>
        <w:t>（姓名）</w:t>
      </w:r>
      <w:r>
        <w:rPr>
          <w:rFonts w:hint="eastAsia"/>
          <w:i/>
          <w:iCs/>
          <w:color w:val="auto"/>
          <w:szCs w:val="21"/>
          <w:highlight w:val="none"/>
          <w:u w:val="single"/>
        </w:rPr>
        <w:t xml:space="preserve"> </w:t>
      </w:r>
      <w:r>
        <w:rPr>
          <w:color w:val="auto"/>
          <w:szCs w:val="21"/>
          <w:highlight w:val="none"/>
        </w:rPr>
        <w:t>系</w:t>
      </w:r>
      <w:r>
        <w:rPr>
          <w:i/>
          <w:iCs/>
          <w:color w:val="auto"/>
          <w:szCs w:val="21"/>
          <w:highlight w:val="none"/>
          <w:u w:val="single"/>
        </w:rPr>
        <w:t>（</w:t>
      </w:r>
      <w:r>
        <w:rPr>
          <w:rFonts w:hint="eastAsia"/>
          <w:i/>
          <w:iCs/>
          <w:color w:val="auto"/>
          <w:szCs w:val="21"/>
          <w:highlight w:val="none"/>
          <w:u w:val="single"/>
          <w:lang w:eastAsia="zh-CN"/>
        </w:rPr>
        <w:t>投标人</w:t>
      </w:r>
      <w:r>
        <w:rPr>
          <w:i/>
          <w:iCs/>
          <w:color w:val="auto"/>
          <w:szCs w:val="21"/>
          <w:highlight w:val="none"/>
          <w:u w:val="single"/>
        </w:rPr>
        <w:t>名称）</w:t>
      </w:r>
      <w:r>
        <w:rPr>
          <w:color w:val="auto"/>
          <w:szCs w:val="21"/>
          <w:highlight w:val="none"/>
        </w:rPr>
        <w:t>的法定代表人，我方愿意参加贵方组织的</w:t>
      </w:r>
      <w:r>
        <w:rPr>
          <w:rFonts w:hint="eastAsia"/>
          <w:color w:val="auto"/>
          <w:szCs w:val="21"/>
          <w:highlight w:val="none"/>
        </w:rPr>
        <w:t xml:space="preserve"> </w:t>
      </w:r>
      <w:r>
        <w:rPr>
          <w:rFonts w:hint="eastAsia"/>
          <w:i/>
          <w:iCs/>
          <w:color w:val="auto"/>
          <w:szCs w:val="21"/>
          <w:highlight w:val="none"/>
          <w:u w:val="single"/>
        </w:rPr>
        <w:t xml:space="preserve">（项目名称） </w:t>
      </w:r>
      <w:r>
        <w:rPr>
          <w:color w:val="auto"/>
          <w:szCs w:val="21"/>
          <w:highlight w:val="none"/>
        </w:rPr>
        <w:t>项目的投标，为便于贵方公正、择优地确定中标人及其投标产品和服务，我方就本次投标有关事项郑重声明如下：</w:t>
      </w:r>
    </w:p>
    <w:p w14:paraId="52008B1A">
      <w:pPr>
        <w:snapToGrid w:val="0"/>
        <w:spacing w:before="120" w:beforeLines="50" w:line="360" w:lineRule="exact"/>
        <w:ind w:firstLine="420" w:firstLineChars="200"/>
        <w:rPr>
          <w:color w:val="auto"/>
          <w:szCs w:val="21"/>
          <w:highlight w:val="none"/>
        </w:rPr>
      </w:pPr>
      <w:r>
        <w:rPr>
          <w:color w:val="auto"/>
          <w:szCs w:val="21"/>
          <w:highlight w:val="none"/>
        </w:rPr>
        <w:t>（1）我方向贵方提交的所有投标文件、资料都是准确的和真实的</w:t>
      </w:r>
      <w:r>
        <w:rPr>
          <w:rFonts w:hint="eastAsia"/>
          <w:color w:val="auto"/>
          <w:szCs w:val="21"/>
          <w:highlight w:val="none"/>
        </w:rPr>
        <w:t>。</w:t>
      </w:r>
      <w:r>
        <w:rPr>
          <w:color w:val="auto"/>
          <w:szCs w:val="21"/>
          <w:highlight w:val="none"/>
        </w:rPr>
        <w:t xml:space="preserve"> </w:t>
      </w:r>
    </w:p>
    <w:p w14:paraId="2A012573">
      <w:pPr>
        <w:snapToGrid w:val="0"/>
        <w:spacing w:before="120" w:beforeLines="50" w:line="360" w:lineRule="exact"/>
        <w:ind w:firstLine="420" w:firstLineChars="200"/>
        <w:rPr>
          <w:color w:val="auto"/>
          <w:szCs w:val="21"/>
          <w:highlight w:val="none"/>
        </w:rPr>
      </w:pPr>
      <w:r>
        <w:rPr>
          <w:color w:val="auto"/>
          <w:szCs w:val="21"/>
          <w:highlight w:val="none"/>
        </w:rPr>
        <w:t>（2）我方不是采购人的附属机构；也不是为本项目提供整体设计、规范编制或者项目管理、监理、检测等服务的</w:t>
      </w:r>
      <w:r>
        <w:rPr>
          <w:rFonts w:hint="eastAsia"/>
          <w:color w:val="auto"/>
          <w:szCs w:val="21"/>
          <w:highlight w:val="none"/>
          <w:lang w:eastAsia="zh-CN"/>
        </w:rPr>
        <w:t>投标人</w:t>
      </w:r>
      <w:r>
        <w:rPr>
          <w:color w:val="auto"/>
          <w:szCs w:val="21"/>
          <w:highlight w:val="none"/>
        </w:rPr>
        <w:t>或其附属机构。</w:t>
      </w:r>
    </w:p>
    <w:p w14:paraId="6F6CD020">
      <w:pPr>
        <w:snapToGrid w:val="0"/>
        <w:spacing w:before="120" w:beforeLines="50" w:line="360" w:lineRule="exact"/>
        <w:ind w:firstLine="420" w:firstLineChars="200"/>
        <w:rPr>
          <w:color w:val="auto"/>
          <w:szCs w:val="21"/>
          <w:highlight w:val="none"/>
        </w:rPr>
      </w:pPr>
      <w:r>
        <w:rPr>
          <w:color w:val="auto"/>
          <w:szCs w:val="21"/>
          <w:highlight w:val="none"/>
        </w:rPr>
        <w:t>（3）我方承诺在参加本政府采购项目活动前，没有被纳入政府部门或银行认定的失信名单，我方具有良好的商业信誉。</w:t>
      </w:r>
    </w:p>
    <w:p w14:paraId="7C1084A1">
      <w:pPr>
        <w:snapToGrid w:val="0"/>
        <w:spacing w:before="120" w:beforeLines="50" w:line="360" w:lineRule="exact"/>
        <w:ind w:firstLine="420" w:firstLineChars="200"/>
        <w:rPr>
          <w:color w:val="auto"/>
          <w:szCs w:val="21"/>
          <w:highlight w:val="none"/>
        </w:rPr>
      </w:pPr>
      <w:r>
        <w:rPr>
          <w:color w:val="auto"/>
          <w:szCs w:val="21"/>
          <w:highlight w:val="none"/>
        </w:rPr>
        <w:t>（4）我方及本人承诺在参加本政府采购项目活动前三年内，在经营活动中没有重大违法记录。重大违法记录是指</w:t>
      </w:r>
      <w:r>
        <w:rPr>
          <w:rFonts w:hint="eastAsia"/>
          <w:color w:val="auto"/>
          <w:szCs w:val="21"/>
          <w:highlight w:val="none"/>
          <w:lang w:eastAsia="zh-CN"/>
        </w:rPr>
        <w:t>投标人</w:t>
      </w:r>
      <w:r>
        <w:rPr>
          <w:color w:val="auto"/>
          <w:szCs w:val="21"/>
          <w:highlight w:val="none"/>
        </w:rPr>
        <w:t>因违法经营受到刑事处罚或者责令停产停业、吊销许可证或者执照、较大数额罚款等行政处罚。如我方提供的声明不实，则自愿承担《政府采购法》有关提供虚假材料的规定给予的处罚。</w:t>
      </w:r>
    </w:p>
    <w:p w14:paraId="109C1751">
      <w:pPr>
        <w:snapToGrid w:val="0"/>
        <w:spacing w:before="120" w:beforeLines="50" w:line="360" w:lineRule="exact"/>
        <w:ind w:firstLine="420" w:firstLineChars="200"/>
        <w:rPr>
          <w:color w:val="auto"/>
          <w:szCs w:val="21"/>
          <w:highlight w:val="none"/>
        </w:rPr>
      </w:pPr>
      <w:r>
        <w:rPr>
          <w:color w:val="auto"/>
          <w:szCs w:val="21"/>
          <w:highlight w:val="none"/>
        </w:rPr>
        <w:t>（5）我方承诺具有履行本项目合同所必需的设备和专业技术能力。</w:t>
      </w:r>
    </w:p>
    <w:p w14:paraId="4588D518">
      <w:pPr>
        <w:snapToGrid w:val="0"/>
        <w:spacing w:before="120" w:beforeLines="50" w:line="360" w:lineRule="exact"/>
        <w:ind w:firstLine="420" w:firstLineChars="200"/>
        <w:rPr>
          <w:color w:val="auto"/>
          <w:szCs w:val="21"/>
          <w:highlight w:val="none"/>
        </w:rPr>
      </w:pPr>
      <w:r>
        <w:rPr>
          <w:rFonts w:hint="eastAsia"/>
          <w:color w:val="auto"/>
          <w:szCs w:val="21"/>
          <w:highlight w:val="none"/>
        </w:rPr>
        <w:t>（6）我方承诺</w:t>
      </w:r>
      <w:r>
        <w:rPr>
          <w:color w:val="auto"/>
          <w:szCs w:val="21"/>
          <w:highlight w:val="none"/>
        </w:rPr>
        <w:t>未被列入失信被执行人、重大税收违法失信主体、政府采购严重违法失信行为记录名单</w:t>
      </w:r>
      <w:r>
        <w:rPr>
          <w:rFonts w:hint="eastAsia"/>
          <w:color w:val="auto"/>
          <w:szCs w:val="21"/>
          <w:highlight w:val="none"/>
        </w:rPr>
        <w:t>，如我方提供的声明不实，则接受本次投标作为否决投标的处理，</w:t>
      </w:r>
      <w:r>
        <w:rPr>
          <w:color w:val="auto"/>
          <w:szCs w:val="21"/>
          <w:highlight w:val="none"/>
        </w:rPr>
        <w:t>并根据财库〔2016〕125号《财政部关于在政府采购活动中查询及使用信用记录有关问题的通知》规定接受失信联合惩戒。</w:t>
      </w:r>
    </w:p>
    <w:p w14:paraId="3F17AB22">
      <w:pPr>
        <w:snapToGrid w:val="0"/>
        <w:spacing w:before="120" w:beforeLines="50" w:line="360" w:lineRule="exact"/>
        <w:ind w:firstLine="420" w:firstLineChars="200"/>
        <w:rPr>
          <w:color w:val="auto"/>
          <w:szCs w:val="21"/>
          <w:highlight w:val="none"/>
        </w:rPr>
      </w:pPr>
      <w:r>
        <w:rPr>
          <w:rFonts w:hint="eastAsia"/>
          <w:color w:val="auto"/>
          <w:szCs w:val="21"/>
          <w:highlight w:val="none"/>
        </w:rPr>
        <w:t>（7）我方承诺中标后按</w:t>
      </w:r>
      <w:r>
        <w:rPr>
          <w:color w:val="auto"/>
          <w:szCs w:val="21"/>
          <w:highlight w:val="none"/>
        </w:rPr>
        <w:t>规定缴纳代理服务费</w:t>
      </w:r>
      <w:r>
        <w:rPr>
          <w:rFonts w:hint="eastAsia"/>
          <w:color w:val="auto"/>
          <w:szCs w:val="21"/>
          <w:highlight w:val="none"/>
        </w:rPr>
        <w:t>。如未按时缴纳，</w:t>
      </w:r>
      <w:r>
        <w:rPr>
          <w:color w:val="auto"/>
          <w:szCs w:val="21"/>
          <w:highlight w:val="none"/>
        </w:rPr>
        <w:t>贵方可</w:t>
      </w:r>
      <w:r>
        <w:rPr>
          <w:rFonts w:hint="eastAsia"/>
          <w:color w:val="auto"/>
          <w:szCs w:val="21"/>
          <w:highlight w:val="none"/>
        </w:rPr>
        <w:t>不退还</w:t>
      </w:r>
      <w:r>
        <w:rPr>
          <w:color w:val="auto"/>
          <w:szCs w:val="21"/>
          <w:highlight w:val="none"/>
        </w:rPr>
        <w:t>我</w:t>
      </w:r>
      <w:r>
        <w:rPr>
          <w:rFonts w:hint="eastAsia"/>
          <w:color w:val="auto"/>
          <w:szCs w:val="21"/>
          <w:highlight w:val="none"/>
        </w:rPr>
        <w:t>方</w:t>
      </w:r>
      <w:r>
        <w:rPr>
          <w:color w:val="auto"/>
          <w:szCs w:val="21"/>
          <w:highlight w:val="none"/>
        </w:rPr>
        <w:t>提交的投标保证金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p>
    <w:p w14:paraId="6AA6D610">
      <w:pPr>
        <w:snapToGrid w:val="0"/>
        <w:spacing w:before="120" w:beforeLines="50" w:line="360" w:lineRule="exact"/>
        <w:ind w:firstLine="420" w:firstLineChars="200"/>
        <w:rPr>
          <w:color w:val="auto"/>
          <w:szCs w:val="21"/>
          <w:highlight w:val="none"/>
        </w:rPr>
      </w:pPr>
      <w:r>
        <w:rPr>
          <w:color w:val="auto"/>
          <w:szCs w:val="21"/>
          <w:highlight w:val="none"/>
        </w:rPr>
        <w:t>我方对以上声明负全部法律责任。如有虚假或隐瞒，我方愿意承担一切后果，并不再寻求任何旨在减轻或免除法律责任的辩解。</w:t>
      </w:r>
    </w:p>
    <w:bookmarkEnd w:id="176"/>
    <w:p w14:paraId="06E84AD9">
      <w:pPr>
        <w:snapToGrid w:val="0"/>
        <w:spacing w:before="120" w:beforeLines="50" w:line="360" w:lineRule="exact"/>
        <w:ind w:firstLine="420" w:firstLineChars="200"/>
        <w:rPr>
          <w:color w:val="auto"/>
          <w:szCs w:val="21"/>
          <w:highlight w:val="none"/>
        </w:rPr>
      </w:pPr>
    </w:p>
    <w:p w14:paraId="3AD0BAFD">
      <w:pPr>
        <w:snapToGrid w:val="0"/>
        <w:spacing w:before="120" w:beforeLines="50" w:line="360" w:lineRule="exact"/>
        <w:rPr>
          <w:color w:val="auto"/>
          <w:szCs w:val="21"/>
          <w:highlight w:val="none"/>
          <w:u w:val="single"/>
        </w:rPr>
      </w:pPr>
    </w:p>
    <w:p w14:paraId="23FE66BC">
      <w:pPr>
        <w:snapToGrid w:val="0"/>
        <w:spacing w:before="120" w:beforeLines="50" w:after="50" w:line="360" w:lineRule="exact"/>
        <w:ind w:firstLine="3570" w:firstLineChars="1700"/>
        <w:rPr>
          <w:color w:val="auto"/>
          <w:szCs w:val="21"/>
          <w:highlight w:val="none"/>
        </w:rPr>
      </w:pPr>
      <w:bookmarkStart w:id="177" w:name="_Hlk88990289"/>
      <w:r>
        <w:rPr>
          <w:rFonts w:hint="eastAsia"/>
          <w:color w:val="auto"/>
          <w:szCs w:val="21"/>
          <w:highlight w:val="none"/>
          <w:lang w:eastAsia="zh-CN"/>
        </w:rPr>
        <w:t>投标人</w:t>
      </w:r>
      <w:r>
        <w:rPr>
          <w:rFonts w:hint="eastAsia"/>
          <w:color w:val="auto"/>
          <w:szCs w:val="21"/>
          <w:highlight w:val="none"/>
        </w:rPr>
        <w:t>名称（电子签章）</w:t>
      </w:r>
      <w:bookmarkEnd w:id="177"/>
      <w:r>
        <w:rPr>
          <w:color w:val="auto"/>
          <w:szCs w:val="21"/>
          <w:highlight w:val="none"/>
        </w:rPr>
        <w:t>：</w:t>
      </w:r>
      <w:r>
        <w:rPr>
          <w:color w:val="auto"/>
          <w:szCs w:val="21"/>
          <w:highlight w:val="none"/>
          <w:u w:val="single"/>
        </w:rPr>
        <w:t xml:space="preserve">                </w:t>
      </w:r>
    </w:p>
    <w:p w14:paraId="5762877B">
      <w:pPr>
        <w:snapToGrid w:val="0"/>
        <w:spacing w:before="120" w:beforeLines="50" w:after="50" w:line="360" w:lineRule="exact"/>
        <w:ind w:firstLine="210" w:firstLineChars="100"/>
        <w:rPr>
          <w:color w:val="auto"/>
          <w:szCs w:val="21"/>
          <w:highlight w:val="none"/>
        </w:rPr>
      </w:pPr>
      <w:r>
        <w:rPr>
          <w:color w:val="auto"/>
          <w:szCs w:val="21"/>
          <w:highlight w:val="none"/>
        </w:rPr>
        <w:t xml:space="preserve">                                                                        年    月    日</w:t>
      </w:r>
    </w:p>
    <w:p w14:paraId="5A1526E2">
      <w:pPr>
        <w:snapToGrid w:val="0"/>
        <w:spacing w:before="120" w:beforeLines="50" w:after="50" w:line="360" w:lineRule="exact"/>
        <w:rPr>
          <w:color w:val="auto"/>
          <w:szCs w:val="21"/>
          <w:highlight w:val="none"/>
        </w:rPr>
      </w:pPr>
      <w:r>
        <w:rPr>
          <w:color w:val="auto"/>
          <w:szCs w:val="21"/>
          <w:highlight w:val="none"/>
        </w:rPr>
        <w:br w:type="page"/>
      </w:r>
      <w:r>
        <w:rPr>
          <w:color w:val="auto"/>
          <w:szCs w:val="21"/>
          <w:highlight w:val="none"/>
        </w:rPr>
        <w:t>2．法人或者其他组织的营业执照等证明文件、自然人的身份证明。即</w:t>
      </w:r>
      <w:r>
        <w:rPr>
          <w:rFonts w:hint="eastAsia"/>
          <w:color w:val="auto"/>
          <w:szCs w:val="21"/>
          <w:highlight w:val="none"/>
          <w:lang w:eastAsia="zh-CN"/>
        </w:rPr>
        <w:t>投标人</w:t>
      </w:r>
      <w:r>
        <w:rPr>
          <w:color w:val="auto"/>
          <w:szCs w:val="21"/>
          <w:highlight w:val="none"/>
        </w:rPr>
        <w:t>是企业则提供营业执照（副本）复印件；</w:t>
      </w:r>
      <w:r>
        <w:rPr>
          <w:rFonts w:hint="eastAsia"/>
          <w:color w:val="auto"/>
          <w:szCs w:val="21"/>
          <w:highlight w:val="none"/>
          <w:lang w:eastAsia="zh-CN"/>
        </w:rPr>
        <w:t>投标人</w:t>
      </w:r>
      <w:r>
        <w:rPr>
          <w:color w:val="auto"/>
          <w:szCs w:val="21"/>
          <w:highlight w:val="none"/>
        </w:rPr>
        <w:t>是事业单位，则提供事业单位法人证书（副本）复印件；</w:t>
      </w:r>
      <w:r>
        <w:rPr>
          <w:rFonts w:hint="eastAsia"/>
          <w:color w:val="auto"/>
          <w:szCs w:val="21"/>
          <w:highlight w:val="none"/>
          <w:lang w:eastAsia="zh-CN"/>
        </w:rPr>
        <w:t>投标人</w:t>
      </w:r>
      <w:r>
        <w:rPr>
          <w:color w:val="auto"/>
          <w:szCs w:val="21"/>
          <w:highlight w:val="none"/>
        </w:rPr>
        <w:t>是非企业专业服务机构的，则提供执业许可证等证明文件复印件；</w:t>
      </w:r>
      <w:r>
        <w:rPr>
          <w:rFonts w:hint="eastAsia"/>
          <w:color w:val="auto"/>
          <w:szCs w:val="21"/>
          <w:highlight w:val="none"/>
          <w:lang w:eastAsia="zh-CN"/>
        </w:rPr>
        <w:t>投标人</w:t>
      </w:r>
      <w:r>
        <w:rPr>
          <w:color w:val="auto"/>
          <w:szCs w:val="21"/>
          <w:highlight w:val="none"/>
        </w:rPr>
        <w:t>是个体工商户，则提供个体工商户营业执照复印件；</w:t>
      </w:r>
      <w:r>
        <w:rPr>
          <w:rFonts w:hint="eastAsia"/>
          <w:color w:val="auto"/>
          <w:szCs w:val="21"/>
          <w:highlight w:val="none"/>
          <w:lang w:eastAsia="zh-CN"/>
        </w:rPr>
        <w:t>投标人</w:t>
      </w:r>
      <w:r>
        <w:rPr>
          <w:color w:val="auto"/>
          <w:szCs w:val="21"/>
          <w:highlight w:val="none"/>
        </w:rPr>
        <w:t>是自然人，则提供有效的自然人身份证明复印件；如</w:t>
      </w:r>
      <w:r>
        <w:rPr>
          <w:rFonts w:hint="eastAsia"/>
          <w:color w:val="auto"/>
          <w:szCs w:val="21"/>
          <w:highlight w:val="none"/>
          <w:lang w:eastAsia="zh-CN"/>
        </w:rPr>
        <w:t>投标人</w:t>
      </w:r>
      <w:r>
        <w:rPr>
          <w:color w:val="auto"/>
          <w:szCs w:val="21"/>
          <w:highlight w:val="none"/>
        </w:rPr>
        <w:t>不是以上所列的法人、组织、自然人的，则提供国家规定的相关证明材料。（加盖</w:t>
      </w:r>
      <w:r>
        <w:rPr>
          <w:rFonts w:hint="eastAsia"/>
          <w:color w:val="auto"/>
          <w:szCs w:val="21"/>
          <w:highlight w:val="none"/>
          <w:lang w:eastAsia="zh-CN"/>
        </w:rPr>
        <w:t>投标人</w:t>
      </w:r>
      <w:r>
        <w:rPr>
          <w:rFonts w:hint="eastAsia"/>
          <w:color w:val="auto"/>
          <w:szCs w:val="21"/>
          <w:highlight w:val="none"/>
        </w:rPr>
        <w:t>电子签章</w:t>
      </w:r>
      <w:r>
        <w:rPr>
          <w:color w:val="auto"/>
          <w:szCs w:val="21"/>
          <w:highlight w:val="none"/>
        </w:rPr>
        <w:t>）。</w:t>
      </w:r>
    </w:p>
    <w:p w14:paraId="06A1EA53">
      <w:pPr>
        <w:snapToGrid w:val="0"/>
        <w:spacing w:before="120" w:beforeLines="50" w:after="50" w:line="440" w:lineRule="exact"/>
        <w:rPr>
          <w:color w:val="auto"/>
          <w:sz w:val="18"/>
          <w:szCs w:val="18"/>
          <w:highlight w:val="none"/>
        </w:rPr>
      </w:pPr>
    </w:p>
    <w:p w14:paraId="67CAEEF8">
      <w:pPr>
        <w:snapToGrid w:val="0"/>
        <w:spacing w:before="120" w:beforeLines="50" w:after="50" w:line="440" w:lineRule="exact"/>
        <w:rPr>
          <w:b/>
          <w:color w:val="auto"/>
          <w:szCs w:val="21"/>
          <w:highlight w:val="none"/>
        </w:rPr>
      </w:pPr>
      <w:bookmarkStart w:id="178" w:name="_Hlk19114230"/>
      <w:r>
        <w:rPr>
          <w:color w:val="auto"/>
          <w:szCs w:val="21"/>
          <w:highlight w:val="none"/>
        </w:rPr>
        <w:t>3．财务状况报告（表）复印件或银行出具的资信证明复印件。</w:t>
      </w:r>
      <w:r>
        <w:rPr>
          <w:color w:val="auto"/>
          <w:highlight w:val="none"/>
        </w:rPr>
        <w:t>对于从取得营业执照时间起到开标时间为止不足1年的</w:t>
      </w:r>
      <w:r>
        <w:rPr>
          <w:rFonts w:hint="eastAsia"/>
          <w:color w:val="auto"/>
          <w:highlight w:val="none"/>
          <w:lang w:eastAsia="zh-CN"/>
        </w:rPr>
        <w:t>投标人</w:t>
      </w:r>
      <w:r>
        <w:rPr>
          <w:color w:val="auto"/>
          <w:highlight w:val="none"/>
        </w:rPr>
        <w:t>，只需提交</w:t>
      </w:r>
      <w:r>
        <w:rPr>
          <w:color w:val="auto"/>
          <w:szCs w:val="21"/>
          <w:highlight w:val="none"/>
        </w:rPr>
        <w:t>开标时间前一个月的财务状况报告（表）复印件。（按“评审方法及标准” “资格审查表”规定提供）。（加盖</w:t>
      </w:r>
      <w:r>
        <w:rPr>
          <w:rFonts w:hint="eastAsia"/>
          <w:color w:val="auto"/>
          <w:szCs w:val="21"/>
          <w:highlight w:val="none"/>
          <w:lang w:eastAsia="zh-CN"/>
        </w:rPr>
        <w:t>投标人</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4DC4134C">
      <w:pPr>
        <w:snapToGrid w:val="0"/>
        <w:spacing w:before="120" w:beforeLines="50" w:after="50" w:line="440" w:lineRule="exact"/>
        <w:rPr>
          <w:color w:val="auto"/>
          <w:szCs w:val="21"/>
          <w:highlight w:val="none"/>
        </w:rPr>
      </w:pPr>
    </w:p>
    <w:bookmarkEnd w:id="178"/>
    <w:p w14:paraId="58C3A967">
      <w:pPr>
        <w:snapToGrid w:val="0"/>
        <w:spacing w:before="120" w:beforeLines="50" w:after="50" w:line="440" w:lineRule="exact"/>
        <w:rPr>
          <w:color w:val="auto"/>
          <w:highlight w:val="none"/>
        </w:rPr>
      </w:pPr>
      <w:r>
        <w:rPr>
          <w:color w:val="auto"/>
          <w:highlight w:val="none"/>
        </w:rPr>
        <w:t>4．依法缴纳税费证明和社会保险缴纳证明材料</w:t>
      </w:r>
      <w:r>
        <w:rPr>
          <w:rFonts w:hint="eastAsia"/>
          <w:color w:val="auto"/>
          <w:highlight w:val="none"/>
        </w:rPr>
        <w:t>。</w:t>
      </w:r>
      <w:r>
        <w:rPr>
          <w:rFonts w:hint="eastAsia"/>
          <w:color w:val="auto"/>
          <w:highlight w:val="none"/>
          <w:lang w:eastAsia="zh-CN"/>
        </w:rPr>
        <w:t>投标人</w:t>
      </w:r>
      <w:r>
        <w:rPr>
          <w:color w:val="auto"/>
          <w:highlight w:val="none"/>
        </w:rPr>
        <w:t>成立不足</w:t>
      </w:r>
      <w:r>
        <w:rPr>
          <w:rFonts w:hint="eastAsia"/>
          <w:color w:val="auto"/>
          <w:highlight w:val="none"/>
        </w:rPr>
        <w:t>1个月的，无须提供</w:t>
      </w:r>
      <w:r>
        <w:rPr>
          <w:color w:val="auto"/>
          <w:highlight w:val="none"/>
        </w:rPr>
        <w:t>缴纳税费证明及社保缴费证明</w:t>
      </w:r>
      <w:r>
        <w:rPr>
          <w:rFonts w:hint="eastAsia"/>
          <w:color w:val="auto"/>
          <w:highlight w:val="none"/>
        </w:rPr>
        <w:t>。</w:t>
      </w:r>
      <w:r>
        <w:rPr>
          <w:color w:val="auto"/>
          <w:highlight w:val="none"/>
        </w:rPr>
        <w:t>依法免税或不需要缴纳社会保障资金的</w:t>
      </w:r>
      <w:r>
        <w:rPr>
          <w:rFonts w:hint="eastAsia"/>
          <w:color w:val="auto"/>
          <w:highlight w:val="none"/>
          <w:lang w:eastAsia="zh-CN"/>
        </w:rPr>
        <w:t>投标人</w:t>
      </w:r>
      <w:r>
        <w:rPr>
          <w:color w:val="auto"/>
          <w:highlight w:val="none"/>
        </w:rPr>
        <w:t>，须提供相应文件证明其依法免税或不需要缴纳社会保障资金。</w:t>
      </w:r>
      <w:r>
        <w:rPr>
          <w:color w:val="auto"/>
          <w:szCs w:val="21"/>
          <w:highlight w:val="none"/>
        </w:rPr>
        <w:t>（按“评审方法及标准” “资格审查表”规定提供）（加盖</w:t>
      </w:r>
      <w:r>
        <w:rPr>
          <w:rFonts w:hint="eastAsia"/>
          <w:color w:val="auto"/>
          <w:szCs w:val="21"/>
          <w:highlight w:val="none"/>
          <w:lang w:eastAsia="zh-CN"/>
        </w:rPr>
        <w:t>投标人</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4AE4355B">
      <w:pPr>
        <w:snapToGrid w:val="0"/>
        <w:spacing w:before="120" w:beforeLines="50" w:after="50" w:line="440" w:lineRule="exact"/>
        <w:rPr>
          <w:color w:val="auto"/>
          <w:szCs w:val="21"/>
          <w:highlight w:val="none"/>
        </w:rPr>
      </w:pPr>
    </w:p>
    <w:p w14:paraId="28B03779">
      <w:pPr>
        <w:snapToGrid w:val="0"/>
        <w:spacing w:before="50" w:after="120" w:afterLines="50" w:line="440" w:lineRule="exact"/>
        <w:jc w:val="left"/>
        <w:rPr>
          <w:color w:val="auto"/>
          <w:highlight w:val="none"/>
        </w:rPr>
      </w:pPr>
    </w:p>
    <w:p w14:paraId="53E8E6F3">
      <w:pPr>
        <w:snapToGrid w:val="0"/>
        <w:spacing w:before="50" w:after="120" w:afterLines="50" w:line="440" w:lineRule="exact"/>
        <w:jc w:val="left"/>
        <w:rPr>
          <w:b/>
          <w:color w:val="auto"/>
          <w:szCs w:val="21"/>
          <w:highlight w:val="none"/>
        </w:rPr>
      </w:pPr>
      <w:bookmarkStart w:id="179" w:name="_Hlk19114283"/>
      <w:r>
        <w:rPr>
          <w:color w:val="auto"/>
          <w:szCs w:val="21"/>
          <w:highlight w:val="none"/>
        </w:rPr>
        <w:t>5．具备法律、行政法规规定的其他要求的证明材料</w:t>
      </w:r>
      <w:r>
        <w:rPr>
          <w:color w:val="auto"/>
          <w:highlight w:val="none"/>
        </w:rPr>
        <w:t>（</w:t>
      </w:r>
      <w:r>
        <w:rPr>
          <w:color w:val="auto"/>
          <w:szCs w:val="21"/>
          <w:highlight w:val="none"/>
        </w:rPr>
        <w:t>按“评审方法及标准” “资格审查表”规定提供</w:t>
      </w:r>
      <w:r>
        <w:rPr>
          <w:color w:val="auto"/>
          <w:highlight w:val="none"/>
        </w:rPr>
        <w:t>）。</w:t>
      </w:r>
      <w:bookmarkStart w:id="180" w:name="_Hlk48144477"/>
      <w:r>
        <w:rPr>
          <w:rFonts w:hint="eastAsia"/>
          <w:b/>
          <w:color w:val="auto"/>
          <w:szCs w:val="21"/>
          <w:highlight w:val="none"/>
        </w:rPr>
        <w:t>（如招标文件有要求时提供）</w:t>
      </w:r>
      <w:bookmarkEnd w:id="180"/>
    </w:p>
    <w:p w14:paraId="5DCBCAC0">
      <w:pPr>
        <w:widowControl/>
        <w:jc w:val="left"/>
        <w:rPr>
          <w:b/>
          <w:color w:val="auto"/>
          <w:szCs w:val="21"/>
          <w:highlight w:val="none"/>
        </w:rPr>
      </w:pPr>
    </w:p>
    <w:p w14:paraId="61A2C7A4">
      <w:pPr>
        <w:widowControl/>
        <w:jc w:val="left"/>
        <w:rPr>
          <w:b/>
          <w:color w:val="auto"/>
          <w:szCs w:val="21"/>
          <w:highlight w:val="none"/>
        </w:rPr>
      </w:pPr>
    </w:p>
    <w:p w14:paraId="6096614C">
      <w:pPr>
        <w:snapToGrid w:val="0"/>
        <w:spacing w:before="50" w:after="120" w:afterLines="50" w:line="440" w:lineRule="exact"/>
        <w:jc w:val="left"/>
        <w:rPr>
          <w:b/>
          <w:color w:val="auto"/>
          <w:szCs w:val="21"/>
          <w:highlight w:val="none"/>
        </w:rPr>
      </w:pPr>
      <w:bookmarkStart w:id="181" w:name="_Hlk132792497"/>
      <w:r>
        <w:rPr>
          <w:color w:val="auto"/>
          <w:szCs w:val="21"/>
          <w:highlight w:val="none"/>
        </w:rPr>
        <w:t>6．</w:t>
      </w:r>
      <w:r>
        <w:rPr>
          <w:rFonts w:hint="eastAsia"/>
          <w:color w:val="auto"/>
          <w:highlight w:val="none"/>
        </w:rPr>
        <w:t>落实政府采购政策需满足的资格要求</w:t>
      </w:r>
      <w:r>
        <w:rPr>
          <w:color w:val="auto"/>
          <w:highlight w:val="none"/>
        </w:rPr>
        <w:t>（</w:t>
      </w:r>
      <w:r>
        <w:rPr>
          <w:color w:val="auto"/>
          <w:szCs w:val="21"/>
          <w:highlight w:val="none"/>
        </w:rPr>
        <w:t>按“评审方法及标准” “资格审查表”规定提供</w:t>
      </w:r>
      <w:r>
        <w:rPr>
          <w:color w:val="auto"/>
          <w:highlight w:val="none"/>
        </w:rPr>
        <w:t>）。</w:t>
      </w:r>
      <w:r>
        <w:rPr>
          <w:rFonts w:hint="eastAsia"/>
          <w:b/>
          <w:color w:val="auto"/>
          <w:szCs w:val="21"/>
          <w:highlight w:val="none"/>
        </w:rPr>
        <w:t>（如招标文件有要求时提供）</w:t>
      </w:r>
    </w:p>
    <w:bookmarkEnd w:id="181"/>
    <w:p w14:paraId="42546C38">
      <w:pPr>
        <w:widowControl/>
        <w:jc w:val="left"/>
        <w:rPr>
          <w:b/>
          <w:color w:val="auto"/>
          <w:szCs w:val="21"/>
          <w:highlight w:val="none"/>
        </w:rPr>
      </w:pPr>
      <w:r>
        <w:rPr>
          <w:b/>
          <w:color w:val="auto"/>
          <w:szCs w:val="21"/>
          <w:highlight w:val="none"/>
        </w:rPr>
        <w:br w:type="page"/>
      </w:r>
      <w:bookmarkStart w:id="182" w:name="_Hlk132792727"/>
    </w:p>
    <w:bookmarkEnd w:id="182"/>
    <w:p w14:paraId="6D4DFC47">
      <w:pPr>
        <w:snapToGrid w:val="0"/>
        <w:spacing w:before="50" w:after="120" w:afterLines="50" w:line="440" w:lineRule="exact"/>
        <w:jc w:val="left"/>
        <w:rPr>
          <w:b/>
          <w:color w:val="auto"/>
          <w:szCs w:val="21"/>
          <w:highlight w:val="none"/>
        </w:rPr>
      </w:pPr>
      <w:r>
        <w:rPr>
          <w:color w:val="auto"/>
          <w:szCs w:val="21"/>
          <w:highlight w:val="none"/>
        </w:rPr>
        <w:t>7．</w:t>
      </w:r>
      <w:r>
        <w:rPr>
          <w:color w:val="auto"/>
          <w:highlight w:val="none"/>
        </w:rPr>
        <w:t>满足</w:t>
      </w:r>
      <w:r>
        <w:rPr>
          <w:rFonts w:hint="eastAsia"/>
          <w:color w:val="auto"/>
          <w:highlight w:val="none"/>
          <w:lang w:eastAsia="zh-CN"/>
        </w:rPr>
        <w:t>投标人</w:t>
      </w:r>
      <w:r>
        <w:rPr>
          <w:color w:val="auto"/>
          <w:highlight w:val="none"/>
        </w:rPr>
        <w:t>特定资格条件的其他证明材料</w:t>
      </w:r>
      <w:r>
        <w:rPr>
          <w:color w:val="auto"/>
          <w:szCs w:val="21"/>
          <w:highlight w:val="none"/>
        </w:rPr>
        <w:t>加盖</w:t>
      </w:r>
      <w:r>
        <w:rPr>
          <w:rFonts w:hint="eastAsia"/>
          <w:color w:val="auto"/>
          <w:szCs w:val="21"/>
          <w:highlight w:val="none"/>
          <w:lang w:eastAsia="zh-CN"/>
        </w:rPr>
        <w:t>投标人</w:t>
      </w:r>
      <w:r>
        <w:rPr>
          <w:rFonts w:hint="eastAsia"/>
          <w:color w:val="auto"/>
          <w:szCs w:val="21"/>
          <w:highlight w:val="none"/>
        </w:rPr>
        <w:t>电子签章</w:t>
      </w:r>
      <w:r>
        <w:rPr>
          <w:color w:val="auto"/>
          <w:highlight w:val="none"/>
        </w:rPr>
        <w:t>（</w:t>
      </w:r>
      <w:r>
        <w:rPr>
          <w:color w:val="auto"/>
          <w:szCs w:val="21"/>
          <w:highlight w:val="none"/>
        </w:rPr>
        <w:t>按“评审方法及标准” “资格审查表”“</w:t>
      </w:r>
      <w:r>
        <w:rPr>
          <w:color w:val="auto"/>
          <w:szCs w:val="21"/>
          <w:highlight w:val="none"/>
          <w:lang w:val="zh-CN"/>
        </w:rPr>
        <w:t xml:space="preserve"> </w:t>
      </w:r>
      <w:r>
        <w:rPr>
          <w:rFonts w:hint="eastAsia"/>
          <w:color w:val="auto"/>
          <w:szCs w:val="21"/>
          <w:highlight w:val="none"/>
          <w:lang w:val="zh-CN"/>
        </w:rPr>
        <w:t>投标人</w:t>
      </w:r>
      <w:r>
        <w:rPr>
          <w:color w:val="auto"/>
          <w:szCs w:val="21"/>
          <w:highlight w:val="none"/>
          <w:lang w:val="zh-CN"/>
        </w:rPr>
        <w:t>应符合的</w:t>
      </w:r>
      <w:r>
        <w:rPr>
          <w:color w:val="auto"/>
          <w:szCs w:val="21"/>
          <w:highlight w:val="none"/>
        </w:rPr>
        <w:t>特定资格条件”规定提供</w:t>
      </w:r>
      <w:r>
        <w:rPr>
          <w:color w:val="auto"/>
          <w:highlight w:val="none"/>
        </w:rPr>
        <w:t>）。</w:t>
      </w:r>
      <w:r>
        <w:rPr>
          <w:rFonts w:hint="eastAsia"/>
          <w:b/>
          <w:color w:val="auto"/>
          <w:szCs w:val="21"/>
          <w:highlight w:val="none"/>
        </w:rPr>
        <w:t>（如招标文件有要求时提供）</w:t>
      </w:r>
    </w:p>
    <w:p w14:paraId="272C9CE5">
      <w:pPr>
        <w:snapToGrid w:val="0"/>
        <w:spacing w:before="50" w:after="120" w:afterLines="50" w:line="440" w:lineRule="exact"/>
        <w:jc w:val="left"/>
        <w:rPr>
          <w:color w:val="auto"/>
          <w:highlight w:val="none"/>
        </w:rPr>
      </w:pPr>
    </w:p>
    <w:p w14:paraId="40536B95">
      <w:pPr>
        <w:widowControl/>
        <w:jc w:val="left"/>
        <w:rPr>
          <w:color w:val="auto"/>
          <w:highlight w:val="none"/>
        </w:rPr>
      </w:pPr>
      <w:r>
        <w:rPr>
          <w:color w:val="auto"/>
          <w:highlight w:val="none"/>
        </w:rPr>
        <w:br w:type="page"/>
      </w:r>
    </w:p>
    <w:p w14:paraId="51331710">
      <w:pPr>
        <w:snapToGrid w:val="0"/>
        <w:spacing w:before="50" w:after="120" w:afterLines="50" w:line="360" w:lineRule="auto"/>
        <w:jc w:val="left"/>
        <w:rPr>
          <w:color w:val="auto"/>
          <w:szCs w:val="21"/>
          <w:highlight w:val="none"/>
        </w:rPr>
      </w:pPr>
      <w:bookmarkStart w:id="183" w:name="_Hlk93048232"/>
      <w:r>
        <w:rPr>
          <w:color w:val="auto"/>
          <w:szCs w:val="21"/>
          <w:highlight w:val="none"/>
        </w:rPr>
        <w:t>7.1</w:t>
      </w:r>
      <w:r>
        <w:rPr>
          <w:rFonts w:hint="eastAsia"/>
          <w:color w:val="auto"/>
          <w:szCs w:val="21"/>
          <w:highlight w:val="none"/>
        </w:rPr>
        <w:t>投标人直接控股股东信息表</w:t>
      </w:r>
    </w:p>
    <w:tbl>
      <w:tblPr>
        <w:tblStyle w:val="51"/>
        <w:tblW w:w="0" w:type="auto"/>
        <w:tblInd w:w="0" w:type="dxa"/>
        <w:tblLayout w:type="fixed"/>
        <w:tblCellMar>
          <w:top w:w="0" w:type="dxa"/>
          <w:left w:w="0" w:type="dxa"/>
          <w:bottom w:w="0" w:type="dxa"/>
          <w:right w:w="0" w:type="dxa"/>
        </w:tblCellMar>
      </w:tblPr>
      <w:tblGrid>
        <w:gridCol w:w="828"/>
        <w:gridCol w:w="2269"/>
        <w:gridCol w:w="1239"/>
        <w:gridCol w:w="3722"/>
        <w:gridCol w:w="1418"/>
      </w:tblGrid>
      <w:tr w14:paraId="2F928DA6">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ECAAEAA">
            <w:pPr>
              <w:spacing w:line="360" w:lineRule="auto"/>
              <w:jc w:val="center"/>
              <w:rPr>
                <w:color w:val="auto"/>
                <w:szCs w:val="21"/>
                <w:highlight w:val="none"/>
              </w:rPr>
            </w:pPr>
            <w:r>
              <w:rPr>
                <w:rFonts w:hint="eastAsia"/>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B366077">
            <w:pPr>
              <w:spacing w:line="360" w:lineRule="auto"/>
              <w:jc w:val="center"/>
              <w:rPr>
                <w:color w:val="auto"/>
                <w:szCs w:val="21"/>
                <w:highlight w:val="none"/>
              </w:rPr>
            </w:pPr>
            <w:r>
              <w:rPr>
                <w:rFonts w:hint="eastAsia"/>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8F3F66D">
            <w:pPr>
              <w:spacing w:line="360" w:lineRule="auto"/>
              <w:jc w:val="center"/>
              <w:rPr>
                <w:color w:val="auto"/>
                <w:szCs w:val="21"/>
                <w:highlight w:val="none"/>
              </w:rPr>
            </w:pPr>
            <w:r>
              <w:rPr>
                <w:rFonts w:hint="eastAsia"/>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E2CDE16">
            <w:pPr>
              <w:spacing w:line="360" w:lineRule="auto"/>
              <w:jc w:val="center"/>
              <w:rPr>
                <w:color w:val="auto"/>
                <w:szCs w:val="21"/>
                <w:highlight w:val="none"/>
              </w:rPr>
            </w:pPr>
            <w:r>
              <w:rPr>
                <w:rFonts w:hint="eastAsia"/>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186FCA8">
            <w:pPr>
              <w:spacing w:line="360" w:lineRule="auto"/>
              <w:jc w:val="center"/>
              <w:rPr>
                <w:color w:val="auto"/>
                <w:szCs w:val="21"/>
                <w:highlight w:val="none"/>
              </w:rPr>
            </w:pPr>
            <w:r>
              <w:rPr>
                <w:rFonts w:hint="eastAsia"/>
                <w:color w:val="auto"/>
                <w:szCs w:val="21"/>
                <w:highlight w:val="none"/>
              </w:rPr>
              <w:t>备注</w:t>
            </w:r>
          </w:p>
        </w:tc>
      </w:tr>
      <w:tr w14:paraId="4FDFD06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830DAB3">
            <w:pPr>
              <w:spacing w:line="360" w:lineRule="auto"/>
              <w:jc w:val="center"/>
              <w:rPr>
                <w:color w:val="auto"/>
                <w:szCs w:val="21"/>
                <w:highlight w:val="none"/>
              </w:rPr>
            </w:pPr>
            <w:r>
              <w:rPr>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3465A9C">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B5764AC">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9E1BC48">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C030474">
            <w:pPr>
              <w:spacing w:line="360" w:lineRule="auto"/>
              <w:jc w:val="center"/>
              <w:rPr>
                <w:color w:val="auto"/>
                <w:szCs w:val="21"/>
                <w:highlight w:val="none"/>
              </w:rPr>
            </w:pPr>
          </w:p>
        </w:tc>
      </w:tr>
      <w:tr w14:paraId="0A6ECF3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DC1C4DD">
            <w:pPr>
              <w:spacing w:line="360" w:lineRule="auto"/>
              <w:jc w:val="center"/>
              <w:rPr>
                <w:color w:val="auto"/>
                <w:szCs w:val="21"/>
                <w:highlight w:val="none"/>
              </w:rPr>
            </w:pPr>
            <w:r>
              <w:rPr>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78E0C86">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862793F">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18C876B">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B510060">
            <w:pPr>
              <w:spacing w:line="360" w:lineRule="auto"/>
              <w:jc w:val="center"/>
              <w:rPr>
                <w:color w:val="auto"/>
                <w:szCs w:val="21"/>
                <w:highlight w:val="none"/>
              </w:rPr>
            </w:pPr>
          </w:p>
        </w:tc>
      </w:tr>
      <w:tr w14:paraId="79B4EBB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A8E9548">
            <w:pPr>
              <w:spacing w:line="360" w:lineRule="auto"/>
              <w:jc w:val="center"/>
              <w:rPr>
                <w:color w:val="auto"/>
                <w:szCs w:val="21"/>
                <w:highlight w:val="none"/>
              </w:rPr>
            </w:pPr>
            <w:r>
              <w:rPr>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79BC6C2">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7CB6F58">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B0B7155">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F6DF420">
            <w:pPr>
              <w:spacing w:line="360" w:lineRule="auto"/>
              <w:jc w:val="center"/>
              <w:rPr>
                <w:color w:val="auto"/>
                <w:szCs w:val="21"/>
                <w:highlight w:val="none"/>
              </w:rPr>
            </w:pPr>
          </w:p>
        </w:tc>
      </w:tr>
      <w:tr w14:paraId="41149F1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F6DC5CE">
            <w:pPr>
              <w:spacing w:line="360" w:lineRule="auto"/>
              <w:jc w:val="center"/>
              <w:rPr>
                <w:color w:val="auto"/>
                <w:szCs w:val="21"/>
                <w:highlight w:val="none"/>
              </w:rPr>
            </w:pPr>
            <w:r>
              <w:rPr>
                <w:rFonts w:hint="eastAsia"/>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5F57736">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8962E35">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5006F24">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7548205">
            <w:pPr>
              <w:spacing w:line="360" w:lineRule="auto"/>
              <w:jc w:val="center"/>
              <w:rPr>
                <w:color w:val="auto"/>
                <w:szCs w:val="21"/>
                <w:highlight w:val="none"/>
              </w:rPr>
            </w:pPr>
          </w:p>
        </w:tc>
      </w:tr>
    </w:tbl>
    <w:p w14:paraId="119F512E">
      <w:pPr>
        <w:snapToGrid w:val="0"/>
        <w:spacing w:line="360" w:lineRule="auto"/>
        <w:jc w:val="left"/>
        <w:rPr>
          <w:color w:val="auto"/>
          <w:szCs w:val="21"/>
          <w:highlight w:val="none"/>
        </w:rPr>
      </w:pPr>
      <w:r>
        <w:rPr>
          <w:rFonts w:hint="eastAsia"/>
          <w:color w:val="auto"/>
          <w:szCs w:val="21"/>
          <w:highlight w:val="none"/>
        </w:rPr>
        <w:t>注：</w:t>
      </w:r>
    </w:p>
    <w:p w14:paraId="3F8353AE">
      <w:pPr>
        <w:snapToGrid w:val="0"/>
        <w:spacing w:line="360" w:lineRule="auto"/>
        <w:jc w:val="left"/>
        <w:rPr>
          <w:color w:val="auto"/>
          <w:szCs w:val="21"/>
          <w:highlight w:val="none"/>
        </w:rPr>
      </w:pPr>
      <w:r>
        <w:rPr>
          <w:color w:val="auto"/>
          <w:szCs w:val="21"/>
          <w:highlight w:val="none"/>
        </w:rPr>
        <w:t>1.</w:t>
      </w:r>
      <w:r>
        <w:rPr>
          <w:rFonts w:hint="eastAsia"/>
          <w:color w:val="auto"/>
          <w:szCs w:val="21"/>
          <w:highlight w:val="none"/>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6651AED">
      <w:pPr>
        <w:snapToGrid w:val="0"/>
        <w:spacing w:line="360" w:lineRule="auto"/>
        <w:jc w:val="left"/>
        <w:rPr>
          <w:color w:val="auto"/>
          <w:szCs w:val="21"/>
          <w:highlight w:val="none"/>
        </w:rPr>
      </w:pPr>
      <w:r>
        <w:rPr>
          <w:color w:val="auto"/>
          <w:szCs w:val="21"/>
          <w:highlight w:val="none"/>
        </w:rPr>
        <w:t>2.</w:t>
      </w:r>
      <w:r>
        <w:rPr>
          <w:rFonts w:hint="eastAsia"/>
          <w:color w:val="auto"/>
          <w:szCs w:val="21"/>
          <w:highlight w:val="none"/>
        </w:rPr>
        <w:t>本表所指的控股关系仅限于直接控股关系，不包括间接的控股关系。公司实际控制人与公司之间的关系不属于本表所指的直接控股关系。</w:t>
      </w:r>
    </w:p>
    <w:p w14:paraId="17DB1554">
      <w:pPr>
        <w:snapToGrid w:val="0"/>
        <w:spacing w:line="360" w:lineRule="auto"/>
        <w:jc w:val="left"/>
        <w:rPr>
          <w:color w:val="auto"/>
          <w:szCs w:val="21"/>
          <w:highlight w:val="none"/>
        </w:rPr>
      </w:pPr>
      <w:r>
        <w:rPr>
          <w:color w:val="auto"/>
          <w:szCs w:val="21"/>
          <w:highlight w:val="none"/>
        </w:rPr>
        <w:t>3.</w:t>
      </w:r>
      <w:r>
        <w:rPr>
          <w:rFonts w:hint="eastAsia"/>
          <w:color w:val="auto"/>
          <w:szCs w:val="21"/>
          <w:highlight w:val="none"/>
          <w:lang w:eastAsia="zh-CN"/>
        </w:rPr>
        <w:t>投标人</w:t>
      </w:r>
      <w:r>
        <w:rPr>
          <w:rFonts w:hint="eastAsia"/>
          <w:color w:val="auto"/>
          <w:szCs w:val="21"/>
          <w:highlight w:val="none"/>
        </w:rPr>
        <w:t>不存在直接控股股东的，则填“无”。</w:t>
      </w:r>
    </w:p>
    <w:p w14:paraId="7923D6ED">
      <w:pPr>
        <w:snapToGrid w:val="0"/>
        <w:spacing w:line="360" w:lineRule="auto"/>
        <w:jc w:val="left"/>
        <w:rPr>
          <w:color w:val="auto"/>
          <w:szCs w:val="21"/>
          <w:highlight w:val="none"/>
        </w:rPr>
      </w:pPr>
    </w:p>
    <w:p w14:paraId="5B390EA9">
      <w:pPr>
        <w:snapToGrid w:val="0"/>
        <w:spacing w:line="360" w:lineRule="auto"/>
        <w:jc w:val="left"/>
        <w:rPr>
          <w:color w:val="auto"/>
          <w:szCs w:val="21"/>
          <w:highlight w:val="none"/>
        </w:rPr>
      </w:pPr>
    </w:p>
    <w:p w14:paraId="725351FE">
      <w:pPr>
        <w:snapToGrid w:val="0"/>
        <w:spacing w:line="360" w:lineRule="auto"/>
        <w:jc w:val="left"/>
        <w:rPr>
          <w:color w:val="auto"/>
          <w:szCs w:val="21"/>
          <w:highlight w:val="none"/>
        </w:rPr>
      </w:pPr>
    </w:p>
    <w:p w14:paraId="30EAC81E">
      <w:pPr>
        <w:snapToGrid w:val="0"/>
        <w:spacing w:line="360" w:lineRule="auto"/>
        <w:jc w:val="left"/>
        <w:rPr>
          <w:color w:val="auto"/>
          <w:szCs w:val="21"/>
          <w:highlight w:val="none"/>
        </w:rPr>
      </w:pPr>
    </w:p>
    <w:p w14:paraId="7DFFEE27">
      <w:pPr>
        <w:snapToGrid w:val="0"/>
        <w:spacing w:line="360" w:lineRule="auto"/>
        <w:jc w:val="left"/>
        <w:rPr>
          <w:color w:val="auto"/>
          <w:szCs w:val="21"/>
          <w:highlight w:val="none"/>
        </w:rPr>
      </w:pPr>
    </w:p>
    <w:p w14:paraId="2E5C93C3">
      <w:pPr>
        <w:snapToGrid w:val="0"/>
        <w:spacing w:line="360" w:lineRule="auto"/>
        <w:ind w:firstLine="4410" w:firstLineChars="2100"/>
        <w:rPr>
          <w:color w:val="auto"/>
          <w:szCs w:val="21"/>
          <w:highlight w:val="none"/>
        </w:rPr>
      </w:pPr>
      <w:r>
        <w:rPr>
          <w:rFonts w:hint="eastAsia"/>
          <w:color w:val="auto"/>
          <w:szCs w:val="21"/>
          <w:highlight w:val="none"/>
          <w:lang w:eastAsia="zh-CN"/>
        </w:rPr>
        <w:t>投标人</w:t>
      </w:r>
      <w:r>
        <w:rPr>
          <w:rFonts w:hint="eastAsia"/>
          <w:color w:val="auto"/>
          <w:szCs w:val="21"/>
          <w:highlight w:val="none"/>
        </w:rPr>
        <w:t>名称</w:t>
      </w:r>
      <w:r>
        <w:rPr>
          <w:color w:val="auto"/>
          <w:szCs w:val="21"/>
          <w:highlight w:val="none"/>
        </w:rPr>
        <w:t>(</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3ABE64F8">
      <w:pPr>
        <w:snapToGrid w:val="0"/>
        <w:spacing w:line="360" w:lineRule="auto"/>
        <w:ind w:firstLine="4515" w:firstLineChars="2150"/>
        <w:rPr>
          <w:color w:val="auto"/>
          <w:szCs w:val="21"/>
          <w:highlight w:val="none"/>
        </w:rPr>
      </w:pPr>
      <w:r>
        <w:rPr>
          <w:rFonts w:hint="eastAsia"/>
          <w:color w:val="auto"/>
          <w:szCs w:val="21"/>
          <w:highlight w:val="none"/>
        </w:rPr>
        <w:t>日期：</w:t>
      </w:r>
      <w:r>
        <w:rPr>
          <w:color w:val="auto"/>
          <w:szCs w:val="21"/>
          <w:highlight w:val="none"/>
        </w:rPr>
        <w:t xml:space="preserve">  </w:t>
      </w:r>
      <w:r>
        <w:rPr>
          <w:rFonts w:hint="eastAsia"/>
          <w:color w:val="auto"/>
          <w:szCs w:val="21"/>
          <w:highlight w:val="none"/>
        </w:rPr>
        <w:t>年</w:t>
      </w:r>
      <w:r>
        <w:rPr>
          <w:color w:val="auto"/>
          <w:szCs w:val="21"/>
          <w:highlight w:val="none"/>
        </w:rPr>
        <w:t xml:space="preserve">  </w:t>
      </w:r>
      <w:r>
        <w:rPr>
          <w:rFonts w:hint="eastAsia"/>
          <w:color w:val="auto"/>
          <w:szCs w:val="21"/>
          <w:highlight w:val="none"/>
        </w:rPr>
        <w:t>月</w:t>
      </w:r>
      <w:r>
        <w:rPr>
          <w:color w:val="auto"/>
          <w:szCs w:val="21"/>
          <w:highlight w:val="none"/>
        </w:rPr>
        <w:t xml:space="preserve">   </w:t>
      </w:r>
      <w:r>
        <w:rPr>
          <w:rFonts w:hint="eastAsia"/>
          <w:color w:val="auto"/>
          <w:szCs w:val="21"/>
          <w:highlight w:val="none"/>
        </w:rPr>
        <w:t>日</w:t>
      </w:r>
    </w:p>
    <w:p w14:paraId="639802CF">
      <w:pPr>
        <w:snapToGrid w:val="0"/>
        <w:jc w:val="center"/>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6F98EBBF">
      <w:pPr>
        <w:snapToGrid w:val="0"/>
        <w:spacing w:line="360" w:lineRule="auto"/>
        <w:jc w:val="left"/>
        <w:rPr>
          <w:color w:val="auto"/>
          <w:szCs w:val="21"/>
          <w:highlight w:val="none"/>
        </w:rPr>
      </w:pPr>
      <w:r>
        <w:rPr>
          <w:color w:val="auto"/>
          <w:szCs w:val="21"/>
          <w:highlight w:val="none"/>
        </w:rPr>
        <w:t>7.2</w:t>
      </w:r>
      <w:r>
        <w:rPr>
          <w:rFonts w:hint="eastAsia"/>
          <w:color w:val="auto"/>
          <w:szCs w:val="21"/>
          <w:highlight w:val="none"/>
        </w:rPr>
        <w:t>投标人直接管理关系信息表</w:t>
      </w:r>
    </w:p>
    <w:tbl>
      <w:tblPr>
        <w:tblStyle w:val="51"/>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68E75086">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C44DFD">
            <w:pPr>
              <w:spacing w:line="360" w:lineRule="auto"/>
              <w:jc w:val="center"/>
              <w:rPr>
                <w:color w:val="auto"/>
                <w:szCs w:val="21"/>
                <w:highlight w:val="none"/>
              </w:rPr>
            </w:pPr>
            <w:r>
              <w:rPr>
                <w:rFonts w:hint="eastAsia"/>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D76E91">
            <w:pPr>
              <w:spacing w:line="360" w:lineRule="auto"/>
              <w:jc w:val="center"/>
              <w:rPr>
                <w:color w:val="auto"/>
                <w:szCs w:val="21"/>
                <w:highlight w:val="none"/>
              </w:rPr>
            </w:pPr>
            <w:r>
              <w:rPr>
                <w:rFonts w:hint="eastAsia"/>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33C3C2">
            <w:pPr>
              <w:spacing w:line="360" w:lineRule="auto"/>
              <w:jc w:val="center"/>
              <w:rPr>
                <w:color w:val="auto"/>
                <w:szCs w:val="21"/>
                <w:highlight w:val="none"/>
              </w:rPr>
            </w:pPr>
            <w:r>
              <w:rPr>
                <w:rFonts w:hint="eastAsia"/>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DB6699">
            <w:pPr>
              <w:spacing w:line="360" w:lineRule="auto"/>
              <w:jc w:val="center"/>
              <w:rPr>
                <w:color w:val="auto"/>
                <w:szCs w:val="21"/>
                <w:highlight w:val="none"/>
              </w:rPr>
            </w:pPr>
            <w:r>
              <w:rPr>
                <w:rFonts w:hint="eastAsia"/>
                <w:color w:val="auto"/>
                <w:szCs w:val="21"/>
                <w:highlight w:val="none"/>
              </w:rPr>
              <w:t>备注</w:t>
            </w:r>
          </w:p>
        </w:tc>
      </w:tr>
      <w:tr w14:paraId="6B7F6EAB">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3A62EB">
            <w:pPr>
              <w:spacing w:line="360" w:lineRule="auto"/>
              <w:jc w:val="center"/>
              <w:rPr>
                <w:color w:val="auto"/>
                <w:szCs w:val="21"/>
                <w:highlight w:val="none"/>
              </w:rPr>
            </w:pPr>
            <w:r>
              <w:rPr>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B0386F">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54CF68">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4CE129">
            <w:pPr>
              <w:spacing w:line="360" w:lineRule="auto"/>
              <w:jc w:val="center"/>
              <w:rPr>
                <w:color w:val="auto"/>
                <w:szCs w:val="21"/>
                <w:highlight w:val="none"/>
              </w:rPr>
            </w:pPr>
          </w:p>
        </w:tc>
      </w:tr>
      <w:tr w14:paraId="59CBF86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6EBC96">
            <w:pPr>
              <w:spacing w:line="360" w:lineRule="auto"/>
              <w:jc w:val="center"/>
              <w:rPr>
                <w:color w:val="auto"/>
                <w:szCs w:val="21"/>
                <w:highlight w:val="none"/>
              </w:rPr>
            </w:pPr>
            <w:r>
              <w:rPr>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49CD56">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85AB03">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7BD066">
            <w:pPr>
              <w:spacing w:line="360" w:lineRule="auto"/>
              <w:jc w:val="center"/>
              <w:rPr>
                <w:color w:val="auto"/>
                <w:szCs w:val="21"/>
                <w:highlight w:val="none"/>
              </w:rPr>
            </w:pPr>
          </w:p>
        </w:tc>
      </w:tr>
      <w:tr w14:paraId="1DBE752B">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759522">
            <w:pPr>
              <w:spacing w:line="360" w:lineRule="auto"/>
              <w:jc w:val="center"/>
              <w:rPr>
                <w:color w:val="auto"/>
                <w:szCs w:val="21"/>
                <w:highlight w:val="none"/>
              </w:rPr>
            </w:pPr>
            <w:r>
              <w:rPr>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21B6E3">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DA9A38">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41AC9D">
            <w:pPr>
              <w:spacing w:line="360" w:lineRule="auto"/>
              <w:jc w:val="center"/>
              <w:rPr>
                <w:color w:val="auto"/>
                <w:szCs w:val="21"/>
                <w:highlight w:val="none"/>
              </w:rPr>
            </w:pPr>
          </w:p>
        </w:tc>
      </w:tr>
      <w:tr w14:paraId="0E7A1B44">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2971B8">
            <w:pPr>
              <w:spacing w:line="360" w:lineRule="auto"/>
              <w:jc w:val="center"/>
              <w:rPr>
                <w:color w:val="auto"/>
                <w:szCs w:val="21"/>
                <w:highlight w:val="none"/>
              </w:rPr>
            </w:pPr>
            <w:r>
              <w:rPr>
                <w:rFonts w:hint="eastAsia"/>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4D8250">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9428B4">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EEA38E">
            <w:pPr>
              <w:spacing w:line="360" w:lineRule="auto"/>
              <w:jc w:val="center"/>
              <w:rPr>
                <w:color w:val="auto"/>
                <w:szCs w:val="21"/>
                <w:highlight w:val="none"/>
              </w:rPr>
            </w:pPr>
          </w:p>
        </w:tc>
      </w:tr>
    </w:tbl>
    <w:p w14:paraId="259EC082">
      <w:pPr>
        <w:snapToGrid w:val="0"/>
        <w:spacing w:line="360" w:lineRule="auto"/>
        <w:jc w:val="left"/>
        <w:rPr>
          <w:color w:val="auto"/>
          <w:szCs w:val="21"/>
          <w:highlight w:val="none"/>
        </w:rPr>
      </w:pPr>
      <w:r>
        <w:rPr>
          <w:rFonts w:hint="eastAsia"/>
          <w:color w:val="auto"/>
          <w:szCs w:val="21"/>
          <w:highlight w:val="none"/>
        </w:rPr>
        <w:t>注：</w:t>
      </w:r>
    </w:p>
    <w:p w14:paraId="03A54E8E">
      <w:pPr>
        <w:snapToGrid w:val="0"/>
        <w:spacing w:line="360" w:lineRule="auto"/>
        <w:ind w:firstLine="420" w:firstLineChars="200"/>
        <w:jc w:val="left"/>
        <w:rPr>
          <w:color w:val="auto"/>
          <w:szCs w:val="21"/>
          <w:highlight w:val="none"/>
        </w:rPr>
      </w:pPr>
      <w:r>
        <w:rPr>
          <w:color w:val="auto"/>
          <w:szCs w:val="21"/>
          <w:highlight w:val="none"/>
        </w:rPr>
        <w:t>1.</w:t>
      </w:r>
      <w:r>
        <w:rPr>
          <w:rFonts w:hint="eastAsia"/>
          <w:color w:val="auto"/>
          <w:szCs w:val="21"/>
          <w:highlight w:val="none"/>
        </w:rPr>
        <w:t>管理关系：是指不具有出资持股关系的其他单位之间存在的管理与被管理关系，如一些上下级关系的事业单位和团体组织。</w:t>
      </w:r>
    </w:p>
    <w:p w14:paraId="79E5D557">
      <w:pPr>
        <w:snapToGrid w:val="0"/>
        <w:spacing w:line="360" w:lineRule="auto"/>
        <w:ind w:firstLine="420" w:firstLineChars="200"/>
        <w:jc w:val="left"/>
        <w:rPr>
          <w:color w:val="auto"/>
          <w:szCs w:val="21"/>
          <w:highlight w:val="none"/>
        </w:rPr>
      </w:pPr>
      <w:r>
        <w:rPr>
          <w:color w:val="auto"/>
          <w:szCs w:val="21"/>
          <w:highlight w:val="none"/>
        </w:rPr>
        <w:t>2.</w:t>
      </w:r>
      <w:r>
        <w:rPr>
          <w:rFonts w:hint="eastAsia"/>
          <w:color w:val="auto"/>
          <w:szCs w:val="21"/>
          <w:highlight w:val="none"/>
        </w:rPr>
        <w:t>本表所指的管理关系仅限于直接管理关系，不包括间接的管理关系。</w:t>
      </w:r>
    </w:p>
    <w:p w14:paraId="186A4BDC">
      <w:pPr>
        <w:snapToGrid w:val="0"/>
        <w:spacing w:line="360" w:lineRule="auto"/>
        <w:ind w:firstLine="420" w:firstLineChars="200"/>
        <w:jc w:val="left"/>
        <w:rPr>
          <w:color w:val="auto"/>
          <w:szCs w:val="21"/>
          <w:highlight w:val="none"/>
        </w:rPr>
      </w:pPr>
      <w:r>
        <w:rPr>
          <w:color w:val="auto"/>
          <w:szCs w:val="21"/>
          <w:highlight w:val="none"/>
        </w:rPr>
        <w:t>3.</w:t>
      </w:r>
      <w:r>
        <w:rPr>
          <w:rFonts w:hint="eastAsia"/>
          <w:color w:val="auto"/>
          <w:szCs w:val="21"/>
          <w:highlight w:val="none"/>
          <w:lang w:eastAsia="zh-CN"/>
        </w:rPr>
        <w:t>投标人</w:t>
      </w:r>
      <w:r>
        <w:rPr>
          <w:rFonts w:hint="eastAsia"/>
          <w:color w:val="auto"/>
          <w:szCs w:val="21"/>
          <w:highlight w:val="none"/>
        </w:rPr>
        <w:t>不存在直接管理关系的，则填“无”。</w:t>
      </w:r>
    </w:p>
    <w:p w14:paraId="172C7C1A">
      <w:pPr>
        <w:snapToGrid w:val="0"/>
        <w:spacing w:line="360" w:lineRule="auto"/>
        <w:jc w:val="left"/>
        <w:rPr>
          <w:color w:val="auto"/>
          <w:szCs w:val="21"/>
          <w:highlight w:val="none"/>
        </w:rPr>
      </w:pPr>
    </w:p>
    <w:p w14:paraId="4FE64B19">
      <w:pPr>
        <w:snapToGrid w:val="0"/>
        <w:spacing w:line="360" w:lineRule="auto"/>
        <w:jc w:val="left"/>
        <w:rPr>
          <w:color w:val="auto"/>
          <w:szCs w:val="21"/>
          <w:highlight w:val="none"/>
        </w:rPr>
      </w:pPr>
    </w:p>
    <w:p w14:paraId="3482B2C9">
      <w:pPr>
        <w:snapToGrid w:val="0"/>
        <w:spacing w:line="360" w:lineRule="auto"/>
        <w:jc w:val="left"/>
        <w:rPr>
          <w:color w:val="auto"/>
          <w:szCs w:val="21"/>
          <w:highlight w:val="none"/>
        </w:rPr>
      </w:pPr>
    </w:p>
    <w:p w14:paraId="230545C2">
      <w:pPr>
        <w:snapToGrid w:val="0"/>
        <w:spacing w:line="360" w:lineRule="auto"/>
        <w:jc w:val="left"/>
        <w:rPr>
          <w:color w:val="auto"/>
          <w:szCs w:val="21"/>
          <w:highlight w:val="none"/>
        </w:rPr>
      </w:pPr>
    </w:p>
    <w:p w14:paraId="48DB7108">
      <w:pPr>
        <w:snapToGrid w:val="0"/>
        <w:spacing w:line="360" w:lineRule="auto"/>
        <w:jc w:val="left"/>
        <w:rPr>
          <w:color w:val="auto"/>
          <w:szCs w:val="21"/>
          <w:highlight w:val="none"/>
        </w:rPr>
      </w:pPr>
    </w:p>
    <w:p w14:paraId="697AE771">
      <w:pPr>
        <w:snapToGrid w:val="0"/>
        <w:spacing w:line="360" w:lineRule="auto"/>
        <w:jc w:val="left"/>
        <w:rPr>
          <w:color w:val="auto"/>
          <w:szCs w:val="21"/>
          <w:highlight w:val="none"/>
        </w:rPr>
      </w:pPr>
    </w:p>
    <w:p w14:paraId="647F219B">
      <w:pPr>
        <w:snapToGrid w:val="0"/>
        <w:spacing w:line="360" w:lineRule="auto"/>
        <w:jc w:val="left"/>
        <w:rPr>
          <w:color w:val="auto"/>
          <w:szCs w:val="21"/>
          <w:highlight w:val="none"/>
        </w:rPr>
      </w:pPr>
    </w:p>
    <w:p w14:paraId="703787A4">
      <w:pPr>
        <w:snapToGrid w:val="0"/>
        <w:spacing w:line="360" w:lineRule="auto"/>
        <w:jc w:val="left"/>
        <w:rPr>
          <w:color w:val="auto"/>
          <w:szCs w:val="21"/>
          <w:highlight w:val="none"/>
        </w:rPr>
      </w:pPr>
    </w:p>
    <w:p w14:paraId="10F0F727">
      <w:pPr>
        <w:snapToGrid w:val="0"/>
        <w:spacing w:line="360" w:lineRule="auto"/>
        <w:ind w:firstLine="4410" w:firstLineChars="2100"/>
        <w:rPr>
          <w:color w:val="auto"/>
          <w:szCs w:val="21"/>
          <w:highlight w:val="none"/>
        </w:rPr>
      </w:pPr>
      <w:r>
        <w:rPr>
          <w:rFonts w:hint="eastAsia"/>
          <w:color w:val="auto"/>
          <w:szCs w:val="21"/>
          <w:highlight w:val="none"/>
          <w:lang w:eastAsia="zh-CN"/>
        </w:rPr>
        <w:t>投标人</w:t>
      </w:r>
      <w:r>
        <w:rPr>
          <w:rFonts w:hint="eastAsia"/>
          <w:color w:val="auto"/>
          <w:szCs w:val="21"/>
          <w:highlight w:val="none"/>
        </w:rPr>
        <w:t>名称</w:t>
      </w:r>
      <w:r>
        <w:rPr>
          <w:color w:val="auto"/>
          <w:szCs w:val="21"/>
          <w:highlight w:val="none"/>
        </w:rPr>
        <w:t>(</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1645D1BD">
      <w:pPr>
        <w:snapToGrid w:val="0"/>
        <w:spacing w:line="360" w:lineRule="auto"/>
        <w:ind w:firstLine="4515" w:firstLineChars="2150"/>
        <w:rPr>
          <w:color w:val="auto"/>
          <w:szCs w:val="21"/>
          <w:highlight w:val="none"/>
        </w:rPr>
      </w:pPr>
      <w:r>
        <w:rPr>
          <w:rFonts w:hint="eastAsia"/>
          <w:color w:val="auto"/>
          <w:szCs w:val="21"/>
          <w:highlight w:val="none"/>
        </w:rPr>
        <w:t>日期：</w:t>
      </w:r>
      <w:r>
        <w:rPr>
          <w:color w:val="auto"/>
          <w:szCs w:val="21"/>
          <w:highlight w:val="none"/>
        </w:rPr>
        <w:t xml:space="preserve">  </w:t>
      </w:r>
      <w:r>
        <w:rPr>
          <w:rFonts w:hint="eastAsia"/>
          <w:color w:val="auto"/>
          <w:szCs w:val="21"/>
          <w:highlight w:val="none"/>
        </w:rPr>
        <w:t>年</w:t>
      </w:r>
      <w:r>
        <w:rPr>
          <w:color w:val="auto"/>
          <w:szCs w:val="21"/>
          <w:highlight w:val="none"/>
        </w:rPr>
        <w:t xml:space="preserve">  </w:t>
      </w:r>
      <w:r>
        <w:rPr>
          <w:rFonts w:hint="eastAsia"/>
          <w:color w:val="auto"/>
          <w:szCs w:val="21"/>
          <w:highlight w:val="none"/>
        </w:rPr>
        <w:t>月</w:t>
      </w:r>
      <w:r>
        <w:rPr>
          <w:color w:val="auto"/>
          <w:szCs w:val="21"/>
          <w:highlight w:val="none"/>
        </w:rPr>
        <w:t xml:space="preserve">   </w:t>
      </w:r>
      <w:r>
        <w:rPr>
          <w:rFonts w:hint="eastAsia"/>
          <w:color w:val="auto"/>
          <w:szCs w:val="21"/>
          <w:highlight w:val="none"/>
        </w:rPr>
        <w:t>日</w:t>
      </w:r>
    </w:p>
    <w:p w14:paraId="4A225240">
      <w:pPr>
        <w:snapToGrid w:val="0"/>
        <w:spacing w:before="50" w:after="120" w:afterLines="50" w:line="440" w:lineRule="exact"/>
        <w:jc w:val="left"/>
        <w:rPr>
          <w:color w:val="auto"/>
          <w:szCs w:val="21"/>
          <w:highlight w:val="none"/>
        </w:rPr>
      </w:pPr>
    </w:p>
    <w:bookmarkEnd w:id="183"/>
    <w:p w14:paraId="545F9C80">
      <w:pPr>
        <w:widowControl/>
        <w:jc w:val="left"/>
        <w:rPr>
          <w:color w:val="auto"/>
          <w:szCs w:val="21"/>
          <w:highlight w:val="none"/>
        </w:rPr>
      </w:pPr>
      <w:r>
        <w:rPr>
          <w:color w:val="auto"/>
          <w:szCs w:val="21"/>
          <w:highlight w:val="none"/>
        </w:rPr>
        <w:br w:type="page"/>
      </w:r>
      <w:bookmarkStart w:id="184" w:name="_Hlk65854557"/>
      <w:bookmarkStart w:id="185" w:name="_Hlk60652166"/>
      <w:bookmarkStart w:id="186" w:name="_Hlk65852070"/>
    </w:p>
    <w:bookmarkEnd w:id="184"/>
    <w:bookmarkEnd w:id="185"/>
    <w:p w14:paraId="149143E9">
      <w:pPr>
        <w:snapToGrid w:val="0"/>
        <w:spacing w:before="50" w:after="120" w:afterLines="50" w:line="400" w:lineRule="exact"/>
        <w:jc w:val="left"/>
        <w:rPr>
          <w:color w:val="auto"/>
          <w:szCs w:val="21"/>
          <w:highlight w:val="none"/>
        </w:rPr>
      </w:pPr>
      <w:r>
        <w:rPr>
          <w:color w:val="auto"/>
          <w:szCs w:val="21"/>
          <w:highlight w:val="none"/>
        </w:rPr>
        <w:t>8．投标保证金缴纳证明</w:t>
      </w:r>
      <w:r>
        <w:rPr>
          <w:rFonts w:hint="eastAsia"/>
          <w:color w:val="auto"/>
          <w:szCs w:val="21"/>
          <w:highlight w:val="none"/>
        </w:rPr>
        <w:t>。</w:t>
      </w:r>
      <w:r>
        <w:rPr>
          <w:rFonts w:hint="eastAsia"/>
          <w:b/>
          <w:color w:val="auto"/>
          <w:szCs w:val="21"/>
          <w:highlight w:val="none"/>
        </w:rPr>
        <w:t>（如招标文件有要求时提供）</w:t>
      </w:r>
    </w:p>
    <w:p w14:paraId="51F48864">
      <w:pPr>
        <w:snapToGrid w:val="0"/>
        <w:spacing w:before="50" w:after="120" w:afterLines="50" w:line="440" w:lineRule="exact"/>
        <w:jc w:val="left"/>
        <w:rPr>
          <w:color w:val="auto"/>
          <w:highlight w:val="none"/>
        </w:rPr>
      </w:pPr>
      <w:r>
        <w:rPr>
          <w:rFonts w:hint="eastAsia"/>
          <w:color w:val="auto"/>
          <w:highlight w:val="none"/>
        </w:rPr>
        <w:t>（1）以转账、电汇形式缴纳的，提供转账、电汇凭证扫描件或复印件（网银可提供截图）</w:t>
      </w:r>
      <w:r>
        <w:rPr>
          <w:color w:val="auto"/>
          <w:highlight w:val="none"/>
        </w:rPr>
        <w:t>加盖</w:t>
      </w:r>
      <w:r>
        <w:rPr>
          <w:rFonts w:hint="eastAsia"/>
          <w:color w:val="auto"/>
          <w:szCs w:val="21"/>
          <w:highlight w:val="none"/>
          <w:lang w:eastAsia="zh-CN"/>
        </w:rPr>
        <w:t>投标人</w:t>
      </w:r>
      <w:r>
        <w:rPr>
          <w:rFonts w:hint="eastAsia"/>
          <w:color w:val="auto"/>
          <w:szCs w:val="21"/>
          <w:highlight w:val="none"/>
        </w:rPr>
        <w:t>电子签章</w:t>
      </w:r>
      <w:r>
        <w:rPr>
          <w:rFonts w:hint="eastAsia"/>
          <w:color w:val="auto"/>
          <w:highlight w:val="none"/>
        </w:rPr>
        <w:t>；</w:t>
      </w:r>
    </w:p>
    <w:p w14:paraId="3AEEA5EC">
      <w:pPr>
        <w:snapToGrid w:val="0"/>
        <w:spacing w:before="50" w:after="120" w:afterLines="50" w:line="440" w:lineRule="exact"/>
        <w:jc w:val="left"/>
        <w:rPr>
          <w:color w:val="auto"/>
          <w:szCs w:val="21"/>
          <w:highlight w:val="none"/>
        </w:rPr>
      </w:pPr>
      <w:r>
        <w:rPr>
          <w:rFonts w:hint="eastAsia"/>
          <w:color w:val="auto"/>
          <w:highlight w:val="none"/>
        </w:rPr>
        <w:t>（2）以支票、汇票、本票或金融机构、担保机构出具的保函等非现金形式缴纳的，提供原件扫描件或复印件并加盖</w:t>
      </w:r>
      <w:r>
        <w:rPr>
          <w:rFonts w:hint="eastAsia"/>
          <w:color w:val="auto"/>
          <w:highlight w:val="none"/>
          <w:lang w:eastAsia="zh-CN"/>
        </w:rPr>
        <w:t>投标人</w:t>
      </w:r>
      <w:r>
        <w:rPr>
          <w:rFonts w:hint="eastAsia"/>
          <w:color w:val="auto"/>
          <w:highlight w:val="none"/>
        </w:rPr>
        <w:t>电子签章。投标保函参考如下格式开具：</w:t>
      </w:r>
    </w:p>
    <w:p w14:paraId="295963AD">
      <w:pPr>
        <w:widowControl/>
        <w:jc w:val="center"/>
        <w:rPr>
          <w:b/>
          <w:bCs/>
          <w:color w:val="auto"/>
          <w:sz w:val="28"/>
          <w:szCs w:val="36"/>
          <w:highlight w:val="none"/>
        </w:rPr>
      </w:pPr>
    </w:p>
    <w:p w14:paraId="6B8D246E">
      <w:pPr>
        <w:widowControl/>
        <w:jc w:val="center"/>
        <w:rPr>
          <w:color w:val="auto"/>
          <w:szCs w:val="21"/>
          <w:highlight w:val="none"/>
        </w:rPr>
      </w:pPr>
      <w:r>
        <w:rPr>
          <w:rFonts w:hint="eastAsia"/>
          <w:b/>
          <w:bCs/>
          <w:color w:val="auto"/>
          <w:sz w:val="28"/>
          <w:szCs w:val="36"/>
          <w:highlight w:val="none"/>
        </w:rPr>
        <w:t>投标保函格式</w:t>
      </w:r>
    </w:p>
    <w:p w14:paraId="3DCABAC2">
      <w:pPr>
        <w:snapToGrid w:val="0"/>
        <w:spacing w:before="50" w:after="120" w:afterLines="50"/>
        <w:jc w:val="left"/>
        <w:rPr>
          <w:color w:val="auto"/>
          <w:highlight w:val="none"/>
        </w:rPr>
      </w:pPr>
      <w:r>
        <w:rPr>
          <w:rFonts w:hint="eastAsia"/>
          <w:color w:val="auto"/>
          <w:highlight w:val="none"/>
        </w:rPr>
        <w:t xml:space="preserve">编号：           </w:t>
      </w:r>
    </w:p>
    <w:p w14:paraId="02A2FF3B">
      <w:pPr>
        <w:snapToGrid w:val="0"/>
        <w:spacing w:before="50" w:after="120" w:afterLines="50"/>
        <w:jc w:val="left"/>
        <w:rPr>
          <w:color w:val="auto"/>
          <w:highlight w:val="none"/>
        </w:rPr>
      </w:pPr>
      <w:r>
        <w:rPr>
          <w:rFonts w:hint="eastAsia"/>
          <w:color w:val="auto"/>
          <w:highlight w:val="none"/>
        </w:rPr>
        <w:t>申请人：</w:t>
      </w:r>
    </w:p>
    <w:p w14:paraId="33C26F29">
      <w:pPr>
        <w:snapToGrid w:val="0"/>
        <w:spacing w:before="50" w:after="120" w:afterLines="50"/>
        <w:jc w:val="left"/>
        <w:rPr>
          <w:color w:val="auto"/>
          <w:highlight w:val="none"/>
        </w:rPr>
      </w:pPr>
      <w:r>
        <w:rPr>
          <w:rFonts w:hint="eastAsia"/>
          <w:color w:val="auto"/>
          <w:highlight w:val="none"/>
        </w:rPr>
        <w:t>地址：</w:t>
      </w:r>
    </w:p>
    <w:p w14:paraId="60627C96">
      <w:pPr>
        <w:snapToGrid w:val="0"/>
        <w:spacing w:before="50" w:after="120" w:afterLines="50"/>
        <w:jc w:val="left"/>
        <w:rPr>
          <w:color w:val="auto"/>
          <w:highlight w:val="none"/>
        </w:rPr>
      </w:pPr>
      <w:r>
        <w:rPr>
          <w:rFonts w:hint="eastAsia"/>
          <w:color w:val="auto"/>
          <w:highlight w:val="none"/>
        </w:rPr>
        <w:t xml:space="preserve">受益人：广西机电设备招标有限公司 </w:t>
      </w:r>
    </w:p>
    <w:p w14:paraId="138D1398">
      <w:pPr>
        <w:snapToGrid w:val="0"/>
        <w:spacing w:before="50" w:after="120" w:afterLines="50"/>
        <w:jc w:val="left"/>
        <w:rPr>
          <w:color w:val="auto"/>
          <w:highlight w:val="none"/>
        </w:rPr>
      </w:pPr>
      <w:r>
        <w:rPr>
          <w:rFonts w:hint="eastAsia"/>
          <w:color w:val="auto"/>
          <w:highlight w:val="none"/>
        </w:rPr>
        <w:t>地址：</w:t>
      </w:r>
    </w:p>
    <w:p w14:paraId="3AECAF36">
      <w:pPr>
        <w:snapToGrid w:val="0"/>
        <w:spacing w:before="50" w:after="120" w:afterLines="50"/>
        <w:jc w:val="left"/>
        <w:rPr>
          <w:color w:val="auto"/>
          <w:highlight w:val="none"/>
        </w:rPr>
      </w:pPr>
      <w:r>
        <w:rPr>
          <w:rFonts w:hint="eastAsia"/>
          <w:color w:val="auto"/>
          <w:highlight w:val="none"/>
        </w:rPr>
        <w:t>开立人：</w:t>
      </w:r>
    </w:p>
    <w:p w14:paraId="6CFE974E">
      <w:pPr>
        <w:snapToGrid w:val="0"/>
        <w:spacing w:before="50" w:after="120" w:afterLines="50"/>
        <w:jc w:val="left"/>
        <w:rPr>
          <w:color w:val="auto"/>
          <w:highlight w:val="none"/>
        </w:rPr>
      </w:pPr>
      <w:r>
        <w:rPr>
          <w:rFonts w:hint="eastAsia"/>
          <w:color w:val="auto"/>
          <w:highlight w:val="none"/>
        </w:rPr>
        <w:t>地址：</w:t>
      </w:r>
    </w:p>
    <w:p w14:paraId="13CD56A7">
      <w:pPr>
        <w:snapToGrid w:val="0"/>
        <w:spacing w:before="50" w:after="120" w:afterLines="50" w:line="440" w:lineRule="exact"/>
        <w:jc w:val="left"/>
        <w:rPr>
          <w:color w:val="auto"/>
          <w:highlight w:val="none"/>
        </w:rPr>
      </w:pPr>
    </w:p>
    <w:p w14:paraId="1CB853B4">
      <w:pPr>
        <w:snapToGrid w:val="0"/>
        <w:spacing w:before="50" w:after="120" w:afterLines="50" w:line="276" w:lineRule="auto"/>
        <w:jc w:val="left"/>
        <w:rPr>
          <w:color w:val="auto"/>
          <w:highlight w:val="none"/>
        </w:rPr>
      </w:pPr>
      <w:r>
        <w:rPr>
          <w:rFonts w:hint="eastAsia"/>
          <w:color w:val="auto"/>
          <w:highlight w:val="none"/>
        </w:rPr>
        <w:t>致：广西机电设备招标有限公司</w:t>
      </w:r>
    </w:p>
    <w:p w14:paraId="40ACCEE3">
      <w:pPr>
        <w:snapToGrid w:val="0"/>
        <w:spacing w:before="50" w:after="120" w:afterLines="50" w:line="276" w:lineRule="auto"/>
        <w:ind w:firstLine="420" w:firstLineChars="200"/>
        <w:jc w:val="left"/>
        <w:rPr>
          <w:color w:val="auto"/>
          <w:highlight w:val="none"/>
        </w:rPr>
      </w:pPr>
      <w:r>
        <w:rPr>
          <w:rFonts w:hint="eastAsia"/>
          <w:color w:val="auto"/>
          <w:highlight w:val="none"/>
        </w:rPr>
        <w:t>我方（即“开立人”）已获得通知，本保函申请人（即“</w:t>
      </w:r>
      <w:r>
        <w:rPr>
          <w:rFonts w:hint="eastAsia"/>
          <w:color w:val="auto"/>
          <w:highlight w:val="none"/>
          <w:lang w:eastAsia="zh-CN"/>
        </w:rPr>
        <w:t>投标人</w:t>
      </w:r>
      <w:r>
        <w:rPr>
          <w:rFonts w:hint="eastAsia"/>
          <w:color w:val="auto"/>
          <w:highlight w:val="none"/>
        </w:rPr>
        <w:t>”）已响应贵方于</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 xml:space="preserve"> 日就 </w:t>
      </w:r>
      <w:r>
        <w:rPr>
          <w:rFonts w:hint="eastAsia"/>
          <w:color w:val="auto"/>
          <w:highlight w:val="none"/>
          <w:u w:val="single"/>
        </w:rPr>
        <w:t xml:space="preserve">                                          </w:t>
      </w:r>
      <w:r>
        <w:rPr>
          <w:rFonts w:hint="eastAsia"/>
          <w:color w:val="auto"/>
          <w:highlight w:val="none"/>
        </w:rPr>
        <w:t>（以下简称“本项目”）发出的招标文件，并已向采购代理机构（即“受益人”）提交了投标文件。</w:t>
      </w:r>
    </w:p>
    <w:p w14:paraId="41DAB248">
      <w:pPr>
        <w:snapToGrid w:val="0"/>
        <w:spacing w:before="50" w:after="120" w:afterLines="50" w:line="276" w:lineRule="auto"/>
        <w:ind w:firstLine="420" w:firstLineChars="200"/>
        <w:jc w:val="left"/>
        <w:rPr>
          <w:color w:val="auto"/>
          <w:highlight w:val="none"/>
        </w:rPr>
      </w:pPr>
      <w:r>
        <w:rPr>
          <w:rFonts w:hint="eastAsia"/>
          <w:color w:val="auto"/>
          <w:highlight w:val="none"/>
        </w:rPr>
        <w:t>一、我方理解根据招标条件，投标人必须提交一份投标保函（以下简称“本保函”），以担保</w:t>
      </w:r>
      <w:r>
        <w:rPr>
          <w:rFonts w:hint="eastAsia"/>
          <w:color w:val="auto"/>
          <w:highlight w:val="none"/>
          <w:lang w:eastAsia="zh-CN"/>
        </w:rPr>
        <w:t>投标人</w:t>
      </w:r>
      <w:r>
        <w:rPr>
          <w:rFonts w:hint="eastAsia"/>
          <w:color w:val="auto"/>
          <w:highlight w:val="none"/>
        </w:rPr>
        <w:t>诚信履行其在采购活动中承担的义务。鉴此，应申请人要求，我方在此同意向贵方出具此投标保函，本保函担保金额为人民币（大写）</w:t>
      </w:r>
      <w:r>
        <w:rPr>
          <w:rFonts w:hint="eastAsia"/>
          <w:color w:val="auto"/>
          <w:highlight w:val="none"/>
          <w:u w:val="single"/>
        </w:rPr>
        <w:t xml:space="preserve">                            </w:t>
      </w:r>
      <w:r>
        <w:rPr>
          <w:rFonts w:hint="eastAsia"/>
          <w:color w:val="auto"/>
          <w:highlight w:val="none"/>
        </w:rPr>
        <w:t>元（¥</w:t>
      </w:r>
      <w:r>
        <w:rPr>
          <w:rFonts w:hint="eastAsia"/>
          <w:color w:val="auto"/>
          <w:highlight w:val="none"/>
          <w:u w:val="single"/>
        </w:rPr>
        <w:t xml:space="preserve">                         </w:t>
      </w:r>
      <w:r>
        <w:rPr>
          <w:rFonts w:hint="eastAsia"/>
          <w:color w:val="auto"/>
          <w:highlight w:val="none"/>
        </w:rPr>
        <w:t>）。</w:t>
      </w:r>
    </w:p>
    <w:p w14:paraId="33E51905">
      <w:pPr>
        <w:snapToGrid w:val="0"/>
        <w:spacing w:before="50" w:after="120" w:afterLines="50" w:line="276" w:lineRule="auto"/>
        <w:ind w:firstLine="420" w:firstLineChars="200"/>
        <w:jc w:val="left"/>
        <w:rPr>
          <w:color w:val="auto"/>
          <w:highlight w:val="none"/>
        </w:rPr>
      </w:pPr>
      <w:r>
        <w:rPr>
          <w:rFonts w:hint="eastAsia"/>
          <w:color w:val="auto"/>
          <w:highlight w:val="none"/>
        </w:rPr>
        <w:t>二、我方在</w:t>
      </w:r>
      <w:r>
        <w:rPr>
          <w:rFonts w:hint="eastAsia"/>
          <w:color w:val="auto"/>
          <w:highlight w:val="none"/>
          <w:lang w:eastAsia="zh-CN"/>
        </w:rPr>
        <w:t>投标人</w:t>
      </w:r>
      <w:r>
        <w:rPr>
          <w:rFonts w:hint="eastAsia"/>
          <w:color w:val="auto"/>
          <w:highlight w:val="none"/>
        </w:rPr>
        <w:t xml:space="preserve">发生以下情形时承担保证担保责任： </w:t>
      </w:r>
    </w:p>
    <w:p w14:paraId="2A73F5EB">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（1）投标人在开标后和投标有效期满之前撤销投标文件的； </w:t>
      </w:r>
    </w:p>
    <w:p w14:paraId="39BC8AFD">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（2）投标人在收到中标通知书后，不能或拒绝按招标文件规定的时间内与采购人签订合同； </w:t>
      </w:r>
    </w:p>
    <w:p w14:paraId="56246A37">
      <w:pPr>
        <w:snapToGrid w:val="0"/>
        <w:spacing w:before="50" w:after="120" w:afterLines="50" w:line="276" w:lineRule="auto"/>
        <w:ind w:firstLine="420" w:firstLineChars="200"/>
        <w:jc w:val="left"/>
        <w:rPr>
          <w:color w:val="auto"/>
          <w:highlight w:val="none"/>
        </w:rPr>
      </w:pPr>
      <w:r>
        <w:rPr>
          <w:rFonts w:hint="eastAsia"/>
          <w:color w:val="auto"/>
          <w:highlight w:val="none"/>
        </w:rPr>
        <w:t>（3）投标人在与采购人签订合同后，未在规定的时间内提交符合招标文件要求的履约担保；</w:t>
      </w:r>
    </w:p>
    <w:p w14:paraId="24CF0C0F">
      <w:pPr>
        <w:snapToGrid w:val="0"/>
        <w:spacing w:before="50" w:after="120" w:afterLines="50" w:line="276" w:lineRule="auto"/>
        <w:ind w:firstLine="420" w:firstLineChars="200"/>
        <w:jc w:val="left"/>
        <w:rPr>
          <w:color w:val="auto"/>
          <w:highlight w:val="none"/>
        </w:rPr>
      </w:pPr>
      <w:r>
        <w:rPr>
          <w:rFonts w:hint="eastAsia"/>
          <w:color w:val="auto"/>
          <w:highlight w:val="none"/>
        </w:rPr>
        <w:t>（4）投标人在中标通知书发出之日起5个工作日内，未缴纳本项目代理服务费的；</w:t>
      </w:r>
    </w:p>
    <w:p w14:paraId="7A05A0A4">
      <w:pPr>
        <w:snapToGrid w:val="0"/>
        <w:spacing w:before="50" w:after="120" w:afterLines="50" w:line="276" w:lineRule="auto"/>
        <w:ind w:firstLine="420" w:firstLineChars="200"/>
        <w:jc w:val="left"/>
        <w:rPr>
          <w:color w:val="auto"/>
          <w:highlight w:val="none"/>
        </w:rPr>
      </w:pPr>
      <w:r>
        <w:rPr>
          <w:rFonts w:hint="eastAsia"/>
          <w:color w:val="auto"/>
          <w:highlight w:val="none"/>
        </w:rPr>
        <w:t>（5）投标人违反招标文件规定的其他情形。</w:t>
      </w:r>
    </w:p>
    <w:p w14:paraId="47D03062">
      <w:pPr>
        <w:snapToGrid w:val="0"/>
        <w:spacing w:before="50" w:after="120" w:afterLines="50" w:line="276" w:lineRule="auto"/>
        <w:ind w:firstLine="210" w:firstLineChars="100"/>
        <w:jc w:val="left"/>
        <w:rPr>
          <w:color w:val="auto"/>
          <w:highlight w:val="none"/>
        </w:rPr>
      </w:pPr>
      <w:r>
        <w:rPr>
          <w:rFonts w:hint="eastAsia"/>
          <w:color w:val="auto"/>
          <w:highlight w:val="none"/>
        </w:rPr>
        <w:t xml:space="preserve">    三、本保函为不可撤销、不可转让的见索即付独立保函。本保函有效期自开立之日起至投标有效期届满之日后的</w:t>
      </w:r>
      <w:r>
        <w:rPr>
          <w:rFonts w:hint="eastAsia"/>
          <w:color w:val="auto"/>
          <w:highlight w:val="none"/>
          <w:u w:val="single"/>
        </w:rPr>
        <w:t xml:space="preserve">  28  </w:t>
      </w:r>
      <w:r>
        <w:rPr>
          <w:rFonts w:hint="eastAsia"/>
          <w:color w:val="auto"/>
          <w:highlight w:val="none"/>
        </w:rPr>
        <w:t>日。投标有效期延长的，本保函有效期相应顺延。</w:t>
      </w:r>
    </w:p>
    <w:p w14:paraId="181AC99F">
      <w:pPr>
        <w:snapToGrid w:val="0"/>
        <w:spacing w:before="50" w:after="120" w:afterLines="50" w:line="276" w:lineRule="auto"/>
        <w:ind w:firstLine="420" w:firstLineChars="200"/>
        <w:jc w:val="left"/>
        <w:rPr>
          <w:color w:val="auto"/>
          <w:highlight w:val="none"/>
        </w:rPr>
      </w:pPr>
      <w:r>
        <w:rPr>
          <w:rFonts w:hint="eastAsia"/>
          <w:color w:val="auto"/>
          <w:highlight w:val="none"/>
        </w:rPr>
        <w:t>四、我方承诺，在收到受益人发来的书面付款通知后的</w:t>
      </w:r>
      <w:r>
        <w:rPr>
          <w:rFonts w:hint="eastAsia"/>
          <w:color w:val="auto"/>
          <w:highlight w:val="none"/>
          <w:u w:val="single"/>
        </w:rPr>
        <w:t xml:space="preserve">   5    </w:t>
      </w:r>
      <w:r>
        <w:rPr>
          <w:rFonts w:hint="eastAsia"/>
          <w:color w:val="auto"/>
          <w:highlight w:val="none"/>
        </w:rPr>
        <w:t>日内无条件支付，前述书面付款通知即为付款要求之单据，且应满足以下要求：</w:t>
      </w:r>
    </w:p>
    <w:p w14:paraId="60C0F84A">
      <w:pPr>
        <w:snapToGrid w:val="0"/>
        <w:spacing w:before="50" w:after="120" w:afterLines="50" w:line="276" w:lineRule="auto"/>
        <w:ind w:firstLine="420" w:firstLineChars="200"/>
        <w:jc w:val="left"/>
        <w:rPr>
          <w:color w:val="auto"/>
          <w:highlight w:val="none"/>
        </w:rPr>
      </w:pPr>
      <w:r>
        <w:rPr>
          <w:rFonts w:hint="eastAsia"/>
          <w:color w:val="auto"/>
          <w:highlight w:val="none"/>
        </w:rPr>
        <w:t>（1）付款通知到达的日期在本保函的有效期内；</w:t>
      </w:r>
    </w:p>
    <w:p w14:paraId="351C76DE">
      <w:pPr>
        <w:snapToGrid w:val="0"/>
        <w:spacing w:before="50" w:after="120" w:afterLines="50" w:line="276" w:lineRule="auto"/>
        <w:ind w:firstLine="420" w:firstLineChars="200"/>
        <w:jc w:val="left"/>
        <w:rPr>
          <w:color w:val="auto"/>
          <w:highlight w:val="none"/>
        </w:rPr>
      </w:pPr>
      <w:r>
        <w:rPr>
          <w:rFonts w:hint="eastAsia"/>
          <w:color w:val="auto"/>
          <w:highlight w:val="none"/>
        </w:rPr>
        <w:t>（2）载明要求支付的金额；</w:t>
      </w:r>
    </w:p>
    <w:p w14:paraId="0A26BA91">
      <w:pPr>
        <w:snapToGrid w:val="0"/>
        <w:spacing w:before="50" w:after="120" w:afterLines="50" w:line="276" w:lineRule="auto"/>
        <w:ind w:firstLine="420" w:firstLineChars="200"/>
        <w:jc w:val="left"/>
        <w:rPr>
          <w:color w:val="auto"/>
          <w:highlight w:val="none"/>
        </w:rPr>
      </w:pPr>
      <w:r>
        <w:rPr>
          <w:rFonts w:hint="eastAsia"/>
          <w:color w:val="auto"/>
          <w:highlight w:val="none"/>
        </w:rPr>
        <w:t>（3）载明申请人违反采购文件规定的义务内容和具体条款；</w:t>
      </w:r>
    </w:p>
    <w:p w14:paraId="2BBA8ED1">
      <w:pPr>
        <w:snapToGrid w:val="0"/>
        <w:spacing w:before="50" w:after="120" w:afterLines="50" w:line="276" w:lineRule="auto"/>
        <w:ind w:firstLine="420" w:firstLineChars="200"/>
        <w:jc w:val="left"/>
        <w:rPr>
          <w:color w:val="auto"/>
          <w:highlight w:val="none"/>
        </w:rPr>
      </w:pPr>
      <w:r>
        <w:rPr>
          <w:rFonts w:hint="eastAsia"/>
          <w:color w:val="auto"/>
          <w:highlight w:val="none"/>
        </w:rPr>
        <w:t>（4）声明不存在采购文件规定或我国法律规定免除申请人或我方支付责任的情形；</w:t>
      </w:r>
    </w:p>
    <w:p w14:paraId="3CF62D77">
      <w:pPr>
        <w:snapToGrid w:val="0"/>
        <w:spacing w:before="50" w:after="120" w:afterLines="50" w:line="276" w:lineRule="auto"/>
        <w:ind w:firstLine="420" w:firstLineChars="200"/>
        <w:jc w:val="left"/>
        <w:rPr>
          <w:color w:val="auto"/>
          <w:highlight w:val="none"/>
        </w:rPr>
      </w:pPr>
      <w:r>
        <w:rPr>
          <w:rFonts w:hint="eastAsia"/>
          <w:color w:val="auto"/>
          <w:highlight w:val="none"/>
        </w:rPr>
        <w:t>（5）书面付款通知应在本保函有效期内到达的地址是：</w:t>
      </w:r>
      <w:r>
        <w:rPr>
          <w:rFonts w:hint="eastAsia"/>
          <w:color w:val="auto"/>
          <w:highlight w:val="none"/>
          <w:u w:val="single"/>
        </w:rPr>
        <w:t xml:space="preserve">                                     </w:t>
      </w:r>
      <w:r>
        <w:rPr>
          <w:rFonts w:hint="eastAsia"/>
          <w:color w:val="auto"/>
          <w:highlight w:val="none"/>
        </w:rPr>
        <w:t>。</w:t>
      </w:r>
    </w:p>
    <w:p w14:paraId="1BA4A02D">
      <w:pPr>
        <w:snapToGrid w:val="0"/>
        <w:spacing w:before="50" w:after="120" w:afterLines="50" w:line="276" w:lineRule="auto"/>
        <w:jc w:val="left"/>
        <w:rPr>
          <w:color w:val="auto"/>
          <w:highlight w:val="none"/>
        </w:rPr>
      </w:pPr>
      <w:r>
        <w:rPr>
          <w:rFonts w:hint="eastAsia"/>
          <w:color w:val="auto"/>
          <w:highlight w:val="none"/>
        </w:rPr>
        <w:t xml:space="preserve">        受益人发出的书面付款通知应由其为鉴明受益人法定代表人（负责人）或授权代理人签字并加盖公章。</w:t>
      </w:r>
    </w:p>
    <w:p w14:paraId="43293E92">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五、本保函项下的权利不得转让，不得设定担保。贵方未经我方书面同意转让本保函或其项下任何权利，对我方不发生法律效力。 </w:t>
      </w:r>
    </w:p>
    <w:p w14:paraId="501AA783">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六、本保函项下的基础交易不成立、不生效、无效、被撤销、被解除，不影响本保函的独立有效。 </w:t>
      </w:r>
    </w:p>
    <w:p w14:paraId="6E9FBA94">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5455229F">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八、本保函适用的法律为中华人民共和国法律，争议裁判管辖地为中华人民共和国。 </w:t>
      </w:r>
    </w:p>
    <w:p w14:paraId="0FD4C947">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九、本保函自我方法定代表人或授权代表签字并加盖公章之日起生效。 </w:t>
      </w:r>
    </w:p>
    <w:p w14:paraId="2ADEA453">
      <w:pPr>
        <w:snapToGrid w:val="0"/>
        <w:spacing w:before="50" w:after="120" w:afterLines="50" w:line="276" w:lineRule="auto"/>
        <w:jc w:val="left"/>
        <w:rPr>
          <w:color w:val="auto"/>
          <w:highlight w:val="none"/>
        </w:rPr>
      </w:pPr>
    </w:p>
    <w:p w14:paraId="56F2C786">
      <w:pPr>
        <w:snapToGrid w:val="0"/>
        <w:spacing w:before="50" w:after="120" w:afterLines="50" w:line="276" w:lineRule="auto"/>
        <w:jc w:val="left"/>
        <w:rPr>
          <w:color w:val="auto"/>
          <w:highlight w:val="none"/>
        </w:rPr>
      </w:pPr>
      <w:r>
        <w:rPr>
          <w:rFonts w:hint="eastAsia"/>
          <w:color w:val="auto"/>
          <w:highlight w:val="none"/>
        </w:rPr>
        <w:t xml:space="preserve">开 立 人：                                                  （公章） </w:t>
      </w:r>
    </w:p>
    <w:p w14:paraId="0A717478">
      <w:pPr>
        <w:snapToGrid w:val="0"/>
        <w:spacing w:before="50" w:after="120" w:afterLines="50" w:line="276" w:lineRule="auto"/>
        <w:jc w:val="left"/>
        <w:rPr>
          <w:color w:val="auto"/>
          <w:highlight w:val="none"/>
        </w:rPr>
      </w:pPr>
      <w:r>
        <w:rPr>
          <w:rFonts w:hint="eastAsia"/>
          <w:color w:val="auto"/>
          <w:highlight w:val="none"/>
        </w:rPr>
        <w:t xml:space="preserve">法定代表人（或授权代表） ：               （签字） </w:t>
      </w:r>
    </w:p>
    <w:p w14:paraId="5F16AE2D">
      <w:pPr>
        <w:snapToGrid w:val="0"/>
        <w:spacing w:before="50" w:after="120" w:afterLines="50" w:line="276" w:lineRule="auto"/>
        <w:jc w:val="left"/>
        <w:rPr>
          <w:color w:val="auto"/>
          <w:highlight w:val="none"/>
        </w:rPr>
      </w:pPr>
      <w:r>
        <w:rPr>
          <w:rFonts w:hint="eastAsia"/>
          <w:color w:val="auto"/>
          <w:highlight w:val="none"/>
        </w:rPr>
        <w:t xml:space="preserve">地    址：                                       </w:t>
      </w:r>
    </w:p>
    <w:p w14:paraId="42DE5568">
      <w:pPr>
        <w:snapToGrid w:val="0"/>
        <w:spacing w:before="50" w:after="120" w:afterLines="50" w:line="276" w:lineRule="auto"/>
        <w:jc w:val="left"/>
        <w:rPr>
          <w:color w:val="auto"/>
          <w:highlight w:val="none"/>
        </w:rPr>
      </w:pPr>
      <w:r>
        <w:rPr>
          <w:rFonts w:hint="eastAsia"/>
          <w:color w:val="auto"/>
          <w:highlight w:val="none"/>
        </w:rPr>
        <w:t xml:space="preserve">邮政编码：                 </w:t>
      </w:r>
    </w:p>
    <w:p w14:paraId="0ED16A1E">
      <w:pPr>
        <w:snapToGrid w:val="0"/>
        <w:spacing w:before="50" w:after="120" w:afterLines="50" w:line="276" w:lineRule="auto"/>
        <w:jc w:val="left"/>
        <w:rPr>
          <w:color w:val="auto"/>
          <w:highlight w:val="none"/>
        </w:rPr>
      </w:pPr>
      <w:r>
        <w:rPr>
          <w:rFonts w:hint="eastAsia"/>
          <w:color w:val="auto"/>
          <w:highlight w:val="none"/>
        </w:rPr>
        <w:t xml:space="preserve">电    话：                 </w:t>
      </w:r>
    </w:p>
    <w:p w14:paraId="7B39D8BF">
      <w:pPr>
        <w:snapToGrid w:val="0"/>
        <w:spacing w:before="50" w:after="120" w:afterLines="50" w:line="276" w:lineRule="auto"/>
        <w:jc w:val="left"/>
        <w:rPr>
          <w:color w:val="auto"/>
          <w:highlight w:val="none"/>
        </w:rPr>
      </w:pPr>
      <w:r>
        <w:rPr>
          <w:rFonts w:hint="eastAsia"/>
          <w:color w:val="auto"/>
          <w:highlight w:val="none"/>
        </w:rPr>
        <w:t xml:space="preserve">传    真：                 </w:t>
      </w:r>
    </w:p>
    <w:p w14:paraId="21616BFA">
      <w:pPr>
        <w:snapToGrid w:val="0"/>
        <w:spacing w:before="50" w:after="120" w:afterLines="50" w:line="276" w:lineRule="auto"/>
        <w:jc w:val="left"/>
        <w:rPr>
          <w:color w:val="auto"/>
          <w:highlight w:val="none"/>
        </w:rPr>
      </w:pPr>
      <w:r>
        <w:rPr>
          <w:rFonts w:hint="eastAsia"/>
          <w:color w:val="auto"/>
          <w:highlight w:val="none"/>
        </w:rPr>
        <w:t>开立时间：      年       月        日</w:t>
      </w:r>
    </w:p>
    <w:p w14:paraId="50BF04D9">
      <w:pPr>
        <w:widowControl/>
        <w:jc w:val="left"/>
        <w:rPr>
          <w:color w:val="auto"/>
          <w:szCs w:val="21"/>
          <w:highlight w:val="none"/>
        </w:rPr>
      </w:pPr>
      <w:r>
        <w:rPr>
          <w:color w:val="auto"/>
          <w:szCs w:val="21"/>
          <w:highlight w:val="none"/>
        </w:rPr>
        <w:br w:type="page"/>
      </w:r>
    </w:p>
    <w:p w14:paraId="224A48A0">
      <w:pPr>
        <w:snapToGrid w:val="0"/>
        <w:spacing w:before="50" w:after="120" w:afterLines="50"/>
        <w:jc w:val="left"/>
        <w:rPr>
          <w:color w:val="auto"/>
          <w:szCs w:val="21"/>
          <w:highlight w:val="none"/>
        </w:rPr>
      </w:pPr>
      <w:r>
        <w:rPr>
          <w:color w:val="auto"/>
          <w:szCs w:val="21"/>
          <w:highlight w:val="none"/>
        </w:rPr>
        <w:t>9．</w:t>
      </w:r>
      <w:r>
        <w:rPr>
          <w:rFonts w:hint="eastAsia"/>
          <w:color w:val="auto"/>
          <w:szCs w:val="21"/>
          <w:highlight w:val="none"/>
          <w:lang w:eastAsia="zh-CN"/>
        </w:rPr>
        <w:t>投标人</w:t>
      </w:r>
      <w:r>
        <w:rPr>
          <w:color w:val="auto"/>
          <w:szCs w:val="21"/>
          <w:highlight w:val="none"/>
        </w:rPr>
        <w:t>认为应当要提交的</w:t>
      </w:r>
      <w:r>
        <w:rPr>
          <w:rFonts w:hint="eastAsia"/>
          <w:color w:val="auto"/>
          <w:szCs w:val="21"/>
          <w:highlight w:val="none"/>
        </w:rPr>
        <w:t>其他</w:t>
      </w:r>
      <w:r>
        <w:rPr>
          <w:color w:val="auto"/>
          <w:szCs w:val="21"/>
          <w:highlight w:val="none"/>
        </w:rPr>
        <w:t>资格证明材料。</w:t>
      </w:r>
      <w:r>
        <w:rPr>
          <w:bCs/>
          <w:color w:val="auto"/>
          <w:sz w:val="24"/>
          <w:highlight w:val="none"/>
        </w:rPr>
        <w:t xml:space="preserve"> </w:t>
      </w:r>
    </w:p>
    <w:p w14:paraId="369A5C00">
      <w:pPr>
        <w:spacing w:line="276" w:lineRule="auto"/>
        <w:rPr>
          <w:color w:val="auto"/>
          <w:szCs w:val="21"/>
          <w:highlight w:val="none"/>
        </w:rPr>
      </w:pPr>
    </w:p>
    <w:p w14:paraId="314F1333">
      <w:pPr>
        <w:widowControl/>
        <w:jc w:val="left"/>
        <w:rPr>
          <w:color w:val="auto"/>
          <w:szCs w:val="21"/>
          <w:highlight w:val="none"/>
        </w:rPr>
      </w:pPr>
      <w:r>
        <w:rPr>
          <w:color w:val="auto"/>
          <w:szCs w:val="21"/>
          <w:highlight w:val="none"/>
        </w:rPr>
        <w:br w:type="page"/>
      </w:r>
      <w:bookmarkEnd w:id="186"/>
    </w:p>
    <w:bookmarkEnd w:id="179"/>
    <w:p w14:paraId="6A9E255A">
      <w:pPr>
        <w:snapToGrid w:val="0"/>
        <w:spacing w:before="120" w:beforeLines="50" w:after="50" w:line="440" w:lineRule="exact"/>
        <w:jc w:val="left"/>
        <w:outlineLvl w:val="1"/>
        <w:rPr>
          <w:bCs/>
          <w:color w:val="auto"/>
          <w:sz w:val="24"/>
          <w:highlight w:val="none"/>
        </w:rPr>
      </w:pPr>
      <w:r>
        <w:rPr>
          <w:bCs/>
          <w:color w:val="auto"/>
          <w:sz w:val="24"/>
          <w:highlight w:val="none"/>
        </w:rPr>
        <w:t>2．投标文件封面参考格式</w:t>
      </w:r>
      <w:r>
        <w:rPr>
          <w:rFonts w:hint="eastAsia"/>
          <w:bCs/>
          <w:color w:val="auto"/>
          <w:sz w:val="24"/>
          <w:highlight w:val="none"/>
        </w:rPr>
        <w:t>（商务技术文件）</w:t>
      </w:r>
      <w:r>
        <w:rPr>
          <w:bCs/>
          <w:color w:val="auto"/>
          <w:sz w:val="24"/>
          <w:highlight w:val="none"/>
        </w:rPr>
        <w:t xml:space="preserve">： </w:t>
      </w:r>
    </w:p>
    <w:p w14:paraId="27ECEA7E">
      <w:pPr>
        <w:snapToGrid w:val="0"/>
        <w:spacing w:before="50" w:after="120" w:afterLines="50" w:line="400" w:lineRule="exact"/>
        <w:jc w:val="left"/>
        <w:rPr>
          <w:bCs/>
          <w:color w:val="auto"/>
          <w:sz w:val="24"/>
          <w:highlight w:val="none"/>
        </w:rPr>
      </w:pPr>
    </w:p>
    <w:p w14:paraId="2FBDC050">
      <w:pPr>
        <w:snapToGrid w:val="0"/>
        <w:spacing w:before="120" w:beforeLines="50" w:after="50" w:line="360" w:lineRule="exact"/>
        <w:rPr>
          <w:color w:val="auto"/>
          <w:sz w:val="24"/>
          <w:highlight w:val="none"/>
        </w:rPr>
      </w:pPr>
    </w:p>
    <w:p w14:paraId="4C8E3576">
      <w:pPr>
        <w:snapToGrid w:val="0"/>
        <w:spacing w:before="120" w:beforeLines="50" w:after="50" w:line="360" w:lineRule="exact"/>
        <w:jc w:val="center"/>
        <w:rPr>
          <w:bCs/>
          <w:color w:val="auto"/>
          <w:sz w:val="24"/>
          <w:highlight w:val="none"/>
        </w:rPr>
      </w:pPr>
    </w:p>
    <w:p w14:paraId="6A79E15B">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电子</w:t>
      </w:r>
      <w:r>
        <w:rPr>
          <w:b/>
          <w:bCs/>
          <w:color w:val="auto"/>
          <w:sz w:val="44"/>
          <w:szCs w:val="44"/>
          <w:highlight w:val="none"/>
        </w:rPr>
        <w:t>投标文件</w:t>
      </w:r>
    </w:p>
    <w:p w14:paraId="72EFC92A">
      <w:pPr>
        <w:snapToGrid w:val="0"/>
        <w:spacing w:before="120" w:beforeLines="50" w:after="50" w:line="360" w:lineRule="exact"/>
        <w:jc w:val="center"/>
        <w:rPr>
          <w:b/>
          <w:bCs/>
          <w:color w:val="auto"/>
          <w:sz w:val="44"/>
          <w:szCs w:val="44"/>
          <w:highlight w:val="none"/>
        </w:rPr>
      </w:pPr>
    </w:p>
    <w:p w14:paraId="69935342">
      <w:pPr>
        <w:snapToGrid w:val="0"/>
        <w:spacing w:before="120" w:beforeLines="50" w:after="50" w:line="360" w:lineRule="exact"/>
        <w:jc w:val="center"/>
        <w:rPr>
          <w:b/>
          <w:bCs/>
          <w:color w:val="auto"/>
          <w:sz w:val="44"/>
          <w:szCs w:val="44"/>
          <w:highlight w:val="none"/>
        </w:rPr>
      </w:pPr>
    </w:p>
    <w:p w14:paraId="38BB9CA0">
      <w:pPr>
        <w:snapToGrid w:val="0"/>
        <w:spacing w:before="120" w:beforeLines="50" w:after="50" w:line="360" w:lineRule="exact"/>
        <w:jc w:val="center"/>
        <w:rPr>
          <w:b/>
          <w:bCs/>
          <w:color w:val="auto"/>
          <w:sz w:val="44"/>
          <w:szCs w:val="44"/>
          <w:highlight w:val="none"/>
        </w:rPr>
      </w:pPr>
      <w:r>
        <w:rPr>
          <w:b/>
          <w:bCs/>
          <w:color w:val="auto"/>
          <w:sz w:val="44"/>
          <w:szCs w:val="44"/>
          <w:highlight w:val="none"/>
        </w:rPr>
        <w:t xml:space="preserve"> 商务技术文件</w:t>
      </w:r>
    </w:p>
    <w:p w14:paraId="56BF84A4">
      <w:pPr>
        <w:snapToGrid w:val="0"/>
        <w:spacing w:before="120" w:beforeLines="50" w:after="50" w:line="360" w:lineRule="exact"/>
        <w:rPr>
          <w:bCs/>
          <w:color w:val="auto"/>
          <w:sz w:val="24"/>
          <w:highlight w:val="none"/>
        </w:rPr>
      </w:pPr>
    </w:p>
    <w:p w14:paraId="2AA01DB8">
      <w:pPr>
        <w:snapToGrid w:val="0"/>
        <w:spacing w:before="120" w:beforeLines="50" w:after="50" w:line="360" w:lineRule="exact"/>
        <w:rPr>
          <w:bCs/>
          <w:color w:val="auto"/>
          <w:sz w:val="24"/>
          <w:highlight w:val="none"/>
        </w:rPr>
      </w:pPr>
    </w:p>
    <w:p w14:paraId="1069B2DC">
      <w:pPr>
        <w:snapToGrid w:val="0"/>
        <w:spacing w:before="120" w:beforeLines="50" w:after="50" w:line="360" w:lineRule="exact"/>
        <w:rPr>
          <w:bCs/>
          <w:color w:val="auto"/>
          <w:sz w:val="24"/>
          <w:highlight w:val="none"/>
        </w:rPr>
      </w:pPr>
    </w:p>
    <w:p w14:paraId="1B759002">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6C11BE2E">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23A6D70D">
      <w:pPr>
        <w:snapToGrid w:val="0"/>
        <w:spacing w:before="120" w:beforeLines="50" w:after="50" w:line="36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10BED382">
      <w:pPr>
        <w:snapToGrid w:val="0"/>
        <w:spacing w:before="120" w:beforeLines="50" w:after="50" w:line="360" w:lineRule="exact"/>
        <w:ind w:firstLine="720" w:firstLineChars="300"/>
        <w:rPr>
          <w:bCs/>
          <w:color w:val="auto"/>
          <w:sz w:val="24"/>
          <w:highlight w:val="none"/>
        </w:rPr>
      </w:pPr>
      <w:r>
        <w:rPr>
          <w:rFonts w:hint="eastAsia"/>
          <w:bCs/>
          <w:color w:val="auto"/>
          <w:sz w:val="24"/>
          <w:highlight w:val="none"/>
          <w:lang w:eastAsia="zh-CN"/>
        </w:rPr>
        <w:t>投标人</w:t>
      </w:r>
      <w:r>
        <w:rPr>
          <w:bCs/>
          <w:color w:val="auto"/>
          <w:sz w:val="24"/>
          <w:highlight w:val="none"/>
        </w:rPr>
        <w:t>名称：</w:t>
      </w:r>
    </w:p>
    <w:p w14:paraId="43C7178D">
      <w:pPr>
        <w:snapToGrid w:val="0"/>
        <w:spacing w:before="120" w:beforeLines="50" w:after="50" w:line="360" w:lineRule="exact"/>
        <w:ind w:firstLine="720" w:firstLineChars="300"/>
        <w:rPr>
          <w:bCs/>
          <w:color w:val="auto"/>
          <w:sz w:val="24"/>
          <w:highlight w:val="none"/>
        </w:rPr>
      </w:pPr>
      <w:r>
        <w:rPr>
          <w:rFonts w:hint="eastAsia"/>
          <w:bCs/>
          <w:color w:val="auto"/>
          <w:sz w:val="24"/>
          <w:highlight w:val="none"/>
          <w:lang w:eastAsia="zh-CN"/>
        </w:rPr>
        <w:t>投标人</w:t>
      </w:r>
      <w:r>
        <w:rPr>
          <w:bCs/>
          <w:color w:val="auto"/>
          <w:sz w:val="24"/>
          <w:highlight w:val="none"/>
        </w:rPr>
        <w:t>地址：</w:t>
      </w:r>
    </w:p>
    <w:p w14:paraId="23881083">
      <w:pPr>
        <w:snapToGrid w:val="0"/>
        <w:spacing w:before="120" w:beforeLines="50" w:after="50" w:line="360" w:lineRule="exact"/>
        <w:ind w:firstLine="720" w:firstLineChars="300"/>
        <w:rPr>
          <w:bCs/>
          <w:color w:val="auto"/>
          <w:sz w:val="24"/>
          <w:highlight w:val="none"/>
        </w:rPr>
      </w:pPr>
    </w:p>
    <w:p w14:paraId="3AD7B1F5">
      <w:pPr>
        <w:pStyle w:val="8"/>
        <w:snapToGrid w:val="0"/>
        <w:spacing w:before="50" w:after="50" w:line="360" w:lineRule="exact"/>
        <w:ind w:firstLine="960" w:firstLineChars="400"/>
        <w:rPr>
          <w:bCs/>
          <w:color w:val="auto"/>
          <w:sz w:val="24"/>
          <w:szCs w:val="24"/>
          <w:highlight w:val="none"/>
        </w:rPr>
      </w:pPr>
    </w:p>
    <w:p w14:paraId="50E0068B">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5C6C5B8B">
      <w:pPr>
        <w:rPr>
          <w:color w:val="auto"/>
          <w:highlight w:val="none"/>
        </w:rPr>
      </w:pPr>
      <w:r>
        <w:rPr>
          <w:color w:val="auto"/>
          <w:highlight w:val="none"/>
        </w:rPr>
        <w:br w:type="page"/>
      </w:r>
    </w:p>
    <w:p w14:paraId="68770B19">
      <w:pPr>
        <w:snapToGrid w:val="0"/>
        <w:spacing w:before="50" w:after="50" w:line="440" w:lineRule="exact"/>
        <w:ind w:firstLine="138" w:firstLineChars="49"/>
        <w:jc w:val="center"/>
        <w:rPr>
          <w:b/>
          <w:color w:val="auto"/>
          <w:sz w:val="28"/>
          <w:szCs w:val="28"/>
          <w:highlight w:val="none"/>
        </w:rPr>
      </w:pPr>
      <w:r>
        <w:rPr>
          <w:b/>
          <w:color w:val="auto"/>
          <w:sz w:val="28"/>
          <w:szCs w:val="28"/>
          <w:highlight w:val="none"/>
        </w:rPr>
        <w:t>目录</w:t>
      </w:r>
    </w:p>
    <w:p w14:paraId="63B74020">
      <w:pPr>
        <w:snapToGrid w:val="0"/>
        <w:spacing w:before="50" w:after="50" w:line="440" w:lineRule="exact"/>
        <w:ind w:firstLine="118" w:firstLineChars="49"/>
        <w:jc w:val="center"/>
        <w:rPr>
          <w:b/>
          <w:color w:val="auto"/>
          <w:sz w:val="24"/>
          <w:highlight w:val="none"/>
        </w:rPr>
      </w:pPr>
      <w:r>
        <w:rPr>
          <w:b/>
          <w:color w:val="auto"/>
          <w:sz w:val="24"/>
          <w:highlight w:val="none"/>
        </w:rPr>
        <w:t>（应有页码）</w:t>
      </w:r>
    </w:p>
    <w:p w14:paraId="62F89D73">
      <w:pPr>
        <w:rPr>
          <w:b/>
          <w:color w:val="auto"/>
          <w:szCs w:val="21"/>
          <w:highlight w:val="none"/>
        </w:rPr>
      </w:pPr>
      <w:r>
        <w:rPr>
          <w:color w:val="auto"/>
          <w:highlight w:val="none"/>
        </w:rPr>
        <w:br w:type="page"/>
      </w:r>
      <w:bookmarkStart w:id="187" w:name="_Toc462320613"/>
      <w:bookmarkStart w:id="188" w:name="_Toc455309222"/>
      <w:bookmarkStart w:id="189" w:name="_Toc462223472"/>
      <w:bookmarkStart w:id="190" w:name="_Hlk19114325"/>
      <w:r>
        <w:rPr>
          <w:color w:val="auto"/>
          <w:szCs w:val="21"/>
          <w:highlight w:val="none"/>
        </w:rPr>
        <w:t>1．法定代表人身份证明</w:t>
      </w:r>
      <w:r>
        <w:rPr>
          <w:rFonts w:hint="eastAsia"/>
          <w:b/>
          <w:color w:val="auto"/>
          <w:szCs w:val="21"/>
          <w:highlight w:val="none"/>
        </w:rPr>
        <w:t>（无授权</w:t>
      </w:r>
      <w:r>
        <w:rPr>
          <w:b/>
          <w:color w:val="auto"/>
          <w:szCs w:val="21"/>
          <w:highlight w:val="none"/>
        </w:rPr>
        <w:t>代表</w:t>
      </w:r>
      <w:r>
        <w:rPr>
          <w:rFonts w:hint="eastAsia"/>
          <w:b/>
          <w:color w:val="auto"/>
          <w:szCs w:val="21"/>
          <w:highlight w:val="none"/>
        </w:rPr>
        <w:t>时提供）</w:t>
      </w:r>
      <w:r>
        <w:rPr>
          <w:b/>
          <w:color w:val="auto"/>
          <w:szCs w:val="21"/>
          <w:highlight w:val="none"/>
        </w:rPr>
        <w:t>：</w:t>
      </w:r>
    </w:p>
    <w:p w14:paraId="08EEA81C">
      <w:pPr>
        <w:snapToGrid w:val="0"/>
        <w:spacing w:before="120" w:beforeLines="50" w:after="50" w:line="440" w:lineRule="exact"/>
        <w:jc w:val="center"/>
        <w:rPr>
          <w:color w:val="auto"/>
          <w:szCs w:val="21"/>
          <w:highlight w:val="none"/>
        </w:rPr>
      </w:pPr>
    </w:p>
    <w:p w14:paraId="43D91B86">
      <w:pPr>
        <w:snapToGrid w:val="0"/>
        <w:spacing w:before="120" w:beforeLines="50" w:after="50" w:line="440" w:lineRule="exact"/>
        <w:jc w:val="center"/>
        <w:rPr>
          <w:b/>
          <w:color w:val="auto"/>
          <w:szCs w:val="21"/>
          <w:highlight w:val="none"/>
        </w:rPr>
      </w:pPr>
      <w:r>
        <w:rPr>
          <w:b/>
          <w:color w:val="auto"/>
          <w:szCs w:val="21"/>
          <w:highlight w:val="none"/>
        </w:rPr>
        <w:t>法定代表人身份证明</w:t>
      </w:r>
      <w:bookmarkEnd w:id="187"/>
      <w:bookmarkEnd w:id="188"/>
      <w:bookmarkEnd w:id="189"/>
    </w:p>
    <w:p w14:paraId="36A49A6B">
      <w:pPr>
        <w:spacing w:line="360" w:lineRule="auto"/>
        <w:rPr>
          <w:color w:val="auto"/>
          <w:highlight w:val="none"/>
        </w:rPr>
      </w:pPr>
    </w:p>
    <w:p w14:paraId="26285FE1">
      <w:pPr>
        <w:spacing w:line="540" w:lineRule="exact"/>
        <w:rPr>
          <w:color w:val="auto"/>
          <w:szCs w:val="21"/>
          <w:highlight w:val="none"/>
        </w:rPr>
      </w:pPr>
      <w:r>
        <w:rPr>
          <w:rFonts w:hint="eastAsia"/>
          <w:color w:val="auto"/>
          <w:szCs w:val="21"/>
          <w:highlight w:val="none"/>
          <w:lang w:eastAsia="zh-CN"/>
        </w:rPr>
        <w:t>投标人</w:t>
      </w:r>
      <w:r>
        <w:rPr>
          <w:color w:val="auto"/>
          <w:szCs w:val="21"/>
          <w:highlight w:val="none"/>
        </w:rPr>
        <w:t>名称：</w:t>
      </w:r>
      <w:r>
        <w:rPr>
          <w:color w:val="auto"/>
          <w:szCs w:val="21"/>
          <w:highlight w:val="none"/>
          <w:u w:val="single"/>
        </w:rPr>
        <w:t xml:space="preserve">                                         </w:t>
      </w:r>
    </w:p>
    <w:p w14:paraId="51329C73">
      <w:pPr>
        <w:spacing w:line="540" w:lineRule="exact"/>
        <w:rPr>
          <w:color w:val="auto"/>
          <w:szCs w:val="21"/>
          <w:highlight w:val="none"/>
        </w:rPr>
      </w:pPr>
      <w:r>
        <w:rPr>
          <w:color w:val="auto"/>
          <w:szCs w:val="21"/>
          <w:highlight w:val="none"/>
        </w:rPr>
        <w:t>单位性质：</w:t>
      </w:r>
      <w:r>
        <w:rPr>
          <w:color w:val="auto"/>
          <w:szCs w:val="21"/>
          <w:highlight w:val="none"/>
          <w:u w:val="single"/>
        </w:rPr>
        <w:t xml:space="preserve">                                           </w:t>
      </w:r>
    </w:p>
    <w:p w14:paraId="7CEC3217">
      <w:pPr>
        <w:spacing w:line="540" w:lineRule="exact"/>
        <w:rPr>
          <w:color w:val="auto"/>
          <w:szCs w:val="21"/>
          <w:highlight w:val="none"/>
        </w:rPr>
      </w:pPr>
      <w:r>
        <w:rPr>
          <w:color w:val="auto"/>
          <w:szCs w:val="21"/>
          <w:highlight w:val="none"/>
        </w:rPr>
        <w:t>地址：</w:t>
      </w:r>
      <w:r>
        <w:rPr>
          <w:color w:val="auto"/>
          <w:szCs w:val="21"/>
          <w:highlight w:val="none"/>
          <w:u w:val="single"/>
        </w:rPr>
        <w:t xml:space="preserve">                                               </w:t>
      </w:r>
    </w:p>
    <w:p w14:paraId="725F7AAE">
      <w:pPr>
        <w:spacing w:line="540" w:lineRule="exact"/>
        <w:rPr>
          <w:color w:val="auto"/>
          <w:szCs w:val="21"/>
          <w:highlight w:val="none"/>
          <w:u w:val="single"/>
        </w:rPr>
      </w:pPr>
      <w:r>
        <w:rPr>
          <w:color w:val="auto"/>
          <w:szCs w:val="21"/>
          <w:highlight w:val="none"/>
        </w:rPr>
        <w:t>成立时间：</w:t>
      </w:r>
      <w:r>
        <w:rPr>
          <w:color w:val="auto"/>
          <w:szCs w:val="21"/>
          <w:highlight w:val="none"/>
          <w:u w:val="single"/>
        </w:rPr>
        <w:t xml:space="preserve">          年        月        日</w:t>
      </w:r>
    </w:p>
    <w:p w14:paraId="661356A0">
      <w:pPr>
        <w:spacing w:line="540" w:lineRule="exact"/>
        <w:rPr>
          <w:color w:val="auto"/>
          <w:szCs w:val="21"/>
          <w:highlight w:val="none"/>
        </w:rPr>
      </w:pPr>
      <w:r>
        <w:rPr>
          <w:color w:val="auto"/>
          <w:szCs w:val="21"/>
          <w:highlight w:val="none"/>
        </w:rPr>
        <w:t>经营期限：</w:t>
      </w:r>
      <w:r>
        <w:rPr>
          <w:color w:val="auto"/>
          <w:szCs w:val="21"/>
          <w:highlight w:val="none"/>
          <w:u w:val="single"/>
        </w:rPr>
        <w:t xml:space="preserve">                                           </w:t>
      </w:r>
    </w:p>
    <w:p w14:paraId="7E44AF28">
      <w:pPr>
        <w:spacing w:line="540" w:lineRule="exact"/>
        <w:rPr>
          <w:color w:val="auto"/>
          <w:szCs w:val="21"/>
          <w:highlight w:val="none"/>
        </w:rPr>
      </w:pPr>
      <w:r>
        <w:rPr>
          <w:color w:val="auto"/>
          <w:szCs w:val="21"/>
          <w:highlight w:val="none"/>
        </w:rPr>
        <w:t>姓名：</w:t>
      </w:r>
      <w:r>
        <w:rPr>
          <w:color w:val="auto"/>
          <w:szCs w:val="21"/>
          <w:highlight w:val="none"/>
          <w:u w:val="single"/>
        </w:rPr>
        <w:t xml:space="preserve">                   </w:t>
      </w:r>
      <w:r>
        <w:rPr>
          <w:color w:val="auto"/>
          <w:szCs w:val="21"/>
          <w:highlight w:val="none"/>
        </w:rPr>
        <w:t>；性别：</w:t>
      </w:r>
      <w:r>
        <w:rPr>
          <w:color w:val="auto"/>
          <w:szCs w:val="21"/>
          <w:highlight w:val="none"/>
          <w:u w:val="single"/>
        </w:rPr>
        <w:t xml:space="preserve">              </w:t>
      </w:r>
      <w:r>
        <w:rPr>
          <w:color w:val="auto"/>
          <w:szCs w:val="21"/>
          <w:highlight w:val="none"/>
        </w:rPr>
        <w:t xml:space="preserve">        </w:t>
      </w:r>
    </w:p>
    <w:p w14:paraId="46C4B305">
      <w:pPr>
        <w:spacing w:line="540" w:lineRule="exact"/>
        <w:rPr>
          <w:color w:val="auto"/>
          <w:szCs w:val="21"/>
          <w:highlight w:val="none"/>
        </w:rPr>
      </w:pPr>
      <w:r>
        <w:rPr>
          <w:color w:val="auto"/>
          <w:szCs w:val="21"/>
          <w:highlight w:val="none"/>
        </w:rPr>
        <w:t>年龄：</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r>
        <w:rPr>
          <w:color w:val="auto"/>
          <w:szCs w:val="21"/>
          <w:highlight w:val="none"/>
        </w:rPr>
        <w:t>；身份证：</w:t>
      </w:r>
      <w:r>
        <w:rPr>
          <w:color w:val="auto"/>
          <w:szCs w:val="21"/>
          <w:highlight w:val="none"/>
          <w:u w:val="single"/>
        </w:rPr>
        <w:t xml:space="preserve">                                      </w:t>
      </w:r>
    </w:p>
    <w:p w14:paraId="0F7A1359">
      <w:pPr>
        <w:spacing w:line="540" w:lineRule="exact"/>
        <w:rPr>
          <w:color w:val="auto"/>
          <w:szCs w:val="21"/>
          <w:highlight w:val="none"/>
        </w:rPr>
      </w:pPr>
      <w:r>
        <w:rPr>
          <w:color w:val="auto"/>
          <w:szCs w:val="21"/>
          <w:highlight w:val="none"/>
        </w:rPr>
        <w:t>系</w:t>
      </w:r>
      <w:r>
        <w:rPr>
          <w:color w:val="auto"/>
          <w:szCs w:val="21"/>
          <w:highlight w:val="none"/>
          <w:u w:val="single"/>
        </w:rPr>
        <w:t xml:space="preserve">                                      （ </w:t>
      </w:r>
      <w:r>
        <w:rPr>
          <w:rFonts w:hint="eastAsia"/>
          <w:color w:val="auto"/>
          <w:szCs w:val="21"/>
          <w:highlight w:val="none"/>
          <w:u w:val="single"/>
          <w:lang w:eastAsia="zh-CN"/>
        </w:rPr>
        <w:t>投标人</w:t>
      </w:r>
      <w:r>
        <w:rPr>
          <w:color w:val="auto"/>
          <w:szCs w:val="21"/>
          <w:highlight w:val="none"/>
          <w:u w:val="single"/>
        </w:rPr>
        <w:t>名称）</w:t>
      </w:r>
      <w:r>
        <w:rPr>
          <w:color w:val="auto"/>
          <w:szCs w:val="21"/>
          <w:highlight w:val="none"/>
        </w:rPr>
        <w:t>的法定代表人。</w:t>
      </w:r>
    </w:p>
    <w:p w14:paraId="26166E5D">
      <w:pPr>
        <w:spacing w:line="540" w:lineRule="exact"/>
        <w:rPr>
          <w:color w:val="auto"/>
          <w:szCs w:val="21"/>
          <w:highlight w:val="none"/>
        </w:rPr>
      </w:pPr>
    </w:p>
    <w:p w14:paraId="6CDBE2E6">
      <w:pPr>
        <w:spacing w:line="540" w:lineRule="exact"/>
        <w:ind w:firstLine="420" w:firstLineChars="200"/>
        <w:rPr>
          <w:color w:val="auto"/>
          <w:szCs w:val="21"/>
          <w:highlight w:val="none"/>
        </w:rPr>
      </w:pPr>
      <w:r>
        <w:rPr>
          <w:color w:val="auto"/>
          <w:szCs w:val="21"/>
          <w:highlight w:val="none"/>
        </w:rPr>
        <w:t>特此证明。</w:t>
      </w:r>
    </w:p>
    <w:p w14:paraId="2316F9D0">
      <w:pPr>
        <w:spacing w:line="360" w:lineRule="auto"/>
        <w:ind w:firstLine="4830" w:firstLineChars="2300"/>
        <w:rPr>
          <w:color w:val="auto"/>
          <w:szCs w:val="21"/>
          <w:highlight w:val="none"/>
        </w:rPr>
      </w:pPr>
      <w:r>
        <w:rPr>
          <w:rFonts w:hint="eastAsia"/>
          <w:color w:val="auto"/>
          <w:szCs w:val="21"/>
          <w:highlight w:val="none"/>
          <w:lang w:eastAsia="zh-CN"/>
        </w:rPr>
        <w:t>投标人</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54670F49">
      <w:pPr>
        <w:spacing w:line="360" w:lineRule="auto"/>
        <w:rPr>
          <w:color w:val="auto"/>
          <w:szCs w:val="21"/>
          <w:highlight w:val="none"/>
        </w:rPr>
      </w:pPr>
      <w:r>
        <w:rPr>
          <w:color w:val="auto"/>
          <w:szCs w:val="21"/>
          <w:highlight w:val="none"/>
        </w:rPr>
        <w:t xml:space="preserve">                                                                                               年       月       日 </w:t>
      </w:r>
    </w:p>
    <w:p w14:paraId="5D592E85">
      <w:pPr>
        <w:spacing w:line="360" w:lineRule="auto"/>
        <w:ind w:firstLine="420" w:firstLineChars="200"/>
        <w:rPr>
          <w:color w:val="auto"/>
          <w:szCs w:val="21"/>
          <w:highlight w:val="none"/>
        </w:rPr>
      </w:pPr>
    </w:p>
    <w:p w14:paraId="310EA25A">
      <w:pPr>
        <w:spacing w:line="360" w:lineRule="auto"/>
        <w:rPr>
          <w:color w:val="auto"/>
          <w:szCs w:val="21"/>
          <w:highlight w:val="none"/>
        </w:rPr>
      </w:pPr>
      <w:r>
        <w:rPr>
          <w:color w:val="auto"/>
          <w:szCs w:val="21"/>
          <w:highlight w:val="none"/>
        </w:rPr>
        <w:t>附件：法定代表人身份证复印件</w:t>
      </w:r>
    </w:p>
    <w:p w14:paraId="63B7CDA8">
      <w:pPr>
        <w:spacing w:line="360" w:lineRule="auto"/>
        <w:rPr>
          <w:color w:val="auto"/>
          <w:szCs w:val="21"/>
          <w:highlight w:val="none"/>
        </w:rPr>
      </w:pPr>
    </w:p>
    <w:bookmarkEnd w:id="190"/>
    <w:p w14:paraId="440C3A54">
      <w:pPr>
        <w:snapToGrid w:val="0"/>
        <w:spacing w:before="120" w:beforeLines="50" w:after="50" w:line="360" w:lineRule="exact"/>
        <w:rPr>
          <w:b/>
          <w:color w:val="auto"/>
          <w:szCs w:val="21"/>
          <w:highlight w:val="none"/>
        </w:rPr>
      </w:pPr>
      <w:r>
        <w:rPr>
          <w:b/>
          <w:color w:val="auto"/>
          <w:szCs w:val="21"/>
          <w:highlight w:val="none"/>
        </w:rPr>
        <w:br w:type="page"/>
      </w:r>
      <w:r>
        <w:rPr>
          <w:rFonts w:hint="eastAsia"/>
          <w:b/>
          <w:color w:val="auto"/>
          <w:szCs w:val="21"/>
          <w:highlight w:val="none"/>
        </w:rPr>
        <w:t>1</w:t>
      </w:r>
      <w:r>
        <w:rPr>
          <w:b/>
          <w:color w:val="auto"/>
          <w:szCs w:val="21"/>
          <w:highlight w:val="none"/>
        </w:rPr>
        <w:t>．</w:t>
      </w:r>
      <w:r>
        <w:rPr>
          <w:rFonts w:hint="eastAsia"/>
          <w:b/>
          <w:color w:val="auto"/>
          <w:szCs w:val="21"/>
          <w:highlight w:val="none"/>
        </w:rPr>
        <w:t>授权</w:t>
      </w:r>
      <w:r>
        <w:rPr>
          <w:b/>
          <w:color w:val="auto"/>
          <w:szCs w:val="21"/>
          <w:highlight w:val="none"/>
        </w:rPr>
        <w:t>委托书</w:t>
      </w:r>
      <w:r>
        <w:rPr>
          <w:rFonts w:hint="eastAsia"/>
          <w:b/>
          <w:color w:val="auto"/>
          <w:szCs w:val="21"/>
          <w:highlight w:val="none"/>
        </w:rPr>
        <w:t>（有授权</w:t>
      </w:r>
      <w:r>
        <w:rPr>
          <w:b/>
          <w:color w:val="auto"/>
          <w:szCs w:val="21"/>
          <w:highlight w:val="none"/>
        </w:rPr>
        <w:t>代表</w:t>
      </w:r>
      <w:r>
        <w:rPr>
          <w:rFonts w:hint="eastAsia"/>
          <w:b/>
          <w:color w:val="auto"/>
          <w:szCs w:val="21"/>
          <w:highlight w:val="none"/>
        </w:rPr>
        <w:t>时提供）</w:t>
      </w:r>
      <w:r>
        <w:rPr>
          <w:b/>
          <w:color w:val="auto"/>
          <w:szCs w:val="21"/>
          <w:highlight w:val="none"/>
        </w:rPr>
        <w:t>：</w:t>
      </w:r>
    </w:p>
    <w:p w14:paraId="411E2715">
      <w:pPr>
        <w:snapToGrid w:val="0"/>
        <w:spacing w:before="120" w:beforeLines="50" w:after="50" w:line="440" w:lineRule="exact"/>
        <w:jc w:val="center"/>
        <w:rPr>
          <w:b/>
          <w:color w:val="auto"/>
          <w:szCs w:val="21"/>
          <w:highlight w:val="none"/>
        </w:rPr>
      </w:pPr>
    </w:p>
    <w:p w14:paraId="35134EE0">
      <w:pPr>
        <w:snapToGrid w:val="0"/>
        <w:spacing w:before="120" w:beforeLines="50" w:after="50" w:line="440" w:lineRule="exact"/>
        <w:jc w:val="center"/>
        <w:rPr>
          <w:b/>
          <w:color w:val="auto"/>
          <w:szCs w:val="21"/>
          <w:highlight w:val="none"/>
        </w:rPr>
      </w:pPr>
      <w:r>
        <w:rPr>
          <w:b/>
          <w:color w:val="auto"/>
          <w:szCs w:val="21"/>
          <w:highlight w:val="none"/>
        </w:rPr>
        <w:t>法定代表人授权委托书</w:t>
      </w:r>
    </w:p>
    <w:p w14:paraId="4D562A71">
      <w:pPr>
        <w:snapToGrid w:val="0"/>
        <w:spacing w:before="120" w:beforeLines="50" w:after="50" w:line="440" w:lineRule="exact"/>
        <w:rPr>
          <w:b/>
          <w:bCs/>
          <w:color w:val="auto"/>
          <w:szCs w:val="21"/>
          <w:highlight w:val="none"/>
        </w:rPr>
      </w:pPr>
      <w:r>
        <w:rPr>
          <w:bCs/>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color w:val="auto"/>
          <w:szCs w:val="21"/>
          <w:highlight w:val="none"/>
        </w:rPr>
        <w:t>：</w:t>
      </w:r>
    </w:p>
    <w:p w14:paraId="23A848B3">
      <w:pPr>
        <w:snapToGrid w:val="0"/>
        <w:spacing w:before="120" w:beforeLines="50" w:after="50" w:line="440" w:lineRule="exact"/>
        <w:ind w:firstLine="420" w:firstLineChars="200"/>
        <w:rPr>
          <w:color w:val="auto"/>
          <w:szCs w:val="21"/>
          <w:highlight w:val="none"/>
        </w:rPr>
      </w:pPr>
      <w:r>
        <w:rPr>
          <w:color w:val="auto"/>
          <w:szCs w:val="21"/>
          <w:highlight w:val="none"/>
        </w:rPr>
        <w:t>我</w:t>
      </w:r>
      <w:r>
        <w:rPr>
          <w:i/>
          <w:iCs/>
          <w:color w:val="auto"/>
          <w:szCs w:val="21"/>
          <w:highlight w:val="none"/>
          <w:u w:val="single"/>
        </w:rPr>
        <w:t>（</w:t>
      </w:r>
      <w:r>
        <w:rPr>
          <w:rFonts w:hint="eastAsia"/>
          <w:i/>
          <w:iCs/>
          <w:color w:val="auto"/>
          <w:szCs w:val="21"/>
          <w:highlight w:val="none"/>
          <w:u w:val="single"/>
        </w:rPr>
        <w:t>法定代表人姓名</w:t>
      </w:r>
      <w:r>
        <w:rPr>
          <w:i/>
          <w:iCs/>
          <w:color w:val="auto"/>
          <w:szCs w:val="21"/>
          <w:highlight w:val="none"/>
          <w:u w:val="single"/>
        </w:rPr>
        <w:t>）</w:t>
      </w:r>
      <w:r>
        <w:rPr>
          <w:color w:val="auto"/>
          <w:szCs w:val="21"/>
          <w:highlight w:val="none"/>
        </w:rPr>
        <w:t>系</w:t>
      </w:r>
      <w:r>
        <w:rPr>
          <w:i/>
          <w:iCs/>
          <w:color w:val="auto"/>
          <w:szCs w:val="21"/>
          <w:highlight w:val="none"/>
          <w:u w:val="single"/>
        </w:rPr>
        <w:t>（</w:t>
      </w:r>
      <w:r>
        <w:rPr>
          <w:rFonts w:hint="eastAsia"/>
          <w:i/>
          <w:iCs/>
          <w:color w:val="auto"/>
          <w:szCs w:val="21"/>
          <w:highlight w:val="none"/>
          <w:u w:val="single"/>
          <w:lang w:eastAsia="zh-CN"/>
        </w:rPr>
        <w:t>投标人</w:t>
      </w:r>
      <w:r>
        <w:rPr>
          <w:i/>
          <w:iCs/>
          <w:color w:val="auto"/>
          <w:szCs w:val="21"/>
          <w:highlight w:val="none"/>
          <w:u w:val="single"/>
        </w:rPr>
        <w:t>名称）</w:t>
      </w:r>
      <w:r>
        <w:rPr>
          <w:color w:val="auto"/>
          <w:szCs w:val="21"/>
          <w:highlight w:val="none"/>
        </w:rPr>
        <w:t xml:space="preserve">的法定代表人，现授权委托本单位在职职工 </w:t>
      </w:r>
      <w:r>
        <w:rPr>
          <w:color w:val="auto"/>
          <w:szCs w:val="21"/>
          <w:highlight w:val="none"/>
          <w:u w:val="single"/>
        </w:rPr>
        <w:t xml:space="preserve">        </w:t>
      </w:r>
      <w:r>
        <w:rPr>
          <w:color w:val="auto"/>
          <w:szCs w:val="21"/>
          <w:highlight w:val="none"/>
        </w:rPr>
        <w:t>（姓名）以我方的名义参加</w:t>
      </w:r>
      <w:r>
        <w:rPr>
          <w:color w:val="auto"/>
          <w:szCs w:val="21"/>
          <w:highlight w:val="none"/>
          <w:u w:val="single"/>
        </w:rPr>
        <w:t xml:space="preserve"> </w:t>
      </w:r>
      <w:r>
        <w:rPr>
          <w:rFonts w:hint="eastAsia"/>
          <w:i/>
          <w:iCs/>
          <w:color w:val="auto"/>
          <w:szCs w:val="21"/>
          <w:highlight w:val="none"/>
          <w:u w:val="single"/>
        </w:rPr>
        <w:t>（项目名称）</w:t>
      </w:r>
      <w:r>
        <w:rPr>
          <w:color w:val="auto"/>
          <w:szCs w:val="21"/>
          <w:highlight w:val="none"/>
          <w:u w:val="single"/>
        </w:rPr>
        <w:t xml:space="preserve"> </w:t>
      </w:r>
      <w:r>
        <w:rPr>
          <w:color w:val="auto"/>
          <w:szCs w:val="21"/>
          <w:highlight w:val="none"/>
        </w:rPr>
        <w:t>项目的投标活动，并代表我方全权办理针对上述项目的投标、开标、评审、签约等具体事务和签署相关文件。</w:t>
      </w:r>
    </w:p>
    <w:p w14:paraId="505DDF31">
      <w:pPr>
        <w:snapToGrid w:val="0"/>
        <w:spacing w:before="120" w:beforeLines="50" w:after="50" w:line="440" w:lineRule="exact"/>
        <w:rPr>
          <w:color w:val="auto"/>
          <w:szCs w:val="21"/>
          <w:highlight w:val="none"/>
        </w:rPr>
      </w:pPr>
      <w:r>
        <w:rPr>
          <w:color w:val="auto"/>
          <w:szCs w:val="21"/>
          <w:highlight w:val="none"/>
        </w:rPr>
        <w:t xml:space="preserve">    我方对被授权人的签名事项负全部责任。</w:t>
      </w:r>
    </w:p>
    <w:p w14:paraId="77396E41">
      <w:pPr>
        <w:snapToGrid w:val="0"/>
        <w:spacing w:before="120" w:beforeLines="50" w:after="50" w:line="440" w:lineRule="exact"/>
        <w:ind w:firstLine="480"/>
        <w:rPr>
          <w:color w:val="auto"/>
          <w:szCs w:val="21"/>
          <w:highlight w:val="none"/>
        </w:rPr>
      </w:pPr>
      <w:r>
        <w:rPr>
          <w:color w:val="auto"/>
          <w:szCs w:val="21"/>
          <w:highlight w:val="none"/>
        </w:rPr>
        <w:t>在撤销授权的书面通知以前，本授权书一直有效。被授权人在授权书有效期内签署的所有文件不因授权的撤销而失效。</w:t>
      </w:r>
    </w:p>
    <w:p w14:paraId="5E5D386E">
      <w:pPr>
        <w:snapToGrid w:val="0"/>
        <w:spacing w:before="120" w:beforeLines="50" w:after="50" w:line="440" w:lineRule="exact"/>
        <w:ind w:firstLine="480"/>
        <w:rPr>
          <w:color w:val="auto"/>
          <w:szCs w:val="21"/>
          <w:highlight w:val="none"/>
        </w:rPr>
      </w:pPr>
      <w:r>
        <w:rPr>
          <w:color w:val="auto"/>
          <w:szCs w:val="21"/>
          <w:highlight w:val="none"/>
        </w:rPr>
        <w:t>被授权人无转委托权，特此委托。</w:t>
      </w:r>
    </w:p>
    <w:p w14:paraId="34933258">
      <w:pPr>
        <w:snapToGrid w:val="0"/>
        <w:spacing w:before="120" w:beforeLines="50" w:after="50" w:line="440" w:lineRule="exact"/>
        <w:rPr>
          <w:color w:val="auto"/>
          <w:szCs w:val="21"/>
          <w:highlight w:val="none"/>
          <w:u w:val="single"/>
        </w:rPr>
      </w:pPr>
      <w:r>
        <w:rPr>
          <w:color w:val="auto"/>
          <w:szCs w:val="21"/>
          <w:highlight w:val="none"/>
        </w:rPr>
        <w:t>被授权人签字或</w:t>
      </w:r>
      <w:r>
        <w:rPr>
          <w:rFonts w:hint="eastAsia"/>
          <w:color w:val="auto"/>
          <w:szCs w:val="21"/>
          <w:highlight w:val="none"/>
        </w:rPr>
        <w:t>签</w:t>
      </w:r>
      <w:r>
        <w:rPr>
          <w:color w:val="auto"/>
          <w:szCs w:val="21"/>
          <w:highlight w:val="none"/>
        </w:rPr>
        <w:t>章：</w:t>
      </w:r>
      <w:r>
        <w:rPr>
          <w:color w:val="auto"/>
          <w:szCs w:val="21"/>
          <w:highlight w:val="none"/>
          <w:u w:val="single"/>
        </w:rPr>
        <w:t xml:space="preserve">          </w:t>
      </w:r>
      <w:r>
        <w:rPr>
          <w:color w:val="auto"/>
          <w:szCs w:val="21"/>
          <w:highlight w:val="none"/>
        </w:rPr>
        <w:t xml:space="preserve">                     法定代表人签字或</w:t>
      </w:r>
      <w:r>
        <w:rPr>
          <w:rFonts w:hint="eastAsia"/>
          <w:color w:val="auto"/>
          <w:szCs w:val="21"/>
          <w:highlight w:val="none"/>
        </w:rPr>
        <w:t>签</w:t>
      </w:r>
      <w:r>
        <w:rPr>
          <w:color w:val="auto"/>
          <w:szCs w:val="21"/>
          <w:highlight w:val="none"/>
        </w:rPr>
        <w:t>章：</w:t>
      </w:r>
      <w:r>
        <w:rPr>
          <w:color w:val="auto"/>
          <w:szCs w:val="21"/>
          <w:highlight w:val="none"/>
          <w:u w:val="single"/>
        </w:rPr>
        <w:t xml:space="preserve">          </w:t>
      </w:r>
    </w:p>
    <w:p w14:paraId="0CAA0708">
      <w:pPr>
        <w:snapToGrid w:val="0"/>
        <w:spacing w:before="120" w:beforeLines="50" w:after="50" w:line="440" w:lineRule="exact"/>
        <w:rPr>
          <w:color w:val="auto"/>
          <w:szCs w:val="21"/>
          <w:highlight w:val="none"/>
        </w:rPr>
      </w:pPr>
      <w:r>
        <w:rPr>
          <w:color w:val="auto"/>
          <w:szCs w:val="21"/>
          <w:highlight w:val="none"/>
        </w:rPr>
        <w:t>职务：</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p>
    <w:p w14:paraId="06BD9A5E">
      <w:pPr>
        <w:snapToGrid w:val="0"/>
        <w:spacing w:before="120" w:beforeLines="50" w:after="50" w:line="440" w:lineRule="exact"/>
        <w:rPr>
          <w:color w:val="auto"/>
          <w:szCs w:val="21"/>
          <w:highlight w:val="none"/>
          <w:u w:val="single"/>
        </w:rPr>
      </w:pPr>
      <w:bookmarkStart w:id="191" w:name="_Hlk138844890"/>
      <w:r>
        <w:rPr>
          <w:color w:val="auto"/>
          <w:szCs w:val="21"/>
          <w:highlight w:val="none"/>
        </w:rPr>
        <w:t>被授权人身份证号码：</w:t>
      </w:r>
      <w:r>
        <w:rPr>
          <w:color w:val="auto"/>
          <w:szCs w:val="21"/>
          <w:highlight w:val="none"/>
          <w:u w:val="single"/>
        </w:rPr>
        <w:t xml:space="preserve">                   </w:t>
      </w:r>
      <w:r>
        <w:rPr>
          <w:color w:val="auto"/>
          <w:szCs w:val="21"/>
          <w:highlight w:val="none"/>
        </w:rPr>
        <w:t xml:space="preserve">  </w:t>
      </w:r>
      <w:bookmarkEnd w:id="191"/>
      <w:r>
        <w:rPr>
          <w:color w:val="auto"/>
          <w:szCs w:val="21"/>
          <w:highlight w:val="none"/>
        </w:rPr>
        <w:t xml:space="preserve">          授权人身份证号码：</w:t>
      </w:r>
      <w:r>
        <w:rPr>
          <w:color w:val="auto"/>
          <w:szCs w:val="21"/>
          <w:highlight w:val="none"/>
          <w:u w:val="single"/>
        </w:rPr>
        <w:t xml:space="preserve">                 </w:t>
      </w:r>
    </w:p>
    <w:p w14:paraId="6F0B718D">
      <w:pPr>
        <w:snapToGrid w:val="0"/>
        <w:spacing w:before="120" w:beforeLines="50" w:after="50" w:line="440" w:lineRule="exact"/>
        <w:rPr>
          <w:color w:val="auto"/>
          <w:szCs w:val="21"/>
          <w:highlight w:val="none"/>
        </w:rPr>
      </w:pPr>
      <w:r>
        <w:rPr>
          <w:rFonts w:hint="eastAsia"/>
          <w:color w:val="auto"/>
          <w:szCs w:val="21"/>
          <w:highlight w:val="none"/>
        </w:rPr>
        <w:t>被授权人</w:t>
      </w:r>
      <w:bookmarkStart w:id="192" w:name="_Hlk132793041"/>
      <w:r>
        <w:rPr>
          <w:rFonts w:hint="eastAsia"/>
          <w:color w:val="auto"/>
          <w:szCs w:val="21"/>
          <w:highlight w:val="none"/>
        </w:rPr>
        <w:t>手机号码及邮箱：</w:t>
      </w:r>
      <w:bookmarkEnd w:id="192"/>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 xml:space="preserve"> </w:t>
      </w:r>
      <w:r>
        <w:rPr>
          <w:color w:val="auto"/>
          <w:szCs w:val="21"/>
          <w:highlight w:val="none"/>
        </w:rPr>
        <w:t xml:space="preserve">                  </w:t>
      </w:r>
    </w:p>
    <w:p w14:paraId="2548E6F8">
      <w:pPr>
        <w:snapToGrid w:val="0"/>
        <w:spacing w:before="120" w:beforeLines="50" w:after="50" w:line="440" w:lineRule="exact"/>
        <w:rPr>
          <w:color w:val="auto"/>
          <w:szCs w:val="21"/>
          <w:highlight w:val="none"/>
        </w:rPr>
      </w:pPr>
      <w:r>
        <w:rPr>
          <w:color w:val="auto"/>
          <w:szCs w:val="21"/>
          <w:highlight w:val="none"/>
        </w:rPr>
        <w:t xml:space="preserve">                                  </w:t>
      </w:r>
    </w:p>
    <w:p w14:paraId="2150BA5C">
      <w:pPr>
        <w:snapToGrid w:val="0"/>
        <w:spacing w:before="120" w:beforeLines="50" w:after="50" w:line="440" w:lineRule="exact"/>
        <w:ind w:firstLine="5250" w:firstLineChars="2500"/>
        <w:rPr>
          <w:color w:val="auto"/>
          <w:szCs w:val="21"/>
          <w:highlight w:val="none"/>
        </w:rPr>
      </w:pPr>
      <w:r>
        <w:rPr>
          <w:rFonts w:hint="eastAsia"/>
          <w:color w:val="auto"/>
          <w:szCs w:val="21"/>
          <w:highlight w:val="none"/>
          <w:lang w:eastAsia="zh-CN"/>
        </w:rPr>
        <w:t>投标人</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7E7618CC">
      <w:pPr>
        <w:snapToGrid w:val="0"/>
        <w:spacing w:before="120" w:beforeLines="50" w:after="50" w:line="440" w:lineRule="exact"/>
        <w:jc w:val="center"/>
        <w:rPr>
          <w:color w:val="auto"/>
          <w:szCs w:val="21"/>
          <w:highlight w:val="none"/>
        </w:rPr>
      </w:pPr>
      <w:r>
        <w:rPr>
          <w:color w:val="auto"/>
          <w:szCs w:val="21"/>
          <w:highlight w:val="none"/>
        </w:rPr>
        <w:t xml:space="preserve">                                        年    月    日</w:t>
      </w:r>
    </w:p>
    <w:p w14:paraId="2816E56F">
      <w:pPr>
        <w:spacing w:line="360" w:lineRule="auto"/>
        <w:rPr>
          <w:color w:val="auto"/>
          <w:szCs w:val="21"/>
          <w:highlight w:val="none"/>
        </w:rPr>
      </w:pPr>
    </w:p>
    <w:p w14:paraId="46B39AFD">
      <w:pPr>
        <w:spacing w:line="360" w:lineRule="auto"/>
        <w:rPr>
          <w:color w:val="auto"/>
          <w:szCs w:val="21"/>
          <w:highlight w:val="none"/>
        </w:rPr>
      </w:pPr>
    </w:p>
    <w:p w14:paraId="1F44584C">
      <w:pPr>
        <w:spacing w:line="360" w:lineRule="auto"/>
        <w:rPr>
          <w:color w:val="auto"/>
          <w:szCs w:val="21"/>
          <w:highlight w:val="none"/>
        </w:rPr>
      </w:pPr>
      <w:r>
        <w:rPr>
          <w:color w:val="auto"/>
          <w:szCs w:val="21"/>
          <w:highlight w:val="none"/>
        </w:rPr>
        <w:t>附件：法定代表人身份证复印件及授权代表身份证复印件</w:t>
      </w:r>
    </w:p>
    <w:p w14:paraId="77361040">
      <w:pPr>
        <w:jc w:val="center"/>
        <w:rPr>
          <w:bCs/>
          <w:color w:val="auto"/>
          <w:sz w:val="28"/>
          <w:szCs w:val="28"/>
          <w:highlight w:val="none"/>
        </w:rPr>
      </w:pPr>
      <w:r>
        <w:rPr>
          <w:bCs/>
          <w:color w:val="auto"/>
          <w:sz w:val="24"/>
          <w:highlight w:val="none"/>
        </w:rPr>
        <w:br w:type="page"/>
      </w:r>
      <w:r>
        <w:rPr>
          <w:color w:val="auto"/>
          <w:sz w:val="28"/>
          <w:szCs w:val="28"/>
          <w:highlight w:val="none"/>
        </w:rPr>
        <w:t>第一部分 商务文件</w:t>
      </w:r>
    </w:p>
    <w:p w14:paraId="74ED9D62">
      <w:pPr>
        <w:jc w:val="center"/>
        <w:rPr>
          <w:bCs/>
          <w:color w:val="auto"/>
          <w:sz w:val="24"/>
          <w:highlight w:val="none"/>
        </w:rPr>
      </w:pPr>
      <w:r>
        <w:rPr>
          <w:color w:val="auto"/>
          <w:highlight w:val="none"/>
        </w:rPr>
        <w:t>（本商务文件</w:t>
      </w:r>
      <w:r>
        <w:rPr>
          <w:rFonts w:hint="eastAsia"/>
          <w:color w:val="auto"/>
          <w:highlight w:val="none"/>
          <w:lang w:eastAsia="zh-CN"/>
        </w:rPr>
        <w:t>投标人</w:t>
      </w:r>
      <w:r>
        <w:rPr>
          <w:color w:val="auto"/>
          <w:highlight w:val="none"/>
        </w:rPr>
        <w:t>可自行编写，也可参照下述提纲编写）</w:t>
      </w:r>
    </w:p>
    <w:p w14:paraId="4B2DFF69">
      <w:pPr>
        <w:snapToGrid w:val="0"/>
        <w:spacing w:before="50" w:after="120" w:afterLines="50" w:line="440" w:lineRule="exact"/>
        <w:jc w:val="left"/>
        <w:rPr>
          <w:color w:val="auto"/>
          <w:szCs w:val="21"/>
          <w:highlight w:val="none"/>
        </w:rPr>
      </w:pPr>
    </w:p>
    <w:p w14:paraId="160D868B">
      <w:pPr>
        <w:snapToGrid w:val="0"/>
        <w:spacing w:before="50" w:after="120" w:afterLines="50" w:line="440" w:lineRule="exact"/>
        <w:jc w:val="left"/>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《采购需求》“</w:t>
      </w:r>
      <w:r>
        <w:rPr>
          <w:color w:val="auto"/>
          <w:szCs w:val="21"/>
          <w:highlight w:val="none"/>
        </w:rPr>
        <w:t>商务要求</w:t>
      </w:r>
      <w:r>
        <w:rPr>
          <w:rFonts w:hint="eastAsia"/>
          <w:color w:val="auto"/>
          <w:szCs w:val="21"/>
          <w:highlight w:val="none"/>
        </w:rPr>
        <w:t>”</w:t>
      </w:r>
      <w:r>
        <w:rPr>
          <w:color w:val="auto"/>
          <w:szCs w:val="21"/>
          <w:highlight w:val="none"/>
        </w:rPr>
        <w:t>的</w:t>
      </w:r>
      <w:r>
        <w:rPr>
          <w:rFonts w:hint="eastAsia"/>
          <w:color w:val="auto"/>
          <w:szCs w:val="21"/>
          <w:highlight w:val="none"/>
        </w:rPr>
        <w:t>响应表</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2110"/>
        <w:gridCol w:w="4085"/>
        <w:gridCol w:w="1887"/>
      </w:tblGrid>
      <w:tr w14:paraId="7AC614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C7A7352">
            <w:pPr>
              <w:snapToGrid w:val="0"/>
              <w:spacing w:before="120" w:beforeLines="50"/>
              <w:jc w:val="center"/>
              <w:rPr>
                <w:color w:val="auto"/>
                <w:szCs w:val="21"/>
                <w:highlight w:val="none"/>
              </w:rPr>
            </w:pPr>
            <w:r>
              <w:rPr>
                <w:color w:val="auto"/>
                <w:szCs w:val="21"/>
                <w:highlight w:val="none"/>
              </w:rPr>
              <w:t>序号</w:t>
            </w:r>
          </w:p>
        </w:tc>
        <w:tc>
          <w:tcPr>
            <w:tcW w:w="2110" w:type="dxa"/>
            <w:tcBorders>
              <w:top w:val="single" w:color="auto" w:sz="4" w:space="0"/>
              <w:left w:val="single" w:color="auto" w:sz="4" w:space="0"/>
              <w:bottom w:val="single" w:color="auto" w:sz="4" w:space="0"/>
              <w:right w:val="single" w:color="auto" w:sz="4" w:space="0"/>
            </w:tcBorders>
            <w:noWrap w:val="0"/>
            <w:vAlign w:val="center"/>
          </w:tcPr>
          <w:p w14:paraId="1B82C972">
            <w:pPr>
              <w:snapToGrid w:val="0"/>
              <w:spacing w:before="120" w:beforeLines="50"/>
              <w:jc w:val="center"/>
              <w:rPr>
                <w:color w:val="auto"/>
                <w:szCs w:val="21"/>
                <w:highlight w:val="none"/>
              </w:rPr>
            </w:pPr>
            <w:r>
              <w:rPr>
                <w:color w:val="auto"/>
                <w:szCs w:val="21"/>
                <w:highlight w:val="none"/>
              </w:rPr>
              <w:t>招标文件的商务要求</w:t>
            </w:r>
          </w:p>
        </w:tc>
        <w:tc>
          <w:tcPr>
            <w:tcW w:w="4085" w:type="dxa"/>
            <w:tcBorders>
              <w:top w:val="single" w:color="auto" w:sz="4" w:space="0"/>
              <w:left w:val="single" w:color="auto" w:sz="4" w:space="0"/>
              <w:bottom w:val="single" w:color="auto" w:sz="4" w:space="0"/>
              <w:right w:val="single" w:color="auto" w:sz="4" w:space="0"/>
            </w:tcBorders>
            <w:noWrap w:val="0"/>
            <w:vAlign w:val="center"/>
          </w:tcPr>
          <w:p w14:paraId="749515ED">
            <w:pPr>
              <w:snapToGrid w:val="0"/>
              <w:spacing w:before="120" w:beforeLines="50"/>
              <w:jc w:val="center"/>
              <w:rPr>
                <w:color w:val="auto"/>
                <w:szCs w:val="21"/>
                <w:highlight w:val="none"/>
              </w:rPr>
            </w:pPr>
            <w:r>
              <w:rPr>
                <w:color w:val="auto"/>
                <w:szCs w:val="21"/>
                <w:highlight w:val="none"/>
              </w:rPr>
              <w:t>投标文件响应内容</w:t>
            </w:r>
          </w:p>
        </w:tc>
        <w:tc>
          <w:tcPr>
            <w:tcW w:w="1887" w:type="dxa"/>
            <w:tcBorders>
              <w:top w:val="single" w:color="auto" w:sz="4" w:space="0"/>
              <w:left w:val="single" w:color="auto" w:sz="4" w:space="0"/>
              <w:bottom w:val="single" w:color="auto" w:sz="4" w:space="0"/>
              <w:right w:val="single" w:color="auto" w:sz="4" w:space="0"/>
            </w:tcBorders>
            <w:noWrap w:val="0"/>
            <w:vAlign w:val="center"/>
          </w:tcPr>
          <w:p w14:paraId="2097FF3B">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55C521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80F7F62">
            <w:pPr>
              <w:snapToGrid w:val="0"/>
              <w:spacing w:before="120" w:beforeLines="50"/>
              <w:jc w:val="center"/>
              <w:rPr>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noWrap w:val="0"/>
            <w:vAlign w:val="center"/>
          </w:tcPr>
          <w:p w14:paraId="71A5EE7B">
            <w:pPr>
              <w:snapToGrid w:val="0"/>
              <w:spacing w:before="120" w:beforeLines="50"/>
              <w:jc w:val="center"/>
              <w:rPr>
                <w:color w:val="auto"/>
                <w:szCs w:val="21"/>
                <w:highlight w:val="none"/>
              </w:rPr>
            </w:pPr>
          </w:p>
        </w:tc>
        <w:tc>
          <w:tcPr>
            <w:tcW w:w="4085" w:type="dxa"/>
            <w:tcBorders>
              <w:top w:val="single" w:color="auto" w:sz="4" w:space="0"/>
              <w:left w:val="single" w:color="auto" w:sz="4" w:space="0"/>
              <w:bottom w:val="single" w:color="auto" w:sz="4" w:space="0"/>
              <w:right w:val="single" w:color="auto" w:sz="4" w:space="0"/>
            </w:tcBorders>
            <w:noWrap w:val="0"/>
            <w:vAlign w:val="center"/>
          </w:tcPr>
          <w:p w14:paraId="53571748">
            <w:pPr>
              <w:snapToGrid w:val="0"/>
              <w:spacing w:before="120" w:beforeLines="50"/>
              <w:jc w:val="center"/>
              <w:rPr>
                <w:color w:val="auto"/>
                <w:szCs w:val="21"/>
                <w:highlight w:val="none"/>
              </w:rPr>
            </w:pPr>
          </w:p>
        </w:tc>
        <w:tc>
          <w:tcPr>
            <w:tcW w:w="1887" w:type="dxa"/>
            <w:tcBorders>
              <w:top w:val="single" w:color="auto" w:sz="4" w:space="0"/>
              <w:left w:val="single" w:color="auto" w:sz="4" w:space="0"/>
              <w:bottom w:val="single" w:color="auto" w:sz="4" w:space="0"/>
              <w:right w:val="single" w:color="auto" w:sz="4" w:space="0"/>
            </w:tcBorders>
            <w:noWrap w:val="0"/>
            <w:vAlign w:val="center"/>
          </w:tcPr>
          <w:p w14:paraId="59525062">
            <w:pPr>
              <w:snapToGrid w:val="0"/>
              <w:spacing w:before="120" w:beforeLines="50"/>
              <w:jc w:val="center"/>
              <w:rPr>
                <w:color w:val="auto"/>
                <w:szCs w:val="21"/>
                <w:highlight w:val="none"/>
              </w:rPr>
            </w:pPr>
          </w:p>
        </w:tc>
      </w:tr>
      <w:tr w14:paraId="6A534F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6EA33B11">
            <w:pPr>
              <w:snapToGrid w:val="0"/>
              <w:spacing w:before="120" w:beforeLines="50"/>
              <w:jc w:val="center"/>
              <w:rPr>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noWrap w:val="0"/>
            <w:vAlign w:val="center"/>
          </w:tcPr>
          <w:p w14:paraId="49195F68">
            <w:pPr>
              <w:snapToGrid w:val="0"/>
              <w:spacing w:before="120" w:beforeLines="50"/>
              <w:jc w:val="center"/>
              <w:rPr>
                <w:color w:val="auto"/>
                <w:szCs w:val="21"/>
                <w:highlight w:val="none"/>
              </w:rPr>
            </w:pPr>
          </w:p>
        </w:tc>
        <w:tc>
          <w:tcPr>
            <w:tcW w:w="4085" w:type="dxa"/>
            <w:tcBorders>
              <w:top w:val="single" w:color="auto" w:sz="4" w:space="0"/>
              <w:left w:val="single" w:color="auto" w:sz="4" w:space="0"/>
              <w:bottom w:val="single" w:color="auto" w:sz="4" w:space="0"/>
              <w:right w:val="single" w:color="auto" w:sz="4" w:space="0"/>
            </w:tcBorders>
            <w:noWrap w:val="0"/>
            <w:vAlign w:val="center"/>
          </w:tcPr>
          <w:p w14:paraId="3DB062E4">
            <w:pPr>
              <w:snapToGrid w:val="0"/>
              <w:spacing w:before="120" w:beforeLines="50"/>
              <w:jc w:val="center"/>
              <w:rPr>
                <w:color w:val="auto"/>
                <w:szCs w:val="21"/>
                <w:highlight w:val="none"/>
              </w:rPr>
            </w:pPr>
          </w:p>
        </w:tc>
        <w:tc>
          <w:tcPr>
            <w:tcW w:w="1887" w:type="dxa"/>
            <w:tcBorders>
              <w:top w:val="single" w:color="auto" w:sz="4" w:space="0"/>
              <w:left w:val="single" w:color="auto" w:sz="4" w:space="0"/>
              <w:bottom w:val="single" w:color="auto" w:sz="4" w:space="0"/>
              <w:right w:val="single" w:color="auto" w:sz="4" w:space="0"/>
            </w:tcBorders>
            <w:noWrap w:val="0"/>
            <w:vAlign w:val="center"/>
          </w:tcPr>
          <w:p w14:paraId="17CAC748">
            <w:pPr>
              <w:snapToGrid w:val="0"/>
              <w:spacing w:before="120" w:beforeLines="50"/>
              <w:jc w:val="center"/>
              <w:rPr>
                <w:color w:val="auto"/>
                <w:szCs w:val="21"/>
                <w:highlight w:val="none"/>
              </w:rPr>
            </w:pPr>
          </w:p>
        </w:tc>
      </w:tr>
      <w:tr w14:paraId="676121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492F658">
            <w:pPr>
              <w:snapToGrid w:val="0"/>
              <w:spacing w:before="120" w:beforeLines="50"/>
              <w:jc w:val="center"/>
              <w:rPr>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noWrap w:val="0"/>
            <w:vAlign w:val="center"/>
          </w:tcPr>
          <w:p w14:paraId="73FB513E">
            <w:pPr>
              <w:snapToGrid w:val="0"/>
              <w:spacing w:before="120" w:beforeLines="50"/>
              <w:jc w:val="center"/>
              <w:rPr>
                <w:color w:val="auto"/>
                <w:szCs w:val="21"/>
                <w:highlight w:val="none"/>
              </w:rPr>
            </w:pPr>
            <w:r>
              <w:rPr>
                <w:color w:val="auto"/>
                <w:szCs w:val="21"/>
                <w:highlight w:val="none"/>
              </w:rPr>
              <w:t>……</w:t>
            </w:r>
          </w:p>
        </w:tc>
        <w:tc>
          <w:tcPr>
            <w:tcW w:w="4085" w:type="dxa"/>
            <w:tcBorders>
              <w:top w:val="single" w:color="auto" w:sz="4" w:space="0"/>
              <w:left w:val="single" w:color="auto" w:sz="4" w:space="0"/>
              <w:bottom w:val="single" w:color="auto" w:sz="4" w:space="0"/>
              <w:right w:val="single" w:color="auto" w:sz="4" w:space="0"/>
            </w:tcBorders>
            <w:noWrap w:val="0"/>
            <w:vAlign w:val="center"/>
          </w:tcPr>
          <w:p w14:paraId="321F1CC8">
            <w:pPr>
              <w:snapToGrid w:val="0"/>
              <w:spacing w:before="120" w:beforeLines="50"/>
              <w:jc w:val="center"/>
              <w:rPr>
                <w:color w:val="auto"/>
                <w:szCs w:val="21"/>
                <w:highlight w:val="none"/>
              </w:rPr>
            </w:pPr>
          </w:p>
        </w:tc>
        <w:tc>
          <w:tcPr>
            <w:tcW w:w="1887" w:type="dxa"/>
            <w:tcBorders>
              <w:top w:val="single" w:color="auto" w:sz="4" w:space="0"/>
              <w:left w:val="single" w:color="auto" w:sz="4" w:space="0"/>
              <w:bottom w:val="single" w:color="auto" w:sz="4" w:space="0"/>
              <w:right w:val="single" w:color="auto" w:sz="4" w:space="0"/>
            </w:tcBorders>
            <w:noWrap w:val="0"/>
            <w:vAlign w:val="center"/>
          </w:tcPr>
          <w:p w14:paraId="66FCB2FB">
            <w:pPr>
              <w:snapToGrid w:val="0"/>
              <w:spacing w:before="120" w:beforeLines="50"/>
              <w:jc w:val="center"/>
              <w:rPr>
                <w:color w:val="auto"/>
                <w:szCs w:val="21"/>
                <w:highlight w:val="none"/>
              </w:rPr>
            </w:pPr>
          </w:p>
        </w:tc>
      </w:tr>
    </w:tbl>
    <w:p w14:paraId="470AE131">
      <w:pPr>
        <w:pStyle w:val="27"/>
        <w:tabs>
          <w:tab w:val="left" w:pos="2127"/>
        </w:tabs>
        <w:spacing w:line="340" w:lineRule="exact"/>
        <w:ind w:firstLine="420" w:firstLineChars="200"/>
        <w:jc w:val="left"/>
        <w:rPr>
          <w:rFonts w:ascii="Times New Roman" w:hAnsi="Times New Roman" w:cs="Times New Roman"/>
          <w:color w:val="auto"/>
          <w:highlight w:val="none"/>
        </w:rPr>
      </w:pPr>
      <w:bookmarkStart w:id="193" w:name="_Hlk48144603"/>
      <w:bookmarkStart w:id="194" w:name="_Hlk88990584"/>
      <w:r>
        <w:rPr>
          <w:rFonts w:ascii="Times New Roman" w:hAnsi="Times New Roman" w:cs="Times New Roman"/>
          <w:color w:val="auto"/>
          <w:highlight w:val="none"/>
        </w:rPr>
        <w:t>注：</w:t>
      </w:r>
      <w:bookmarkStart w:id="195" w:name="_Hlk19049081"/>
      <w:r>
        <w:rPr>
          <w:rFonts w:ascii="Times New Roman" w:hAnsi="Times New Roman" w:cs="Times New Roman"/>
          <w:color w:val="auto"/>
          <w:highlight w:val="none"/>
        </w:rPr>
        <w:t>（1）本表应对招标文件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中所列商务要求进行响应，并根据响应情况在“偏离说明”栏填写正偏离或负偏离及原因，完全符合的填写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0A2A8DB8">
      <w:pPr>
        <w:pStyle w:val="27"/>
        <w:tabs>
          <w:tab w:val="left" w:pos="2127"/>
        </w:tabs>
        <w:spacing w:line="340" w:lineRule="exact"/>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hint="eastAsia" w:ascii="Times New Roman" w:hAnsi="Times New Roman" w:cs="Times New Roman"/>
          <w:color w:val="auto"/>
          <w:highlight w:val="none"/>
        </w:rPr>
        <w:t>中的总体要求无需响应。</w:t>
      </w:r>
    </w:p>
    <w:p w14:paraId="1FE7F672">
      <w:pPr>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bookmarkEnd w:id="195"/>
    <w:p w14:paraId="46E2D95C">
      <w:pPr>
        <w:pStyle w:val="27"/>
        <w:tabs>
          <w:tab w:val="left" w:pos="2127"/>
        </w:tabs>
        <w:spacing w:line="340" w:lineRule="exact"/>
        <w:ind w:firstLine="420" w:firstLineChars="200"/>
        <w:jc w:val="left"/>
        <w:rPr>
          <w:rFonts w:ascii="Times New Roman" w:hAnsi="Times New Roman" w:cs="Times New Roman"/>
          <w:color w:val="auto"/>
          <w:highlight w:val="none"/>
        </w:rPr>
      </w:pPr>
      <w:r>
        <w:rPr>
          <w:rFonts w:ascii="Times New Roman" w:hAnsi="Times New Roman" w:cs="Times New Roman"/>
          <w:color w:val="auto"/>
          <w:highlight w:val="none"/>
        </w:rPr>
        <w:t>（4）本表可扩展。</w:t>
      </w:r>
    </w:p>
    <w:bookmarkEnd w:id="193"/>
    <w:p w14:paraId="18F9AB30">
      <w:pPr>
        <w:snapToGrid w:val="0"/>
        <w:spacing w:before="50" w:after="120" w:afterLines="50" w:line="440" w:lineRule="exact"/>
        <w:jc w:val="left"/>
        <w:rPr>
          <w:color w:val="auto"/>
          <w:spacing w:val="20"/>
          <w:szCs w:val="21"/>
          <w:highlight w:val="none"/>
          <w:u w:val="single"/>
        </w:rPr>
      </w:pPr>
      <w:r>
        <w:rPr>
          <w:rFonts w:hint="eastAsia"/>
          <w:color w:val="auto"/>
          <w:szCs w:val="21"/>
          <w:highlight w:val="none"/>
          <w:lang w:eastAsia="zh-CN"/>
        </w:rPr>
        <w:t>投标人</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bookmarkEnd w:id="194"/>
    <w:p w14:paraId="6AFD71F0">
      <w:pPr>
        <w:snapToGrid w:val="0"/>
        <w:spacing w:before="50" w:after="120" w:afterLines="50" w:line="440" w:lineRule="exact"/>
        <w:jc w:val="left"/>
        <w:rPr>
          <w:color w:val="auto"/>
          <w:szCs w:val="21"/>
          <w:highlight w:val="none"/>
        </w:rPr>
      </w:pPr>
    </w:p>
    <w:p w14:paraId="041C9FE6">
      <w:pPr>
        <w:snapToGrid w:val="0"/>
        <w:spacing w:before="50" w:after="120" w:afterLines="50" w:line="440" w:lineRule="exact"/>
        <w:jc w:val="left"/>
        <w:rPr>
          <w:color w:val="auto"/>
          <w:szCs w:val="21"/>
          <w:highlight w:val="none"/>
        </w:rPr>
      </w:pPr>
      <w:r>
        <w:rPr>
          <w:rFonts w:hint="eastAsia"/>
          <w:color w:val="auto"/>
          <w:szCs w:val="21"/>
          <w:highlight w:val="none"/>
        </w:rPr>
        <w:t>2</w:t>
      </w:r>
      <w:r>
        <w:rPr>
          <w:color w:val="auto"/>
          <w:szCs w:val="21"/>
          <w:highlight w:val="none"/>
        </w:rPr>
        <w:t>．售后服务方案（如有</w:t>
      </w:r>
      <w:r>
        <w:rPr>
          <w:rFonts w:hint="eastAsia"/>
          <w:color w:val="auto"/>
          <w:szCs w:val="21"/>
          <w:highlight w:val="none"/>
        </w:rPr>
        <w:t>，</w:t>
      </w:r>
      <w:r>
        <w:rPr>
          <w:rFonts w:hint="eastAsia"/>
          <w:color w:val="auto"/>
          <w:szCs w:val="21"/>
          <w:highlight w:val="none"/>
          <w:lang w:eastAsia="zh-CN"/>
        </w:rPr>
        <w:t>投标人</w:t>
      </w:r>
      <w:r>
        <w:rPr>
          <w:color w:val="auto"/>
          <w:szCs w:val="21"/>
          <w:highlight w:val="none"/>
        </w:rPr>
        <w:t>自行编写）</w:t>
      </w:r>
    </w:p>
    <w:p w14:paraId="28923C63">
      <w:pPr>
        <w:snapToGrid w:val="0"/>
        <w:spacing w:before="50" w:after="120" w:afterLines="50" w:line="440" w:lineRule="exact"/>
        <w:jc w:val="left"/>
        <w:rPr>
          <w:color w:val="auto"/>
          <w:szCs w:val="21"/>
          <w:highlight w:val="none"/>
        </w:rPr>
      </w:pPr>
    </w:p>
    <w:p w14:paraId="6995C749">
      <w:pPr>
        <w:snapToGrid w:val="0"/>
        <w:spacing w:before="50" w:after="120" w:afterLines="50" w:line="440" w:lineRule="exact"/>
        <w:jc w:val="left"/>
        <w:rPr>
          <w:color w:val="auto"/>
          <w:spacing w:val="20"/>
          <w:szCs w:val="21"/>
          <w:highlight w:val="none"/>
          <w:u w:val="single"/>
        </w:rPr>
      </w:pPr>
    </w:p>
    <w:p w14:paraId="1D1932D0">
      <w:pPr>
        <w:numPr>
          <w:ilvl w:val="0"/>
          <w:numId w:val="0"/>
        </w:numPr>
        <w:snapToGrid w:val="0"/>
        <w:spacing w:before="50" w:after="120" w:afterLines="50"/>
        <w:jc w:val="left"/>
        <w:rPr>
          <w:color w:val="auto"/>
          <w:szCs w:val="21"/>
          <w:highlight w:val="none"/>
        </w:rPr>
      </w:pPr>
      <w:r>
        <w:rPr>
          <w:rFonts w:hint="eastAsia"/>
          <w:color w:val="auto"/>
          <w:szCs w:val="21"/>
          <w:highlight w:val="none"/>
          <w:lang w:val="en-US" w:eastAsia="zh-CN"/>
        </w:rPr>
        <w:t>3.</w:t>
      </w:r>
      <w:r>
        <w:rPr>
          <w:color w:val="auto"/>
          <w:szCs w:val="21"/>
          <w:highlight w:val="none"/>
        </w:rPr>
        <w:t>项目拟投入服务团队人员结构表（包括但不限于学历、证书情况、职称、年龄等）</w:t>
      </w:r>
    </w:p>
    <w:p w14:paraId="7FDAAD2D">
      <w:pPr>
        <w:snapToGrid w:val="0"/>
        <w:spacing w:before="120" w:beforeLines="50" w:after="50" w:line="400" w:lineRule="exact"/>
        <w:jc w:val="center"/>
        <w:rPr>
          <w:color w:val="auto"/>
          <w:szCs w:val="21"/>
          <w:highlight w:val="none"/>
        </w:rPr>
      </w:pPr>
      <w:r>
        <w:rPr>
          <w:color w:val="auto"/>
          <w:szCs w:val="21"/>
          <w:highlight w:val="none"/>
        </w:rPr>
        <w:t>项目拟投入服务团队人员（含项目负责人）一览表</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312D6F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center"/>
          </w:tcPr>
          <w:p w14:paraId="3ECA823E">
            <w:pPr>
              <w:snapToGrid w:val="0"/>
              <w:spacing w:before="120" w:beforeLines="50" w:after="50"/>
              <w:jc w:val="center"/>
              <w:rPr>
                <w:color w:val="auto"/>
                <w:szCs w:val="21"/>
                <w:highlight w:val="none"/>
              </w:rPr>
            </w:pPr>
            <w:r>
              <w:rPr>
                <w:color w:val="auto"/>
                <w:szCs w:val="21"/>
                <w:highlight w:val="none"/>
              </w:rPr>
              <w:t>姓名</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CFBB7F9">
            <w:pPr>
              <w:snapToGrid w:val="0"/>
              <w:spacing w:before="120" w:beforeLines="50" w:after="50"/>
              <w:jc w:val="center"/>
              <w:rPr>
                <w:color w:val="auto"/>
                <w:szCs w:val="21"/>
                <w:highlight w:val="none"/>
              </w:rPr>
            </w:pPr>
            <w:r>
              <w:rPr>
                <w:color w:val="auto"/>
                <w:szCs w:val="21"/>
                <w:highlight w:val="none"/>
              </w:rPr>
              <w:t>职务</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70FE432">
            <w:pPr>
              <w:snapToGrid w:val="0"/>
              <w:spacing w:before="120" w:beforeLines="50" w:after="50"/>
              <w:jc w:val="center"/>
              <w:rPr>
                <w:color w:val="auto"/>
                <w:szCs w:val="21"/>
                <w:highlight w:val="none"/>
              </w:rPr>
            </w:pPr>
            <w:r>
              <w:rPr>
                <w:color w:val="auto"/>
                <w:szCs w:val="21"/>
                <w:highlight w:val="none"/>
              </w:rPr>
              <w:t>分配岗位</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685BD86">
            <w:pPr>
              <w:snapToGrid w:val="0"/>
              <w:spacing w:before="120" w:beforeLines="50" w:after="50"/>
              <w:jc w:val="center"/>
              <w:rPr>
                <w:color w:val="auto"/>
                <w:szCs w:val="21"/>
                <w:highlight w:val="none"/>
              </w:rPr>
            </w:pPr>
            <w:r>
              <w:rPr>
                <w:color w:val="auto"/>
                <w:szCs w:val="21"/>
                <w:highlight w:val="none"/>
              </w:rPr>
              <w:t>持证情况</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8C97E47">
            <w:pPr>
              <w:snapToGrid w:val="0"/>
              <w:spacing w:before="120" w:beforeLines="50" w:after="50"/>
              <w:jc w:val="center"/>
              <w:rPr>
                <w:color w:val="auto"/>
                <w:szCs w:val="21"/>
                <w:highlight w:val="none"/>
              </w:rPr>
            </w:pPr>
            <w:r>
              <w:rPr>
                <w:color w:val="auto"/>
                <w:szCs w:val="21"/>
                <w:highlight w:val="none"/>
              </w:rPr>
              <w:t>年龄</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CF92554">
            <w:pPr>
              <w:snapToGrid w:val="0"/>
              <w:spacing w:before="120" w:beforeLines="50" w:after="50"/>
              <w:jc w:val="center"/>
              <w:rPr>
                <w:bCs/>
                <w:color w:val="auto"/>
                <w:szCs w:val="21"/>
                <w:highlight w:val="none"/>
              </w:rPr>
            </w:pPr>
            <w:r>
              <w:rPr>
                <w:bCs/>
                <w:color w:val="auto"/>
                <w:szCs w:val="21"/>
                <w:highlight w:val="none"/>
              </w:rPr>
              <w:t>劳动合同编号</w:t>
            </w:r>
          </w:p>
        </w:tc>
      </w:tr>
      <w:tr w14:paraId="401A62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55D5CC8C">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A68D708">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B828741">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12142D8A">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2D0E6DEF">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4DD142B4">
            <w:pPr>
              <w:snapToGrid w:val="0"/>
              <w:spacing w:before="120" w:beforeLines="50" w:after="50"/>
              <w:rPr>
                <w:color w:val="auto"/>
                <w:szCs w:val="21"/>
                <w:highlight w:val="none"/>
              </w:rPr>
            </w:pPr>
          </w:p>
        </w:tc>
      </w:tr>
      <w:tr w14:paraId="521239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5D527D7E">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AF09E99">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FD998C1">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41DF538C">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E393E44">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4A198836">
            <w:pPr>
              <w:snapToGrid w:val="0"/>
              <w:spacing w:before="120" w:beforeLines="50" w:after="50"/>
              <w:rPr>
                <w:color w:val="auto"/>
                <w:szCs w:val="21"/>
                <w:highlight w:val="none"/>
              </w:rPr>
            </w:pPr>
          </w:p>
        </w:tc>
      </w:tr>
      <w:tr w14:paraId="222898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608F71BB">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B4164B6">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91CEC73">
            <w:pPr>
              <w:pStyle w:val="29"/>
              <w:snapToGrid w:val="0"/>
              <w:spacing w:before="120" w:beforeLines="50" w:after="50"/>
              <w:ind w:left="5250"/>
              <w:rPr>
                <w:rFonts w:ascii="Times New Roman" w:hAnsi="Times New Roman"/>
                <w:color w:val="auto"/>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4D7FA13D">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DDF86FF">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52549CD8">
            <w:pPr>
              <w:snapToGrid w:val="0"/>
              <w:spacing w:before="120" w:beforeLines="50" w:after="50"/>
              <w:rPr>
                <w:color w:val="auto"/>
                <w:szCs w:val="21"/>
                <w:highlight w:val="none"/>
              </w:rPr>
            </w:pPr>
          </w:p>
        </w:tc>
      </w:tr>
    </w:tbl>
    <w:p w14:paraId="0D178134">
      <w:pPr>
        <w:snapToGrid w:val="0"/>
        <w:spacing w:before="50" w:after="120" w:afterLines="50" w:line="440" w:lineRule="exact"/>
        <w:jc w:val="left"/>
        <w:rPr>
          <w:color w:val="auto"/>
          <w:szCs w:val="21"/>
          <w:highlight w:val="none"/>
        </w:rPr>
      </w:pPr>
      <w:r>
        <w:rPr>
          <w:color w:val="auto"/>
          <w:szCs w:val="21"/>
          <w:highlight w:val="none"/>
        </w:rPr>
        <w:t>注：在填写时，如本表格不适合投标单位的实际情况，可根据本表格式自行划表填写。</w:t>
      </w:r>
    </w:p>
    <w:p w14:paraId="24ADB87D">
      <w:pPr>
        <w:rPr>
          <w:color w:val="auto"/>
          <w:spacing w:val="20"/>
          <w:szCs w:val="21"/>
          <w:highlight w:val="none"/>
          <w:u w:val="single"/>
        </w:rPr>
      </w:pPr>
      <w:r>
        <w:rPr>
          <w:rFonts w:hint="eastAsia"/>
          <w:color w:val="auto"/>
          <w:szCs w:val="21"/>
          <w:highlight w:val="none"/>
          <w:lang w:eastAsia="zh-CN"/>
        </w:rPr>
        <w:t>投标人</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6E51DE4D">
      <w:pPr>
        <w:snapToGrid w:val="0"/>
        <w:spacing w:before="50" w:after="120" w:afterLines="50" w:line="440" w:lineRule="exact"/>
        <w:jc w:val="left"/>
        <w:rPr>
          <w:color w:val="auto"/>
          <w:spacing w:val="20"/>
          <w:szCs w:val="21"/>
          <w:highlight w:val="none"/>
          <w:u w:val="single"/>
        </w:rPr>
        <w:sectPr>
          <w:headerReference r:id="rId14" w:type="first"/>
          <w:headerReference r:id="rId13" w:type="default"/>
          <w:pgSz w:w="11906" w:h="16838"/>
          <w:pgMar w:top="1418" w:right="1133" w:bottom="1246"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09C7CA3E">
      <w:pPr>
        <w:snapToGrid w:val="0"/>
        <w:spacing w:before="50" w:after="120" w:afterLines="50"/>
        <w:jc w:val="left"/>
        <w:rPr>
          <w:b/>
          <w:color w:val="auto"/>
          <w:szCs w:val="21"/>
          <w:highlight w:val="none"/>
        </w:rPr>
      </w:pPr>
      <w:r>
        <w:rPr>
          <w:rFonts w:hint="eastAsia"/>
          <w:color w:val="auto"/>
          <w:szCs w:val="21"/>
          <w:highlight w:val="none"/>
          <w:lang w:val="en-US" w:eastAsia="zh-CN"/>
        </w:rPr>
        <w:t>4</w:t>
      </w:r>
      <w:r>
        <w:rPr>
          <w:color w:val="auto"/>
          <w:szCs w:val="21"/>
          <w:highlight w:val="none"/>
        </w:rPr>
        <w:t>．近年</w:t>
      </w:r>
      <w:r>
        <w:rPr>
          <w:rFonts w:hint="eastAsia"/>
          <w:color w:val="auto"/>
          <w:szCs w:val="21"/>
          <w:highlight w:val="none"/>
          <w:lang w:eastAsia="zh-CN"/>
        </w:rPr>
        <w:t>投标人</w:t>
      </w:r>
      <w:r>
        <w:rPr>
          <w:color w:val="auto"/>
          <w:szCs w:val="21"/>
          <w:highlight w:val="none"/>
        </w:rPr>
        <w:t>类似成功案例的业绩证明</w:t>
      </w:r>
      <w:r>
        <w:rPr>
          <w:rFonts w:hint="eastAsia"/>
          <w:color w:val="auto"/>
          <w:szCs w:val="21"/>
          <w:highlight w:val="none"/>
        </w:rPr>
        <w:t>。</w:t>
      </w:r>
    </w:p>
    <w:p w14:paraId="424E7814">
      <w:pPr>
        <w:snapToGrid w:val="0"/>
        <w:spacing w:before="50" w:after="120" w:afterLines="50"/>
        <w:jc w:val="center"/>
        <w:rPr>
          <w:color w:val="auto"/>
          <w:szCs w:val="21"/>
          <w:highlight w:val="none"/>
        </w:rPr>
      </w:pPr>
      <w:r>
        <w:rPr>
          <w:b/>
          <w:color w:val="auto"/>
          <w:szCs w:val="21"/>
          <w:highlight w:val="none"/>
        </w:rPr>
        <w:t>类似成功案例业绩一览表</w:t>
      </w:r>
    </w:p>
    <w:tbl>
      <w:tblPr>
        <w:tblStyle w:val="51"/>
        <w:tblW w:w="1337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5"/>
        <w:gridCol w:w="2943"/>
        <w:gridCol w:w="4123"/>
        <w:gridCol w:w="958"/>
        <w:gridCol w:w="958"/>
        <w:gridCol w:w="1278"/>
        <w:gridCol w:w="2480"/>
      </w:tblGrid>
      <w:tr w14:paraId="7BEBB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63" w:hRule="atLeast"/>
        </w:trPr>
        <w:tc>
          <w:tcPr>
            <w:tcW w:w="635" w:type="dxa"/>
            <w:tcBorders>
              <w:top w:val="single" w:color="auto" w:sz="4" w:space="0"/>
              <w:left w:val="single" w:color="auto" w:sz="4" w:space="0"/>
              <w:right w:val="single" w:color="auto" w:sz="4" w:space="0"/>
            </w:tcBorders>
            <w:noWrap w:val="0"/>
            <w:vAlign w:val="top"/>
          </w:tcPr>
          <w:p w14:paraId="673D8041">
            <w:pPr>
              <w:snapToGrid w:val="0"/>
              <w:spacing w:line="240" w:lineRule="exact"/>
              <w:jc w:val="center"/>
              <w:rPr>
                <w:color w:val="auto"/>
                <w:szCs w:val="21"/>
                <w:highlight w:val="none"/>
              </w:rPr>
            </w:pPr>
          </w:p>
          <w:p w14:paraId="3BB8DF52">
            <w:pPr>
              <w:snapToGrid w:val="0"/>
              <w:spacing w:line="240" w:lineRule="exact"/>
              <w:jc w:val="center"/>
              <w:rPr>
                <w:color w:val="auto"/>
                <w:szCs w:val="21"/>
                <w:highlight w:val="none"/>
              </w:rPr>
            </w:pPr>
          </w:p>
          <w:p w14:paraId="758A9FB2">
            <w:pPr>
              <w:snapToGrid w:val="0"/>
              <w:spacing w:line="240" w:lineRule="exact"/>
              <w:jc w:val="center"/>
              <w:rPr>
                <w:color w:val="auto"/>
                <w:szCs w:val="21"/>
                <w:highlight w:val="none"/>
              </w:rPr>
            </w:pPr>
            <w:r>
              <w:rPr>
                <w:rFonts w:hint="eastAsia"/>
                <w:color w:val="auto"/>
                <w:szCs w:val="21"/>
                <w:highlight w:val="none"/>
              </w:rPr>
              <w:t>序号</w:t>
            </w:r>
          </w:p>
        </w:tc>
        <w:tc>
          <w:tcPr>
            <w:tcW w:w="2943" w:type="dxa"/>
            <w:tcBorders>
              <w:top w:val="single" w:color="auto" w:sz="4" w:space="0"/>
              <w:left w:val="single" w:color="auto" w:sz="4" w:space="0"/>
              <w:bottom w:val="single" w:color="auto" w:sz="4" w:space="0"/>
              <w:right w:val="single" w:color="auto" w:sz="4" w:space="0"/>
            </w:tcBorders>
            <w:noWrap w:val="0"/>
            <w:vAlign w:val="center"/>
          </w:tcPr>
          <w:p w14:paraId="6D3FB574">
            <w:pPr>
              <w:snapToGrid w:val="0"/>
              <w:spacing w:line="240" w:lineRule="exact"/>
              <w:jc w:val="center"/>
              <w:rPr>
                <w:color w:val="auto"/>
                <w:szCs w:val="21"/>
                <w:highlight w:val="none"/>
              </w:rPr>
            </w:pPr>
            <w:r>
              <w:rPr>
                <w:color w:val="auto"/>
                <w:szCs w:val="21"/>
                <w:highlight w:val="none"/>
              </w:rPr>
              <w:t>采购单位名称</w:t>
            </w:r>
          </w:p>
        </w:tc>
        <w:tc>
          <w:tcPr>
            <w:tcW w:w="4123" w:type="dxa"/>
            <w:tcBorders>
              <w:top w:val="single" w:color="auto" w:sz="4" w:space="0"/>
              <w:left w:val="single" w:color="auto" w:sz="4" w:space="0"/>
              <w:bottom w:val="single" w:color="auto" w:sz="4" w:space="0"/>
              <w:right w:val="single" w:color="auto" w:sz="4" w:space="0"/>
            </w:tcBorders>
            <w:noWrap w:val="0"/>
            <w:vAlign w:val="center"/>
          </w:tcPr>
          <w:p w14:paraId="5F6E8E73">
            <w:pPr>
              <w:snapToGrid w:val="0"/>
              <w:spacing w:line="240" w:lineRule="exact"/>
              <w:jc w:val="center"/>
              <w:rPr>
                <w:color w:val="auto"/>
                <w:szCs w:val="21"/>
                <w:highlight w:val="none"/>
              </w:rPr>
            </w:pPr>
            <w:r>
              <w:rPr>
                <w:color w:val="auto"/>
                <w:szCs w:val="21"/>
                <w:highlight w:val="none"/>
              </w:rPr>
              <w:t>产品或项目名称</w:t>
            </w:r>
          </w:p>
        </w:tc>
        <w:tc>
          <w:tcPr>
            <w:tcW w:w="958" w:type="dxa"/>
            <w:tcBorders>
              <w:top w:val="single" w:color="auto" w:sz="4" w:space="0"/>
              <w:left w:val="single" w:color="auto" w:sz="4" w:space="0"/>
              <w:bottom w:val="single" w:color="auto" w:sz="4" w:space="0"/>
              <w:right w:val="single" w:color="auto" w:sz="4" w:space="0"/>
            </w:tcBorders>
            <w:noWrap w:val="0"/>
            <w:vAlign w:val="center"/>
          </w:tcPr>
          <w:p w14:paraId="0952B68E">
            <w:pPr>
              <w:snapToGrid w:val="0"/>
              <w:spacing w:line="240" w:lineRule="exact"/>
              <w:jc w:val="center"/>
              <w:rPr>
                <w:color w:val="auto"/>
                <w:szCs w:val="21"/>
                <w:highlight w:val="none"/>
              </w:rPr>
            </w:pPr>
            <w:r>
              <w:rPr>
                <w:color w:val="auto"/>
                <w:szCs w:val="21"/>
                <w:highlight w:val="none"/>
              </w:rPr>
              <w:t>采购</w:t>
            </w:r>
          </w:p>
          <w:p w14:paraId="41793F20">
            <w:pPr>
              <w:snapToGrid w:val="0"/>
              <w:spacing w:line="240" w:lineRule="exact"/>
              <w:jc w:val="center"/>
              <w:rPr>
                <w:color w:val="auto"/>
                <w:szCs w:val="21"/>
                <w:highlight w:val="none"/>
              </w:rPr>
            </w:pPr>
            <w:r>
              <w:rPr>
                <w:color w:val="auto"/>
                <w:szCs w:val="21"/>
                <w:highlight w:val="none"/>
              </w:rPr>
              <w:t>数量</w:t>
            </w:r>
          </w:p>
        </w:tc>
        <w:tc>
          <w:tcPr>
            <w:tcW w:w="958" w:type="dxa"/>
            <w:tcBorders>
              <w:top w:val="single" w:color="auto" w:sz="4" w:space="0"/>
              <w:left w:val="single" w:color="auto" w:sz="4" w:space="0"/>
              <w:bottom w:val="single" w:color="auto" w:sz="4" w:space="0"/>
              <w:right w:val="single" w:color="auto" w:sz="4" w:space="0"/>
            </w:tcBorders>
            <w:noWrap w:val="0"/>
            <w:vAlign w:val="center"/>
          </w:tcPr>
          <w:p w14:paraId="71589592">
            <w:pPr>
              <w:snapToGrid w:val="0"/>
              <w:spacing w:line="240" w:lineRule="exact"/>
              <w:jc w:val="center"/>
              <w:rPr>
                <w:color w:val="auto"/>
                <w:szCs w:val="21"/>
                <w:highlight w:val="none"/>
              </w:rPr>
            </w:pPr>
            <w:r>
              <w:rPr>
                <w:color w:val="auto"/>
                <w:szCs w:val="21"/>
                <w:highlight w:val="none"/>
              </w:rPr>
              <w:t>单价</w:t>
            </w:r>
            <w:r>
              <w:rPr>
                <w:rFonts w:hint="eastAsia"/>
                <w:color w:val="auto"/>
                <w:szCs w:val="21"/>
                <w:highlight w:val="none"/>
              </w:rPr>
              <w:t>（元）</w:t>
            </w:r>
          </w:p>
        </w:tc>
        <w:tc>
          <w:tcPr>
            <w:tcW w:w="1278" w:type="dxa"/>
            <w:tcBorders>
              <w:top w:val="single" w:color="auto" w:sz="4" w:space="0"/>
              <w:left w:val="single" w:color="auto" w:sz="4" w:space="0"/>
              <w:bottom w:val="single" w:color="auto" w:sz="4" w:space="0"/>
              <w:right w:val="single" w:color="auto" w:sz="4" w:space="0"/>
            </w:tcBorders>
            <w:noWrap w:val="0"/>
            <w:vAlign w:val="center"/>
          </w:tcPr>
          <w:p w14:paraId="4FB34393">
            <w:pPr>
              <w:snapToGrid w:val="0"/>
              <w:spacing w:line="240" w:lineRule="exact"/>
              <w:jc w:val="center"/>
              <w:rPr>
                <w:color w:val="auto"/>
                <w:szCs w:val="21"/>
                <w:highlight w:val="none"/>
              </w:rPr>
            </w:pPr>
            <w:r>
              <w:rPr>
                <w:color w:val="auto"/>
                <w:szCs w:val="21"/>
                <w:highlight w:val="none"/>
              </w:rPr>
              <w:t>合同总价</w:t>
            </w:r>
            <w:r>
              <w:rPr>
                <w:rFonts w:hint="eastAsia"/>
                <w:color w:val="auto"/>
                <w:szCs w:val="21"/>
                <w:highlight w:val="none"/>
              </w:rPr>
              <w:t>（元）</w:t>
            </w:r>
          </w:p>
        </w:tc>
        <w:tc>
          <w:tcPr>
            <w:tcW w:w="2480" w:type="dxa"/>
            <w:tcBorders>
              <w:top w:val="single" w:color="auto" w:sz="4" w:space="0"/>
              <w:left w:val="single" w:color="auto" w:sz="4" w:space="0"/>
              <w:right w:val="single" w:color="auto" w:sz="4" w:space="0"/>
            </w:tcBorders>
            <w:noWrap w:val="0"/>
            <w:vAlign w:val="center"/>
          </w:tcPr>
          <w:p w14:paraId="5AA6269A">
            <w:pPr>
              <w:jc w:val="center"/>
              <w:rPr>
                <w:color w:val="auto"/>
                <w:szCs w:val="21"/>
                <w:highlight w:val="none"/>
              </w:rPr>
            </w:pPr>
            <w:r>
              <w:rPr>
                <w:color w:val="auto"/>
                <w:szCs w:val="21"/>
                <w:highlight w:val="none"/>
              </w:rPr>
              <w:t>采购单位联系人及联系电话</w:t>
            </w:r>
          </w:p>
        </w:tc>
      </w:tr>
      <w:tr w14:paraId="4AC990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635" w:type="dxa"/>
            <w:tcBorders>
              <w:top w:val="single" w:color="auto" w:sz="4" w:space="0"/>
              <w:left w:val="single" w:color="auto" w:sz="4" w:space="0"/>
              <w:bottom w:val="single" w:color="auto" w:sz="4" w:space="0"/>
              <w:right w:val="single" w:color="auto" w:sz="4" w:space="0"/>
            </w:tcBorders>
            <w:noWrap w:val="0"/>
            <w:vAlign w:val="top"/>
          </w:tcPr>
          <w:p w14:paraId="6B5D1128">
            <w:pPr>
              <w:snapToGrid w:val="0"/>
              <w:spacing w:line="240" w:lineRule="exact"/>
              <w:jc w:val="left"/>
              <w:rPr>
                <w:color w:val="auto"/>
                <w:szCs w:val="21"/>
                <w:highlight w:val="none"/>
              </w:rPr>
            </w:pPr>
          </w:p>
        </w:tc>
        <w:tc>
          <w:tcPr>
            <w:tcW w:w="2943" w:type="dxa"/>
            <w:tcBorders>
              <w:top w:val="single" w:color="auto" w:sz="4" w:space="0"/>
              <w:left w:val="single" w:color="auto" w:sz="4" w:space="0"/>
              <w:bottom w:val="single" w:color="auto" w:sz="4" w:space="0"/>
              <w:right w:val="single" w:color="auto" w:sz="4" w:space="0"/>
            </w:tcBorders>
            <w:noWrap w:val="0"/>
            <w:vAlign w:val="top"/>
          </w:tcPr>
          <w:p w14:paraId="571B58DD">
            <w:pPr>
              <w:snapToGrid w:val="0"/>
              <w:spacing w:line="240" w:lineRule="exact"/>
              <w:jc w:val="left"/>
              <w:rPr>
                <w:color w:val="auto"/>
                <w:szCs w:val="21"/>
                <w:highlight w:val="none"/>
              </w:rPr>
            </w:pPr>
          </w:p>
        </w:tc>
        <w:tc>
          <w:tcPr>
            <w:tcW w:w="4123" w:type="dxa"/>
            <w:tcBorders>
              <w:top w:val="single" w:color="auto" w:sz="4" w:space="0"/>
              <w:left w:val="single" w:color="auto" w:sz="4" w:space="0"/>
              <w:bottom w:val="single" w:color="auto" w:sz="4" w:space="0"/>
              <w:right w:val="single" w:color="auto" w:sz="4" w:space="0"/>
            </w:tcBorders>
            <w:noWrap w:val="0"/>
            <w:vAlign w:val="top"/>
          </w:tcPr>
          <w:p w14:paraId="09B2819A">
            <w:pPr>
              <w:snapToGrid w:val="0"/>
              <w:spacing w:line="24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2868D7EA">
            <w:pPr>
              <w:snapToGrid w:val="0"/>
              <w:spacing w:line="24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4710706C">
            <w:pPr>
              <w:snapToGrid w:val="0"/>
              <w:spacing w:line="240" w:lineRule="exact"/>
              <w:jc w:val="left"/>
              <w:rPr>
                <w:color w:val="auto"/>
                <w:szCs w:val="21"/>
                <w:highlight w:val="none"/>
              </w:rPr>
            </w:pPr>
          </w:p>
        </w:tc>
        <w:tc>
          <w:tcPr>
            <w:tcW w:w="1278" w:type="dxa"/>
            <w:tcBorders>
              <w:top w:val="single" w:color="auto" w:sz="4" w:space="0"/>
              <w:left w:val="single" w:color="auto" w:sz="4" w:space="0"/>
              <w:bottom w:val="single" w:color="auto" w:sz="4" w:space="0"/>
              <w:right w:val="single" w:color="auto" w:sz="4" w:space="0"/>
            </w:tcBorders>
            <w:noWrap w:val="0"/>
            <w:vAlign w:val="top"/>
          </w:tcPr>
          <w:p w14:paraId="4ED4F2DB">
            <w:pPr>
              <w:snapToGrid w:val="0"/>
              <w:spacing w:line="240" w:lineRule="exact"/>
              <w:jc w:val="left"/>
              <w:rPr>
                <w:color w:val="auto"/>
                <w:szCs w:val="21"/>
                <w:highlight w:val="none"/>
              </w:rPr>
            </w:pPr>
          </w:p>
        </w:tc>
        <w:tc>
          <w:tcPr>
            <w:tcW w:w="2480" w:type="dxa"/>
            <w:tcBorders>
              <w:top w:val="single" w:color="auto" w:sz="4" w:space="0"/>
              <w:left w:val="single" w:color="auto" w:sz="4" w:space="0"/>
              <w:bottom w:val="single" w:color="auto" w:sz="4" w:space="0"/>
              <w:right w:val="single" w:color="auto" w:sz="4" w:space="0"/>
            </w:tcBorders>
            <w:noWrap w:val="0"/>
            <w:vAlign w:val="top"/>
          </w:tcPr>
          <w:p w14:paraId="1B4AF56B">
            <w:pPr>
              <w:snapToGrid w:val="0"/>
              <w:spacing w:line="240" w:lineRule="exact"/>
              <w:jc w:val="left"/>
              <w:rPr>
                <w:color w:val="auto"/>
                <w:szCs w:val="21"/>
                <w:highlight w:val="none"/>
              </w:rPr>
            </w:pPr>
          </w:p>
        </w:tc>
      </w:tr>
      <w:tr w14:paraId="599D10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35" w:type="dxa"/>
            <w:tcBorders>
              <w:top w:val="single" w:color="auto" w:sz="4" w:space="0"/>
              <w:left w:val="single" w:color="auto" w:sz="4" w:space="0"/>
              <w:bottom w:val="single" w:color="auto" w:sz="4" w:space="0"/>
              <w:right w:val="single" w:color="auto" w:sz="4" w:space="0"/>
            </w:tcBorders>
            <w:noWrap w:val="0"/>
            <w:vAlign w:val="top"/>
          </w:tcPr>
          <w:p w14:paraId="36E6879F">
            <w:pPr>
              <w:snapToGrid w:val="0"/>
              <w:spacing w:before="50" w:after="120" w:afterLines="50" w:line="400" w:lineRule="exact"/>
              <w:jc w:val="left"/>
              <w:rPr>
                <w:color w:val="auto"/>
                <w:szCs w:val="21"/>
                <w:highlight w:val="none"/>
              </w:rPr>
            </w:pPr>
          </w:p>
        </w:tc>
        <w:tc>
          <w:tcPr>
            <w:tcW w:w="2943" w:type="dxa"/>
            <w:tcBorders>
              <w:top w:val="single" w:color="auto" w:sz="4" w:space="0"/>
              <w:left w:val="single" w:color="auto" w:sz="4" w:space="0"/>
              <w:bottom w:val="single" w:color="auto" w:sz="4" w:space="0"/>
              <w:right w:val="single" w:color="auto" w:sz="4" w:space="0"/>
            </w:tcBorders>
            <w:noWrap w:val="0"/>
            <w:vAlign w:val="top"/>
          </w:tcPr>
          <w:p w14:paraId="0E2B7336">
            <w:pPr>
              <w:snapToGrid w:val="0"/>
              <w:spacing w:before="50" w:after="120" w:afterLines="50" w:line="400" w:lineRule="exact"/>
              <w:jc w:val="left"/>
              <w:rPr>
                <w:color w:val="auto"/>
                <w:szCs w:val="21"/>
                <w:highlight w:val="none"/>
              </w:rPr>
            </w:pPr>
          </w:p>
        </w:tc>
        <w:tc>
          <w:tcPr>
            <w:tcW w:w="4123" w:type="dxa"/>
            <w:tcBorders>
              <w:top w:val="single" w:color="auto" w:sz="4" w:space="0"/>
              <w:left w:val="single" w:color="auto" w:sz="4" w:space="0"/>
              <w:bottom w:val="single" w:color="auto" w:sz="4" w:space="0"/>
              <w:right w:val="single" w:color="auto" w:sz="4" w:space="0"/>
            </w:tcBorders>
            <w:noWrap w:val="0"/>
            <w:vAlign w:val="top"/>
          </w:tcPr>
          <w:p w14:paraId="6A0D9DDC">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1A1CBCA7">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0792EFC0">
            <w:pPr>
              <w:snapToGrid w:val="0"/>
              <w:spacing w:before="50" w:after="120" w:afterLines="50" w:line="400" w:lineRule="exact"/>
              <w:jc w:val="left"/>
              <w:rPr>
                <w:color w:val="auto"/>
                <w:szCs w:val="21"/>
                <w:highlight w:val="none"/>
              </w:rPr>
            </w:pPr>
          </w:p>
        </w:tc>
        <w:tc>
          <w:tcPr>
            <w:tcW w:w="1278" w:type="dxa"/>
            <w:tcBorders>
              <w:top w:val="single" w:color="auto" w:sz="4" w:space="0"/>
              <w:left w:val="single" w:color="auto" w:sz="4" w:space="0"/>
              <w:bottom w:val="single" w:color="auto" w:sz="4" w:space="0"/>
              <w:right w:val="single" w:color="auto" w:sz="4" w:space="0"/>
            </w:tcBorders>
            <w:noWrap w:val="0"/>
            <w:vAlign w:val="top"/>
          </w:tcPr>
          <w:p w14:paraId="5383CA8B">
            <w:pPr>
              <w:snapToGrid w:val="0"/>
              <w:spacing w:before="50" w:after="120" w:afterLines="50" w:line="400" w:lineRule="exact"/>
              <w:jc w:val="left"/>
              <w:rPr>
                <w:color w:val="auto"/>
                <w:szCs w:val="21"/>
                <w:highlight w:val="none"/>
              </w:rPr>
            </w:pPr>
          </w:p>
        </w:tc>
        <w:tc>
          <w:tcPr>
            <w:tcW w:w="2480" w:type="dxa"/>
            <w:tcBorders>
              <w:top w:val="single" w:color="auto" w:sz="4" w:space="0"/>
              <w:left w:val="single" w:color="auto" w:sz="4" w:space="0"/>
              <w:bottom w:val="single" w:color="auto" w:sz="4" w:space="0"/>
              <w:right w:val="single" w:color="auto" w:sz="4" w:space="0"/>
            </w:tcBorders>
            <w:noWrap w:val="0"/>
            <w:vAlign w:val="top"/>
          </w:tcPr>
          <w:p w14:paraId="37AA81BE">
            <w:pPr>
              <w:snapToGrid w:val="0"/>
              <w:spacing w:before="50" w:after="120" w:afterLines="50" w:line="400" w:lineRule="exact"/>
              <w:jc w:val="left"/>
              <w:rPr>
                <w:color w:val="auto"/>
                <w:szCs w:val="21"/>
                <w:highlight w:val="none"/>
              </w:rPr>
            </w:pPr>
          </w:p>
        </w:tc>
      </w:tr>
      <w:tr w14:paraId="0FB6E8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635" w:type="dxa"/>
            <w:tcBorders>
              <w:top w:val="single" w:color="auto" w:sz="4" w:space="0"/>
              <w:left w:val="single" w:color="auto" w:sz="4" w:space="0"/>
              <w:bottom w:val="single" w:color="auto" w:sz="4" w:space="0"/>
              <w:right w:val="single" w:color="auto" w:sz="4" w:space="0"/>
            </w:tcBorders>
            <w:noWrap w:val="0"/>
            <w:vAlign w:val="top"/>
          </w:tcPr>
          <w:p w14:paraId="640C0FDB">
            <w:pPr>
              <w:snapToGrid w:val="0"/>
              <w:spacing w:before="50" w:after="120" w:afterLines="50" w:line="400" w:lineRule="exact"/>
              <w:jc w:val="left"/>
              <w:rPr>
                <w:color w:val="auto"/>
                <w:szCs w:val="21"/>
                <w:highlight w:val="none"/>
              </w:rPr>
            </w:pPr>
          </w:p>
        </w:tc>
        <w:tc>
          <w:tcPr>
            <w:tcW w:w="2943" w:type="dxa"/>
            <w:tcBorders>
              <w:top w:val="single" w:color="auto" w:sz="4" w:space="0"/>
              <w:left w:val="single" w:color="auto" w:sz="4" w:space="0"/>
              <w:bottom w:val="single" w:color="auto" w:sz="4" w:space="0"/>
              <w:right w:val="single" w:color="auto" w:sz="4" w:space="0"/>
            </w:tcBorders>
            <w:noWrap w:val="0"/>
            <w:vAlign w:val="top"/>
          </w:tcPr>
          <w:p w14:paraId="1A4B8F88">
            <w:pPr>
              <w:snapToGrid w:val="0"/>
              <w:spacing w:before="50" w:after="120" w:afterLines="50" w:line="400" w:lineRule="exact"/>
              <w:jc w:val="left"/>
              <w:rPr>
                <w:color w:val="auto"/>
                <w:szCs w:val="21"/>
                <w:highlight w:val="none"/>
              </w:rPr>
            </w:pPr>
          </w:p>
        </w:tc>
        <w:tc>
          <w:tcPr>
            <w:tcW w:w="4123" w:type="dxa"/>
            <w:tcBorders>
              <w:top w:val="single" w:color="auto" w:sz="4" w:space="0"/>
              <w:left w:val="single" w:color="auto" w:sz="4" w:space="0"/>
              <w:bottom w:val="single" w:color="auto" w:sz="4" w:space="0"/>
              <w:right w:val="single" w:color="auto" w:sz="4" w:space="0"/>
            </w:tcBorders>
            <w:noWrap w:val="0"/>
            <w:vAlign w:val="top"/>
          </w:tcPr>
          <w:p w14:paraId="1529A28C">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3E211702">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411470A6">
            <w:pPr>
              <w:snapToGrid w:val="0"/>
              <w:spacing w:before="50" w:after="120" w:afterLines="50" w:line="400" w:lineRule="exact"/>
              <w:jc w:val="left"/>
              <w:rPr>
                <w:color w:val="auto"/>
                <w:szCs w:val="21"/>
                <w:highlight w:val="none"/>
              </w:rPr>
            </w:pPr>
          </w:p>
        </w:tc>
        <w:tc>
          <w:tcPr>
            <w:tcW w:w="1278" w:type="dxa"/>
            <w:tcBorders>
              <w:top w:val="single" w:color="auto" w:sz="4" w:space="0"/>
              <w:left w:val="single" w:color="auto" w:sz="4" w:space="0"/>
              <w:bottom w:val="single" w:color="auto" w:sz="4" w:space="0"/>
              <w:right w:val="single" w:color="auto" w:sz="4" w:space="0"/>
            </w:tcBorders>
            <w:noWrap w:val="0"/>
            <w:vAlign w:val="top"/>
          </w:tcPr>
          <w:p w14:paraId="4E35AFB0">
            <w:pPr>
              <w:snapToGrid w:val="0"/>
              <w:spacing w:before="50" w:after="120" w:afterLines="50" w:line="400" w:lineRule="exact"/>
              <w:jc w:val="left"/>
              <w:rPr>
                <w:color w:val="auto"/>
                <w:szCs w:val="21"/>
                <w:highlight w:val="none"/>
              </w:rPr>
            </w:pPr>
          </w:p>
        </w:tc>
        <w:tc>
          <w:tcPr>
            <w:tcW w:w="2480" w:type="dxa"/>
            <w:tcBorders>
              <w:top w:val="single" w:color="auto" w:sz="4" w:space="0"/>
              <w:left w:val="single" w:color="auto" w:sz="4" w:space="0"/>
              <w:bottom w:val="single" w:color="auto" w:sz="4" w:space="0"/>
              <w:right w:val="single" w:color="auto" w:sz="4" w:space="0"/>
            </w:tcBorders>
            <w:noWrap w:val="0"/>
            <w:vAlign w:val="top"/>
          </w:tcPr>
          <w:p w14:paraId="28EE0332">
            <w:pPr>
              <w:snapToGrid w:val="0"/>
              <w:spacing w:before="50" w:after="120" w:afterLines="50" w:line="400" w:lineRule="exact"/>
              <w:jc w:val="left"/>
              <w:rPr>
                <w:color w:val="auto"/>
                <w:szCs w:val="21"/>
                <w:highlight w:val="none"/>
              </w:rPr>
            </w:pPr>
          </w:p>
        </w:tc>
      </w:tr>
      <w:tr w14:paraId="75CEDE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35" w:type="dxa"/>
            <w:tcBorders>
              <w:top w:val="single" w:color="auto" w:sz="4" w:space="0"/>
              <w:left w:val="single" w:color="auto" w:sz="4" w:space="0"/>
              <w:bottom w:val="single" w:color="auto" w:sz="4" w:space="0"/>
              <w:right w:val="single" w:color="auto" w:sz="4" w:space="0"/>
            </w:tcBorders>
            <w:noWrap w:val="0"/>
            <w:vAlign w:val="top"/>
          </w:tcPr>
          <w:p w14:paraId="6481B290">
            <w:pPr>
              <w:snapToGrid w:val="0"/>
              <w:spacing w:before="50" w:after="120" w:afterLines="50" w:line="400" w:lineRule="exact"/>
              <w:jc w:val="left"/>
              <w:rPr>
                <w:color w:val="auto"/>
                <w:szCs w:val="21"/>
                <w:highlight w:val="none"/>
              </w:rPr>
            </w:pPr>
          </w:p>
        </w:tc>
        <w:tc>
          <w:tcPr>
            <w:tcW w:w="2943" w:type="dxa"/>
            <w:tcBorders>
              <w:top w:val="single" w:color="auto" w:sz="4" w:space="0"/>
              <w:left w:val="single" w:color="auto" w:sz="4" w:space="0"/>
              <w:bottom w:val="single" w:color="auto" w:sz="4" w:space="0"/>
              <w:right w:val="single" w:color="auto" w:sz="4" w:space="0"/>
            </w:tcBorders>
            <w:noWrap w:val="0"/>
            <w:vAlign w:val="top"/>
          </w:tcPr>
          <w:p w14:paraId="14694324">
            <w:pPr>
              <w:snapToGrid w:val="0"/>
              <w:spacing w:before="50" w:after="120" w:afterLines="50" w:line="400" w:lineRule="exact"/>
              <w:jc w:val="left"/>
              <w:rPr>
                <w:color w:val="auto"/>
                <w:szCs w:val="21"/>
                <w:highlight w:val="none"/>
              </w:rPr>
            </w:pPr>
          </w:p>
        </w:tc>
        <w:tc>
          <w:tcPr>
            <w:tcW w:w="4123" w:type="dxa"/>
            <w:tcBorders>
              <w:top w:val="single" w:color="auto" w:sz="4" w:space="0"/>
              <w:left w:val="single" w:color="auto" w:sz="4" w:space="0"/>
              <w:bottom w:val="single" w:color="auto" w:sz="4" w:space="0"/>
              <w:right w:val="single" w:color="auto" w:sz="4" w:space="0"/>
            </w:tcBorders>
            <w:noWrap w:val="0"/>
            <w:vAlign w:val="top"/>
          </w:tcPr>
          <w:p w14:paraId="513AD230">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1095BE90">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02159C9A">
            <w:pPr>
              <w:snapToGrid w:val="0"/>
              <w:spacing w:before="50" w:after="120" w:afterLines="50" w:line="400" w:lineRule="exact"/>
              <w:jc w:val="left"/>
              <w:rPr>
                <w:color w:val="auto"/>
                <w:szCs w:val="21"/>
                <w:highlight w:val="none"/>
              </w:rPr>
            </w:pPr>
          </w:p>
        </w:tc>
        <w:tc>
          <w:tcPr>
            <w:tcW w:w="1278" w:type="dxa"/>
            <w:tcBorders>
              <w:top w:val="single" w:color="auto" w:sz="4" w:space="0"/>
              <w:left w:val="single" w:color="auto" w:sz="4" w:space="0"/>
              <w:bottom w:val="single" w:color="auto" w:sz="4" w:space="0"/>
              <w:right w:val="single" w:color="auto" w:sz="4" w:space="0"/>
            </w:tcBorders>
            <w:noWrap w:val="0"/>
            <w:vAlign w:val="top"/>
          </w:tcPr>
          <w:p w14:paraId="1215A5E8">
            <w:pPr>
              <w:snapToGrid w:val="0"/>
              <w:spacing w:before="50" w:after="120" w:afterLines="50" w:line="400" w:lineRule="exact"/>
              <w:jc w:val="left"/>
              <w:rPr>
                <w:color w:val="auto"/>
                <w:szCs w:val="21"/>
                <w:highlight w:val="none"/>
              </w:rPr>
            </w:pPr>
          </w:p>
        </w:tc>
        <w:tc>
          <w:tcPr>
            <w:tcW w:w="2480" w:type="dxa"/>
            <w:tcBorders>
              <w:top w:val="single" w:color="auto" w:sz="4" w:space="0"/>
              <w:left w:val="single" w:color="auto" w:sz="4" w:space="0"/>
              <w:bottom w:val="single" w:color="auto" w:sz="4" w:space="0"/>
              <w:right w:val="single" w:color="auto" w:sz="4" w:space="0"/>
            </w:tcBorders>
            <w:noWrap w:val="0"/>
            <w:vAlign w:val="top"/>
          </w:tcPr>
          <w:p w14:paraId="0AC4368F">
            <w:pPr>
              <w:snapToGrid w:val="0"/>
              <w:spacing w:before="50" w:after="120" w:afterLines="50" w:line="400" w:lineRule="exact"/>
              <w:jc w:val="left"/>
              <w:rPr>
                <w:color w:val="auto"/>
                <w:szCs w:val="21"/>
                <w:highlight w:val="none"/>
              </w:rPr>
            </w:pPr>
          </w:p>
        </w:tc>
      </w:tr>
      <w:tr w14:paraId="016E5B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35" w:type="dxa"/>
            <w:tcBorders>
              <w:top w:val="single" w:color="auto" w:sz="4" w:space="0"/>
              <w:left w:val="single" w:color="auto" w:sz="4" w:space="0"/>
              <w:bottom w:val="single" w:color="auto" w:sz="4" w:space="0"/>
              <w:right w:val="single" w:color="auto" w:sz="4" w:space="0"/>
            </w:tcBorders>
            <w:noWrap w:val="0"/>
            <w:vAlign w:val="top"/>
          </w:tcPr>
          <w:p w14:paraId="10F3AF69">
            <w:pPr>
              <w:snapToGrid w:val="0"/>
              <w:spacing w:before="50" w:after="120" w:afterLines="50" w:line="400" w:lineRule="exact"/>
              <w:jc w:val="left"/>
              <w:rPr>
                <w:color w:val="auto"/>
                <w:szCs w:val="21"/>
                <w:highlight w:val="none"/>
              </w:rPr>
            </w:pPr>
          </w:p>
        </w:tc>
        <w:tc>
          <w:tcPr>
            <w:tcW w:w="2943" w:type="dxa"/>
            <w:tcBorders>
              <w:top w:val="single" w:color="auto" w:sz="4" w:space="0"/>
              <w:left w:val="single" w:color="auto" w:sz="4" w:space="0"/>
              <w:bottom w:val="single" w:color="auto" w:sz="4" w:space="0"/>
              <w:right w:val="single" w:color="auto" w:sz="4" w:space="0"/>
            </w:tcBorders>
            <w:noWrap w:val="0"/>
            <w:vAlign w:val="top"/>
          </w:tcPr>
          <w:p w14:paraId="1FBA2F36">
            <w:pPr>
              <w:snapToGrid w:val="0"/>
              <w:spacing w:before="50" w:after="120" w:afterLines="50" w:line="400" w:lineRule="exact"/>
              <w:jc w:val="left"/>
              <w:rPr>
                <w:color w:val="auto"/>
                <w:szCs w:val="21"/>
                <w:highlight w:val="none"/>
              </w:rPr>
            </w:pPr>
          </w:p>
        </w:tc>
        <w:tc>
          <w:tcPr>
            <w:tcW w:w="4123" w:type="dxa"/>
            <w:tcBorders>
              <w:top w:val="single" w:color="auto" w:sz="4" w:space="0"/>
              <w:left w:val="single" w:color="auto" w:sz="4" w:space="0"/>
              <w:bottom w:val="single" w:color="auto" w:sz="4" w:space="0"/>
              <w:right w:val="single" w:color="auto" w:sz="4" w:space="0"/>
            </w:tcBorders>
            <w:noWrap w:val="0"/>
            <w:vAlign w:val="top"/>
          </w:tcPr>
          <w:p w14:paraId="43C2A6AB">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05674F47">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3BE66C6A">
            <w:pPr>
              <w:snapToGrid w:val="0"/>
              <w:spacing w:before="50" w:after="120" w:afterLines="50" w:line="400" w:lineRule="exact"/>
              <w:jc w:val="left"/>
              <w:rPr>
                <w:color w:val="auto"/>
                <w:szCs w:val="21"/>
                <w:highlight w:val="none"/>
              </w:rPr>
            </w:pPr>
          </w:p>
        </w:tc>
        <w:tc>
          <w:tcPr>
            <w:tcW w:w="1278" w:type="dxa"/>
            <w:tcBorders>
              <w:top w:val="single" w:color="auto" w:sz="4" w:space="0"/>
              <w:left w:val="single" w:color="auto" w:sz="4" w:space="0"/>
              <w:bottom w:val="single" w:color="auto" w:sz="4" w:space="0"/>
              <w:right w:val="single" w:color="auto" w:sz="4" w:space="0"/>
            </w:tcBorders>
            <w:noWrap w:val="0"/>
            <w:vAlign w:val="top"/>
          </w:tcPr>
          <w:p w14:paraId="440D5023">
            <w:pPr>
              <w:snapToGrid w:val="0"/>
              <w:spacing w:before="50" w:after="120" w:afterLines="50" w:line="400" w:lineRule="exact"/>
              <w:jc w:val="left"/>
              <w:rPr>
                <w:color w:val="auto"/>
                <w:szCs w:val="21"/>
                <w:highlight w:val="none"/>
              </w:rPr>
            </w:pPr>
          </w:p>
        </w:tc>
        <w:tc>
          <w:tcPr>
            <w:tcW w:w="2480" w:type="dxa"/>
            <w:tcBorders>
              <w:top w:val="single" w:color="auto" w:sz="4" w:space="0"/>
              <w:left w:val="single" w:color="auto" w:sz="4" w:space="0"/>
              <w:bottom w:val="single" w:color="auto" w:sz="4" w:space="0"/>
              <w:right w:val="single" w:color="auto" w:sz="4" w:space="0"/>
            </w:tcBorders>
            <w:noWrap w:val="0"/>
            <w:vAlign w:val="top"/>
          </w:tcPr>
          <w:p w14:paraId="6C588090">
            <w:pPr>
              <w:snapToGrid w:val="0"/>
              <w:spacing w:before="50" w:after="120" w:afterLines="50" w:line="400" w:lineRule="exact"/>
              <w:jc w:val="left"/>
              <w:rPr>
                <w:color w:val="auto"/>
                <w:szCs w:val="21"/>
                <w:highlight w:val="none"/>
              </w:rPr>
            </w:pPr>
          </w:p>
        </w:tc>
      </w:tr>
    </w:tbl>
    <w:p w14:paraId="251D7B0D">
      <w:pPr>
        <w:pStyle w:val="15"/>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注：</w:t>
      </w:r>
    </w:p>
    <w:p w14:paraId="542A3411">
      <w:pPr>
        <w:pStyle w:val="15"/>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（1）</w:t>
      </w:r>
      <w:r>
        <w:rPr>
          <w:rFonts w:ascii="Times New Roman" w:hAnsi="Times New Roman" w:eastAsia="宋体" w:cs="Times New Roman"/>
          <w:color w:val="auto"/>
          <w:sz w:val="21"/>
          <w:szCs w:val="21"/>
          <w:highlight w:val="none"/>
        </w:rPr>
        <w:t>未附</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的业绩无效</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见第四章《评审方法及标准》规定</w:t>
      </w:r>
    </w:p>
    <w:p w14:paraId="5F9026EC">
      <w:pPr>
        <w:pStyle w:val="15"/>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2</w:t>
      </w:r>
      <w:r>
        <w:rPr>
          <w:rFonts w:ascii="Times New Roman" w:hAnsi="Times New Roman" w:eastAsia="宋体" w:cs="Times New Roman"/>
          <w:color w:val="auto"/>
          <w:szCs w:val="21"/>
          <w:highlight w:val="none"/>
        </w:rPr>
        <w:t>）</w:t>
      </w:r>
      <w:r>
        <w:rPr>
          <w:rFonts w:ascii="Times New Roman" w:hAnsi="Times New Roman" w:eastAsia="宋体" w:cs="Times New Roman"/>
          <w:color w:val="auto"/>
          <w:sz w:val="21"/>
          <w:szCs w:val="21"/>
          <w:highlight w:val="none"/>
        </w:rPr>
        <w:t>类似项目的定义见第四章《评审方法及标准》规定。</w:t>
      </w:r>
    </w:p>
    <w:p w14:paraId="57580808">
      <w:pPr>
        <w:rPr>
          <w:color w:val="auto"/>
          <w:highlight w:val="none"/>
        </w:rPr>
      </w:pPr>
      <w:r>
        <w:rPr>
          <w:color w:val="auto"/>
          <w:szCs w:val="21"/>
          <w:highlight w:val="none"/>
        </w:rPr>
        <w:t>（</w:t>
      </w:r>
      <w:r>
        <w:rPr>
          <w:rFonts w:hint="eastAsia"/>
          <w:color w:val="auto"/>
          <w:szCs w:val="21"/>
          <w:highlight w:val="none"/>
        </w:rPr>
        <w:t>3</w:t>
      </w:r>
      <w:r>
        <w:rPr>
          <w:color w:val="auto"/>
          <w:szCs w:val="21"/>
          <w:highlight w:val="none"/>
        </w:rPr>
        <w:t>）</w:t>
      </w:r>
      <w:bookmarkStart w:id="196" w:name="_Hlk19049505"/>
      <w:r>
        <w:rPr>
          <w:color w:val="auto"/>
          <w:highlight w:val="none"/>
        </w:rPr>
        <w:t>本表可拓展。</w:t>
      </w:r>
      <w:bookmarkEnd w:id="196"/>
    </w:p>
    <w:p w14:paraId="0DBCB8A8">
      <w:pPr>
        <w:snapToGrid w:val="0"/>
        <w:spacing w:before="50"/>
        <w:jc w:val="left"/>
        <w:rPr>
          <w:color w:val="auto"/>
          <w:szCs w:val="21"/>
          <w:highlight w:val="none"/>
        </w:rPr>
      </w:pPr>
    </w:p>
    <w:p w14:paraId="08EF3BDD">
      <w:pPr>
        <w:snapToGrid w:val="0"/>
        <w:spacing w:before="50"/>
        <w:jc w:val="left"/>
        <w:rPr>
          <w:color w:val="auto"/>
          <w:szCs w:val="21"/>
          <w:highlight w:val="none"/>
        </w:rPr>
      </w:pPr>
      <w:bookmarkStart w:id="197" w:name="_Hlk88990617"/>
      <w:r>
        <w:rPr>
          <w:rFonts w:hint="eastAsia"/>
          <w:color w:val="auto"/>
          <w:szCs w:val="21"/>
          <w:highlight w:val="none"/>
          <w:lang w:eastAsia="zh-CN"/>
        </w:rPr>
        <w:t>投标人</w:t>
      </w:r>
      <w:r>
        <w:rPr>
          <w:rFonts w:hint="eastAsia"/>
          <w:color w:val="auto"/>
          <w:szCs w:val="21"/>
          <w:highlight w:val="none"/>
        </w:rPr>
        <w:t>名称(电子签章</w:t>
      </w:r>
      <w:r>
        <w:rPr>
          <w:color w:val="auto"/>
          <w:szCs w:val="21"/>
          <w:highlight w:val="none"/>
        </w:rPr>
        <w:t>)：</w:t>
      </w:r>
      <w:bookmarkEnd w:id="197"/>
      <w:r>
        <w:rPr>
          <w:color w:val="auto"/>
          <w:szCs w:val="21"/>
          <w:highlight w:val="none"/>
          <w:u w:val="single"/>
        </w:rPr>
        <w:t xml:space="preserve">                 </w:t>
      </w:r>
      <w:r>
        <w:rPr>
          <w:color w:val="auto"/>
          <w:szCs w:val="21"/>
          <w:highlight w:val="none"/>
        </w:rPr>
        <w:t xml:space="preserve">                                           年    月   日</w:t>
      </w:r>
    </w:p>
    <w:p w14:paraId="6C677150">
      <w:pPr>
        <w:snapToGrid w:val="0"/>
        <w:spacing w:before="50"/>
        <w:jc w:val="left"/>
        <w:rPr>
          <w:color w:val="auto"/>
          <w:szCs w:val="21"/>
          <w:highlight w:val="none"/>
        </w:rPr>
      </w:pPr>
    </w:p>
    <w:p w14:paraId="6C537AAF">
      <w:pPr>
        <w:snapToGrid w:val="0"/>
        <w:spacing w:before="50"/>
        <w:jc w:val="left"/>
        <w:rPr>
          <w:color w:val="auto"/>
          <w:szCs w:val="21"/>
          <w:highlight w:val="none"/>
        </w:rPr>
        <w:sectPr>
          <w:pgSz w:w="16838" w:h="11906" w:orient="landscape"/>
          <w:pgMar w:top="1418" w:right="1418" w:bottom="1133" w:left="1246" w:header="851" w:footer="992" w:gutter="0"/>
          <w:pgBorders>
            <w:top w:val="none" w:sz="0" w:space="0"/>
            <w:left w:val="none" w:sz="0" w:space="0"/>
            <w:bottom w:val="none" w:sz="0" w:space="0"/>
            <w:right w:val="none" w:sz="0" w:space="0"/>
          </w:pgBorders>
          <w:pgNumType w:fmt="decimal"/>
          <w:cols w:space="720" w:num="1"/>
          <w:docGrid w:linePitch="312" w:charSpace="0"/>
        </w:sectPr>
      </w:pPr>
    </w:p>
    <w:p w14:paraId="52B73799">
      <w:pPr>
        <w:snapToGrid w:val="0"/>
        <w:spacing w:before="50" w:after="120" w:afterLines="50"/>
        <w:jc w:val="left"/>
        <w:rPr>
          <w:color w:val="auto"/>
          <w:szCs w:val="21"/>
          <w:highlight w:val="none"/>
        </w:rPr>
      </w:pPr>
      <w:r>
        <w:rPr>
          <w:rFonts w:hint="eastAsia"/>
          <w:color w:val="auto"/>
          <w:szCs w:val="21"/>
          <w:highlight w:val="none"/>
          <w:lang w:val="en-US" w:eastAsia="zh-CN"/>
        </w:rPr>
        <w:t>5</w:t>
      </w:r>
      <w:r>
        <w:rPr>
          <w:color w:val="auto"/>
          <w:szCs w:val="21"/>
          <w:highlight w:val="none"/>
        </w:rPr>
        <w:t>．</w:t>
      </w:r>
      <w:r>
        <w:rPr>
          <w:rFonts w:hint="eastAsia"/>
          <w:color w:val="auto"/>
          <w:szCs w:val="21"/>
          <w:highlight w:val="none"/>
        </w:rPr>
        <w:t>提供投标产品由中共中央网络安全和信息化委员会办公室网站最新发布的《网络关键设备和网络安全专用产品安全认证和安全检测结果》截图证明材料或提供有效期内的《计算机信息系统安全专用产品销售许可证》（采购标的包含时提供）</w:t>
      </w:r>
    </w:p>
    <w:p w14:paraId="4BEDD18F">
      <w:pPr>
        <w:widowControl/>
        <w:jc w:val="left"/>
        <w:rPr>
          <w:color w:val="auto"/>
          <w:szCs w:val="21"/>
          <w:highlight w:val="none"/>
        </w:rPr>
      </w:pPr>
    </w:p>
    <w:p w14:paraId="4FF88646">
      <w:pPr>
        <w:widowControl/>
        <w:jc w:val="left"/>
        <w:rPr>
          <w:color w:val="auto"/>
          <w:szCs w:val="21"/>
          <w:highlight w:val="none"/>
        </w:rPr>
      </w:pPr>
    </w:p>
    <w:p w14:paraId="2966D5EA">
      <w:pPr>
        <w:widowControl/>
        <w:jc w:val="left"/>
        <w:rPr>
          <w:color w:val="auto"/>
          <w:szCs w:val="21"/>
          <w:highlight w:val="none"/>
        </w:rPr>
      </w:pPr>
      <w:r>
        <w:rPr>
          <w:rFonts w:hint="eastAsia"/>
          <w:color w:val="auto"/>
          <w:szCs w:val="21"/>
          <w:highlight w:val="none"/>
          <w:lang w:val="en-US" w:eastAsia="zh-CN"/>
        </w:rPr>
        <w:t>6</w:t>
      </w:r>
      <w:r>
        <w:rPr>
          <w:color w:val="auto"/>
          <w:szCs w:val="21"/>
          <w:highlight w:val="none"/>
        </w:rPr>
        <w:t>．符合政府采购政策</w:t>
      </w:r>
      <w:r>
        <w:rPr>
          <w:rFonts w:hint="eastAsia"/>
          <w:color w:val="auto"/>
          <w:szCs w:val="21"/>
          <w:highlight w:val="none"/>
        </w:rPr>
        <w:t>的</w:t>
      </w:r>
      <w:r>
        <w:rPr>
          <w:color w:val="auto"/>
          <w:szCs w:val="21"/>
          <w:highlight w:val="none"/>
        </w:rPr>
        <w:t>证明材料。</w:t>
      </w:r>
    </w:p>
    <w:p w14:paraId="096F455A">
      <w:pPr>
        <w:snapToGrid w:val="0"/>
        <w:spacing w:before="50" w:after="120" w:afterLines="50"/>
        <w:jc w:val="left"/>
        <w:rPr>
          <w:color w:val="auto"/>
          <w:szCs w:val="21"/>
          <w:highlight w:val="none"/>
        </w:rPr>
      </w:pPr>
      <w:r>
        <w:rPr>
          <w:rFonts w:hint="eastAsia"/>
          <w:color w:val="auto"/>
          <w:szCs w:val="21"/>
          <w:highlight w:val="none"/>
          <w:lang w:val="en-US" w:eastAsia="zh-CN"/>
        </w:rPr>
        <w:t>6</w:t>
      </w:r>
      <w:r>
        <w:rPr>
          <w:rFonts w:hint="eastAsia"/>
          <w:color w:val="auto"/>
          <w:szCs w:val="21"/>
          <w:highlight w:val="none"/>
        </w:rPr>
        <w:t>.1列入节能产品政府采购品目清单及环境标志产品政府采购品目清单的货物清单。</w:t>
      </w:r>
      <w:r>
        <w:rPr>
          <w:rFonts w:hint="eastAsia"/>
          <w:b/>
          <w:color w:val="auto"/>
          <w:szCs w:val="21"/>
          <w:highlight w:val="none"/>
        </w:rPr>
        <w:t>（如有，须提供）</w:t>
      </w:r>
    </w:p>
    <w:p w14:paraId="5CE53330">
      <w:pPr>
        <w:snapToGrid w:val="0"/>
        <w:spacing w:before="50" w:after="120" w:afterLines="50"/>
        <w:jc w:val="left"/>
        <w:rPr>
          <w:rFonts w:hint="eastAsia" w:eastAsia="宋体"/>
          <w:color w:val="auto"/>
          <w:szCs w:val="21"/>
          <w:highlight w:val="none"/>
          <w:lang w:eastAsia="zh-CN"/>
        </w:rPr>
      </w:pPr>
      <w:r>
        <w:rPr>
          <w:rFonts w:hint="eastAsia"/>
          <w:color w:val="auto"/>
          <w:szCs w:val="21"/>
          <w:highlight w:val="none"/>
        </w:rPr>
        <w:t>投标产品中如有列入节能产品政府采购品目清单及环境标志产品政府采购品目清单的货物，应按下表提供清单。投标文件中</w:t>
      </w:r>
      <w:r>
        <w:rPr>
          <w:rFonts w:hint="eastAsia"/>
          <w:color w:val="auto"/>
          <w:szCs w:val="21"/>
          <w:highlight w:val="none"/>
          <w:lang w:val="en-US" w:eastAsia="zh-CN"/>
        </w:rPr>
        <w:t>同时</w:t>
      </w:r>
      <w:r>
        <w:rPr>
          <w:rFonts w:hint="eastAsia"/>
          <w:color w:val="auto"/>
          <w:szCs w:val="21"/>
          <w:highlight w:val="none"/>
        </w:rPr>
        <w:t>提供所投标产品的节能产品及环境标志认证证书扫描件</w:t>
      </w:r>
      <w:r>
        <w:rPr>
          <w:rFonts w:hint="eastAsia"/>
          <w:color w:val="auto"/>
          <w:highlight w:val="none"/>
          <w:lang w:eastAsia="zh-CN"/>
        </w:rPr>
        <w:t>。</w:t>
      </w:r>
    </w:p>
    <w:p w14:paraId="3343D9A0">
      <w:pPr>
        <w:spacing w:line="360" w:lineRule="auto"/>
        <w:jc w:val="center"/>
        <w:rPr>
          <w:color w:val="auto"/>
          <w:szCs w:val="21"/>
          <w:highlight w:val="none"/>
        </w:rPr>
      </w:pPr>
      <w:r>
        <w:rPr>
          <w:rFonts w:hint="eastAsia"/>
          <w:b/>
          <w:color w:val="auto"/>
          <w:szCs w:val="21"/>
          <w:highlight w:val="none"/>
        </w:rPr>
        <w:t>节能产品及环境标志产品清单</w:t>
      </w:r>
    </w:p>
    <w:tbl>
      <w:tblPr>
        <w:tblStyle w:val="51"/>
        <w:tblW w:w="932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14:paraId="1992A6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075BF17C">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序号</w:t>
            </w:r>
          </w:p>
        </w:tc>
        <w:tc>
          <w:tcPr>
            <w:tcW w:w="1134" w:type="dxa"/>
            <w:tcBorders>
              <w:top w:val="single" w:color="auto" w:sz="12" w:space="0"/>
              <w:left w:val="nil"/>
              <w:bottom w:val="single" w:color="auto" w:sz="8" w:space="0"/>
              <w:right w:val="single" w:color="auto" w:sz="4" w:space="0"/>
            </w:tcBorders>
            <w:noWrap w:val="0"/>
            <w:tcMar>
              <w:top w:w="0" w:type="dxa"/>
              <w:left w:w="57" w:type="dxa"/>
              <w:bottom w:w="0" w:type="dxa"/>
              <w:right w:w="57" w:type="dxa"/>
            </w:tcMar>
            <w:vAlign w:val="center"/>
          </w:tcPr>
          <w:p w14:paraId="7B722DD8">
            <w:pPr>
              <w:widowControl/>
              <w:spacing w:before="100" w:beforeAutospacing="1" w:after="100" w:afterAutospacing="1" w:line="376" w:lineRule="atLeast"/>
              <w:jc w:val="center"/>
              <w:rPr>
                <w:color w:val="auto"/>
                <w:kern w:val="0"/>
                <w:szCs w:val="21"/>
                <w:highlight w:val="none"/>
              </w:rPr>
            </w:pPr>
            <w:r>
              <w:rPr>
                <w:rFonts w:hint="eastAsia"/>
                <w:color w:val="auto"/>
                <w:kern w:val="0"/>
                <w:szCs w:val="21"/>
                <w:highlight w:val="none"/>
              </w:rPr>
              <w:t>类别</w:t>
            </w:r>
          </w:p>
        </w:tc>
        <w:tc>
          <w:tcPr>
            <w:tcW w:w="897" w:type="dxa"/>
            <w:tcBorders>
              <w:top w:val="single" w:color="auto" w:sz="12" w:space="0"/>
              <w:left w:val="single" w:color="auto" w:sz="4" w:space="0"/>
              <w:bottom w:val="single" w:color="auto" w:sz="8" w:space="0"/>
              <w:right w:val="single" w:color="auto" w:sz="8" w:space="0"/>
            </w:tcBorders>
            <w:noWrap w:val="0"/>
            <w:vAlign w:val="center"/>
          </w:tcPr>
          <w:p w14:paraId="2B3C92CD">
            <w:pPr>
              <w:widowControl/>
              <w:spacing w:before="100" w:beforeAutospacing="1" w:after="100" w:afterAutospacing="1" w:line="376" w:lineRule="atLeast"/>
              <w:jc w:val="center"/>
              <w:rPr>
                <w:color w:val="auto"/>
                <w:kern w:val="0"/>
                <w:szCs w:val="21"/>
                <w:highlight w:val="none"/>
              </w:rPr>
            </w:pPr>
            <w:r>
              <w:rPr>
                <w:rFonts w:hint="eastAsia"/>
                <w:color w:val="auto"/>
                <w:kern w:val="0"/>
                <w:szCs w:val="21"/>
                <w:highlight w:val="none"/>
              </w:rPr>
              <w:t>品目</w:t>
            </w:r>
          </w:p>
        </w:tc>
        <w:tc>
          <w:tcPr>
            <w:tcW w:w="1088" w:type="dxa"/>
            <w:tcBorders>
              <w:top w:val="single" w:color="auto" w:sz="12" w:space="0"/>
              <w:left w:val="nil"/>
              <w:bottom w:val="single" w:color="auto" w:sz="8" w:space="0"/>
              <w:right w:val="single" w:color="auto" w:sz="4" w:space="0"/>
            </w:tcBorders>
            <w:noWrap w:val="0"/>
            <w:tcMar>
              <w:top w:w="0" w:type="dxa"/>
              <w:left w:w="57" w:type="dxa"/>
              <w:bottom w:w="0" w:type="dxa"/>
              <w:right w:w="57" w:type="dxa"/>
            </w:tcMar>
            <w:vAlign w:val="center"/>
          </w:tcPr>
          <w:p w14:paraId="1AC2F557">
            <w:pPr>
              <w:widowControl/>
              <w:spacing w:before="100" w:beforeAutospacing="1" w:after="100" w:afterAutospacing="1" w:line="376" w:lineRule="atLeast"/>
              <w:jc w:val="center"/>
              <w:rPr>
                <w:color w:val="auto"/>
                <w:kern w:val="0"/>
                <w:szCs w:val="21"/>
                <w:highlight w:val="none"/>
              </w:rPr>
            </w:pPr>
            <w:r>
              <w:rPr>
                <w:rFonts w:hint="eastAsia"/>
                <w:color w:val="auto"/>
                <w:kern w:val="0"/>
                <w:szCs w:val="21"/>
                <w:highlight w:val="none"/>
              </w:rPr>
              <w:t>品牌</w:t>
            </w:r>
          </w:p>
        </w:tc>
        <w:tc>
          <w:tcPr>
            <w:tcW w:w="1409" w:type="dxa"/>
            <w:tcBorders>
              <w:top w:val="single" w:color="auto" w:sz="12" w:space="0"/>
              <w:left w:val="single" w:color="auto" w:sz="4" w:space="0"/>
              <w:bottom w:val="single" w:color="auto" w:sz="8" w:space="0"/>
              <w:right w:val="single" w:color="auto" w:sz="8" w:space="0"/>
            </w:tcBorders>
            <w:noWrap w:val="0"/>
            <w:vAlign w:val="center"/>
          </w:tcPr>
          <w:p w14:paraId="043EEA7A">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规格型号</w:t>
            </w:r>
          </w:p>
        </w:tc>
        <w:tc>
          <w:tcPr>
            <w:tcW w:w="1851" w:type="dxa"/>
            <w:tcBorders>
              <w:top w:val="single" w:color="auto" w:sz="12" w:space="0"/>
              <w:left w:val="nil"/>
              <w:bottom w:val="single" w:color="auto" w:sz="8" w:space="0"/>
              <w:right w:val="single" w:color="auto" w:sz="8" w:space="0"/>
            </w:tcBorders>
            <w:noWrap w:val="0"/>
            <w:tcMar>
              <w:top w:w="0" w:type="dxa"/>
              <w:left w:w="57" w:type="dxa"/>
              <w:bottom w:w="0" w:type="dxa"/>
              <w:right w:w="57" w:type="dxa"/>
            </w:tcMar>
            <w:vAlign w:val="center"/>
          </w:tcPr>
          <w:p w14:paraId="12D08203">
            <w:pPr>
              <w:widowControl/>
              <w:spacing w:before="100" w:beforeAutospacing="1" w:after="100" w:afterAutospacing="1" w:line="376" w:lineRule="atLeast"/>
              <w:jc w:val="center"/>
              <w:rPr>
                <w:color w:val="auto"/>
                <w:kern w:val="0"/>
                <w:szCs w:val="21"/>
                <w:highlight w:val="none"/>
              </w:rPr>
            </w:pPr>
            <w:r>
              <w:rPr>
                <w:rFonts w:ascii="Helvetica" w:hAnsi="Helvetica" w:cs="Helvetica"/>
                <w:color w:val="auto"/>
                <w:szCs w:val="21"/>
                <w:highlight w:val="none"/>
                <w:shd w:val="clear" w:color="auto" w:fill="FFFFFF"/>
              </w:rPr>
              <w:t>生产者（制造商）</w:t>
            </w:r>
          </w:p>
        </w:tc>
        <w:tc>
          <w:tcPr>
            <w:tcW w:w="1412" w:type="dxa"/>
            <w:tcBorders>
              <w:top w:val="single" w:color="auto" w:sz="12" w:space="0"/>
              <w:left w:val="nil"/>
              <w:bottom w:val="single" w:color="auto" w:sz="8" w:space="0"/>
              <w:right w:val="single" w:color="auto" w:sz="8" w:space="0"/>
            </w:tcBorders>
            <w:noWrap w:val="0"/>
            <w:tcMar>
              <w:top w:w="0" w:type="dxa"/>
              <w:left w:w="57" w:type="dxa"/>
              <w:bottom w:w="0" w:type="dxa"/>
              <w:right w:w="57" w:type="dxa"/>
            </w:tcMar>
            <w:vAlign w:val="center"/>
          </w:tcPr>
          <w:p w14:paraId="083C7E70">
            <w:pPr>
              <w:widowControl/>
              <w:spacing w:before="100" w:beforeAutospacing="1" w:after="100" w:afterAutospacing="1" w:line="376" w:lineRule="atLeast"/>
              <w:jc w:val="center"/>
              <w:rPr>
                <w:color w:val="auto"/>
                <w:kern w:val="0"/>
                <w:szCs w:val="21"/>
                <w:highlight w:val="none"/>
              </w:rPr>
            </w:pPr>
            <w:r>
              <w:rPr>
                <w:rFonts w:hint="eastAsia"/>
                <w:color w:val="auto"/>
                <w:kern w:val="0"/>
                <w:szCs w:val="21"/>
                <w:highlight w:val="none"/>
              </w:rPr>
              <w:t>证书编号及证书到期日期</w:t>
            </w:r>
          </w:p>
        </w:tc>
        <w:tc>
          <w:tcPr>
            <w:tcW w:w="770" w:type="dxa"/>
            <w:tcBorders>
              <w:top w:val="single" w:color="auto" w:sz="12" w:space="0"/>
              <w:left w:val="nil"/>
              <w:bottom w:val="single" w:color="auto" w:sz="8" w:space="0"/>
              <w:right w:val="single" w:color="auto" w:sz="12" w:space="0"/>
            </w:tcBorders>
            <w:noWrap w:val="0"/>
            <w:tcMar>
              <w:top w:w="0" w:type="dxa"/>
              <w:left w:w="57" w:type="dxa"/>
              <w:bottom w:w="0" w:type="dxa"/>
              <w:right w:w="57" w:type="dxa"/>
            </w:tcMar>
            <w:vAlign w:val="center"/>
          </w:tcPr>
          <w:p w14:paraId="559F3439">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备注</w:t>
            </w:r>
          </w:p>
        </w:tc>
      </w:tr>
      <w:tr w14:paraId="1BC98C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4AD2779C">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1</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1F469FBE">
            <w:pPr>
              <w:widowControl/>
              <w:spacing w:before="100" w:beforeAutospacing="1" w:after="100" w:afterAutospacing="1" w:line="376" w:lineRule="atLeast"/>
              <w:jc w:val="center"/>
              <w:rPr>
                <w:color w:val="auto"/>
                <w:kern w:val="0"/>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14:paraId="6978808C">
            <w:pPr>
              <w:widowControl/>
              <w:spacing w:before="100" w:beforeAutospacing="1" w:after="100" w:afterAutospacing="1" w:line="376" w:lineRule="atLeast"/>
              <w:jc w:val="center"/>
              <w:rPr>
                <w:color w:val="auto"/>
                <w:kern w:val="0"/>
                <w:szCs w:val="21"/>
                <w:highlight w:val="none"/>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072FCEE0">
            <w:pPr>
              <w:widowControl/>
              <w:spacing w:before="100" w:beforeAutospacing="1" w:after="100" w:afterAutospacing="1" w:line="376" w:lineRule="atLeast"/>
              <w:jc w:val="center"/>
              <w:rPr>
                <w:color w:val="auto"/>
                <w:kern w:val="0"/>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14:paraId="3058F191">
            <w:pPr>
              <w:widowControl/>
              <w:spacing w:before="100" w:beforeAutospacing="1" w:after="100" w:afterAutospacing="1" w:line="376" w:lineRule="atLeast"/>
              <w:jc w:val="center"/>
              <w:rPr>
                <w:color w:val="auto"/>
                <w:kern w:val="0"/>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25B3DD9">
            <w:pPr>
              <w:widowControl/>
              <w:spacing w:before="100" w:beforeAutospacing="1" w:after="100" w:afterAutospacing="1" w:line="376" w:lineRule="atLeast"/>
              <w:jc w:val="center"/>
              <w:rPr>
                <w:color w:val="auto"/>
                <w:kern w:val="0"/>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EC07A3C">
            <w:pPr>
              <w:widowControl/>
              <w:spacing w:before="100" w:beforeAutospacing="1" w:after="100" w:afterAutospacing="1" w:line="376" w:lineRule="atLeast"/>
              <w:jc w:val="center"/>
              <w:rPr>
                <w:color w:val="auto"/>
                <w:kern w:val="0"/>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2D763530">
            <w:pPr>
              <w:widowControl/>
              <w:spacing w:before="100" w:beforeAutospacing="1" w:after="100" w:afterAutospacing="1" w:line="376" w:lineRule="atLeast"/>
              <w:jc w:val="center"/>
              <w:rPr>
                <w:color w:val="auto"/>
                <w:kern w:val="0"/>
                <w:szCs w:val="21"/>
                <w:highlight w:val="none"/>
              </w:rPr>
            </w:pPr>
          </w:p>
        </w:tc>
      </w:tr>
      <w:tr w14:paraId="0BE512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23D9DE40">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2</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415BFF54">
            <w:pPr>
              <w:widowControl/>
              <w:spacing w:before="100" w:beforeAutospacing="1" w:after="100" w:afterAutospacing="1" w:line="376" w:lineRule="atLeast"/>
              <w:jc w:val="center"/>
              <w:rPr>
                <w:color w:val="auto"/>
                <w:kern w:val="0"/>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14:paraId="674B35CA">
            <w:pPr>
              <w:widowControl/>
              <w:spacing w:before="100" w:beforeAutospacing="1" w:after="100" w:afterAutospacing="1" w:line="376" w:lineRule="atLeast"/>
              <w:jc w:val="center"/>
              <w:rPr>
                <w:color w:val="auto"/>
                <w:kern w:val="0"/>
                <w:szCs w:val="21"/>
                <w:highlight w:val="none"/>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63587E4E">
            <w:pPr>
              <w:widowControl/>
              <w:spacing w:before="100" w:beforeAutospacing="1" w:after="100" w:afterAutospacing="1" w:line="376" w:lineRule="atLeast"/>
              <w:jc w:val="center"/>
              <w:rPr>
                <w:color w:val="auto"/>
                <w:kern w:val="0"/>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14:paraId="6BA431D5">
            <w:pPr>
              <w:widowControl/>
              <w:spacing w:before="100" w:beforeAutospacing="1" w:after="100" w:afterAutospacing="1" w:line="376" w:lineRule="atLeast"/>
              <w:jc w:val="center"/>
              <w:rPr>
                <w:color w:val="auto"/>
                <w:kern w:val="0"/>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C59A9BB">
            <w:pPr>
              <w:widowControl/>
              <w:spacing w:before="100" w:beforeAutospacing="1" w:after="100" w:afterAutospacing="1" w:line="376" w:lineRule="atLeast"/>
              <w:jc w:val="center"/>
              <w:rPr>
                <w:color w:val="auto"/>
                <w:kern w:val="0"/>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1693514">
            <w:pPr>
              <w:widowControl/>
              <w:spacing w:before="100" w:beforeAutospacing="1" w:after="100" w:afterAutospacing="1" w:line="376" w:lineRule="atLeast"/>
              <w:jc w:val="center"/>
              <w:rPr>
                <w:color w:val="auto"/>
                <w:kern w:val="0"/>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35F8112D">
            <w:pPr>
              <w:widowControl/>
              <w:spacing w:before="100" w:beforeAutospacing="1" w:after="100" w:afterAutospacing="1" w:line="376" w:lineRule="atLeast"/>
              <w:jc w:val="center"/>
              <w:rPr>
                <w:color w:val="auto"/>
                <w:kern w:val="0"/>
                <w:szCs w:val="21"/>
                <w:highlight w:val="none"/>
              </w:rPr>
            </w:pPr>
          </w:p>
        </w:tc>
      </w:tr>
      <w:tr w14:paraId="5037D1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31315409">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3459BE80">
            <w:pPr>
              <w:widowControl/>
              <w:spacing w:before="100" w:beforeAutospacing="1" w:after="100" w:afterAutospacing="1" w:line="376" w:lineRule="atLeast"/>
              <w:jc w:val="center"/>
              <w:rPr>
                <w:color w:val="auto"/>
                <w:kern w:val="0"/>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14:paraId="01A55871">
            <w:pPr>
              <w:widowControl/>
              <w:spacing w:before="100" w:beforeAutospacing="1" w:after="100" w:afterAutospacing="1" w:line="376" w:lineRule="atLeast"/>
              <w:jc w:val="center"/>
              <w:rPr>
                <w:color w:val="auto"/>
                <w:kern w:val="0"/>
                <w:szCs w:val="21"/>
                <w:highlight w:val="none"/>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7ED91F2F">
            <w:pPr>
              <w:widowControl/>
              <w:spacing w:before="100" w:beforeAutospacing="1" w:after="100" w:afterAutospacing="1" w:line="376" w:lineRule="atLeast"/>
              <w:jc w:val="center"/>
              <w:rPr>
                <w:color w:val="auto"/>
                <w:kern w:val="0"/>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14:paraId="681C996F">
            <w:pPr>
              <w:widowControl/>
              <w:spacing w:before="100" w:beforeAutospacing="1" w:after="100" w:afterAutospacing="1" w:line="376" w:lineRule="atLeast"/>
              <w:jc w:val="center"/>
              <w:rPr>
                <w:color w:val="auto"/>
                <w:kern w:val="0"/>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3AE861E">
            <w:pPr>
              <w:widowControl/>
              <w:spacing w:before="100" w:beforeAutospacing="1" w:after="100" w:afterAutospacing="1" w:line="376" w:lineRule="atLeast"/>
              <w:jc w:val="center"/>
              <w:rPr>
                <w:color w:val="auto"/>
                <w:kern w:val="0"/>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7D0E4E6">
            <w:pPr>
              <w:widowControl/>
              <w:spacing w:before="100" w:beforeAutospacing="1" w:after="100" w:afterAutospacing="1" w:line="376" w:lineRule="atLeast"/>
              <w:jc w:val="center"/>
              <w:rPr>
                <w:color w:val="auto"/>
                <w:kern w:val="0"/>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1546AC1D">
            <w:pPr>
              <w:widowControl/>
              <w:spacing w:before="100" w:beforeAutospacing="1" w:after="100" w:afterAutospacing="1" w:line="376" w:lineRule="atLeast"/>
              <w:jc w:val="center"/>
              <w:rPr>
                <w:color w:val="auto"/>
                <w:kern w:val="0"/>
                <w:szCs w:val="21"/>
                <w:highlight w:val="none"/>
              </w:rPr>
            </w:pPr>
          </w:p>
        </w:tc>
      </w:tr>
    </w:tbl>
    <w:p w14:paraId="2DBFE7FA">
      <w:pPr>
        <w:snapToGrid w:val="0"/>
        <w:spacing w:before="50" w:after="120" w:afterLines="50"/>
        <w:jc w:val="left"/>
        <w:rPr>
          <w:color w:val="auto"/>
          <w:szCs w:val="21"/>
          <w:highlight w:val="none"/>
        </w:rPr>
      </w:pPr>
      <w:r>
        <w:rPr>
          <w:rFonts w:hint="eastAsia"/>
          <w:color w:val="auto"/>
          <w:szCs w:val="21"/>
          <w:highlight w:val="none"/>
        </w:rPr>
        <w:t>注：类别填写节能或环境标志，品目填写编号及产品名称如A</w:t>
      </w:r>
      <w:r>
        <w:rPr>
          <w:color w:val="auto"/>
          <w:szCs w:val="21"/>
          <w:highlight w:val="none"/>
        </w:rPr>
        <w:t>02010104</w:t>
      </w:r>
      <w:r>
        <w:rPr>
          <w:rFonts w:hint="eastAsia"/>
          <w:color w:val="auto"/>
          <w:szCs w:val="21"/>
          <w:highlight w:val="none"/>
        </w:rPr>
        <w:t>台式计算机。</w:t>
      </w:r>
    </w:p>
    <w:p w14:paraId="753DB097">
      <w:pPr>
        <w:snapToGrid w:val="0"/>
        <w:spacing w:before="50" w:after="120" w:afterLines="50"/>
        <w:jc w:val="left"/>
        <w:rPr>
          <w:color w:val="auto"/>
          <w:szCs w:val="21"/>
          <w:highlight w:val="none"/>
        </w:rPr>
      </w:pPr>
    </w:p>
    <w:p w14:paraId="3E23D228">
      <w:pPr>
        <w:widowControl/>
        <w:jc w:val="left"/>
        <w:rPr>
          <w:color w:val="auto"/>
          <w:szCs w:val="21"/>
          <w:highlight w:val="none"/>
        </w:rPr>
      </w:pPr>
      <w:bookmarkStart w:id="198" w:name="_Hlk19050322"/>
      <w:r>
        <w:rPr>
          <w:color w:val="auto"/>
          <w:szCs w:val="21"/>
          <w:highlight w:val="none"/>
        </w:rPr>
        <w:br w:type="page"/>
      </w:r>
    </w:p>
    <w:p w14:paraId="19C175C3">
      <w:pPr>
        <w:snapToGrid w:val="0"/>
        <w:spacing w:before="120" w:beforeLines="50" w:after="50" w:line="440" w:lineRule="exact"/>
        <w:jc w:val="left"/>
        <w:rPr>
          <w:color w:val="auto"/>
          <w:szCs w:val="21"/>
          <w:highlight w:val="none"/>
        </w:rPr>
      </w:pPr>
      <w:r>
        <w:rPr>
          <w:rFonts w:hint="eastAsia"/>
          <w:color w:val="auto"/>
          <w:szCs w:val="21"/>
          <w:highlight w:val="none"/>
          <w:lang w:val="en-US" w:eastAsia="zh-CN"/>
        </w:rPr>
        <w:t>6</w:t>
      </w:r>
      <w:r>
        <w:rPr>
          <w:color w:val="auto"/>
          <w:szCs w:val="21"/>
          <w:highlight w:val="none"/>
        </w:rPr>
        <w:t>.</w:t>
      </w:r>
      <w:r>
        <w:rPr>
          <w:rFonts w:hint="eastAsia"/>
          <w:color w:val="auto"/>
          <w:szCs w:val="21"/>
          <w:highlight w:val="none"/>
          <w:lang w:val="en-US" w:eastAsia="zh-CN"/>
        </w:rPr>
        <w:t>2</w:t>
      </w:r>
      <w:r>
        <w:rPr>
          <w:rFonts w:hint="eastAsia"/>
          <w:bCs/>
          <w:color w:val="auto"/>
          <w:szCs w:val="21"/>
          <w:highlight w:val="none"/>
        </w:rPr>
        <w:t>中小企业声明函</w:t>
      </w:r>
      <w:r>
        <w:rPr>
          <w:color w:val="auto"/>
          <w:szCs w:val="21"/>
          <w:highlight w:val="none"/>
        </w:rPr>
        <w:t>。</w:t>
      </w:r>
      <w:r>
        <w:rPr>
          <w:rFonts w:hint="eastAsia"/>
          <w:color w:val="auto"/>
          <w:szCs w:val="21"/>
          <w:highlight w:val="none"/>
        </w:rPr>
        <w:t>【备注：</w:t>
      </w:r>
      <w:r>
        <w:rPr>
          <w:rFonts w:hint="eastAsia"/>
          <w:color w:val="auto"/>
          <w:kern w:val="0"/>
          <w:szCs w:val="21"/>
          <w:highlight w:val="none"/>
        </w:rPr>
        <w:t>非专门面向中小企业采购的项目、预留份额项目中的非预留部分采购包时提供</w:t>
      </w:r>
      <w:r>
        <w:rPr>
          <w:rFonts w:hint="eastAsia"/>
          <w:color w:val="auto"/>
          <w:szCs w:val="21"/>
          <w:highlight w:val="none"/>
        </w:rPr>
        <w:t>】</w:t>
      </w:r>
    </w:p>
    <w:p w14:paraId="6957AF99">
      <w:pPr>
        <w:rPr>
          <w:color w:val="auto"/>
          <w:szCs w:val="21"/>
          <w:highlight w:val="none"/>
        </w:rPr>
      </w:pPr>
    </w:p>
    <w:p w14:paraId="685CAF57">
      <w:pPr>
        <w:spacing w:line="360" w:lineRule="auto"/>
        <w:ind w:firstLine="3584" w:firstLineChars="1700"/>
        <w:rPr>
          <w:b/>
          <w:color w:val="auto"/>
          <w:szCs w:val="21"/>
          <w:highlight w:val="none"/>
        </w:rPr>
      </w:pPr>
    </w:p>
    <w:p w14:paraId="7A78110F">
      <w:pPr>
        <w:spacing w:line="360" w:lineRule="auto"/>
        <w:ind w:firstLine="3584" w:firstLineChars="1700"/>
        <w:rPr>
          <w:b/>
          <w:color w:val="auto"/>
          <w:szCs w:val="21"/>
          <w:highlight w:val="none"/>
        </w:rPr>
      </w:pPr>
      <w:r>
        <w:rPr>
          <w:rFonts w:hint="eastAsia"/>
          <w:b/>
          <w:color w:val="auto"/>
          <w:szCs w:val="21"/>
          <w:highlight w:val="none"/>
        </w:rPr>
        <w:t>中小企业声明函（货物）</w:t>
      </w:r>
    </w:p>
    <w:p w14:paraId="75A59115">
      <w:pPr>
        <w:spacing w:line="360" w:lineRule="auto"/>
        <w:ind w:firstLine="420"/>
        <w:rPr>
          <w:bCs/>
          <w:color w:val="auto"/>
          <w:szCs w:val="21"/>
          <w:highlight w:val="none"/>
        </w:rPr>
      </w:pPr>
      <w:r>
        <w:rPr>
          <w:rFonts w:hint="eastAsia"/>
          <w:bCs/>
          <w:color w:val="auto"/>
          <w:szCs w:val="21"/>
          <w:highlight w:val="none"/>
        </w:rPr>
        <w:t>本公司（联合体）郑重声明，根据《政府采购促进中小企业发展管理办法》（财库﹝2020﹞46 号）的规定，本公司（联合体）参加</w:t>
      </w:r>
      <w:r>
        <w:rPr>
          <w:rFonts w:hint="eastAsia"/>
          <w:bCs/>
          <w:color w:val="auto"/>
          <w:szCs w:val="21"/>
          <w:highlight w:val="none"/>
          <w:u w:val="single"/>
        </w:rPr>
        <w:t>（单位名称）</w:t>
      </w:r>
      <w:r>
        <w:rPr>
          <w:rFonts w:hint="eastAsia"/>
          <w:bCs/>
          <w:color w:val="auto"/>
          <w:szCs w:val="21"/>
          <w:highlight w:val="none"/>
        </w:rPr>
        <w:t>的</w:t>
      </w:r>
      <w:r>
        <w:rPr>
          <w:rFonts w:hint="eastAsia"/>
          <w:bCs/>
          <w:color w:val="auto"/>
          <w:szCs w:val="21"/>
          <w:highlight w:val="none"/>
          <w:u w:val="single"/>
        </w:rPr>
        <w:t>（项目名称）</w:t>
      </w:r>
      <w:r>
        <w:rPr>
          <w:rFonts w:hint="eastAsia"/>
          <w:bCs/>
          <w:color w:val="auto"/>
          <w:szCs w:val="21"/>
          <w:highlight w:val="none"/>
        </w:rPr>
        <w:t>采购活动，提供的货物全部由符合政策要求的中小企业制造。相关企业（含联合体中的中小企业、签订分包意向协议的中小企业） 的具体情况如下：</w:t>
      </w:r>
    </w:p>
    <w:p w14:paraId="4B920409">
      <w:pPr>
        <w:spacing w:line="360" w:lineRule="auto"/>
        <w:ind w:firstLine="420"/>
        <w:rPr>
          <w:bCs/>
          <w:color w:val="auto"/>
          <w:szCs w:val="21"/>
          <w:highlight w:val="none"/>
        </w:rPr>
      </w:pPr>
      <w:r>
        <w:rPr>
          <w:bCs/>
          <w:color w:val="auto"/>
          <w:szCs w:val="21"/>
          <w:highlight w:val="none"/>
        </w:rPr>
        <w:t>1.</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（招标文件中明确的所属行业）</w:t>
      </w:r>
      <w:r>
        <w:rPr>
          <w:rFonts w:hint="eastAsia"/>
          <w:bCs/>
          <w:color w:val="auto"/>
          <w:szCs w:val="21"/>
          <w:highlight w:val="none"/>
        </w:rPr>
        <w:t>行业；制造商为</w:t>
      </w:r>
      <w:r>
        <w:rPr>
          <w:rFonts w:hint="eastAsia"/>
          <w:bCs/>
          <w:color w:val="auto"/>
          <w:szCs w:val="21"/>
          <w:highlight w:val="none"/>
          <w:u w:val="single"/>
        </w:rPr>
        <w:t>（企业名称）</w:t>
      </w:r>
      <w:r>
        <w:rPr>
          <w:rFonts w:hint="eastAsia"/>
          <w:bCs/>
          <w:color w:val="auto"/>
          <w:szCs w:val="21"/>
          <w:highlight w:val="none"/>
        </w:rPr>
        <w:t>，从业人员</w:t>
      </w:r>
      <w:r>
        <w:rPr>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62B23370">
      <w:pPr>
        <w:spacing w:line="360" w:lineRule="auto"/>
        <w:ind w:firstLine="420"/>
        <w:rPr>
          <w:bCs/>
          <w:color w:val="auto"/>
          <w:szCs w:val="21"/>
          <w:highlight w:val="none"/>
        </w:rPr>
      </w:pPr>
      <w:r>
        <w:rPr>
          <w:bCs/>
          <w:color w:val="auto"/>
          <w:szCs w:val="21"/>
          <w:highlight w:val="none"/>
        </w:rPr>
        <w:t>2.</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（招标文件中明确的所属行业）</w:t>
      </w:r>
      <w:r>
        <w:rPr>
          <w:rFonts w:hint="eastAsia"/>
          <w:bCs/>
          <w:color w:val="auto"/>
          <w:szCs w:val="21"/>
          <w:highlight w:val="none"/>
        </w:rPr>
        <w:t>行业；制造商为</w:t>
      </w:r>
      <w:r>
        <w:rPr>
          <w:rFonts w:hint="eastAsia"/>
          <w:bCs/>
          <w:color w:val="auto"/>
          <w:szCs w:val="21"/>
          <w:highlight w:val="none"/>
          <w:u w:val="single"/>
        </w:rPr>
        <w:t>（企业名称）</w:t>
      </w:r>
      <w:r>
        <w:rPr>
          <w:rFonts w:hint="eastAsia"/>
          <w:bCs/>
          <w:color w:val="auto"/>
          <w:szCs w:val="21"/>
          <w:highlight w:val="none"/>
        </w:rPr>
        <w:t>，从业人员</w:t>
      </w:r>
      <w:r>
        <w:rPr>
          <w:rFonts w:hint="eastAsia"/>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40169C87">
      <w:pPr>
        <w:spacing w:line="360" w:lineRule="auto"/>
        <w:ind w:firstLine="420"/>
        <w:rPr>
          <w:bCs/>
          <w:color w:val="auto"/>
          <w:szCs w:val="21"/>
          <w:highlight w:val="none"/>
        </w:rPr>
      </w:pPr>
      <w:r>
        <w:rPr>
          <w:rFonts w:hint="eastAsia"/>
          <w:bCs/>
          <w:color w:val="auto"/>
          <w:szCs w:val="21"/>
          <w:highlight w:val="none"/>
        </w:rPr>
        <w:t>……</w:t>
      </w:r>
    </w:p>
    <w:p w14:paraId="2D75A483">
      <w:pPr>
        <w:spacing w:line="360" w:lineRule="auto"/>
        <w:ind w:firstLine="420"/>
        <w:rPr>
          <w:bCs/>
          <w:color w:val="auto"/>
          <w:szCs w:val="21"/>
          <w:highlight w:val="none"/>
        </w:rPr>
      </w:pPr>
      <w:r>
        <w:rPr>
          <w:rFonts w:hint="eastAsia"/>
          <w:bCs/>
          <w:color w:val="auto"/>
          <w:szCs w:val="21"/>
          <w:highlight w:val="none"/>
        </w:rPr>
        <w:t>以上企业，不属于大企业的分支机构，不存在控股股东为大企业的情形，也不存在与大企业的负责人为同一人的情形。</w:t>
      </w:r>
    </w:p>
    <w:p w14:paraId="4D68875A">
      <w:pPr>
        <w:spacing w:line="360" w:lineRule="auto"/>
        <w:ind w:firstLine="420"/>
        <w:rPr>
          <w:bCs/>
          <w:color w:val="auto"/>
          <w:szCs w:val="21"/>
          <w:highlight w:val="none"/>
        </w:rPr>
      </w:pPr>
      <w:r>
        <w:rPr>
          <w:rFonts w:hint="eastAsia"/>
          <w:bCs/>
          <w:color w:val="auto"/>
          <w:szCs w:val="21"/>
          <w:highlight w:val="none"/>
        </w:rPr>
        <w:t>本企业对上述声明内容的真实性负责。如有虚假，将依法承担相应责任。</w:t>
      </w:r>
    </w:p>
    <w:p w14:paraId="078EB7C3">
      <w:pPr>
        <w:spacing w:line="360" w:lineRule="auto"/>
        <w:ind w:firstLine="3150" w:firstLineChars="1500"/>
        <w:rPr>
          <w:bCs/>
          <w:color w:val="auto"/>
          <w:szCs w:val="21"/>
          <w:highlight w:val="none"/>
        </w:rPr>
      </w:pPr>
      <w:r>
        <w:rPr>
          <w:rFonts w:hint="eastAsia"/>
          <w:bCs/>
          <w:color w:val="auto"/>
          <w:szCs w:val="21"/>
          <w:highlight w:val="none"/>
        </w:rPr>
        <w:t>企业名称</w:t>
      </w:r>
      <w:r>
        <w:rPr>
          <w:rFonts w:hint="eastAsia"/>
          <w:color w:val="auto"/>
          <w:szCs w:val="21"/>
          <w:highlight w:val="none"/>
        </w:rPr>
        <w:t xml:space="preserve"> (电子签章</w:t>
      </w:r>
      <w:r>
        <w:rPr>
          <w:color w:val="auto"/>
          <w:szCs w:val="21"/>
          <w:highlight w:val="none"/>
        </w:rPr>
        <w:t>)</w:t>
      </w:r>
      <w:r>
        <w:rPr>
          <w:rFonts w:hint="eastAsia"/>
          <w:bCs/>
          <w:color w:val="auto"/>
          <w:szCs w:val="21"/>
          <w:highlight w:val="none"/>
        </w:rPr>
        <w:t xml:space="preserve">： </w:t>
      </w:r>
      <w:r>
        <w:rPr>
          <w:bCs/>
          <w:color w:val="auto"/>
          <w:szCs w:val="21"/>
          <w:highlight w:val="none"/>
        </w:rPr>
        <w:t xml:space="preserve">   </w:t>
      </w:r>
      <w:r>
        <w:rPr>
          <w:rFonts w:hint="eastAsia"/>
          <w:bCs/>
          <w:color w:val="auto"/>
          <w:szCs w:val="21"/>
          <w:highlight w:val="none"/>
        </w:rPr>
        <w:t>日期：</w:t>
      </w:r>
    </w:p>
    <w:p w14:paraId="71842FA2">
      <w:pPr>
        <w:spacing w:line="360" w:lineRule="auto"/>
        <w:jc w:val="left"/>
        <w:rPr>
          <w:bCs/>
          <w:color w:val="auto"/>
          <w:szCs w:val="21"/>
          <w:highlight w:val="none"/>
        </w:rPr>
      </w:pPr>
      <w:r>
        <w:rPr>
          <w:rFonts w:hint="eastAsia"/>
          <w:bCs/>
          <w:color w:val="auto"/>
          <w:szCs w:val="21"/>
          <w:highlight w:val="none"/>
        </w:rPr>
        <w:t>注：</w:t>
      </w:r>
    </w:p>
    <w:p w14:paraId="7917F9DC">
      <w:pPr>
        <w:spacing w:line="360" w:lineRule="auto"/>
        <w:jc w:val="left"/>
        <w:rPr>
          <w:bCs/>
          <w:color w:val="auto"/>
          <w:szCs w:val="21"/>
          <w:highlight w:val="none"/>
        </w:rPr>
      </w:pPr>
      <w:r>
        <w:rPr>
          <w:rFonts w:hint="eastAsia"/>
          <w:bCs/>
          <w:color w:val="auto"/>
          <w:szCs w:val="21"/>
          <w:highlight w:val="none"/>
        </w:rPr>
        <w:t>（1）标的名称按照第二章采购需求一览表中的货物名称填写，</w:t>
      </w:r>
      <w:r>
        <w:rPr>
          <w:color w:val="auto"/>
          <w:szCs w:val="21"/>
          <w:highlight w:val="none"/>
        </w:rPr>
        <w:t>所属行业标明“/”的</w:t>
      </w:r>
      <w:r>
        <w:rPr>
          <w:rFonts w:hint="eastAsia"/>
          <w:bCs/>
          <w:color w:val="auto"/>
          <w:szCs w:val="21"/>
          <w:highlight w:val="none"/>
        </w:rPr>
        <w:t>，无需在上表填写。</w:t>
      </w:r>
    </w:p>
    <w:p w14:paraId="302831D4">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2</w:t>
      </w:r>
      <w:r>
        <w:rPr>
          <w:rFonts w:hint="eastAsia"/>
          <w:bCs/>
          <w:color w:val="auto"/>
          <w:szCs w:val="21"/>
          <w:highlight w:val="none"/>
        </w:rPr>
        <w:t>）如</w:t>
      </w:r>
      <w:r>
        <w:rPr>
          <w:rFonts w:hint="eastAsia"/>
          <w:bCs/>
          <w:color w:val="auto"/>
          <w:szCs w:val="21"/>
          <w:highlight w:val="none"/>
          <w:lang w:eastAsia="zh-CN"/>
        </w:rPr>
        <w:t>投标人</w:t>
      </w:r>
      <w:r>
        <w:rPr>
          <w:rFonts w:hint="eastAsia"/>
          <w:bCs/>
          <w:color w:val="auto"/>
          <w:szCs w:val="21"/>
          <w:highlight w:val="none"/>
        </w:rPr>
        <w:t>为联合体或分包的，声明函中“项目名称”应填写联合体中小微企业承担的具体内容或者小微企业具体分包内容。</w:t>
      </w:r>
    </w:p>
    <w:p w14:paraId="45B66B27">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3</w:t>
      </w:r>
      <w:r>
        <w:rPr>
          <w:rFonts w:hint="eastAsia"/>
          <w:bCs/>
          <w:color w:val="auto"/>
          <w:szCs w:val="21"/>
          <w:highlight w:val="none"/>
        </w:rPr>
        <w:t>）从业人员、营业收入、资产总额填报上一年度数据，无上一年度数据的新成立企业参照国务院批准的中小企业划分标准，根据企业自身情况如实判断。</w:t>
      </w:r>
    </w:p>
    <w:p w14:paraId="5D7CDBED">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4</w:t>
      </w:r>
      <w:r>
        <w:rPr>
          <w:rFonts w:hint="eastAsia"/>
          <w:bCs/>
          <w:color w:val="auto"/>
          <w:szCs w:val="21"/>
          <w:highlight w:val="none"/>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790D3D35">
      <w:pPr>
        <w:spacing w:line="360" w:lineRule="auto"/>
        <w:jc w:val="left"/>
        <w:rPr>
          <w:bCs/>
          <w:color w:val="auto"/>
          <w:szCs w:val="21"/>
          <w:highlight w:val="none"/>
        </w:rPr>
      </w:pPr>
      <w:r>
        <w:rPr>
          <w:rFonts w:hint="eastAsia"/>
          <w:bCs/>
          <w:color w:val="auto"/>
          <w:szCs w:val="21"/>
          <w:highlight w:val="none"/>
        </w:rPr>
        <w:t>（5）根据</w:t>
      </w:r>
      <w:r>
        <w:rPr>
          <w:rFonts w:hint="eastAsia"/>
          <w:bCs/>
          <w:color w:val="auto"/>
          <w:szCs w:val="21"/>
          <w:highlight w:val="none"/>
          <w:lang w:eastAsia="zh-CN"/>
        </w:rPr>
        <w:t>国家统计局</w:t>
      </w:r>
      <w:r>
        <w:rPr>
          <w:rFonts w:hint="eastAsia"/>
          <w:bCs/>
          <w:color w:val="auto"/>
          <w:szCs w:val="21"/>
          <w:highlight w:val="none"/>
        </w:rPr>
        <w:t>《劳动工资统计报表制度》，从业人员数是指本单位工作，并取得工资或其他形式劳动报酬的人员数，是在岗职工、劳务派遣人员及其他从业人员之和。</w:t>
      </w:r>
    </w:p>
    <w:p w14:paraId="0D328889">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6</w:t>
      </w:r>
      <w:r>
        <w:rPr>
          <w:rFonts w:hint="eastAsia"/>
          <w:bCs/>
          <w:color w:val="auto"/>
          <w:szCs w:val="21"/>
          <w:highlight w:val="none"/>
        </w:rPr>
        <w:t>）本声明函由</w:t>
      </w:r>
      <w:r>
        <w:rPr>
          <w:rFonts w:hint="eastAsia"/>
          <w:bCs/>
          <w:color w:val="auto"/>
          <w:szCs w:val="21"/>
          <w:highlight w:val="none"/>
          <w:lang w:eastAsia="zh-CN"/>
        </w:rPr>
        <w:t>投标人</w:t>
      </w:r>
      <w:r>
        <w:rPr>
          <w:rFonts w:hint="eastAsia"/>
          <w:bCs/>
          <w:color w:val="auto"/>
          <w:szCs w:val="21"/>
          <w:highlight w:val="none"/>
        </w:rPr>
        <w:t>填写，</w:t>
      </w:r>
      <w:r>
        <w:rPr>
          <w:rFonts w:hint="eastAsia"/>
          <w:bCs/>
          <w:color w:val="auto"/>
          <w:szCs w:val="21"/>
          <w:highlight w:val="none"/>
          <w:lang w:eastAsia="zh-CN"/>
        </w:rPr>
        <w:t>投标人</w:t>
      </w:r>
      <w:r>
        <w:rPr>
          <w:rFonts w:hint="eastAsia"/>
          <w:bCs/>
          <w:color w:val="auto"/>
          <w:szCs w:val="21"/>
          <w:highlight w:val="none"/>
        </w:rPr>
        <w:t>应按中小企业划分标准《关于印发中小企业划型标准规定的通知》（工信部联企业〔2011〕300号</w:t>
      </w:r>
      <w:r>
        <w:rPr>
          <w:rFonts w:hint="eastAsia"/>
          <w:color w:val="auto"/>
          <w:szCs w:val="21"/>
          <w:highlight w:val="none"/>
        </w:rPr>
        <w:t>以及《金融业企业划型标准规定》（银发〔2015〕309号）</w:t>
      </w:r>
      <w:r>
        <w:rPr>
          <w:rFonts w:hint="eastAsia"/>
          <w:bCs/>
          <w:color w:val="auto"/>
          <w:szCs w:val="21"/>
          <w:highlight w:val="none"/>
        </w:rPr>
        <w:t>）判断是否为中小企业。</w:t>
      </w:r>
    </w:p>
    <w:p w14:paraId="1BA4090B">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7</w:t>
      </w:r>
      <w:r>
        <w:rPr>
          <w:rFonts w:hint="eastAsia"/>
          <w:bCs/>
          <w:color w:val="auto"/>
          <w:szCs w:val="21"/>
          <w:highlight w:val="none"/>
        </w:rPr>
        <w:t>）</w:t>
      </w:r>
      <w:r>
        <w:rPr>
          <w:rFonts w:hint="eastAsia"/>
          <w:bCs/>
          <w:color w:val="auto"/>
          <w:szCs w:val="21"/>
          <w:highlight w:val="none"/>
          <w:lang w:eastAsia="zh-CN"/>
        </w:rPr>
        <w:t>投标人</w:t>
      </w:r>
      <w:r>
        <w:rPr>
          <w:rFonts w:hint="eastAsia"/>
          <w:bCs/>
          <w:color w:val="auto"/>
          <w:szCs w:val="21"/>
          <w:highlight w:val="none"/>
        </w:rPr>
        <w:t>对《中小企业声明函》的真实性负责，如有虚假则需承担不利后果。依法享受中小企业优惠政策的，采购人或采购代理机构在公告成交结果时，同时公告其《中小企业声明函》，接受社会监督。</w:t>
      </w:r>
    </w:p>
    <w:p w14:paraId="3F4BDFF5">
      <w:pPr>
        <w:spacing w:line="360" w:lineRule="auto"/>
        <w:jc w:val="left"/>
        <w:rPr>
          <w:rFonts w:hint="eastAsia"/>
          <w:bCs/>
          <w:color w:val="auto"/>
          <w:szCs w:val="21"/>
          <w:highlight w:val="none"/>
        </w:rPr>
      </w:pPr>
      <w:r>
        <w:rPr>
          <w:rFonts w:hint="eastAsia"/>
          <w:bCs/>
          <w:color w:val="auto"/>
          <w:szCs w:val="21"/>
          <w:highlight w:val="none"/>
        </w:rPr>
        <w:t>（</w:t>
      </w:r>
      <w:r>
        <w:rPr>
          <w:bCs/>
          <w:color w:val="auto"/>
          <w:szCs w:val="21"/>
          <w:highlight w:val="none"/>
        </w:rPr>
        <w:t>8</w:t>
      </w:r>
      <w:r>
        <w:rPr>
          <w:rFonts w:hint="eastAsia"/>
          <w:bCs/>
          <w:color w:val="auto"/>
          <w:szCs w:val="21"/>
          <w:highlight w:val="none"/>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793AE305">
      <w:pPr>
        <w:snapToGrid w:val="0"/>
        <w:spacing w:before="50" w:after="120" w:afterLines="50"/>
        <w:jc w:val="left"/>
        <w:rPr>
          <w:color w:val="auto"/>
          <w:szCs w:val="21"/>
          <w:highlight w:val="none"/>
        </w:rPr>
      </w:pPr>
      <w:r>
        <w:rPr>
          <w:rFonts w:hint="eastAsia"/>
          <w:color w:val="auto"/>
          <w:szCs w:val="21"/>
          <w:highlight w:val="none"/>
          <w:lang w:val="en-US" w:eastAsia="zh-CN"/>
        </w:rPr>
        <w:t>6</w:t>
      </w:r>
      <w:r>
        <w:rPr>
          <w:color w:val="auto"/>
          <w:szCs w:val="21"/>
          <w:highlight w:val="none"/>
        </w:rPr>
        <w:t>.</w:t>
      </w:r>
      <w:r>
        <w:rPr>
          <w:rFonts w:hint="eastAsia"/>
          <w:color w:val="auto"/>
          <w:szCs w:val="21"/>
          <w:highlight w:val="none"/>
          <w:lang w:val="en-US" w:eastAsia="zh-CN"/>
        </w:rPr>
        <w:t>3</w:t>
      </w:r>
      <w:r>
        <w:rPr>
          <w:color w:val="auto"/>
          <w:szCs w:val="21"/>
          <w:highlight w:val="none"/>
        </w:rPr>
        <w:t>监狱企业须提供最新一期《XX省监狱企业产品目录》或其他监狱企业证明材料。（非监狱企业无需提供）</w:t>
      </w:r>
    </w:p>
    <w:p w14:paraId="2A6AEA6A">
      <w:pPr>
        <w:snapToGrid w:val="0"/>
        <w:spacing w:before="50" w:after="120" w:afterLines="50"/>
        <w:jc w:val="left"/>
        <w:rPr>
          <w:color w:val="auto"/>
          <w:szCs w:val="21"/>
          <w:highlight w:val="none"/>
        </w:rPr>
      </w:pPr>
    </w:p>
    <w:p w14:paraId="5E3AF884">
      <w:pPr>
        <w:widowControl/>
        <w:jc w:val="left"/>
        <w:rPr>
          <w:color w:val="auto"/>
          <w:szCs w:val="21"/>
          <w:highlight w:val="none"/>
        </w:rPr>
      </w:pPr>
      <w:r>
        <w:rPr>
          <w:rFonts w:hint="eastAsia"/>
          <w:color w:val="auto"/>
          <w:szCs w:val="21"/>
          <w:highlight w:val="none"/>
          <w:lang w:val="en-US" w:eastAsia="zh-CN"/>
        </w:rPr>
        <w:t>6</w:t>
      </w:r>
      <w:r>
        <w:rPr>
          <w:color w:val="auto"/>
          <w:szCs w:val="21"/>
          <w:highlight w:val="none"/>
        </w:rPr>
        <w:t>.</w:t>
      </w:r>
      <w:r>
        <w:rPr>
          <w:rFonts w:hint="eastAsia"/>
          <w:color w:val="auto"/>
          <w:szCs w:val="21"/>
          <w:highlight w:val="none"/>
          <w:lang w:val="en-US" w:eastAsia="zh-CN"/>
        </w:rPr>
        <w:t>4</w:t>
      </w:r>
      <w:r>
        <w:rPr>
          <w:color w:val="auto"/>
          <w:highlight w:val="none"/>
        </w:rPr>
        <w:t>残疾人福利性单位须提供《残疾人福利性单位声明函》，格式如下。</w:t>
      </w:r>
      <w:r>
        <w:rPr>
          <w:color w:val="auto"/>
          <w:szCs w:val="21"/>
          <w:highlight w:val="none"/>
        </w:rPr>
        <w:t>（非残疾人福利性单位无需提供）</w:t>
      </w:r>
    </w:p>
    <w:p w14:paraId="6571EBC7">
      <w:pPr>
        <w:spacing w:line="360" w:lineRule="auto"/>
        <w:jc w:val="center"/>
        <w:rPr>
          <w:b/>
          <w:color w:val="auto"/>
          <w:szCs w:val="21"/>
          <w:highlight w:val="none"/>
        </w:rPr>
      </w:pPr>
      <w:r>
        <w:rPr>
          <w:b/>
          <w:color w:val="auto"/>
          <w:szCs w:val="21"/>
          <w:highlight w:val="none"/>
        </w:rPr>
        <w:t>残疾人福利性单位声明函</w:t>
      </w:r>
    </w:p>
    <w:p w14:paraId="29AD8C12">
      <w:pPr>
        <w:spacing w:line="360" w:lineRule="auto"/>
        <w:ind w:firstLine="420"/>
        <w:jc w:val="left"/>
        <w:rPr>
          <w:color w:val="auto"/>
          <w:szCs w:val="21"/>
          <w:highlight w:val="none"/>
        </w:rPr>
      </w:pPr>
      <w:r>
        <w:rPr>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Cs w:val="21"/>
          <w:highlight w:val="none"/>
          <w:u w:val="single"/>
        </w:rPr>
        <w:t xml:space="preserve">        </w:t>
      </w:r>
      <w:r>
        <w:rPr>
          <w:color w:val="auto"/>
          <w:szCs w:val="21"/>
          <w:highlight w:val="none"/>
        </w:rPr>
        <w:t>单位的</w:t>
      </w:r>
      <w:r>
        <w:rPr>
          <w:color w:val="auto"/>
          <w:szCs w:val="21"/>
          <w:highlight w:val="none"/>
          <w:u w:val="single"/>
        </w:rPr>
        <w:t xml:space="preserve">           </w:t>
      </w:r>
      <w:r>
        <w:rPr>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5A5CAFFD">
      <w:pPr>
        <w:spacing w:line="360" w:lineRule="auto"/>
        <w:ind w:firstLine="420"/>
        <w:rPr>
          <w:color w:val="auto"/>
          <w:szCs w:val="21"/>
          <w:highlight w:val="none"/>
        </w:rPr>
      </w:pPr>
      <w:r>
        <w:rPr>
          <w:color w:val="auto"/>
          <w:szCs w:val="21"/>
          <w:highlight w:val="none"/>
        </w:rPr>
        <w:t>本单位对上述声明的真实性负责。如有虚假，将依法承担相应责任。</w:t>
      </w:r>
    </w:p>
    <w:p w14:paraId="35AE3A70">
      <w:pPr>
        <w:spacing w:line="360" w:lineRule="auto"/>
        <w:ind w:firstLine="420"/>
        <w:jc w:val="right"/>
        <w:rPr>
          <w:color w:val="auto"/>
          <w:spacing w:val="6"/>
          <w:szCs w:val="21"/>
          <w:highlight w:val="none"/>
        </w:rPr>
      </w:pPr>
      <w:r>
        <w:rPr>
          <w:color w:val="auto"/>
          <w:spacing w:val="6"/>
          <w:sz w:val="30"/>
          <w:szCs w:val="30"/>
          <w:highlight w:val="none"/>
        </w:rPr>
        <w:t xml:space="preserve"> </w:t>
      </w: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单位名称</w:t>
      </w:r>
      <w:r>
        <w:rPr>
          <w:rFonts w:hint="eastAsia"/>
          <w:color w:val="auto"/>
          <w:szCs w:val="21"/>
          <w:highlight w:val="none"/>
        </w:rPr>
        <w:t>(电子签章</w:t>
      </w:r>
      <w:r>
        <w:rPr>
          <w:color w:val="auto"/>
          <w:szCs w:val="21"/>
          <w:highlight w:val="none"/>
        </w:rPr>
        <w:t>)</w:t>
      </w:r>
      <w:r>
        <w:rPr>
          <w:color w:val="auto"/>
          <w:spacing w:val="6"/>
          <w:szCs w:val="21"/>
          <w:highlight w:val="none"/>
        </w:rPr>
        <w:t xml:space="preserve">：          </w:t>
      </w:r>
    </w:p>
    <w:p w14:paraId="346CB278">
      <w:pPr>
        <w:spacing w:line="360" w:lineRule="auto"/>
        <w:ind w:firstLine="420"/>
        <w:jc w:val="right"/>
        <w:rPr>
          <w:color w:val="auto"/>
          <w:spacing w:val="6"/>
          <w:szCs w:val="21"/>
          <w:highlight w:val="none"/>
        </w:rPr>
      </w:pP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日  期：</w:t>
      </w:r>
    </w:p>
    <w:p w14:paraId="089AC7C4">
      <w:pPr>
        <w:spacing w:line="360" w:lineRule="auto"/>
        <w:rPr>
          <w:color w:val="auto"/>
          <w:szCs w:val="21"/>
          <w:highlight w:val="none"/>
        </w:rPr>
      </w:pPr>
    </w:p>
    <w:p w14:paraId="42D4434D">
      <w:pPr>
        <w:widowControl/>
        <w:jc w:val="left"/>
        <w:rPr>
          <w:color w:val="auto"/>
          <w:szCs w:val="21"/>
          <w:highlight w:val="none"/>
        </w:rPr>
      </w:pPr>
    </w:p>
    <w:p w14:paraId="69818B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textAlignment w:val="auto"/>
        <w:rPr>
          <w:rFonts w:hint="eastAsia"/>
          <w:color w:val="auto"/>
          <w:szCs w:val="21"/>
          <w:highlight w:val="none"/>
          <w:lang w:val="en-US" w:eastAsia="zh-CN"/>
        </w:rPr>
      </w:pPr>
      <w:r>
        <w:rPr>
          <w:rFonts w:hint="eastAsia"/>
          <w:color w:val="auto"/>
          <w:szCs w:val="21"/>
          <w:highlight w:val="none"/>
          <w:lang w:val="en-US" w:eastAsia="zh-CN"/>
        </w:rPr>
        <w:br w:type="page"/>
      </w:r>
    </w:p>
    <w:p w14:paraId="7709D24C">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ascii="Calibri" w:hAnsi="Calibri" w:eastAsia="宋体" w:cs="Times New Roman"/>
          <w:color w:val="auto"/>
          <w:kern w:val="0"/>
          <w:sz w:val="28"/>
          <w:szCs w:val="28"/>
          <w:highlight w:val="none"/>
          <w:lang w:val="en-US" w:eastAsia="zh-CN" w:bidi="ar"/>
        </w:rPr>
      </w:pPr>
      <w:r>
        <w:rPr>
          <w:rFonts w:hint="eastAsia"/>
          <w:color w:val="auto"/>
          <w:szCs w:val="21"/>
          <w:highlight w:val="none"/>
          <w:lang w:val="en-US" w:eastAsia="zh-CN"/>
        </w:rPr>
        <w:t>6.5 如投标人提供的产品属于本国产品</w:t>
      </w:r>
      <w:r>
        <w:rPr>
          <w:rFonts w:hint="eastAsia"/>
          <w:color w:val="auto"/>
          <w:szCs w:val="21"/>
          <w:highlight w:val="none"/>
        </w:rPr>
        <w:t>，按以下格式提供</w:t>
      </w:r>
      <w:r>
        <w:rPr>
          <w:rFonts w:hint="eastAsia"/>
          <w:color w:val="auto"/>
          <w:szCs w:val="21"/>
          <w:highlight w:val="none"/>
          <w:lang w:val="en-US" w:eastAsia="zh-CN"/>
        </w:rPr>
        <w:t>关于符合本国产品标准的声明函</w:t>
      </w:r>
      <w:r>
        <w:rPr>
          <w:rFonts w:hint="eastAsia"/>
          <w:color w:val="auto"/>
          <w:szCs w:val="21"/>
          <w:highlight w:val="none"/>
        </w:rPr>
        <w:t>。</w:t>
      </w:r>
    </w:p>
    <w:p w14:paraId="2D3288EC">
      <w:pPr>
        <w:spacing w:line="360" w:lineRule="auto"/>
        <w:ind w:firstLine="3584" w:firstLineChars="1700"/>
        <w:rPr>
          <w:rFonts w:hint="eastAsia"/>
          <w:b/>
          <w:color w:val="auto"/>
          <w:szCs w:val="21"/>
          <w:highlight w:val="none"/>
          <w:lang w:val="en-US" w:eastAsia="zh-CN"/>
        </w:rPr>
      </w:pPr>
    </w:p>
    <w:p w14:paraId="4C134A10">
      <w:pPr>
        <w:spacing w:line="360" w:lineRule="auto"/>
        <w:ind w:firstLine="3584" w:firstLineChars="1700"/>
        <w:rPr>
          <w:rFonts w:hint="eastAsia"/>
          <w:b/>
          <w:color w:val="auto"/>
          <w:szCs w:val="21"/>
          <w:highlight w:val="none"/>
          <w:lang w:val="en-US" w:eastAsia="zh-CN"/>
        </w:rPr>
      </w:pPr>
      <w:r>
        <w:rPr>
          <w:rFonts w:hint="eastAsia"/>
          <w:b/>
          <w:color w:val="auto"/>
          <w:szCs w:val="21"/>
          <w:highlight w:val="none"/>
          <w:lang w:val="en-US" w:eastAsia="zh-CN"/>
        </w:rPr>
        <w:t>关于符合本国产品标准的声明函</w:t>
      </w:r>
    </w:p>
    <w:p w14:paraId="6718058D">
      <w:pPr>
        <w:spacing w:line="360" w:lineRule="auto"/>
        <w:ind w:firstLine="3584" w:firstLineChars="1700"/>
        <w:rPr>
          <w:rFonts w:hint="eastAsia"/>
          <w:b/>
          <w:color w:val="auto"/>
          <w:szCs w:val="21"/>
          <w:highlight w:val="none"/>
          <w:lang w:val="en-US" w:eastAsia="zh-CN"/>
        </w:rPr>
      </w:pPr>
    </w:p>
    <w:p w14:paraId="65EBD1DC">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44BB5CEF">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产品名称1）1，生产厂为（厂名）2，厂址为（生产厂址）。（产品名称1）的中国境内生产的组件成本占比≥（规定比例）3。（产品名称1）的（关键组件）4在中国境内生产。（产品名称1）的（关键工序）5在中国境内完成。</w:t>
      </w:r>
    </w:p>
    <w:p w14:paraId="3B624550">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产品名称2），生产厂为（厂名），厂址为（生产厂址）。（产品名称2）的中国境内生产的组件成本占比≥（规定比例）。（产品名称2）的（关键组件）在中国境内生产。（产品名称2）的（关键工序）在中国境内完成。</w:t>
      </w:r>
    </w:p>
    <w:p w14:paraId="55DCAC2B">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p w14:paraId="1C28113E">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本公司（单位）对上述声明内容的真实性负责。如有虚假，愿承担相应法律责任。</w:t>
      </w:r>
    </w:p>
    <w:p w14:paraId="1579DE46">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w:t>
      </w:r>
    </w:p>
    <w:p w14:paraId="13BBA449">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righ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投标人</w:t>
      </w:r>
      <w:r>
        <w:rPr>
          <w:rFonts w:hint="eastAsia" w:ascii="Times New Roman" w:hAnsi="Times New Roman" w:eastAsia="宋体" w:cs="Times New Roman"/>
          <w:color w:val="auto"/>
          <w:kern w:val="2"/>
          <w:sz w:val="21"/>
          <w:szCs w:val="21"/>
          <w:highlight w:val="none"/>
          <w:lang w:val="en-US" w:eastAsia="zh-CN" w:bidi="ar-SA"/>
        </w:rPr>
        <w:t>名称（盖章）：　        </w:t>
      </w:r>
    </w:p>
    <w:p w14:paraId="6C3218F2">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right"/>
        <w:textAlignment w:val="baseline"/>
        <w:rPr>
          <w:rFonts w:ascii="Calibri" w:hAnsi="Calibri" w:eastAsia="宋体" w:cs="Times New Roman"/>
          <w:color w:val="auto"/>
          <w:kern w:val="0"/>
          <w:sz w:val="28"/>
          <w:szCs w:val="28"/>
          <w:highlight w:val="none"/>
          <w:lang w:val="en-US" w:eastAsia="zh-CN" w:bidi="ar"/>
        </w:rPr>
      </w:pPr>
      <w:r>
        <w:rPr>
          <w:rFonts w:hint="eastAsia" w:ascii="Times New Roman" w:hAnsi="Times New Roman" w:eastAsia="宋体" w:cs="Times New Roman"/>
          <w:color w:val="auto"/>
          <w:kern w:val="2"/>
          <w:sz w:val="21"/>
          <w:szCs w:val="21"/>
          <w:highlight w:val="none"/>
          <w:lang w:val="en-US" w:eastAsia="zh-CN" w:bidi="ar-SA"/>
        </w:rPr>
        <w:t>日期：　     年　  月　  日  </w:t>
      </w:r>
      <w:r>
        <w:rPr>
          <w:rFonts w:hint="eastAsia" w:ascii="仿宋" w:hAnsi="仿宋" w:eastAsia="仿宋" w:cs="仿宋"/>
          <w:i w:val="0"/>
          <w:iCs w:val="0"/>
          <w:caps w:val="0"/>
          <w:color w:val="auto"/>
          <w:spacing w:val="0"/>
          <w:kern w:val="0"/>
          <w:sz w:val="28"/>
          <w:szCs w:val="28"/>
          <w:highlight w:val="none"/>
          <w:u w:val="none"/>
          <w:shd w:val="clear" w:fill="FFFFFF"/>
          <w:vertAlign w:val="baseline"/>
          <w:lang w:val="en-US" w:eastAsia="zh-CN" w:bidi="ar"/>
        </w:rPr>
        <w:t>       </w:t>
      </w:r>
    </w:p>
    <w:p w14:paraId="45E2358D">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ascii="Calibri" w:hAnsi="Calibri" w:eastAsia="宋体" w:cs="Times New Roman"/>
          <w:color w:val="auto"/>
          <w:kern w:val="0"/>
          <w:sz w:val="28"/>
          <w:szCs w:val="28"/>
          <w:highlight w:val="none"/>
          <w:lang w:val="en-US" w:eastAsia="zh-CN" w:bidi="ar"/>
        </w:rPr>
      </w:pPr>
      <w:r>
        <w:rPr>
          <w:rFonts w:hint="eastAsia" w:ascii="仿宋" w:hAnsi="仿宋" w:eastAsia="仿宋" w:cs="仿宋"/>
          <w:i w:val="0"/>
          <w:iCs w:val="0"/>
          <w:caps w:val="0"/>
          <w:color w:val="auto"/>
          <w:spacing w:val="0"/>
          <w:kern w:val="0"/>
          <w:sz w:val="28"/>
          <w:szCs w:val="28"/>
          <w:highlight w:val="none"/>
          <w:u w:val="none"/>
          <w:shd w:val="clear" w:fill="FFFFFF"/>
          <w:vertAlign w:val="baseline"/>
          <w:lang w:val="en-US" w:eastAsia="zh-CN" w:bidi="ar"/>
        </w:rPr>
        <w:t>__________________</w:t>
      </w:r>
    </w:p>
    <w:p w14:paraId="168D9BF6">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1.产品如有型号，请在“产品名称”栏一并填写。</w:t>
      </w:r>
    </w:p>
    <w:p w14:paraId="187168DB">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2.生产厂名与厂址应与生产厂营业执照载明的相关信息保持一致。</w:t>
      </w:r>
    </w:p>
    <w:p w14:paraId="6D71FA74">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3.该产品的中国境内生产的组件成本占比相关要求实施前，“规定比例”栏可不填，下同。</w:t>
      </w:r>
    </w:p>
    <w:p w14:paraId="4101CA6B">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4.该产品的关键组件要求实施前，“关键组件”栏可不填，下同。</w:t>
      </w:r>
    </w:p>
    <w:p w14:paraId="43318A9E">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ascii="Calibri" w:hAnsi="Calibri"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2"/>
          <w:sz w:val="21"/>
          <w:szCs w:val="21"/>
          <w:highlight w:val="none"/>
          <w:lang w:val="en-US" w:eastAsia="zh-CN" w:bidi="ar-SA"/>
        </w:rPr>
        <w:t>5.该产品的关键工序要求实施前，“关键工序”栏可不填，下同</w:t>
      </w:r>
      <w:r>
        <w:rPr>
          <w:rFonts w:hint="eastAsia" w:ascii="仿宋" w:hAnsi="仿宋" w:eastAsia="仿宋" w:cs="仿宋"/>
          <w:i w:val="0"/>
          <w:iCs w:val="0"/>
          <w:caps w:val="0"/>
          <w:color w:val="auto"/>
          <w:spacing w:val="0"/>
          <w:kern w:val="0"/>
          <w:sz w:val="21"/>
          <w:szCs w:val="21"/>
          <w:highlight w:val="none"/>
          <w:u w:val="none"/>
          <w:shd w:val="clear" w:fill="FFFFFF"/>
          <w:vertAlign w:val="baseline"/>
          <w:lang w:val="en-US" w:eastAsia="zh-CN" w:bidi="ar"/>
        </w:rPr>
        <w:t>。</w:t>
      </w:r>
    </w:p>
    <w:p w14:paraId="7F820F59">
      <w:pPr>
        <w:snapToGrid w:val="0"/>
        <w:spacing w:before="50" w:after="120" w:afterLines="50"/>
        <w:jc w:val="left"/>
        <w:rPr>
          <w:color w:val="auto"/>
          <w:szCs w:val="21"/>
          <w:highlight w:val="none"/>
        </w:rPr>
        <w:sectPr>
          <w:headerReference r:id="rId15" w:type="default"/>
          <w:pgSz w:w="11906" w:h="16838"/>
          <w:pgMar w:top="1418" w:right="1133" w:bottom="1246"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773EC401">
      <w:pPr>
        <w:pStyle w:val="19"/>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6</w:t>
      </w:r>
      <w:r>
        <w:rPr>
          <w:rFonts w:hint="eastAsia" w:ascii="Times New Roman" w:hAnsi="Times New Roman" w:eastAsia="宋体" w:cs="Times New Roman"/>
          <w:color w:val="auto"/>
          <w:kern w:val="2"/>
          <w:sz w:val="21"/>
          <w:szCs w:val="21"/>
          <w:highlight w:val="none"/>
          <w:lang w:val="en-US" w:eastAsia="zh-CN" w:bidi="ar-SA"/>
        </w:rPr>
        <w:t>.</w:t>
      </w:r>
      <w:r>
        <w:rPr>
          <w:rFonts w:hint="eastAsia" w:cs="Times New Roman"/>
          <w:color w:val="auto"/>
          <w:kern w:val="2"/>
          <w:sz w:val="21"/>
          <w:szCs w:val="21"/>
          <w:highlight w:val="none"/>
          <w:lang w:val="en-US" w:eastAsia="zh-CN" w:bidi="ar-SA"/>
        </w:rPr>
        <w:t>6</w:t>
      </w:r>
      <w:r>
        <w:rPr>
          <w:rFonts w:hint="eastAsia" w:ascii="Times New Roman" w:hAnsi="Times New Roman" w:eastAsia="宋体" w:cs="Times New Roman"/>
          <w:color w:val="auto"/>
          <w:kern w:val="2"/>
          <w:sz w:val="21"/>
          <w:szCs w:val="21"/>
          <w:highlight w:val="none"/>
          <w:lang w:val="en-US" w:eastAsia="zh-CN" w:bidi="ar-SA"/>
        </w:rPr>
        <w:t>关于符合本国产品标准</w:t>
      </w:r>
      <w:r>
        <w:rPr>
          <w:rFonts w:hint="eastAsia" w:cs="Times New Roman"/>
          <w:color w:val="auto"/>
          <w:kern w:val="2"/>
          <w:sz w:val="21"/>
          <w:szCs w:val="21"/>
          <w:highlight w:val="none"/>
          <w:lang w:val="en-US" w:eastAsia="zh-CN" w:bidi="ar-SA"/>
        </w:rPr>
        <w:t>的</w:t>
      </w:r>
      <w:r>
        <w:rPr>
          <w:rFonts w:hint="eastAsia" w:ascii="Times New Roman" w:hAnsi="Times New Roman" w:eastAsia="宋体" w:cs="Times New Roman"/>
          <w:color w:val="auto"/>
          <w:kern w:val="2"/>
          <w:sz w:val="21"/>
          <w:szCs w:val="21"/>
          <w:highlight w:val="none"/>
          <w:lang w:val="en-US" w:eastAsia="zh-CN" w:bidi="ar-SA"/>
        </w:rPr>
        <w:t>成本占比承诺函</w:t>
      </w:r>
      <w:r>
        <w:rPr>
          <w:rFonts w:hint="eastAsia" w:cs="Times New Roman"/>
          <w:color w:val="auto"/>
          <w:kern w:val="2"/>
          <w:sz w:val="21"/>
          <w:szCs w:val="21"/>
          <w:highlight w:val="none"/>
          <w:lang w:val="en-US" w:eastAsia="zh-CN" w:bidi="ar-SA"/>
        </w:rPr>
        <w:t>（单一产品采购不填写此函，多产品采购项目或采购包如投标人所有产品均为本国产品且填写《关于符合本国产品标准的声明函》可不填写此函。格式内容仅供参考）</w:t>
      </w:r>
    </w:p>
    <w:p w14:paraId="46EB8D6E">
      <w:pPr>
        <w:pStyle w:val="19"/>
        <w:rPr>
          <w:rFonts w:hint="eastAsia"/>
          <w:color w:val="auto"/>
          <w:highlight w:val="none"/>
          <w:lang w:val="en-US" w:eastAsia="zh-CN"/>
        </w:rPr>
      </w:pPr>
    </w:p>
    <w:p w14:paraId="1CF58464">
      <w:pPr>
        <w:pStyle w:val="19"/>
        <w:jc w:val="center"/>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关于符合本国产品标准</w:t>
      </w:r>
      <w:r>
        <w:rPr>
          <w:rFonts w:hint="eastAsia" w:cs="Times New Roman"/>
          <w:b/>
          <w:color w:val="auto"/>
          <w:kern w:val="2"/>
          <w:sz w:val="21"/>
          <w:szCs w:val="21"/>
          <w:highlight w:val="none"/>
          <w:lang w:val="en-US" w:eastAsia="zh-CN" w:bidi="ar-SA"/>
        </w:rPr>
        <w:t>的</w:t>
      </w:r>
      <w:r>
        <w:rPr>
          <w:rFonts w:hint="default" w:ascii="Times New Roman" w:hAnsi="Times New Roman" w:eastAsia="宋体" w:cs="Times New Roman"/>
          <w:b/>
          <w:color w:val="auto"/>
          <w:kern w:val="2"/>
          <w:sz w:val="21"/>
          <w:szCs w:val="21"/>
          <w:highlight w:val="none"/>
          <w:lang w:val="en-US" w:eastAsia="zh-CN" w:bidi="ar-SA"/>
        </w:rPr>
        <w:t>成本占比承诺函</w:t>
      </w:r>
    </w:p>
    <w:p w14:paraId="4117428E">
      <w:pPr>
        <w:pStyle w:val="19"/>
        <w:rPr>
          <w:rFonts w:hint="default"/>
          <w:color w:val="auto"/>
          <w:highlight w:val="none"/>
          <w:lang w:val="en-US" w:eastAsia="zh-CN"/>
        </w:rPr>
      </w:pPr>
    </w:p>
    <w:p w14:paraId="2B9AC260">
      <w:pPr>
        <w:pStyle w:val="1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致：[采购人/采购代理机构名称]</w:t>
      </w:r>
    </w:p>
    <w:p w14:paraId="63130AD7">
      <w:pPr>
        <w:pStyle w:val="19"/>
        <w:rPr>
          <w:rFonts w:hint="default" w:ascii="Times New Roman" w:hAnsi="Times New Roman" w:eastAsia="宋体" w:cs="Times New Roman"/>
          <w:color w:val="auto"/>
          <w:kern w:val="2"/>
          <w:sz w:val="21"/>
          <w:szCs w:val="21"/>
          <w:highlight w:val="none"/>
          <w:lang w:val="en-US" w:eastAsia="zh-CN" w:bidi="ar-SA"/>
        </w:rPr>
      </w:pPr>
    </w:p>
    <w:p w14:paraId="0CC27290">
      <w:pPr>
        <w:pStyle w:val="1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本单位就参与[项目名称、编号]项目，郑重承诺如下：</w:t>
      </w:r>
    </w:p>
    <w:p w14:paraId="7EC70CC7">
      <w:pPr>
        <w:pStyle w:val="19"/>
        <w:rPr>
          <w:rFonts w:hint="default" w:ascii="Times New Roman" w:hAnsi="Times New Roman" w:eastAsia="宋体" w:cs="Times New Roman"/>
          <w:color w:val="auto"/>
          <w:kern w:val="2"/>
          <w:sz w:val="21"/>
          <w:szCs w:val="21"/>
          <w:highlight w:val="none"/>
          <w:lang w:val="en-US" w:eastAsia="zh-CN" w:bidi="ar-SA"/>
        </w:rPr>
      </w:pPr>
    </w:p>
    <w:p w14:paraId="59332059">
      <w:pPr>
        <w:pStyle w:val="19"/>
        <w:ind w:firstLine="420" w:firstLineChars="20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本单位为该项目（或采购包）提供的符合本国产品标准的产品成本之和，占所提供全部产品成本之和的比例达到80%以上。本公司（单位）对上述承诺内容的真实性负责。如有虚假，愿承担相应法律责任。</w:t>
      </w:r>
    </w:p>
    <w:p w14:paraId="1EF503CA">
      <w:pPr>
        <w:pStyle w:val="19"/>
        <w:rPr>
          <w:rFonts w:hint="default" w:ascii="Times New Roman" w:hAnsi="Times New Roman" w:eastAsia="宋体" w:cs="Times New Roman"/>
          <w:color w:val="auto"/>
          <w:kern w:val="2"/>
          <w:sz w:val="21"/>
          <w:szCs w:val="21"/>
          <w:highlight w:val="none"/>
          <w:lang w:val="en-US" w:eastAsia="zh-CN" w:bidi="ar-SA"/>
        </w:rPr>
      </w:pPr>
    </w:p>
    <w:p w14:paraId="0F931A67">
      <w:pPr>
        <w:pStyle w:val="1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 xml:space="preserve"> </w:t>
      </w:r>
    </w:p>
    <w:p w14:paraId="5417586A">
      <w:pPr>
        <w:pStyle w:val="19"/>
        <w:rPr>
          <w:rFonts w:hint="default" w:ascii="Times New Roman" w:hAnsi="Times New Roman" w:eastAsia="宋体" w:cs="Times New Roman"/>
          <w:color w:val="auto"/>
          <w:kern w:val="2"/>
          <w:sz w:val="21"/>
          <w:szCs w:val="21"/>
          <w:highlight w:val="none"/>
          <w:lang w:val="en-US" w:eastAsia="zh-CN" w:bidi="ar-SA"/>
        </w:rPr>
      </w:pPr>
    </w:p>
    <w:p w14:paraId="1FE57397">
      <w:pPr>
        <w:pStyle w:val="1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 xml:space="preserve"> </w:t>
      </w:r>
    </w:p>
    <w:p w14:paraId="55718BB9">
      <w:pPr>
        <w:pStyle w:val="19"/>
        <w:rPr>
          <w:rFonts w:hint="default" w:ascii="Times New Roman" w:hAnsi="Times New Roman" w:eastAsia="宋体" w:cs="Times New Roman"/>
          <w:color w:val="auto"/>
          <w:kern w:val="2"/>
          <w:sz w:val="21"/>
          <w:szCs w:val="21"/>
          <w:highlight w:val="none"/>
          <w:lang w:val="en-US" w:eastAsia="zh-CN" w:bidi="ar-SA"/>
        </w:rPr>
      </w:pPr>
    </w:p>
    <w:p w14:paraId="6FD4A364">
      <w:pPr>
        <w:pStyle w:val="19"/>
        <w:jc w:val="right"/>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投标人</w:t>
      </w:r>
      <w:r>
        <w:rPr>
          <w:rFonts w:hint="default" w:ascii="Times New Roman" w:hAnsi="Times New Roman" w:eastAsia="宋体" w:cs="Times New Roman"/>
          <w:color w:val="auto"/>
          <w:kern w:val="2"/>
          <w:sz w:val="21"/>
          <w:szCs w:val="21"/>
          <w:highlight w:val="none"/>
          <w:lang w:val="en-US" w:eastAsia="zh-CN" w:bidi="ar-SA"/>
        </w:rPr>
        <w:t>名称（盖章）：　        </w:t>
      </w:r>
    </w:p>
    <w:p w14:paraId="0CF521B2">
      <w:pPr>
        <w:pStyle w:val="19"/>
        <w:jc w:val="righ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日期：　     年　  月　  日 </w:t>
      </w:r>
    </w:p>
    <w:p w14:paraId="0676460A">
      <w:pPr>
        <w:pStyle w:val="19"/>
        <w:rPr>
          <w:rFonts w:hint="default"/>
          <w:color w:val="auto"/>
          <w:highlight w:val="none"/>
          <w:lang w:val="en-US" w:eastAsia="zh-CN"/>
        </w:rPr>
      </w:pPr>
    </w:p>
    <w:p w14:paraId="726F29FB">
      <w:pPr>
        <w:pStyle w:val="19"/>
        <w:rPr>
          <w:rFonts w:hint="default"/>
          <w:color w:val="auto"/>
          <w:highlight w:val="none"/>
          <w:lang w:val="en-US" w:eastAsia="zh-CN"/>
        </w:rPr>
      </w:pPr>
    </w:p>
    <w:p w14:paraId="4CC7565B">
      <w:pPr>
        <w:pStyle w:val="19"/>
        <w:rPr>
          <w:rFonts w:hint="default"/>
          <w:color w:val="auto"/>
          <w:highlight w:val="none"/>
          <w:lang w:val="en-US" w:eastAsia="zh-CN"/>
        </w:rPr>
      </w:pPr>
    </w:p>
    <w:p w14:paraId="70DBF1F4">
      <w:pPr>
        <w:pStyle w:val="19"/>
        <w:rPr>
          <w:rFonts w:hint="default"/>
          <w:color w:val="auto"/>
          <w:highlight w:val="none"/>
          <w:lang w:val="en-US" w:eastAsia="zh-CN"/>
        </w:rPr>
        <w:sectPr>
          <w:pgSz w:w="11906" w:h="16838"/>
          <w:pgMar w:top="1418" w:right="1133" w:bottom="1246"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6815F622">
      <w:pPr>
        <w:spacing w:line="360" w:lineRule="auto"/>
        <w:rPr>
          <w:rFonts w:ascii="宋体" w:hAnsi="宋体" w:cs="宋体"/>
          <w:color w:val="auto"/>
          <w:szCs w:val="21"/>
          <w:highlight w:val="none"/>
        </w:rPr>
      </w:pPr>
      <w:bookmarkStart w:id="199" w:name="_Hlk93046716"/>
      <w:r>
        <w:rPr>
          <w:rFonts w:hint="eastAsia"/>
          <w:color w:val="auto"/>
          <w:szCs w:val="21"/>
          <w:highlight w:val="none"/>
          <w:lang w:val="en-US" w:eastAsia="zh-CN"/>
        </w:rPr>
        <w:t>7</w:t>
      </w:r>
      <w:r>
        <w:rPr>
          <w:color w:val="auto"/>
          <w:szCs w:val="21"/>
          <w:highlight w:val="none"/>
        </w:rPr>
        <w:t>．</w:t>
      </w:r>
      <w:r>
        <w:rPr>
          <w:rFonts w:hint="eastAsia"/>
          <w:color w:val="auto"/>
          <w:szCs w:val="21"/>
          <w:highlight w:val="none"/>
          <w:lang w:eastAsia="zh-CN"/>
        </w:rPr>
        <w:t>投标人</w:t>
      </w:r>
      <w:r>
        <w:rPr>
          <w:color w:val="auto"/>
          <w:szCs w:val="21"/>
          <w:highlight w:val="none"/>
        </w:rPr>
        <w:t>认为需提供的其他材料（</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根据“第二章 采购需求”及“第四章 评标方法及标准”提供有关证明材料）。</w:t>
      </w:r>
    </w:p>
    <w:p w14:paraId="5F774D56">
      <w:pPr>
        <w:widowControl/>
        <w:snapToGrid/>
        <w:spacing w:before="0" w:after="0" w:afterLines="-2147483648"/>
        <w:jc w:val="left"/>
        <w:rPr>
          <w:rFonts w:hint="eastAsia"/>
          <w:color w:val="auto"/>
          <w:szCs w:val="21"/>
          <w:highlight w:val="none"/>
          <w:lang w:val="en-US" w:eastAsia="zh-CN"/>
        </w:rPr>
      </w:pPr>
      <w:r>
        <w:rPr>
          <w:rFonts w:hint="eastAsia"/>
          <w:color w:val="auto"/>
          <w:szCs w:val="21"/>
          <w:highlight w:val="none"/>
          <w:lang w:val="en-US" w:eastAsia="zh-CN"/>
        </w:rPr>
        <w:br w:type="page"/>
      </w:r>
    </w:p>
    <w:p w14:paraId="139583ED">
      <w:pPr>
        <w:widowControl/>
        <w:snapToGrid/>
        <w:spacing w:before="0" w:after="0" w:afterLines="-2147483648"/>
        <w:jc w:val="left"/>
        <w:rPr>
          <w:color w:val="auto"/>
          <w:szCs w:val="21"/>
          <w:highlight w:val="none"/>
        </w:rPr>
      </w:pPr>
      <w:r>
        <w:rPr>
          <w:rFonts w:hint="eastAsia"/>
          <w:color w:val="auto"/>
          <w:szCs w:val="21"/>
          <w:highlight w:val="none"/>
          <w:lang w:val="en-US" w:eastAsia="zh-CN"/>
        </w:rPr>
        <w:t>8</w:t>
      </w:r>
      <w:r>
        <w:rPr>
          <w:color w:val="auto"/>
          <w:szCs w:val="21"/>
          <w:highlight w:val="none"/>
        </w:rPr>
        <w:t>.</w:t>
      </w:r>
      <w:r>
        <w:rPr>
          <w:rFonts w:hint="eastAsia"/>
          <w:color w:val="auto"/>
          <w:highlight w:val="none"/>
        </w:rPr>
        <w:t xml:space="preserve"> </w:t>
      </w:r>
      <w:r>
        <w:rPr>
          <w:rFonts w:hint="eastAsia"/>
          <w:color w:val="auto"/>
          <w:szCs w:val="21"/>
          <w:highlight w:val="none"/>
        </w:rPr>
        <w:t>无串标行为承诺函</w:t>
      </w:r>
    </w:p>
    <w:p w14:paraId="6F27A9C7">
      <w:pPr>
        <w:snapToGrid w:val="0"/>
        <w:spacing w:before="50" w:after="120" w:afterLines="50"/>
        <w:jc w:val="center"/>
        <w:rPr>
          <w:color w:val="auto"/>
          <w:szCs w:val="21"/>
          <w:highlight w:val="none"/>
        </w:rPr>
      </w:pPr>
    </w:p>
    <w:p w14:paraId="3858B9A0">
      <w:pPr>
        <w:snapToGrid w:val="0"/>
        <w:spacing w:before="50" w:after="120" w:afterLines="50"/>
        <w:jc w:val="center"/>
        <w:rPr>
          <w:color w:val="auto"/>
          <w:szCs w:val="21"/>
          <w:highlight w:val="none"/>
        </w:rPr>
      </w:pPr>
      <w:r>
        <w:rPr>
          <w:rFonts w:hint="eastAsia"/>
          <w:color w:val="auto"/>
          <w:szCs w:val="21"/>
          <w:highlight w:val="none"/>
        </w:rPr>
        <w:t>投标人参加本项目无围标串标行为的承诺函</w:t>
      </w:r>
    </w:p>
    <w:p w14:paraId="48465B0E">
      <w:pPr>
        <w:snapToGrid w:val="0"/>
        <w:spacing w:before="50" w:after="120" w:afterLines="50"/>
        <w:jc w:val="left"/>
        <w:rPr>
          <w:color w:val="auto"/>
          <w:szCs w:val="21"/>
          <w:highlight w:val="none"/>
        </w:rPr>
      </w:pPr>
    </w:p>
    <w:p w14:paraId="45DB78C8">
      <w:pPr>
        <w:snapToGrid w:val="0"/>
        <w:spacing w:before="50" w:after="120" w:afterLines="50"/>
        <w:jc w:val="left"/>
        <w:rPr>
          <w:color w:val="auto"/>
          <w:szCs w:val="21"/>
          <w:highlight w:val="none"/>
        </w:rPr>
      </w:pPr>
      <w:r>
        <w:rPr>
          <w:rFonts w:hint="eastAsia"/>
          <w:color w:val="auto"/>
          <w:szCs w:val="21"/>
          <w:highlight w:val="none"/>
        </w:rPr>
        <w:t>一、我方承诺无下列相互串通投标的情形：</w:t>
      </w:r>
    </w:p>
    <w:p w14:paraId="7EB7D580">
      <w:pPr>
        <w:snapToGrid w:val="0"/>
        <w:spacing w:before="50" w:after="120" w:afterLines="50"/>
        <w:jc w:val="left"/>
        <w:rPr>
          <w:color w:val="auto"/>
          <w:szCs w:val="21"/>
          <w:highlight w:val="none"/>
        </w:rPr>
      </w:pPr>
      <w:r>
        <w:rPr>
          <w:rFonts w:hint="eastAsia"/>
          <w:color w:val="auto"/>
          <w:szCs w:val="21"/>
          <w:highlight w:val="none"/>
        </w:rPr>
        <w:t>1.不同投标人的投标文件由同一单位或者个人编制；或者不同投标人报名的IP地址一致的；</w:t>
      </w:r>
    </w:p>
    <w:p w14:paraId="0995A471">
      <w:pPr>
        <w:snapToGrid w:val="0"/>
        <w:spacing w:before="50" w:after="120" w:afterLines="50"/>
        <w:jc w:val="left"/>
        <w:rPr>
          <w:color w:val="auto"/>
          <w:szCs w:val="21"/>
          <w:highlight w:val="none"/>
        </w:rPr>
      </w:pPr>
      <w:r>
        <w:rPr>
          <w:rFonts w:hint="eastAsia"/>
          <w:color w:val="auto"/>
          <w:szCs w:val="21"/>
          <w:highlight w:val="none"/>
        </w:rPr>
        <w:t>2.不同投标人委托同一单位或者个人办理投标事宜；</w:t>
      </w:r>
    </w:p>
    <w:p w14:paraId="0361AD44">
      <w:pPr>
        <w:snapToGrid w:val="0"/>
        <w:spacing w:before="50" w:after="120" w:afterLines="50"/>
        <w:jc w:val="left"/>
        <w:rPr>
          <w:color w:val="auto"/>
          <w:szCs w:val="21"/>
          <w:highlight w:val="none"/>
        </w:rPr>
      </w:pPr>
      <w:r>
        <w:rPr>
          <w:rFonts w:hint="eastAsia"/>
          <w:color w:val="auto"/>
          <w:szCs w:val="21"/>
          <w:highlight w:val="none"/>
        </w:rPr>
        <w:t>3.不同的投标人的投标文件载明的项目管理员为同一个人；</w:t>
      </w:r>
    </w:p>
    <w:p w14:paraId="0207F718">
      <w:pPr>
        <w:snapToGrid w:val="0"/>
        <w:spacing w:before="50" w:after="120" w:afterLines="50"/>
        <w:jc w:val="left"/>
        <w:rPr>
          <w:color w:val="auto"/>
          <w:szCs w:val="21"/>
          <w:highlight w:val="none"/>
        </w:rPr>
      </w:pPr>
      <w:r>
        <w:rPr>
          <w:rFonts w:hint="eastAsia"/>
          <w:color w:val="auto"/>
          <w:szCs w:val="21"/>
          <w:highlight w:val="none"/>
        </w:rPr>
        <w:t>4.不同投标人的投标文件异常一致或者投标报价呈规律性差异；</w:t>
      </w:r>
    </w:p>
    <w:p w14:paraId="2FB107FD">
      <w:pPr>
        <w:snapToGrid w:val="0"/>
        <w:spacing w:before="50" w:after="120" w:afterLines="50"/>
        <w:jc w:val="left"/>
        <w:rPr>
          <w:color w:val="auto"/>
          <w:szCs w:val="21"/>
          <w:highlight w:val="none"/>
        </w:rPr>
      </w:pPr>
      <w:r>
        <w:rPr>
          <w:rFonts w:hint="eastAsia"/>
          <w:color w:val="auto"/>
          <w:szCs w:val="21"/>
          <w:highlight w:val="none"/>
        </w:rPr>
        <w:t>5.不同投标人的投标文件相互混装；</w:t>
      </w:r>
    </w:p>
    <w:p w14:paraId="7768324B">
      <w:pPr>
        <w:snapToGrid w:val="0"/>
        <w:spacing w:before="50" w:after="120" w:afterLines="50"/>
        <w:jc w:val="left"/>
        <w:rPr>
          <w:color w:val="auto"/>
          <w:szCs w:val="21"/>
          <w:highlight w:val="none"/>
        </w:rPr>
      </w:pPr>
      <w:r>
        <w:rPr>
          <w:rFonts w:hint="eastAsia"/>
          <w:color w:val="auto"/>
          <w:szCs w:val="21"/>
          <w:highlight w:val="none"/>
        </w:rPr>
        <w:t>6.不同投标人的投标保证金从同一单位或者个人账户转出。</w:t>
      </w:r>
    </w:p>
    <w:p w14:paraId="0E3142F2">
      <w:pPr>
        <w:snapToGrid w:val="0"/>
        <w:spacing w:before="50" w:after="120" w:afterLines="50"/>
        <w:jc w:val="left"/>
        <w:rPr>
          <w:color w:val="auto"/>
          <w:szCs w:val="21"/>
          <w:highlight w:val="none"/>
        </w:rPr>
      </w:pPr>
      <w:r>
        <w:rPr>
          <w:rFonts w:hint="eastAsia"/>
          <w:color w:val="auto"/>
          <w:szCs w:val="21"/>
          <w:highlight w:val="none"/>
        </w:rPr>
        <w:t>二、我方承诺无下列恶意串通的情形：</w:t>
      </w:r>
    </w:p>
    <w:p w14:paraId="7323B723">
      <w:pPr>
        <w:snapToGrid w:val="0"/>
        <w:spacing w:before="50" w:after="120" w:afterLines="50"/>
        <w:jc w:val="left"/>
        <w:rPr>
          <w:color w:val="auto"/>
          <w:szCs w:val="21"/>
          <w:highlight w:val="none"/>
        </w:rPr>
      </w:pPr>
      <w:r>
        <w:rPr>
          <w:rFonts w:hint="eastAsia"/>
          <w:color w:val="auto"/>
          <w:szCs w:val="21"/>
          <w:highlight w:val="none"/>
        </w:rPr>
        <w:t>1.投标人直接或者间接从采购人或者采购代理机构处获得其他投标人的相关信息并修改其投标文件或者投标文件；</w:t>
      </w:r>
    </w:p>
    <w:p w14:paraId="475BCA19">
      <w:pPr>
        <w:snapToGrid w:val="0"/>
        <w:spacing w:before="50" w:after="120" w:afterLines="50"/>
        <w:jc w:val="left"/>
        <w:rPr>
          <w:color w:val="auto"/>
          <w:szCs w:val="21"/>
          <w:highlight w:val="none"/>
        </w:rPr>
      </w:pPr>
      <w:r>
        <w:rPr>
          <w:rFonts w:hint="eastAsia"/>
          <w:color w:val="auto"/>
          <w:szCs w:val="21"/>
          <w:highlight w:val="none"/>
        </w:rPr>
        <w:t>2.投标人按照采购人或者采购代理机构的授意撤换、修改投标文件或者投标文件；</w:t>
      </w:r>
    </w:p>
    <w:p w14:paraId="556917FA">
      <w:pPr>
        <w:snapToGrid w:val="0"/>
        <w:spacing w:before="50" w:after="120" w:afterLines="50"/>
        <w:jc w:val="left"/>
        <w:rPr>
          <w:color w:val="auto"/>
          <w:szCs w:val="21"/>
          <w:highlight w:val="none"/>
        </w:rPr>
      </w:pPr>
      <w:r>
        <w:rPr>
          <w:rFonts w:hint="eastAsia"/>
          <w:color w:val="auto"/>
          <w:szCs w:val="21"/>
          <w:highlight w:val="none"/>
        </w:rPr>
        <w:t>3.投标人之间协商报价、技术方案等投标文件或者投标文件的实质性内容；</w:t>
      </w:r>
    </w:p>
    <w:p w14:paraId="4E7332D6">
      <w:pPr>
        <w:snapToGrid w:val="0"/>
        <w:spacing w:before="50" w:after="120" w:afterLines="50"/>
        <w:jc w:val="left"/>
        <w:rPr>
          <w:color w:val="auto"/>
          <w:szCs w:val="21"/>
          <w:highlight w:val="none"/>
        </w:rPr>
      </w:pPr>
      <w:r>
        <w:rPr>
          <w:rFonts w:hint="eastAsia"/>
          <w:color w:val="auto"/>
          <w:szCs w:val="21"/>
          <w:highlight w:val="none"/>
        </w:rPr>
        <w:t>4.属于同一集团、协会、商会等组织成员的投标人按照该组织要求协同参加政府采购活动；</w:t>
      </w:r>
    </w:p>
    <w:p w14:paraId="5B3DD055">
      <w:pPr>
        <w:snapToGrid w:val="0"/>
        <w:spacing w:before="50" w:after="120" w:afterLines="50"/>
        <w:jc w:val="left"/>
        <w:rPr>
          <w:color w:val="auto"/>
          <w:szCs w:val="21"/>
          <w:highlight w:val="none"/>
        </w:rPr>
      </w:pPr>
      <w:r>
        <w:rPr>
          <w:rFonts w:hint="eastAsia"/>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1136DB91">
      <w:pPr>
        <w:snapToGrid w:val="0"/>
        <w:spacing w:before="50" w:after="120" w:afterLines="50"/>
        <w:jc w:val="left"/>
        <w:rPr>
          <w:color w:val="auto"/>
          <w:szCs w:val="21"/>
          <w:highlight w:val="none"/>
        </w:rPr>
      </w:pPr>
      <w:r>
        <w:rPr>
          <w:rFonts w:hint="eastAsia"/>
          <w:color w:val="auto"/>
          <w:szCs w:val="21"/>
          <w:highlight w:val="none"/>
        </w:rPr>
        <w:t>6.投标人之间商定部分投标人放弃参加政府采购活动或者放弃中标；</w:t>
      </w:r>
    </w:p>
    <w:p w14:paraId="2C9DCDE3">
      <w:pPr>
        <w:snapToGrid w:val="0"/>
        <w:spacing w:before="50" w:after="120" w:afterLines="50"/>
        <w:jc w:val="left"/>
        <w:rPr>
          <w:color w:val="auto"/>
          <w:szCs w:val="21"/>
          <w:highlight w:val="none"/>
        </w:rPr>
      </w:pPr>
      <w:r>
        <w:rPr>
          <w:rFonts w:hint="eastAsia"/>
          <w:color w:val="auto"/>
          <w:szCs w:val="21"/>
          <w:highlight w:val="none"/>
        </w:rPr>
        <w:t>7.投标人与采购人或者采购代理机构之间、投标人相互之间，为谋求特定投标人中标或者排斥其他投标人的其他串通行为。</w:t>
      </w:r>
    </w:p>
    <w:p w14:paraId="0FB45132">
      <w:pPr>
        <w:snapToGrid w:val="0"/>
        <w:spacing w:before="50" w:after="120" w:afterLines="50"/>
        <w:jc w:val="left"/>
        <w:rPr>
          <w:color w:val="auto"/>
          <w:szCs w:val="21"/>
          <w:highlight w:val="none"/>
        </w:rPr>
      </w:pPr>
      <w:r>
        <w:rPr>
          <w:rFonts w:hint="eastAsia"/>
          <w:color w:val="auto"/>
          <w:szCs w:val="21"/>
          <w:highlight w:val="none"/>
        </w:rPr>
        <w:t>以上情形一经核查属实，我方愿意承担一切后果，并不再寻求任何旨在减轻或者免除法律责任的辩解。</w:t>
      </w:r>
    </w:p>
    <w:p w14:paraId="70FD06CF">
      <w:pPr>
        <w:snapToGrid w:val="0"/>
        <w:spacing w:before="50" w:after="120" w:afterLines="50"/>
        <w:jc w:val="center"/>
        <w:rPr>
          <w:color w:val="auto"/>
          <w:szCs w:val="21"/>
          <w:highlight w:val="none"/>
        </w:rPr>
      </w:pPr>
      <w:r>
        <w:rPr>
          <w:rFonts w:hint="eastAsia"/>
          <w:color w:val="auto"/>
          <w:szCs w:val="21"/>
          <w:highlight w:val="none"/>
        </w:rPr>
        <w:t xml:space="preserve"> </w:t>
      </w:r>
      <w:r>
        <w:rPr>
          <w:color w:val="auto"/>
          <w:szCs w:val="21"/>
          <w:highlight w:val="none"/>
        </w:rPr>
        <w:t xml:space="preserve"> </w:t>
      </w:r>
    </w:p>
    <w:p w14:paraId="7C213918">
      <w:pPr>
        <w:snapToGrid w:val="0"/>
        <w:spacing w:before="50" w:after="120" w:afterLines="50"/>
        <w:jc w:val="center"/>
        <w:rPr>
          <w:color w:val="auto"/>
          <w:szCs w:val="21"/>
          <w:highlight w:val="none"/>
        </w:rPr>
      </w:pPr>
    </w:p>
    <w:p w14:paraId="235BFBE5">
      <w:pPr>
        <w:snapToGrid w:val="0"/>
        <w:spacing w:before="50" w:after="120" w:afterLines="50"/>
        <w:jc w:val="center"/>
        <w:rPr>
          <w:color w:val="auto"/>
          <w:szCs w:val="21"/>
          <w:highlight w:val="none"/>
        </w:rPr>
      </w:pPr>
    </w:p>
    <w:p w14:paraId="702239F7">
      <w:pPr>
        <w:snapToGrid w:val="0"/>
        <w:spacing w:before="50" w:after="120" w:afterLines="50"/>
        <w:jc w:val="center"/>
        <w:rPr>
          <w:color w:val="auto"/>
          <w:szCs w:val="21"/>
          <w:highlight w:val="none"/>
        </w:rPr>
      </w:pPr>
      <w:r>
        <w:rPr>
          <w:rFonts w:hint="eastAsia"/>
          <w:color w:val="auto"/>
          <w:szCs w:val="21"/>
          <w:highlight w:val="none"/>
          <w:lang w:eastAsia="zh-CN"/>
        </w:rPr>
        <w:t>投标人</w:t>
      </w:r>
      <w:r>
        <w:rPr>
          <w:rFonts w:hint="eastAsia"/>
          <w:color w:val="auto"/>
          <w:szCs w:val="21"/>
          <w:highlight w:val="none"/>
        </w:rPr>
        <w:t>名称(电子签章</w:t>
      </w:r>
      <w:r>
        <w:rPr>
          <w:color w:val="auto"/>
          <w:szCs w:val="21"/>
          <w:highlight w:val="none"/>
        </w:rPr>
        <w:t>)</w:t>
      </w:r>
      <w:r>
        <w:rPr>
          <w:rFonts w:hint="eastAsia"/>
          <w:color w:val="auto"/>
          <w:szCs w:val="21"/>
          <w:highlight w:val="none"/>
        </w:rPr>
        <w:t>：</w:t>
      </w:r>
    </w:p>
    <w:p w14:paraId="2091C34C">
      <w:pPr>
        <w:snapToGrid w:val="0"/>
        <w:spacing w:before="50" w:after="120" w:afterLines="50"/>
        <w:jc w:val="center"/>
        <w:rPr>
          <w:color w:val="auto"/>
          <w:szCs w:val="21"/>
          <w:highlight w:val="none"/>
        </w:rPr>
      </w:pPr>
      <w:r>
        <w:rPr>
          <w:rFonts w:hint="eastAsia"/>
          <w:color w:val="auto"/>
          <w:szCs w:val="21"/>
          <w:highlight w:val="none"/>
        </w:rPr>
        <w:t>日期：  年  月   日</w:t>
      </w:r>
    </w:p>
    <w:bookmarkEnd w:id="198"/>
    <w:p w14:paraId="6DEA3813">
      <w:pPr>
        <w:snapToGrid w:val="0"/>
        <w:spacing w:before="50" w:after="120" w:afterLines="50"/>
        <w:jc w:val="left"/>
        <w:rPr>
          <w:color w:val="auto"/>
          <w:szCs w:val="21"/>
          <w:highlight w:val="none"/>
        </w:rPr>
      </w:pPr>
      <w:r>
        <w:rPr>
          <w:color w:val="auto"/>
          <w:szCs w:val="21"/>
          <w:highlight w:val="none"/>
        </w:rPr>
        <w:br w:type="page"/>
      </w:r>
      <w:bookmarkEnd w:id="199"/>
      <w:r>
        <w:rPr>
          <w:rFonts w:hint="eastAsia"/>
          <w:color w:val="auto"/>
          <w:szCs w:val="21"/>
          <w:highlight w:val="none"/>
          <w:lang w:val="en-US" w:eastAsia="zh-CN"/>
        </w:rPr>
        <w:t>9</w:t>
      </w:r>
      <w:r>
        <w:rPr>
          <w:color w:val="auto"/>
          <w:szCs w:val="21"/>
          <w:highlight w:val="none"/>
        </w:rPr>
        <w:t>.代理服务费承诺书</w:t>
      </w:r>
    </w:p>
    <w:p w14:paraId="74ED1057">
      <w:pPr>
        <w:spacing w:line="360" w:lineRule="exact"/>
        <w:rPr>
          <w:color w:val="auto"/>
          <w:szCs w:val="21"/>
          <w:highlight w:val="none"/>
        </w:rPr>
      </w:pPr>
      <w:r>
        <w:rPr>
          <w:color w:val="auto"/>
          <w:szCs w:val="21"/>
          <w:highlight w:val="none"/>
        </w:rPr>
        <w:t>致：广西机电设备招标有限公司</w:t>
      </w:r>
    </w:p>
    <w:p w14:paraId="1641C21A">
      <w:pPr>
        <w:spacing w:line="360" w:lineRule="exact"/>
        <w:ind w:firstLine="420" w:firstLineChars="200"/>
        <w:rPr>
          <w:color w:val="auto"/>
          <w:szCs w:val="21"/>
          <w:highlight w:val="none"/>
        </w:rPr>
      </w:pPr>
      <w:r>
        <w:rPr>
          <w:color w:val="auto"/>
          <w:szCs w:val="21"/>
          <w:highlight w:val="none"/>
        </w:rPr>
        <w:t>我单位参加了贵方组织的招标项目编号为</w:t>
      </w:r>
      <w:r>
        <w:rPr>
          <w:b/>
          <w:color w:val="auto"/>
          <w:szCs w:val="21"/>
          <w:highlight w:val="none"/>
        </w:rPr>
        <w:t>（</w:t>
      </w:r>
      <w:r>
        <w:rPr>
          <w:color w:val="auto"/>
          <w:szCs w:val="21"/>
          <w:highlight w:val="none"/>
          <w:u w:val="single"/>
        </w:rPr>
        <w:t xml:space="preserve">                    )</w:t>
      </w:r>
      <w:r>
        <w:rPr>
          <w:color w:val="auto"/>
          <w:szCs w:val="21"/>
          <w:highlight w:val="none"/>
        </w:rPr>
        <w:t>的投标，并递交了投标保证金</w:t>
      </w:r>
      <w:bookmarkStart w:id="200" w:name="_Hlk19050352"/>
      <w:r>
        <w:rPr>
          <w:color w:val="auto"/>
          <w:szCs w:val="21"/>
          <w:highlight w:val="none"/>
        </w:rPr>
        <w:t>（</w:t>
      </w:r>
      <w:r>
        <w:rPr>
          <w:color w:val="auto"/>
          <w:kern w:val="0"/>
          <w:szCs w:val="21"/>
          <w:highlight w:val="none"/>
        </w:rPr>
        <w:t>¥</w:t>
      </w:r>
      <w:r>
        <w:rPr>
          <w:color w:val="auto"/>
          <w:szCs w:val="21"/>
          <w:highlight w:val="none"/>
          <w:u w:val="single"/>
        </w:rPr>
        <w:t xml:space="preserve">       </w:t>
      </w:r>
      <w:r>
        <w:rPr>
          <w:color w:val="auto"/>
          <w:szCs w:val="21"/>
          <w:highlight w:val="none"/>
        </w:rPr>
        <w:t>）</w:t>
      </w:r>
      <w:bookmarkEnd w:id="200"/>
      <w:r>
        <w:rPr>
          <w:color w:val="auto"/>
          <w:szCs w:val="21"/>
          <w:highlight w:val="none"/>
        </w:rPr>
        <w:t>，在此我方说明如下：</w:t>
      </w:r>
    </w:p>
    <w:p w14:paraId="1D2895B8">
      <w:pPr>
        <w:spacing w:line="360" w:lineRule="exact"/>
        <w:ind w:firstLine="420" w:firstLineChars="200"/>
        <w:rPr>
          <w:color w:val="auto"/>
          <w:szCs w:val="21"/>
          <w:highlight w:val="none"/>
        </w:rPr>
      </w:pPr>
      <w:bookmarkStart w:id="201" w:name="_Hlk19050395"/>
      <w:r>
        <w:rPr>
          <w:color w:val="auto"/>
          <w:szCs w:val="21"/>
          <w:highlight w:val="none"/>
        </w:rPr>
        <w:t>1．我方承诺，若我单位中标，保证在领取中标通知书之前，按本项目招标文件的规定标准向贵单位支付代理服务费。如我单位未按规定缴纳代理服务费，贵方可</w:t>
      </w:r>
      <w:r>
        <w:rPr>
          <w:rFonts w:hint="eastAsia"/>
          <w:color w:val="auto"/>
          <w:szCs w:val="21"/>
          <w:highlight w:val="none"/>
        </w:rPr>
        <w:t>不退还</w:t>
      </w:r>
      <w:r>
        <w:rPr>
          <w:color w:val="auto"/>
          <w:szCs w:val="21"/>
          <w:highlight w:val="none"/>
        </w:rPr>
        <w:t>我单位提交的投标保证金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r>
        <w:rPr>
          <w:color w:val="auto"/>
          <w:szCs w:val="21"/>
          <w:highlight w:val="none"/>
        </w:rPr>
        <w:t>，余款按下列账户退回。</w:t>
      </w:r>
    </w:p>
    <w:bookmarkEnd w:id="201"/>
    <w:p w14:paraId="3A2A9C76">
      <w:pPr>
        <w:spacing w:line="360" w:lineRule="exact"/>
        <w:ind w:firstLine="420" w:firstLineChars="200"/>
        <w:rPr>
          <w:color w:val="auto"/>
          <w:szCs w:val="21"/>
          <w:highlight w:val="none"/>
        </w:rPr>
      </w:pPr>
      <w:bookmarkStart w:id="202" w:name="_Hlk19050518"/>
      <w:r>
        <w:rPr>
          <w:color w:val="auto"/>
          <w:szCs w:val="21"/>
          <w:highlight w:val="none"/>
        </w:rPr>
        <w:t>我公司选择第</w:t>
      </w:r>
      <w:r>
        <w:rPr>
          <w:color w:val="auto"/>
          <w:szCs w:val="21"/>
          <w:highlight w:val="none"/>
          <w:u w:val="single"/>
        </w:rPr>
        <w:t xml:space="preserve">     </w:t>
      </w:r>
      <w:r>
        <w:rPr>
          <w:color w:val="auto"/>
          <w:szCs w:val="21"/>
          <w:highlight w:val="none"/>
        </w:rPr>
        <w:t>种方式缴纳代理服务费。</w:t>
      </w:r>
    </w:p>
    <w:p w14:paraId="30EC5EA6">
      <w:pPr>
        <w:spacing w:line="360" w:lineRule="exact"/>
        <w:ind w:firstLine="420" w:firstLineChars="200"/>
        <w:rPr>
          <w:color w:val="auto"/>
          <w:szCs w:val="21"/>
          <w:highlight w:val="none"/>
        </w:rPr>
      </w:pPr>
      <w:r>
        <w:rPr>
          <w:color w:val="auto"/>
          <w:szCs w:val="21"/>
          <w:highlight w:val="none"/>
        </w:rPr>
        <w:t>第一种方式：一次性足额缴纳代理服务费。</w:t>
      </w:r>
    </w:p>
    <w:p w14:paraId="19BB9B98">
      <w:pPr>
        <w:spacing w:line="360" w:lineRule="exact"/>
        <w:ind w:firstLine="420" w:firstLineChars="200"/>
        <w:rPr>
          <w:color w:val="auto"/>
          <w:szCs w:val="21"/>
          <w:highlight w:val="none"/>
        </w:rPr>
      </w:pPr>
      <w:r>
        <w:rPr>
          <w:color w:val="auto"/>
          <w:szCs w:val="21"/>
          <w:highlight w:val="none"/>
        </w:rPr>
        <w:t>第二种方式：从投标保证金中抵扣代理服务费，不足部分补交。</w:t>
      </w:r>
    </w:p>
    <w:bookmarkEnd w:id="202"/>
    <w:p w14:paraId="3CFDD55F">
      <w:pPr>
        <w:spacing w:line="360" w:lineRule="exact"/>
        <w:ind w:firstLine="420" w:firstLineChars="200"/>
        <w:rPr>
          <w:color w:val="auto"/>
          <w:szCs w:val="21"/>
          <w:highlight w:val="none"/>
        </w:rPr>
      </w:pPr>
      <w:r>
        <w:rPr>
          <w:color w:val="auto"/>
          <w:szCs w:val="21"/>
          <w:highlight w:val="none"/>
        </w:rPr>
        <w:t>2．如我单位投标保证金无法原路返回，请按下表账户信息无息退还。</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2194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4FAE6637">
            <w:pPr>
              <w:spacing w:line="360" w:lineRule="exact"/>
              <w:jc w:val="center"/>
              <w:rPr>
                <w:color w:val="auto"/>
                <w:szCs w:val="21"/>
                <w:highlight w:val="none"/>
              </w:rPr>
            </w:pPr>
            <w:r>
              <w:rPr>
                <w:color w:val="auto"/>
                <w:szCs w:val="21"/>
                <w:highlight w:val="none"/>
              </w:rPr>
              <w:t>收款户名</w:t>
            </w:r>
          </w:p>
        </w:tc>
        <w:tc>
          <w:tcPr>
            <w:tcW w:w="5431" w:type="dxa"/>
            <w:noWrap w:val="0"/>
            <w:vAlign w:val="center"/>
          </w:tcPr>
          <w:p w14:paraId="30FDADD3">
            <w:pPr>
              <w:spacing w:line="360" w:lineRule="exact"/>
              <w:jc w:val="center"/>
              <w:rPr>
                <w:color w:val="auto"/>
                <w:szCs w:val="21"/>
                <w:highlight w:val="none"/>
              </w:rPr>
            </w:pPr>
          </w:p>
        </w:tc>
      </w:tr>
      <w:tr w14:paraId="5C851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19CB9EF5">
            <w:pPr>
              <w:spacing w:line="360" w:lineRule="exact"/>
              <w:jc w:val="center"/>
              <w:rPr>
                <w:color w:val="auto"/>
                <w:szCs w:val="21"/>
                <w:highlight w:val="none"/>
              </w:rPr>
            </w:pPr>
            <w:r>
              <w:rPr>
                <w:color w:val="auto"/>
                <w:szCs w:val="21"/>
                <w:highlight w:val="none"/>
              </w:rPr>
              <w:t>账    号</w:t>
            </w:r>
          </w:p>
        </w:tc>
        <w:tc>
          <w:tcPr>
            <w:tcW w:w="5431" w:type="dxa"/>
            <w:noWrap w:val="0"/>
            <w:vAlign w:val="center"/>
          </w:tcPr>
          <w:p w14:paraId="5557FF88">
            <w:pPr>
              <w:spacing w:line="360" w:lineRule="exact"/>
              <w:jc w:val="center"/>
              <w:rPr>
                <w:color w:val="auto"/>
                <w:szCs w:val="21"/>
                <w:highlight w:val="none"/>
              </w:rPr>
            </w:pPr>
          </w:p>
        </w:tc>
      </w:tr>
      <w:tr w14:paraId="54A27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53E3C36B">
            <w:pPr>
              <w:spacing w:line="360" w:lineRule="exact"/>
              <w:jc w:val="center"/>
              <w:rPr>
                <w:color w:val="auto"/>
                <w:szCs w:val="21"/>
                <w:highlight w:val="none"/>
              </w:rPr>
            </w:pPr>
            <w:r>
              <w:rPr>
                <w:color w:val="auto"/>
                <w:szCs w:val="21"/>
                <w:highlight w:val="none"/>
              </w:rPr>
              <w:t>开户银行</w:t>
            </w:r>
          </w:p>
        </w:tc>
        <w:tc>
          <w:tcPr>
            <w:tcW w:w="5431" w:type="dxa"/>
            <w:noWrap w:val="0"/>
            <w:vAlign w:val="center"/>
          </w:tcPr>
          <w:p w14:paraId="1B0136F1">
            <w:pPr>
              <w:spacing w:line="360" w:lineRule="exact"/>
              <w:jc w:val="center"/>
              <w:rPr>
                <w:color w:val="auto"/>
                <w:szCs w:val="21"/>
                <w:highlight w:val="none"/>
              </w:rPr>
            </w:pPr>
          </w:p>
        </w:tc>
      </w:tr>
      <w:tr w14:paraId="0CDF7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63E91B36">
            <w:pPr>
              <w:spacing w:line="360" w:lineRule="exact"/>
              <w:jc w:val="center"/>
              <w:rPr>
                <w:color w:val="auto"/>
                <w:szCs w:val="21"/>
                <w:highlight w:val="none"/>
              </w:rPr>
            </w:pPr>
            <w:r>
              <w:rPr>
                <w:color w:val="auto"/>
                <w:szCs w:val="21"/>
                <w:highlight w:val="none"/>
              </w:rPr>
              <w:t>银行行号</w:t>
            </w:r>
          </w:p>
        </w:tc>
        <w:tc>
          <w:tcPr>
            <w:tcW w:w="5431" w:type="dxa"/>
            <w:noWrap w:val="0"/>
            <w:vAlign w:val="center"/>
          </w:tcPr>
          <w:p w14:paraId="50C31609">
            <w:pPr>
              <w:spacing w:line="360" w:lineRule="exact"/>
              <w:jc w:val="center"/>
              <w:rPr>
                <w:color w:val="auto"/>
                <w:szCs w:val="21"/>
                <w:highlight w:val="none"/>
              </w:rPr>
            </w:pPr>
          </w:p>
        </w:tc>
      </w:tr>
    </w:tbl>
    <w:p w14:paraId="7FAD96C2">
      <w:pPr>
        <w:spacing w:line="360" w:lineRule="exact"/>
        <w:ind w:firstLine="420" w:firstLineChars="200"/>
        <w:rPr>
          <w:color w:val="auto"/>
          <w:szCs w:val="21"/>
          <w:highlight w:val="none"/>
        </w:rPr>
      </w:pPr>
      <w:r>
        <w:rPr>
          <w:color w:val="auto"/>
          <w:szCs w:val="21"/>
          <w:highlight w:val="none"/>
        </w:rPr>
        <w:t>3．如果我单位未遵守有关招标文件关于投标保证金的规定，贵方可以没收我单位投标保证金。</w:t>
      </w:r>
    </w:p>
    <w:p w14:paraId="5F461D2A">
      <w:pPr>
        <w:spacing w:line="360" w:lineRule="exact"/>
        <w:ind w:firstLine="420" w:firstLineChars="200"/>
        <w:rPr>
          <w:color w:val="auto"/>
          <w:szCs w:val="21"/>
          <w:highlight w:val="none"/>
        </w:rPr>
      </w:pPr>
      <w:r>
        <w:rPr>
          <w:color w:val="auto"/>
          <w:szCs w:val="21"/>
          <w:highlight w:val="none"/>
        </w:rPr>
        <w:t>4. 我单位选择第</w:t>
      </w:r>
      <w:r>
        <w:rPr>
          <w:color w:val="auto"/>
          <w:szCs w:val="21"/>
          <w:highlight w:val="none"/>
          <w:u w:val="single"/>
        </w:rPr>
        <w:t xml:space="preserve">     </w:t>
      </w:r>
      <w:r>
        <w:rPr>
          <w:color w:val="auto"/>
          <w:szCs w:val="21"/>
          <w:highlight w:val="none"/>
        </w:rPr>
        <w:t>种方式作为代理服务费开票类型：</w:t>
      </w:r>
    </w:p>
    <w:p w14:paraId="16DF9328">
      <w:pPr>
        <w:spacing w:line="360" w:lineRule="exact"/>
        <w:ind w:firstLine="420" w:firstLineChars="200"/>
        <w:rPr>
          <w:color w:val="auto"/>
          <w:szCs w:val="21"/>
          <w:highlight w:val="none"/>
        </w:rPr>
      </w:pPr>
      <w:r>
        <w:rPr>
          <w:color w:val="auto"/>
          <w:szCs w:val="21"/>
          <w:highlight w:val="none"/>
        </w:rPr>
        <w:t>第一种方式：开具收据。</w:t>
      </w:r>
    </w:p>
    <w:p w14:paraId="16A4398C">
      <w:pPr>
        <w:spacing w:line="360" w:lineRule="exact"/>
        <w:ind w:firstLine="420" w:firstLineChars="200"/>
        <w:rPr>
          <w:color w:val="auto"/>
          <w:szCs w:val="21"/>
          <w:highlight w:val="none"/>
        </w:rPr>
      </w:pPr>
      <w:r>
        <w:rPr>
          <w:color w:val="auto"/>
          <w:szCs w:val="21"/>
          <w:highlight w:val="none"/>
        </w:rPr>
        <w:t>第二种方式：开具增值税普通发票。开票信息如下：1.公司名称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w:t>
      </w:r>
    </w:p>
    <w:p w14:paraId="540E3F98">
      <w:pPr>
        <w:spacing w:line="360" w:lineRule="exact"/>
        <w:ind w:firstLine="420" w:firstLineChars="200"/>
        <w:rPr>
          <w:color w:val="auto"/>
          <w:szCs w:val="21"/>
          <w:highlight w:val="none"/>
        </w:rPr>
      </w:pPr>
      <w:r>
        <w:rPr>
          <w:color w:val="auto"/>
          <w:szCs w:val="21"/>
          <w:highlight w:val="none"/>
        </w:rPr>
        <w:t>第三种方式：开具增值税专用发票，开票信息如下：1.公司名称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；3.税局登记地址</w:t>
      </w:r>
      <w:r>
        <w:rPr>
          <w:color w:val="auto"/>
          <w:szCs w:val="21"/>
          <w:highlight w:val="none"/>
          <w:u w:val="single"/>
        </w:rPr>
        <w:t xml:space="preserve">                     </w:t>
      </w:r>
      <w:r>
        <w:rPr>
          <w:color w:val="auto"/>
          <w:szCs w:val="21"/>
          <w:highlight w:val="none"/>
        </w:rPr>
        <w:t>；4.税局登记电话</w:t>
      </w:r>
      <w:r>
        <w:rPr>
          <w:color w:val="auto"/>
          <w:szCs w:val="21"/>
          <w:highlight w:val="none"/>
          <w:u w:val="single"/>
        </w:rPr>
        <w:t xml:space="preserve">             </w:t>
      </w:r>
      <w:r>
        <w:rPr>
          <w:color w:val="auto"/>
          <w:szCs w:val="21"/>
          <w:highlight w:val="none"/>
        </w:rPr>
        <w:t>；5.开户银行</w:t>
      </w:r>
      <w:r>
        <w:rPr>
          <w:color w:val="auto"/>
          <w:szCs w:val="21"/>
          <w:highlight w:val="none"/>
          <w:u w:val="single"/>
        </w:rPr>
        <w:t xml:space="preserve">                 </w:t>
      </w:r>
      <w:r>
        <w:rPr>
          <w:color w:val="auto"/>
          <w:szCs w:val="21"/>
          <w:highlight w:val="none"/>
        </w:rPr>
        <w:t>；6.银行账户</w:t>
      </w:r>
      <w:r>
        <w:rPr>
          <w:color w:val="auto"/>
          <w:szCs w:val="21"/>
          <w:highlight w:val="none"/>
          <w:u w:val="single"/>
        </w:rPr>
        <w:t xml:space="preserve">                         </w:t>
      </w:r>
      <w:r>
        <w:rPr>
          <w:color w:val="auto"/>
          <w:szCs w:val="21"/>
          <w:highlight w:val="none"/>
        </w:rPr>
        <w:t>。</w:t>
      </w:r>
    </w:p>
    <w:p w14:paraId="22156016">
      <w:pPr>
        <w:spacing w:before="120" w:beforeLines="50" w:line="360" w:lineRule="auto"/>
        <w:jc w:val="left"/>
        <w:rPr>
          <w:color w:val="auto"/>
          <w:szCs w:val="21"/>
          <w:highlight w:val="none"/>
        </w:rPr>
      </w:pPr>
    </w:p>
    <w:p w14:paraId="41F5E631">
      <w:pPr>
        <w:spacing w:before="120" w:beforeLines="50" w:line="360" w:lineRule="auto"/>
        <w:jc w:val="left"/>
        <w:rPr>
          <w:color w:val="auto"/>
          <w:szCs w:val="21"/>
          <w:highlight w:val="none"/>
          <w:u w:val="single"/>
        </w:rPr>
      </w:pPr>
      <w:r>
        <w:rPr>
          <w:rFonts w:hint="eastAsia"/>
          <w:color w:val="auto"/>
          <w:szCs w:val="21"/>
          <w:highlight w:val="none"/>
          <w:lang w:eastAsia="zh-CN"/>
        </w:rPr>
        <w:t>投标人</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0A520421">
      <w:pPr>
        <w:spacing w:before="120" w:beforeLines="50" w:line="360" w:lineRule="auto"/>
        <w:jc w:val="left"/>
        <w:rPr>
          <w:color w:val="auto"/>
          <w:szCs w:val="21"/>
          <w:highlight w:val="none"/>
        </w:rPr>
      </w:pPr>
      <w:r>
        <w:rPr>
          <w:rFonts w:hint="eastAsia"/>
          <w:color w:val="auto"/>
          <w:szCs w:val="21"/>
          <w:highlight w:val="none"/>
          <w:lang w:eastAsia="zh-CN"/>
        </w:rPr>
        <w:t>投标人</w:t>
      </w:r>
      <w:r>
        <w:rPr>
          <w:color w:val="auto"/>
          <w:szCs w:val="21"/>
          <w:highlight w:val="none"/>
        </w:rPr>
        <w:t>地址：</w:t>
      </w:r>
      <w:r>
        <w:rPr>
          <w:color w:val="auto"/>
          <w:szCs w:val="21"/>
          <w:highlight w:val="none"/>
          <w:u w:val="single"/>
        </w:rPr>
        <w:t xml:space="preserve">                                     </w:t>
      </w:r>
    </w:p>
    <w:p w14:paraId="2D71AB13">
      <w:pPr>
        <w:wordWrap w:val="0"/>
        <w:spacing w:before="120" w:beforeLines="50" w:line="360" w:lineRule="auto"/>
        <w:jc w:val="right"/>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288640FD">
      <w:pPr>
        <w:spacing w:before="120" w:beforeLines="50" w:line="360" w:lineRule="auto"/>
        <w:jc w:val="left"/>
        <w:rPr>
          <w:color w:val="auto"/>
          <w:szCs w:val="21"/>
          <w:highlight w:val="none"/>
        </w:rPr>
      </w:pPr>
      <w:r>
        <w:rPr>
          <w:color w:val="auto"/>
          <w:szCs w:val="21"/>
          <w:highlight w:val="none"/>
        </w:rPr>
        <w:t>说明：</w:t>
      </w:r>
    </w:p>
    <w:p w14:paraId="2B67804B">
      <w:pPr>
        <w:spacing w:line="340" w:lineRule="exact"/>
        <w:ind w:firstLine="420" w:firstLineChars="200"/>
        <w:rPr>
          <w:color w:val="auto"/>
          <w:szCs w:val="21"/>
          <w:highlight w:val="none"/>
        </w:rPr>
      </w:pPr>
      <w:r>
        <w:rPr>
          <w:color w:val="auto"/>
          <w:szCs w:val="21"/>
          <w:highlight w:val="none"/>
        </w:rPr>
        <w:t>（1）为保障资金安全，上述账户不能为私人账户。</w:t>
      </w:r>
    </w:p>
    <w:p w14:paraId="0DE317A2">
      <w:pPr>
        <w:spacing w:line="340" w:lineRule="exact"/>
        <w:ind w:firstLine="420" w:firstLineChars="200"/>
        <w:rPr>
          <w:color w:val="auto"/>
          <w:szCs w:val="21"/>
          <w:highlight w:val="none"/>
        </w:rPr>
      </w:pPr>
      <w:r>
        <w:rPr>
          <w:color w:val="auto"/>
          <w:szCs w:val="21"/>
          <w:highlight w:val="none"/>
        </w:rPr>
        <w:t>（2）如因未按要求缴纳投标保证金，导致投标保证金无法退还或丢失等可能产生的一切后果由</w:t>
      </w:r>
      <w:r>
        <w:rPr>
          <w:rFonts w:hint="eastAsia"/>
          <w:color w:val="auto"/>
          <w:szCs w:val="21"/>
          <w:highlight w:val="none"/>
          <w:lang w:eastAsia="zh-CN"/>
        </w:rPr>
        <w:t>投标人</w:t>
      </w:r>
      <w:r>
        <w:rPr>
          <w:color w:val="auto"/>
          <w:szCs w:val="21"/>
          <w:highlight w:val="none"/>
        </w:rPr>
        <w:t>自行负责。如需要，采购代理机构将按上述所填信息办理代理服务费发票事宜。如所填信息有误导致开票信息错误等可能产生的一切后果由</w:t>
      </w:r>
      <w:r>
        <w:rPr>
          <w:rFonts w:hint="eastAsia"/>
          <w:color w:val="auto"/>
          <w:szCs w:val="21"/>
          <w:highlight w:val="none"/>
          <w:lang w:eastAsia="zh-CN"/>
        </w:rPr>
        <w:t>投标人</w:t>
      </w:r>
      <w:r>
        <w:rPr>
          <w:color w:val="auto"/>
          <w:szCs w:val="21"/>
          <w:highlight w:val="none"/>
        </w:rPr>
        <w:t>自行负责。</w:t>
      </w:r>
    </w:p>
    <w:p w14:paraId="56D2DF7A">
      <w:pPr>
        <w:jc w:val="center"/>
        <w:rPr>
          <w:color w:val="auto"/>
          <w:highlight w:val="none"/>
        </w:rPr>
      </w:pPr>
      <w:r>
        <w:rPr>
          <w:color w:val="auto"/>
          <w:highlight w:val="none"/>
        </w:rPr>
        <w:t>（3）如</w:t>
      </w:r>
      <w:r>
        <w:rPr>
          <w:rFonts w:hint="eastAsia"/>
          <w:color w:val="auto"/>
          <w:highlight w:val="none"/>
          <w:lang w:eastAsia="zh-CN"/>
        </w:rPr>
        <w:t>投标人</w:t>
      </w:r>
      <w:r>
        <w:rPr>
          <w:color w:val="auto"/>
          <w:highlight w:val="none"/>
        </w:rPr>
        <w:t>未及时收到退回款项，请与广西机电设备招标有限公司财务部联系。广西机电设备招标有限公司财务部联系方式：联系人：吴茜；电话：0771-2821398；传真：0771-2843545。</w:t>
      </w:r>
    </w:p>
    <w:p w14:paraId="2F37AAB9">
      <w:pPr>
        <w:widowControl/>
        <w:jc w:val="left"/>
        <w:rPr>
          <w:color w:val="auto"/>
          <w:highlight w:val="none"/>
        </w:rPr>
      </w:pPr>
      <w:r>
        <w:rPr>
          <w:color w:val="auto"/>
          <w:highlight w:val="none"/>
        </w:rPr>
        <w:br w:type="page"/>
      </w:r>
    </w:p>
    <w:p w14:paraId="15B22DD7">
      <w:pPr>
        <w:jc w:val="both"/>
        <w:rPr>
          <w:b/>
          <w:bCs/>
          <w:color w:val="auto"/>
          <w:szCs w:val="21"/>
          <w:highlight w:val="none"/>
        </w:rPr>
      </w:pPr>
    </w:p>
    <w:p w14:paraId="2C7777A6">
      <w:pPr>
        <w:tabs>
          <w:tab w:val="left" w:pos="327"/>
          <w:tab w:val="center" w:pos="4737"/>
        </w:tabs>
        <w:jc w:val="left"/>
        <w:rPr>
          <w:color w:val="auto"/>
          <w:sz w:val="28"/>
          <w:szCs w:val="28"/>
          <w:highlight w:val="none"/>
        </w:rPr>
      </w:pPr>
      <w:r>
        <w:rPr>
          <w:rFonts w:hint="eastAsia"/>
          <w:color w:val="auto"/>
          <w:sz w:val="28"/>
          <w:szCs w:val="28"/>
          <w:highlight w:val="none"/>
          <w:lang w:eastAsia="zh-CN"/>
        </w:rPr>
        <w:tab/>
      </w:r>
      <w:r>
        <w:rPr>
          <w:rFonts w:hint="eastAsia"/>
          <w:color w:val="auto"/>
          <w:sz w:val="28"/>
          <w:szCs w:val="28"/>
          <w:highlight w:val="none"/>
          <w:lang w:eastAsia="zh-CN"/>
        </w:rPr>
        <w:tab/>
      </w:r>
      <w:r>
        <w:rPr>
          <w:color w:val="auto"/>
          <w:sz w:val="28"/>
          <w:szCs w:val="28"/>
          <w:highlight w:val="none"/>
        </w:rPr>
        <w:t>第二部分 技术文件</w:t>
      </w:r>
    </w:p>
    <w:p w14:paraId="56622C6D">
      <w:pPr>
        <w:jc w:val="center"/>
        <w:rPr>
          <w:color w:val="auto"/>
          <w:highlight w:val="none"/>
        </w:rPr>
      </w:pPr>
      <w:r>
        <w:rPr>
          <w:color w:val="auto"/>
          <w:highlight w:val="none"/>
        </w:rPr>
        <w:t>（本</w:t>
      </w:r>
      <w:r>
        <w:rPr>
          <w:rFonts w:hint="eastAsia"/>
          <w:color w:val="auto"/>
          <w:highlight w:val="none"/>
        </w:rPr>
        <w:t>技术</w:t>
      </w:r>
      <w:r>
        <w:rPr>
          <w:color w:val="auto"/>
          <w:highlight w:val="none"/>
        </w:rPr>
        <w:t>文件</w:t>
      </w:r>
      <w:r>
        <w:rPr>
          <w:rFonts w:hint="eastAsia"/>
          <w:color w:val="auto"/>
          <w:highlight w:val="none"/>
          <w:lang w:eastAsia="zh-CN"/>
        </w:rPr>
        <w:t>投标人</w:t>
      </w:r>
      <w:r>
        <w:rPr>
          <w:color w:val="auto"/>
          <w:highlight w:val="none"/>
        </w:rPr>
        <w:t>可自行编写，也可参照下述提纲编写）</w:t>
      </w:r>
    </w:p>
    <w:p w14:paraId="11032B85">
      <w:pPr>
        <w:snapToGrid w:val="0"/>
        <w:spacing w:before="50" w:after="120" w:afterLines="50"/>
        <w:jc w:val="left"/>
        <w:rPr>
          <w:color w:val="auto"/>
          <w:szCs w:val="21"/>
          <w:highlight w:val="none"/>
        </w:rPr>
      </w:pPr>
    </w:p>
    <w:p w14:paraId="091C7354">
      <w:pPr>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《采购需求》技术</w:t>
      </w:r>
      <w:r>
        <w:rPr>
          <w:color w:val="auto"/>
          <w:szCs w:val="21"/>
          <w:highlight w:val="none"/>
        </w:rPr>
        <w:t>要求的</w:t>
      </w:r>
      <w:r>
        <w:rPr>
          <w:rFonts w:hint="eastAsia"/>
          <w:color w:val="auto"/>
          <w:szCs w:val="21"/>
          <w:highlight w:val="none"/>
        </w:rPr>
        <w:t>响应表</w:t>
      </w:r>
    </w:p>
    <w:p w14:paraId="0F59F31A">
      <w:pPr>
        <w:rPr>
          <w:color w:val="auto"/>
          <w:szCs w:val="21"/>
          <w:highlight w:val="none"/>
        </w:rPr>
      </w:pPr>
    </w:p>
    <w:p w14:paraId="7666476C">
      <w:pPr>
        <w:ind w:firstLine="420" w:firstLineChars="200"/>
        <w:rPr>
          <w:color w:val="auto"/>
          <w:szCs w:val="21"/>
          <w:highlight w:val="none"/>
        </w:rPr>
      </w:pP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077A6F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E6716EB">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55120949">
            <w:pPr>
              <w:snapToGrid w:val="0"/>
              <w:spacing w:before="120" w:beforeLines="50"/>
              <w:jc w:val="center"/>
              <w:rPr>
                <w:color w:val="auto"/>
                <w:szCs w:val="21"/>
                <w:highlight w:val="none"/>
              </w:rPr>
            </w:pPr>
            <w:r>
              <w:rPr>
                <w:color w:val="auto"/>
                <w:szCs w:val="21"/>
                <w:highlight w:val="none"/>
              </w:rPr>
              <w:t>招标文件要求</w:t>
            </w:r>
          </w:p>
          <w:p w14:paraId="32BB18B5">
            <w:pPr>
              <w:snapToGrid w:val="0"/>
              <w:spacing w:before="120" w:beforeLines="50"/>
              <w:jc w:val="center"/>
              <w:rPr>
                <w:color w:val="auto"/>
                <w:szCs w:val="21"/>
                <w:highlight w:val="none"/>
              </w:rPr>
            </w:pPr>
            <w:r>
              <w:rPr>
                <w:color w:val="auto"/>
                <w:szCs w:val="21"/>
                <w:highlight w:val="none"/>
              </w:rPr>
              <w:t>（注明章节及条款号）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1B85DB2">
            <w:pPr>
              <w:snapToGrid w:val="0"/>
              <w:spacing w:before="120" w:beforeLines="50"/>
              <w:jc w:val="center"/>
              <w:rPr>
                <w:color w:val="auto"/>
                <w:szCs w:val="21"/>
                <w:highlight w:val="none"/>
              </w:rPr>
            </w:pPr>
            <w:r>
              <w:rPr>
                <w:color w:val="auto"/>
                <w:szCs w:val="21"/>
                <w:highlight w:val="none"/>
              </w:rPr>
              <w:t>投标文件响应内容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A9C3D22">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4E2537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0A22F29">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E623B56">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5B57F55A">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DBE6E13">
            <w:pPr>
              <w:snapToGrid w:val="0"/>
              <w:spacing w:before="120" w:beforeLines="50"/>
              <w:jc w:val="center"/>
              <w:rPr>
                <w:color w:val="auto"/>
                <w:szCs w:val="21"/>
                <w:highlight w:val="none"/>
              </w:rPr>
            </w:pPr>
          </w:p>
        </w:tc>
      </w:tr>
      <w:tr w14:paraId="40D13F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034B716">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29C171F5">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721D4E5">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92F8F81">
            <w:pPr>
              <w:snapToGrid w:val="0"/>
              <w:spacing w:before="120" w:beforeLines="50"/>
              <w:jc w:val="center"/>
              <w:rPr>
                <w:color w:val="auto"/>
                <w:szCs w:val="21"/>
                <w:highlight w:val="none"/>
              </w:rPr>
            </w:pPr>
          </w:p>
        </w:tc>
      </w:tr>
      <w:tr w14:paraId="56CE55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60A66B0">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57CB236">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785D6839">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71C0134">
            <w:pPr>
              <w:snapToGrid w:val="0"/>
              <w:spacing w:before="120" w:beforeLines="50"/>
              <w:jc w:val="center"/>
              <w:rPr>
                <w:color w:val="auto"/>
                <w:szCs w:val="21"/>
                <w:highlight w:val="none"/>
              </w:rPr>
            </w:pPr>
          </w:p>
        </w:tc>
      </w:tr>
      <w:tr w14:paraId="42BD6C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8A1D81B">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66252FAE">
            <w:pPr>
              <w:snapToGrid w:val="0"/>
              <w:spacing w:before="120" w:beforeLines="50"/>
              <w:jc w:val="center"/>
              <w:rPr>
                <w:color w:val="auto"/>
                <w:szCs w:val="21"/>
                <w:highlight w:val="none"/>
              </w:rPr>
            </w:pPr>
            <w:r>
              <w:rPr>
                <w:color w:val="auto"/>
                <w:szCs w:val="21"/>
                <w:highlight w:val="none"/>
              </w:rPr>
              <w:t>……</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C003D4D">
            <w:pPr>
              <w:snapToGrid w:val="0"/>
              <w:spacing w:before="120" w:beforeLines="50"/>
              <w:jc w:val="center"/>
              <w:rPr>
                <w:color w:val="auto"/>
                <w:szCs w:val="21"/>
                <w:highlight w:val="none"/>
              </w:rPr>
            </w:pPr>
            <w:r>
              <w:rPr>
                <w:color w:val="auto"/>
                <w:szCs w:val="21"/>
                <w:highlight w:val="none"/>
              </w:rPr>
              <w:t>……</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83E4CC7">
            <w:pPr>
              <w:snapToGrid w:val="0"/>
              <w:spacing w:before="120" w:beforeLines="50"/>
              <w:jc w:val="center"/>
              <w:rPr>
                <w:color w:val="auto"/>
                <w:szCs w:val="21"/>
                <w:highlight w:val="none"/>
              </w:rPr>
            </w:pPr>
            <w:r>
              <w:rPr>
                <w:color w:val="auto"/>
                <w:szCs w:val="21"/>
                <w:highlight w:val="none"/>
              </w:rPr>
              <w:t>……</w:t>
            </w:r>
          </w:p>
        </w:tc>
      </w:tr>
    </w:tbl>
    <w:p w14:paraId="4DFAFAE4">
      <w:pPr>
        <w:rPr>
          <w:color w:val="auto"/>
          <w:szCs w:val="21"/>
          <w:highlight w:val="none"/>
        </w:rPr>
      </w:pPr>
    </w:p>
    <w:p w14:paraId="2A3551AF">
      <w:pPr>
        <w:pStyle w:val="27"/>
        <w:tabs>
          <w:tab w:val="left" w:pos="2127"/>
        </w:tabs>
        <w:spacing w:line="340" w:lineRule="exact"/>
        <w:ind w:firstLine="420" w:firstLineChars="200"/>
        <w:jc w:val="left"/>
        <w:rPr>
          <w:rFonts w:ascii="Times New Roman" w:hAnsi="Times New Roman" w:cs="Times New Roman"/>
          <w:color w:val="auto"/>
          <w:highlight w:val="none"/>
        </w:rPr>
      </w:pPr>
      <w:bookmarkStart w:id="203" w:name="_Hlk88990482"/>
      <w:r>
        <w:rPr>
          <w:color w:val="auto"/>
          <w:highlight w:val="none"/>
        </w:rPr>
        <w:t>注：（1）</w:t>
      </w:r>
      <w:r>
        <w:rPr>
          <w:rFonts w:ascii="Times New Roman" w:hAnsi="Times New Roman" w:cs="Times New Roman"/>
          <w:color w:val="auto"/>
          <w:highlight w:val="none"/>
        </w:rPr>
        <w:t>本表应对招标文件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w:t>
      </w:r>
      <w:r>
        <w:rPr>
          <w:rFonts w:hint="eastAsia" w:ascii="Times New Roman" w:hAnsi="Times New Roman" w:cs="Times New Roman"/>
          <w:color w:val="auto"/>
          <w:highlight w:val="none"/>
        </w:rPr>
        <w:t>技术</w:t>
      </w:r>
      <w:r>
        <w:rPr>
          <w:rFonts w:ascii="Times New Roman" w:hAnsi="Times New Roman" w:cs="Times New Roman"/>
          <w:color w:val="auto"/>
          <w:highlight w:val="none"/>
        </w:rPr>
        <w:t>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40115563">
      <w:pPr>
        <w:rPr>
          <w:color w:val="auto"/>
          <w:highlight w:val="none"/>
        </w:rPr>
      </w:pPr>
      <w:r>
        <w:rPr>
          <w:rFonts w:hint="eastAsia"/>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《采购需求》中的总体要求无需响应。</w:t>
      </w:r>
    </w:p>
    <w:p w14:paraId="4F69C282">
      <w:pPr>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p w14:paraId="0621A0B6">
      <w:pPr>
        <w:rPr>
          <w:color w:val="auto"/>
          <w:highlight w:val="none"/>
        </w:rPr>
      </w:pPr>
      <w:r>
        <w:rPr>
          <w:color w:val="auto"/>
          <w:highlight w:val="none"/>
        </w:rPr>
        <w:t>（4）本表可扩展。</w:t>
      </w:r>
    </w:p>
    <w:bookmarkEnd w:id="203"/>
    <w:p w14:paraId="182FF6EA">
      <w:pPr>
        <w:rPr>
          <w:color w:val="auto"/>
          <w:szCs w:val="21"/>
          <w:highlight w:val="none"/>
        </w:rPr>
      </w:pPr>
    </w:p>
    <w:p w14:paraId="7D01AD48">
      <w:pPr>
        <w:rPr>
          <w:color w:val="auto"/>
          <w:spacing w:val="20"/>
          <w:szCs w:val="21"/>
          <w:highlight w:val="none"/>
          <w:u w:val="single"/>
        </w:rPr>
      </w:pPr>
      <w:bookmarkStart w:id="204" w:name="_Hlk88990507"/>
    </w:p>
    <w:p w14:paraId="652FB578">
      <w:pPr>
        <w:rPr>
          <w:color w:val="auto"/>
          <w:szCs w:val="21"/>
          <w:highlight w:val="none"/>
        </w:rPr>
      </w:pPr>
      <w:r>
        <w:rPr>
          <w:rFonts w:hint="eastAsia"/>
          <w:color w:val="auto"/>
          <w:szCs w:val="21"/>
          <w:highlight w:val="none"/>
          <w:lang w:eastAsia="zh-CN"/>
        </w:rPr>
        <w:t>投标人</w:t>
      </w:r>
      <w:r>
        <w:rPr>
          <w:rFonts w:hint="eastAsia"/>
          <w:color w:val="auto"/>
          <w:szCs w:val="21"/>
          <w:highlight w:val="none"/>
        </w:rPr>
        <w:t>名称(电子签章</w:t>
      </w:r>
      <w:r>
        <w:rPr>
          <w:color w:val="auto"/>
          <w:szCs w:val="21"/>
          <w:highlight w:val="none"/>
        </w:rPr>
        <w:t>)</w:t>
      </w:r>
      <w:bookmarkEnd w:id="204"/>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106350DF">
      <w:pPr>
        <w:rPr>
          <w:color w:val="auto"/>
          <w:szCs w:val="21"/>
          <w:highlight w:val="none"/>
        </w:rPr>
      </w:pPr>
    </w:p>
    <w:p w14:paraId="5BBBDBEC">
      <w:pPr>
        <w:snapToGrid w:val="0"/>
        <w:spacing w:before="50" w:after="120" w:afterLines="50"/>
        <w:jc w:val="left"/>
        <w:rPr>
          <w:color w:val="auto"/>
          <w:szCs w:val="21"/>
          <w:highlight w:val="none"/>
        </w:rPr>
      </w:pPr>
      <w:r>
        <w:rPr>
          <w:color w:val="auto"/>
          <w:szCs w:val="21"/>
          <w:highlight w:val="none"/>
        </w:rPr>
        <w:t>2．</w:t>
      </w:r>
      <w:r>
        <w:rPr>
          <w:rFonts w:hint="eastAsia"/>
          <w:color w:val="auto"/>
          <w:szCs w:val="21"/>
          <w:highlight w:val="none"/>
        </w:rPr>
        <w:t>货物或产品</w:t>
      </w:r>
      <w:r>
        <w:rPr>
          <w:color w:val="auto"/>
          <w:szCs w:val="21"/>
          <w:highlight w:val="none"/>
        </w:rPr>
        <w:t>配置清单格式：</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1174"/>
        <w:gridCol w:w="1163"/>
        <w:gridCol w:w="1596"/>
        <w:gridCol w:w="1695"/>
        <w:gridCol w:w="1080"/>
      </w:tblGrid>
      <w:tr w14:paraId="29948A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298A5EB9">
            <w:pPr>
              <w:snapToGrid w:val="0"/>
              <w:spacing w:before="50" w:after="50" w:line="440" w:lineRule="exact"/>
              <w:jc w:val="center"/>
              <w:rPr>
                <w:color w:val="auto"/>
                <w:szCs w:val="21"/>
                <w:highlight w:val="none"/>
              </w:rPr>
            </w:pPr>
            <w:r>
              <w:rPr>
                <w:color w:val="auto"/>
                <w:szCs w:val="21"/>
                <w:highlight w:val="none"/>
              </w:rPr>
              <w:t>序号</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2484A77C">
            <w:pPr>
              <w:snapToGrid w:val="0"/>
              <w:spacing w:before="50" w:after="50" w:line="440" w:lineRule="exact"/>
              <w:jc w:val="center"/>
              <w:rPr>
                <w:color w:val="auto"/>
                <w:szCs w:val="21"/>
                <w:highlight w:val="none"/>
              </w:rPr>
            </w:pPr>
            <w:r>
              <w:rPr>
                <w:rFonts w:hint="eastAsia"/>
                <w:color w:val="auto"/>
                <w:szCs w:val="21"/>
                <w:highlight w:val="none"/>
              </w:rPr>
              <w:t>货物或产品</w:t>
            </w:r>
          </w:p>
          <w:p w14:paraId="55D36121">
            <w:pPr>
              <w:snapToGrid w:val="0"/>
              <w:spacing w:before="50" w:after="50" w:line="440" w:lineRule="exact"/>
              <w:jc w:val="center"/>
              <w:rPr>
                <w:color w:val="auto"/>
                <w:szCs w:val="21"/>
                <w:highlight w:val="none"/>
              </w:rPr>
            </w:pPr>
            <w:r>
              <w:rPr>
                <w:color w:val="auto"/>
                <w:szCs w:val="21"/>
                <w:highlight w:val="none"/>
              </w:rPr>
              <w:t>名称</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55CF6AF3">
            <w:pPr>
              <w:snapToGrid w:val="0"/>
              <w:spacing w:before="50" w:after="50" w:line="440" w:lineRule="exact"/>
              <w:jc w:val="center"/>
              <w:rPr>
                <w:color w:val="auto"/>
                <w:szCs w:val="21"/>
                <w:highlight w:val="none"/>
              </w:rPr>
            </w:pPr>
            <w:r>
              <w:rPr>
                <w:color w:val="auto"/>
                <w:szCs w:val="21"/>
                <w:highlight w:val="none"/>
              </w:rPr>
              <w:t>品牌或制造商</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68D5C513">
            <w:pPr>
              <w:snapToGrid w:val="0"/>
              <w:spacing w:before="50" w:after="50" w:line="440" w:lineRule="exact"/>
              <w:jc w:val="center"/>
              <w:rPr>
                <w:color w:val="auto"/>
                <w:szCs w:val="21"/>
                <w:highlight w:val="none"/>
              </w:rPr>
            </w:pPr>
            <w:r>
              <w:rPr>
                <w:color w:val="auto"/>
                <w:szCs w:val="21"/>
                <w:highlight w:val="none"/>
              </w:rPr>
              <w:t>规格型号</w:t>
            </w:r>
          </w:p>
        </w:tc>
        <w:tc>
          <w:tcPr>
            <w:tcW w:w="1596" w:type="dxa"/>
            <w:tcBorders>
              <w:top w:val="single" w:color="auto" w:sz="4" w:space="0"/>
              <w:left w:val="single" w:color="auto" w:sz="4" w:space="0"/>
              <w:bottom w:val="single" w:color="auto" w:sz="4" w:space="0"/>
              <w:right w:val="single" w:color="auto" w:sz="4" w:space="0"/>
            </w:tcBorders>
            <w:noWrap w:val="0"/>
            <w:vAlign w:val="center"/>
          </w:tcPr>
          <w:p w14:paraId="36D13DBD">
            <w:pPr>
              <w:snapToGrid w:val="0"/>
              <w:spacing w:before="50" w:after="50" w:line="440" w:lineRule="exact"/>
              <w:jc w:val="center"/>
              <w:rPr>
                <w:color w:val="auto"/>
                <w:szCs w:val="21"/>
                <w:highlight w:val="none"/>
              </w:rPr>
            </w:pPr>
            <w:r>
              <w:rPr>
                <w:color w:val="auto"/>
                <w:szCs w:val="21"/>
                <w:highlight w:val="none"/>
              </w:rPr>
              <w:t>单位及数量</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0B34247B">
            <w:pPr>
              <w:snapToGrid w:val="0"/>
              <w:spacing w:before="50" w:after="50" w:line="440" w:lineRule="exact"/>
              <w:jc w:val="center"/>
              <w:rPr>
                <w:color w:val="auto"/>
                <w:szCs w:val="21"/>
                <w:highlight w:val="none"/>
              </w:rPr>
            </w:pPr>
            <w:r>
              <w:rPr>
                <w:color w:val="auto"/>
                <w:szCs w:val="21"/>
                <w:highlight w:val="none"/>
              </w:rPr>
              <w:t>性能及指标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FF7E431">
            <w:pPr>
              <w:snapToGrid w:val="0"/>
              <w:spacing w:before="50" w:after="50" w:line="440" w:lineRule="exact"/>
              <w:jc w:val="center"/>
              <w:rPr>
                <w:color w:val="auto"/>
                <w:szCs w:val="21"/>
                <w:highlight w:val="none"/>
              </w:rPr>
            </w:pPr>
            <w:r>
              <w:rPr>
                <w:color w:val="auto"/>
                <w:szCs w:val="21"/>
                <w:highlight w:val="none"/>
              </w:rPr>
              <w:t>产地</w:t>
            </w:r>
          </w:p>
        </w:tc>
      </w:tr>
      <w:tr w14:paraId="013671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3AF9C91A">
            <w:pPr>
              <w:snapToGrid w:val="0"/>
              <w:spacing w:before="50" w:after="50" w:line="440" w:lineRule="exact"/>
              <w:jc w:val="center"/>
              <w:rPr>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1F69855D">
            <w:pPr>
              <w:snapToGrid w:val="0"/>
              <w:spacing w:before="50" w:after="50" w:line="440" w:lineRule="exact"/>
              <w:rPr>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69C1798">
            <w:pPr>
              <w:snapToGrid w:val="0"/>
              <w:spacing w:before="50" w:after="50" w:line="440" w:lineRule="exact"/>
              <w:jc w:val="center"/>
              <w:rPr>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AA63F20">
            <w:pPr>
              <w:snapToGrid w:val="0"/>
              <w:spacing w:before="50" w:after="50" w:line="440" w:lineRule="exact"/>
              <w:jc w:val="center"/>
              <w:rPr>
                <w:color w:val="auto"/>
                <w:szCs w:val="21"/>
                <w:highlight w:val="none"/>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41332C9B">
            <w:pPr>
              <w:snapToGrid w:val="0"/>
              <w:spacing w:before="50" w:after="50" w:line="440" w:lineRule="exact"/>
              <w:jc w:val="center"/>
              <w:rPr>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194D81BA">
            <w:pPr>
              <w:snapToGrid w:val="0"/>
              <w:spacing w:before="50" w:after="50" w:line="440" w:lineRule="exact"/>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0934B5A">
            <w:pPr>
              <w:snapToGrid w:val="0"/>
              <w:spacing w:before="50" w:after="50" w:line="440" w:lineRule="exact"/>
              <w:jc w:val="center"/>
              <w:rPr>
                <w:color w:val="auto"/>
                <w:szCs w:val="21"/>
                <w:highlight w:val="none"/>
              </w:rPr>
            </w:pPr>
          </w:p>
        </w:tc>
      </w:tr>
      <w:tr w14:paraId="4A00A9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06276D24">
            <w:pPr>
              <w:snapToGrid w:val="0"/>
              <w:spacing w:before="50" w:after="50" w:line="440" w:lineRule="exact"/>
              <w:jc w:val="center"/>
              <w:rPr>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2CC5598E">
            <w:pPr>
              <w:snapToGrid w:val="0"/>
              <w:spacing w:before="50" w:after="50" w:line="440" w:lineRule="exact"/>
              <w:jc w:val="center"/>
              <w:rPr>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1D8FED9">
            <w:pPr>
              <w:snapToGrid w:val="0"/>
              <w:spacing w:before="50" w:after="50" w:line="440" w:lineRule="exact"/>
              <w:jc w:val="center"/>
              <w:rPr>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E5CD35B">
            <w:pPr>
              <w:snapToGrid w:val="0"/>
              <w:spacing w:before="50" w:after="50" w:line="440" w:lineRule="exact"/>
              <w:jc w:val="center"/>
              <w:rPr>
                <w:color w:val="auto"/>
                <w:szCs w:val="21"/>
                <w:highlight w:val="none"/>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1AFEF53B">
            <w:pPr>
              <w:snapToGrid w:val="0"/>
              <w:spacing w:before="50" w:after="50" w:line="440" w:lineRule="exact"/>
              <w:jc w:val="center"/>
              <w:rPr>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20017863">
            <w:pPr>
              <w:snapToGrid w:val="0"/>
              <w:spacing w:before="50" w:after="50" w:line="440" w:lineRule="exact"/>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94FBC50">
            <w:pPr>
              <w:snapToGrid w:val="0"/>
              <w:spacing w:before="50" w:after="50" w:line="440" w:lineRule="exact"/>
              <w:jc w:val="center"/>
              <w:rPr>
                <w:color w:val="auto"/>
                <w:szCs w:val="21"/>
                <w:highlight w:val="none"/>
              </w:rPr>
            </w:pPr>
          </w:p>
        </w:tc>
      </w:tr>
      <w:tr w14:paraId="3CACB4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617D6DB5">
            <w:pPr>
              <w:snapToGrid w:val="0"/>
              <w:spacing w:before="50" w:after="50" w:line="440" w:lineRule="exact"/>
              <w:jc w:val="center"/>
              <w:rPr>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4F68BF6D">
            <w:pPr>
              <w:snapToGrid w:val="0"/>
              <w:spacing w:before="50" w:after="50" w:line="440" w:lineRule="exact"/>
              <w:jc w:val="center"/>
              <w:rPr>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2F229AB9">
            <w:pPr>
              <w:snapToGrid w:val="0"/>
              <w:spacing w:before="50" w:after="50" w:line="440" w:lineRule="exact"/>
              <w:jc w:val="center"/>
              <w:rPr>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29932BFD">
            <w:pPr>
              <w:snapToGrid w:val="0"/>
              <w:spacing w:before="50" w:after="50" w:line="440" w:lineRule="exact"/>
              <w:jc w:val="center"/>
              <w:rPr>
                <w:color w:val="auto"/>
                <w:szCs w:val="21"/>
                <w:highlight w:val="none"/>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1E2E9CF5">
            <w:pPr>
              <w:snapToGrid w:val="0"/>
              <w:spacing w:before="50" w:after="50" w:line="440" w:lineRule="exact"/>
              <w:jc w:val="center"/>
              <w:rPr>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56767EB1">
            <w:pPr>
              <w:snapToGrid w:val="0"/>
              <w:spacing w:before="50" w:after="50" w:line="440" w:lineRule="exact"/>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219122F">
            <w:pPr>
              <w:snapToGrid w:val="0"/>
              <w:spacing w:before="50" w:after="50" w:line="440" w:lineRule="exact"/>
              <w:jc w:val="center"/>
              <w:rPr>
                <w:color w:val="auto"/>
                <w:szCs w:val="21"/>
                <w:highlight w:val="none"/>
              </w:rPr>
            </w:pPr>
          </w:p>
        </w:tc>
      </w:tr>
    </w:tbl>
    <w:p w14:paraId="46A621C9">
      <w:pPr>
        <w:snapToGrid w:val="0"/>
        <w:spacing w:before="50" w:after="50" w:line="440" w:lineRule="exact"/>
        <w:rPr>
          <w:color w:val="auto"/>
          <w:szCs w:val="21"/>
          <w:highlight w:val="none"/>
        </w:rPr>
      </w:pPr>
      <w:r>
        <w:rPr>
          <w:rFonts w:hint="eastAsia"/>
          <w:color w:val="auto"/>
          <w:szCs w:val="21"/>
          <w:highlight w:val="none"/>
          <w:lang w:eastAsia="zh-CN"/>
        </w:rPr>
        <w:t>投标人</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2F0C098D">
      <w:pPr>
        <w:rPr>
          <w:color w:val="auto"/>
          <w:szCs w:val="21"/>
          <w:highlight w:val="none"/>
        </w:rPr>
      </w:pPr>
    </w:p>
    <w:p w14:paraId="497723E5">
      <w:pPr>
        <w:rPr>
          <w:color w:val="auto"/>
          <w:szCs w:val="21"/>
          <w:highlight w:val="none"/>
        </w:rPr>
      </w:pPr>
      <w:bookmarkStart w:id="205" w:name="_Hlk19115689"/>
      <w:r>
        <w:rPr>
          <w:color w:val="auto"/>
          <w:szCs w:val="21"/>
          <w:highlight w:val="none"/>
        </w:rPr>
        <w:t>3．</w:t>
      </w:r>
      <w:r>
        <w:rPr>
          <w:rFonts w:hint="eastAsia"/>
          <w:color w:val="auto"/>
          <w:szCs w:val="21"/>
          <w:highlight w:val="none"/>
        </w:rPr>
        <w:t>投标货物或产品的质量保证说明</w:t>
      </w:r>
    </w:p>
    <w:p w14:paraId="47F89945">
      <w:pPr>
        <w:rPr>
          <w:color w:val="auto"/>
          <w:szCs w:val="21"/>
          <w:highlight w:val="none"/>
        </w:rPr>
      </w:pPr>
    </w:p>
    <w:p w14:paraId="50784325">
      <w:pPr>
        <w:rPr>
          <w:color w:val="auto"/>
          <w:szCs w:val="21"/>
          <w:highlight w:val="none"/>
        </w:rPr>
      </w:pPr>
    </w:p>
    <w:p w14:paraId="630D5E8E">
      <w:pPr>
        <w:jc w:val="left"/>
        <w:rPr>
          <w:color w:val="auto"/>
          <w:szCs w:val="21"/>
          <w:highlight w:val="none"/>
        </w:rPr>
      </w:pPr>
      <w:r>
        <w:rPr>
          <w:rFonts w:hint="eastAsia"/>
          <w:color w:val="auto"/>
          <w:szCs w:val="21"/>
          <w:highlight w:val="none"/>
        </w:rPr>
        <w:t>4</w:t>
      </w:r>
      <w:r>
        <w:rPr>
          <w:color w:val="auto"/>
          <w:szCs w:val="21"/>
          <w:highlight w:val="none"/>
        </w:rPr>
        <w:t>．质量保证期过后的优惠条件：</w:t>
      </w:r>
      <w:r>
        <w:rPr>
          <w:rFonts w:hint="eastAsia"/>
          <w:color w:val="auto"/>
          <w:szCs w:val="21"/>
          <w:highlight w:val="none"/>
          <w:lang w:eastAsia="zh-CN"/>
        </w:rPr>
        <w:t>投标人</w:t>
      </w:r>
      <w:r>
        <w:rPr>
          <w:color w:val="auto"/>
          <w:szCs w:val="21"/>
          <w:highlight w:val="none"/>
        </w:rPr>
        <w:t>承诺给予采购人的各种优惠条件，包括</w:t>
      </w:r>
      <w:r>
        <w:rPr>
          <w:rFonts w:hint="eastAsia"/>
          <w:color w:val="auto"/>
          <w:szCs w:val="21"/>
          <w:highlight w:val="none"/>
        </w:rPr>
        <w:t>货物或产品的</w:t>
      </w:r>
      <w:r>
        <w:rPr>
          <w:color w:val="auto"/>
          <w:szCs w:val="21"/>
          <w:highlight w:val="none"/>
        </w:rPr>
        <w:t>售后服务、备品备件、专用耗材等方面的优惠条件。</w:t>
      </w:r>
    </w:p>
    <w:p w14:paraId="0572DB36">
      <w:pPr>
        <w:jc w:val="center"/>
        <w:rPr>
          <w:color w:val="auto"/>
          <w:szCs w:val="21"/>
          <w:highlight w:val="none"/>
        </w:rPr>
      </w:pPr>
      <w:r>
        <w:rPr>
          <w:color w:val="auto"/>
          <w:szCs w:val="21"/>
          <w:highlight w:val="none"/>
        </w:rPr>
        <w:t>常用的、容易损坏的备品备件及易损件的优惠价格清单</w:t>
      </w:r>
    </w:p>
    <w:tbl>
      <w:tblPr>
        <w:tblStyle w:val="51"/>
        <w:tblW w:w="89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0"/>
        <w:gridCol w:w="3124"/>
        <w:gridCol w:w="2276"/>
        <w:gridCol w:w="1639"/>
        <w:gridCol w:w="1083"/>
      </w:tblGrid>
      <w:tr w14:paraId="4BFFD3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2" w:hRule="atLeast"/>
        </w:trPr>
        <w:tc>
          <w:tcPr>
            <w:tcW w:w="8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AB28448">
            <w:pPr>
              <w:rPr>
                <w:color w:val="auto"/>
                <w:szCs w:val="21"/>
                <w:highlight w:val="none"/>
              </w:rPr>
            </w:pPr>
            <w:r>
              <w:rPr>
                <w:color w:val="auto"/>
                <w:szCs w:val="21"/>
                <w:highlight w:val="none"/>
              </w:rPr>
              <w:t>序号</w:t>
            </w:r>
          </w:p>
        </w:tc>
        <w:tc>
          <w:tcPr>
            <w:tcW w:w="3124" w:type="dxa"/>
            <w:tcBorders>
              <w:top w:val="single" w:color="auto" w:sz="4" w:space="0"/>
              <w:left w:val="single" w:color="auto" w:sz="4" w:space="0"/>
              <w:bottom w:val="single" w:color="auto" w:sz="2" w:space="0"/>
              <w:right w:val="single" w:color="auto" w:sz="4" w:space="0"/>
            </w:tcBorders>
            <w:noWrap w:val="0"/>
            <w:vAlign w:val="center"/>
          </w:tcPr>
          <w:p w14:paraId="37F1B8BF">
            <w:pPr>
              <w:snapToGrid w:val="0"/>
              <w:spacing w:before="50" w:after="50" w:line="440" w:lineRule="exact"/>
              <w:jc w:val="center"/>
              <w:rPr>
                <w:color w:val="auto"/>
                <w:szCs w:val="21"/>
                <w:highlight w:val="none"/>
              </w:rPr>
            </w:pPr>
            <w:r>
              <w:rPr>
                <w:color w:val="auto"/>
                <w:szCs w:val="21"/>
                <w:highlight w:val="none"/>
              </w:rPr>
              <w:t>备品备件、专用耗材名称</w:t>
            </w:r>
          </w:p>
        </w:tc>
        <w:tc>
          <w:tcPr>
            <w:tcW w:w="2276" w:type="dxa"/>
            <w:tcBorders>
              <w:top w:val="single" w:color="auto" w:sz="4" w:space="0"/>
              <w:left w:val="single" w:color="auto" w:sz="4" w:space="0"/>
              <w:bottom w:val="single" w:color="auto" w:sz="2" w:space="0"/>
              <w:right w:val="single" w:color="auto" w:sz="4" w:space="0"/>
            </w:tcBorders>
            <w:noWrap w:val="0"/>
            <w:vAlign w:val="center"/>
          </w:tcPr>
          <w:p w14:paraId="58E30CD1">
            <w:pPr>
              <w:jc w:val="center"/>
              <w:rPr>
                <w:color w:val="auto"/>
                <w:szCs w:val="21"/>
                <w:highlight w:val="none"/>
              </w:rPr>
            </w:pPr>
            <w:r>
              <w:rPr>
                <w:color w:val="auto"/>
                <w:szCs w:val="21"/>
                <w:highlight w:val="none"/>
              </w:rPr>
              <w:t>适用于</w:t>
            </w:r>
            <w:r>
              <w:rPr>
                <w:rFonts w:hint="eastAsia"/>
                <w:color w:val="auto"/>
                <w:szCs w:val="21"/>
                <w:highlight w:val="none"/>
              </w:rPr>
              <w:t>何种投标货物（产品）名称及规格型号</w:t>
            </w:r>
          </w:p>
        </w:tc>
        <w:tc>
          <w:tcPr>
            <w:tcW w:w="1639" w:type="dxa"/>
            <w:tcBorders>
              <w:top w:val="single" w:color="auto" w:sz="4" w:space="0"/>
              <w:left w:val="single" w:color="auto" w:sz="4" w:space="0"/>
              <w:bottom w:val="single" w:color="auto" w:sz="2" w:space="0"/>
              <w:right w:val="single" w:color="auto" w:sz="4" w:space="0"/>
            </w:tcBorders>
            <w:noWrap w:val="0"/>
            <w:vAlign w:val="center"/>
          </w:tcPr>
          <w:p w14:paraId="1389BE99">
            <w:pPr>
              <w:jc w:val="center"/>
              <w:rPr>
                <w:color w:val="auto"/>
                <w:szCs w:val="21"/>
                <w:highlight w:val="none"/>
              </w:rPr>
            </w:pPr>
            <w:r>
              <w:rPr>
                <w:color w:val="auto"/>
                <w:szCs w:val="21"/>
                <w:highlight w:val="none"/>
              </w:rPr>
              <w:t>优惠内容</w:t>
            </w:r>
          </w:p>
        </w:tc>
        <w:tc>
          <w:tcPr>
            <w:tcW w:w="1083" w:type="dxa"/>
            <w:tcBorders>
              <w:top w:val="single" w:color="auto" w:sz="4" w:space="0"/>
              <w:left w:val="single" w:color="auto" w:sz="4" w:space="0"/>
              <w:bottom w:val="single" w:color="auto" w:sz="2" w:space="0"/>
              <w:right w:val="single" w:color="auto" w:sz="4" w:space="0"/>
            </w:tcBorders>
            <w:noWrap w:val="0"/>
            <w:tcMar>
              <w:top w:w="15" w:type="dxa"/>
              <w:left w:w="15" w:type="dxa"/>
              <w:bottom w:w="0" w:type="dxa"/>
              <w:right w:w="15" w:type="dxa"/>
            </w:tcMar>
            <w:vAlign w:val="center"/>
          </w:tcPr>
          <w:p w14:paraId="261C1656">
            <w:pPr>
              <w:jc w:val="center"/>
              <w:rPr>
                <w:color w:val="auto"/>
                <w:szCs w:val="21"/>
                <w:highlight w:val="none"/>
              </w:rPr>
            </w:pPr>
            <w:r>
              <w:rPr>
                <w:color w:val="auto"/>
                <w:szCs w:val="21"/>
                <w:highlight w:val="none"/>
              </w:rPr>
              <w:t>优惠单价</w:t>
            </w:r>
          </w:p>
        </w:tc>
      </w:tr>
      <w:tr w14:paraId="0D327B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496EF90F">
            <w:pPr>
              <w:jc w:val="center"/>
              <w:rPr>
                <w:color w:val="auto"/>
                <w:szCs w:val="21"/>
                <w:highlight w:val="none"/>
              </w:rPr>
            </w:pPr>
            <w:r>
              <w:rPr>
                <w:color w:val="auto"/>
                <w:szCs w:val="21"/>
                <w:highlight w:val="none"/>
              </w:rPr>
              <w:t>1</w:t>
            </w:r>
          </w:p>
        </w:tc>
        <w:tc>
          <w:tcPr>
            <w:tcW w:w="3124" w:type="dxa"/>
            <w:tcBorders>
              <w:top w:val="single" w:color="auto" w:sz="2" w:space="0"/>
              <w:left w:val="single" w:color="auto" w:sz="2" w:space="0"/>
              <w:bottom w:val="single" w:color="auto" w:sz="6" w:space="0"/>
              <w:right w:val="single" w:color="auto" w:sz="4" w:space="0"/>
            </w:tcBorders>
            <w:noWrap w:val="0"/>
            <w:vAlign w:val="center"/>
          </w:tcPr>
          <w:p w14:paraId="4700E3CF">
            <w:pPr>
              <w:rPr>
                <w:color w:val="auto"/>
                <w:szCs w:val="21"/>
                <w:highlight w:val="none"/>
              </w:rPr>
            </w:pPr>
          </w:p>
        </w:tc>
        <w:tc>
          <w:tcPr>
            <w:tcW w:w="2276" w:type="dxa"/>
            <w:tcBorders>
              <w:top w:val="single" w:color="auto" w:sz="2" w:space="0"/>
              <w:left w:val="single" w:color="auto" w:sz="4" w:space="0"/>
              <w:bottom w:val="single" w:color="auto" w:sz="6" w:space="0"/>
              <w:right w:val="single" w:color="auto" w:sz="6" w:space="0"/>
            </w:tcBorders>
            <w:noWrap w:val="0"/>
            <w:vAlign w:val="center"/>
          </w:tcPr>
          <w:p w14:paraId="6F8AE9EB">
            <w:pPr>
              <w:rPr>
                <w:color w:val="auto"/>
                <w:szCs w:val="21"/>
                <w:highlight w:val="none"/>
              </w:rPr>
            </w:pPr>
          </w:p>
        </w:tc>
        <w:tc>
          <w:tcPr>
            <w:tcW w:w="1639" w:type="dxa"/>
            <w:tcBorders>
              <w:top w:val="single" w:color="auto" w:sz="2" w:space="0"/>
              <w:left w:val="single" w:color="auto" w:sz="6" w:space="0"/>
              <w:bottom w:val="single" w:color="auto" w:sz="6" w:space="0"/>
              <w:right w:val="single" w:color="auto" w:sz="6" w:space="0"/>
            </w:tcBorders>
            <w:noWrap w:val="0"/>
            <w:vAlign w:val="top"/>
          </w:tcPr>
          <w:p w14:paraId="78796DFE">
            <w:pPr>
              <w:rPr>
                <w:color w:val="auto"/>
                <w:szCs w:val="21"/>
                <w:highlight w:val="none"/>
              </w:rPr>
            </w:pPr>
          </w:p>
        </w:tc>
        <w:tc>
          <w:tcPr>
            <w:tcW w:w="1083" w:type="dxa"/>
            <w:tcBorders>
              <w:top w:val="single" w:color="auto" w:sz="2"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2A9DC601">
            <w:pPr>
              <w:rPr>
                <w:color w:val="auto"/>
                <w:szCs w:val="21"/>
                <w:highlight w:val="none"/>
              </w:rPr>
            </w:pPr>
          </w:p>
        </w:tc>
      </w:tr>
      <w:tr w14:paraId="65DA68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3D97936B">
            <w:pPr>
              <w:jc w:val="center"/>
              <w:rPr>
                <w:color w:val="auto"/>
                <w:szCs w:val="21"/>
                <w:highlight w:val="none"/>
              </w:rPr>
            </w:pPr>
            <w:r>
              <w:rPr>
                <w:color w:val="auto"/>
                <w:szCs w:val="21"/>
                <w:highlight w:val="none"/>
              </w:rPr>
              <w:t>2</w:t>
            </w:r>
          </w:p>
        </w:tc>
        <w:tc>
          <w:tcPr>
            <w:tcW w:w="3124" w:type="dxa"/>
            <w:tcBorders>
              <w:top w:val="single" w:color="auto" w:sz="6" w:space="0"/>
              <w:left w:val="single" w:color="auto" w:sz="2" w:space="0"/>
              <w:bottom w:val="single" w:color="auto" w:sz="6" w:space="0"/>
              <w:right w:val="single" w:color="auto" w:sz="4" w:space="0"/>
            </w:tcBorders>
            <w:noWrap w:val="0"/>
            <w:vAlign w:val="center"/>
          </w:tcPr>
          <w:p w14:paraId="2FB9EB02">
            <w:pPr>
              <w:rPr>
                <w:color w:val="auto"/>
                <w:szCs w:val="21"/>
                <w:highlight w:val="none"/>
              </w:rPr>
            </w:pPr>
          </w:p>
        </w:tc>
        <w:tc>
          <w:tcPr>
            <w:tcW w:w="2276" w:type="dxa"/>
            <w:tcBorders>
              <w:top w:val="single" w:color="auto" w:sz="6" w:space="0"/>
              <w:left w:val="single" w:color="auto" w:sz="4" w:space="0"/>
              <w:bottom w:val="single" w:color="auto" w:sz="6" w:space="0"/>
              <w:right w:val="single" w:color="auto" w:sz="6" w:space="0"/>
            </w:tcBorders>
            <w:noWrap w:val="0"/>
            <w:vAlign w:val="center"/>
          </w:tcPr>
          <w:p w14:paraId="4FF10426">
            <w:pPr>
              <w:rPr>
                <w:color w:val="auto"/>
                <w:szCs w:val="21"/>
                <w:highlight w:val="none"/>
              </w:rPr>
            </w:pPr>
          </w:p>
        </w:tc>
        <w:tc>
          <w:tcPr>
            <w:tcW w:w="1639" w:type="dxa"/>
            <w:tcBorders>
              <w:top w:val="single" w:color="auto" w:sz="6" w:space="0"/>
              <w:left w:val="single" w:color="auto" w:sz="6" w:space="0"/>
              <w:bottom w:val="single" w:color="auto" w:sz="6" w:space="0"/>
              <w:right w:val="single" w:color="auto" w:sz="6" w:space="0"/>
            </w:tcBorders>
            <w:noWrap w:val="0"/>
            <w:vAlign w:val="top"/>
          </w:tcPr>
          <w:p w14:paraId="58FABE53">
            <w:pPr>
              <w:rPr>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096FFD03">
            <w:pPr>
              <w:rPr>
                <w:color w:val="auto"/>
                <w:szCs w:val="21"/>
                <w:highlight w:val="none"/>
              </w:rPr>
            </w:pPr>
          </w:p>
        </w:tc>
      </w:tr>
      <w:tr w14:paraId="5B3813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2D59A9AA">
            <w:pPr>
              <w:jc w:val="center"/>
              <w:rPr>
                <w:color w:val="auto"/>
                <w:szCs w:val="21"/>
                <w:highlight w:val="none"/>
              </w:rPr>
            </w:pPr>
            <w:r>
              <w:rPr>
                <w:color w:val="auto"/>
                <w:szCs w:val="21"/>
                <w:highlight w:val="none"/>
              </w:rPr>
              <w:t>3</w:t>
            </w:r>
          </w:p>
        </w:tc>
        <w:tc>
          <w:tcPr>
            <w:tcW w:w="3124" w:type="dxa"/>
            <w:tcBorders>
              <w:top w:val="single" w:color="auto" w:sz="6" w:space="0"/>
              <w:left w:val="single" w:color="auto" w:sz="2" w:space="0"/>
              <w:bottom w:val="single" w:color="auto" w:sz="6" w:space="0"/>
              <w:right w:val="single" w:color="auto" w:sz="4" w:space="0"/>
            </w:tcBorders>
            <w:noWrap w:val="0"/>
            <w:vAlign w:val="center"/>
          </w:tcPr>
          <w:p w14:paraId="0EB65B73">
            <w:pPr>
              <w:rPr>
                <w:color w:val="auto"/>
                <w:szCs w:val="21"/>
                <w:highlight w:val="none"/>
              </w:rPr>
            </w:pPr>
          </w:p>
        </w:tc>
        <w:tc>
          <w:tcPr>
            <w:tcW w:w="2276" w:type="dxa"/>
            <w:tcBorders>
              <w:top w:val="single" w:color="auto" w:sz="6" w:space="0"/>
              <w:left w:val="single" w:color="auto" w:sz="4" w:space="0"/>
              <w:bottom w:val="single" w:color="auto" w:sz="6" w:space="0"/>
              <w:right w:val="single" w:color="auto" w:sz="6" w:space="0"/>
            </w:tcBorders>
            <w:noWrap w:val="0"/>
            <w:vAlign w:val="center"/>
          </w:tcPr>
          <w:p w14:paraId="30D713BE">
            <w:pPr>
              <w:rPr>
                <w:color w:val="auto"/>
                <w:szCs w:val="21"/>
                <w:highlight w:val="none"/>
              </w:rPr>
            </w:pPr>
          </w:p>
        </w:tc>
        <w:tc>
          <w:tcPr>
            <w:tcW w:w="1639" w:type="dxa"/>
            <w:tcBorders>
              <w:top w:val="single" w:color="auto" w:sz="6" w:space="0"/>
              <w:left w:val="single" w:color="auto" w:sz="6" w:space="0"/>
              <w:bottom w:val="single" w:color="auto" w:sz="6" w:space="0"/>
              <w:right w:val="single" w:color="auto" w:sz="6" w:space="0"/>
            </w:tcBorders>
            <w:noWrap w:val="0"/>
            <w:vAlign w:val="top"/>
          </w:tcPr>
          <w:p w14:paraId="53782A8F">
            <w:pPr>
              <w:rPr>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658FA439">
            <w:pPr>
              <w:rPr>
                <w:color w:val="auto"/>
                <w:szCs w:val="21"/>
                <w:highlight w:val="none"/>
              </w:rPr>
            </w:pPr>
          </w:p>
        </w:tc>
      </w:tr>
    </w:tbl>
    <w:p w14:paraId="076CD995">
      <w:pPr>
        <w:rPr>
          <w:color w:val="auto"/>
          <w:szCs w:val="21"/>
          <w:highlight w:val="none"/>
        </w:rPr>
      </w:pPr>
    </w:p>
    <w:p w14:paraId="18809E7F">
      <w:pPr>
        <w:rPr>
          <w:color w:val="auto"/>
          <w:szCs w:val="21"/>
          <w:highlight w:val="none"/>
        </w:rPr>
      </w:pPr>
      <w:r>
        <w:rPr>
          <w:rFonts w:hint="eastAsia"/>
          <w:color w:val="auto"/>
          <w:szCs w:val="21"/>
          <w:highlight w:val="none"/>
          <w:lang w:eastAsia="zh-CN"/>
        </w:rPr>
        <w:t>投标人</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bookmarkEnd w:id="205"/>
    <w:p w14:paraId="70BA1D88">
      <w:pPr>
        <w:rPr>
          <w:color w:val="auto"/>
          <w:szCs w:val="21"/>
          <w:highlight w:val="none"/>
        </w:rPr>
      </w:pPr>
    </w:p>
    <w:p w14:paraId="4ACF722A">
      <w:pPr>
        <w:rPr>
          <w:color w:val="auto"/>
          <w:szCs w:val="21"/>
          <w:highlight w:val="none"/>
        </w:rPr>
      </w:pPr>
    </w:p>
    <w:p w14:paraId="3C0B97BA">
      <w:pPr>
        <w:rPr>
          <w:color w:val="auto"/>
          <w:szCs w:val="21"/>
          <w:highlight w:val="none"/>
        </w:rPr>
      </w:pPr>
    </w:p>
    <w:p w14:paraId="6E1B3DC0">
      <w:pPr>
        <w:rPr>
          <w:color w:val="auto"/>
          <w:szCs w:val="21"/>
          <w:highlight w:val="none"/>
        </w:rPr>
      </w:pPr>
    </w:p>
    <w:p w14:paraId="42F2CDEA">
      <w:pPr>
        <w:rPr>
          <w:color w:val="auto"/>
          <w:szCs w:val="21"/>
          <w:highlight w:val="none"/>
        </w:rPr>
      </w:pPr>
      <w:r>
        <w:rPr>
          <w:rFonts w:hint="eastAsia"/>
          <w:color w:val="auto"/>
          <w:szCs w:val="21"/>
          <w:highlight w:val="none"/>
          <w:lang w:val="en-US" w:eastAsia="zh-CN"/>
        </w:rPr>
        <w:t>5</w:t>
      </w:r>
      <w:r>
        <w:rPr>
          <w:color w:val="auto"/>
          <w:szCs w:val="21"/>
          <w:highlight w:val="none"/>
        </w:rPr>
        <w:t>．项目实施人员一览表。</w:t>
      </w:r>
    </w:p>
    <w:p w14:paraId="6ABA6C05">
      <w:pPr>
        <w:rPr>
          <w:color w:val="auto"/>
          <w:szCs w:val="21"/>
          <w:highlight w:val="none"/>
        </w:rPr>
      </w:pPr>
    </w:p>
    <w:p w14:paraId="39ED2575">
      <w:pPr>
        <w:snapToGrid w:val="0"/>
        <w:spacing w:before="120" w:beforeLines="50" w:after="50" w:line="400" w:lineRule="exact"/>
        <w:jc w:val="center"/>
        <w:rPr>
          <w:b/>
          <w:color w:val="auto"/>
          <w:szCs w:val="21"/>
          <w:highlight w:val="none"/>
        </w:rPr>
      </w:pPr>
      <w:r>
        <w:rPr>
          <w:b/>
          <w:color w:val="auto"/>
          <w:szCs w:val="21"/>
          <w:highlight w:val="none"/>
        </w:rPr>
        <w:t>项目实施人员（主要从业人员及其技术资格）一览表</w:t>
      </w:r>
    </w:p>
    <w:p w14:paraId="0F0AD56F">
      <w:pPr>
        <w:snapToGrid w:val="0"/>
        <w:spacing w:before="120" w:beforeLines="50" w:after="50" w:line="400" w:lineRule="exact"/>
        <w:rPr>
          <w:color w:val="auto"/>
          <w:szCs w:val="21"/>
          <w:highlight w:val="none"/>
        </w:rPr>
      </w:pP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08A5FF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center"/>
          </w:tcPr>
          <w:p w14:paraId="02D182D5">
            <w:pPr>
              <w:snapToGrid w:val="0"/>
              <w:spacing w:before="120" w:beforeLines="50" w:after="50"/>
              <w:jc w:val="center"/>
              <w:rPr>
                <w:color w:val="auto"/>
                <w:szCs w:val="21"/>
                <w:highlight w:val="none"/>
              </w:rPr>
            </w:pPr>
            <w:r>
              <w:rPr>
                <w:color w:val="auto"/>
                <w:szCs w:val="21"/>
                <w:highlight w:val="none"/>
              </w:rPr>
              <w:t>姓名</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893FCA2">
            <w:pPr>
              <w:snapToGrid w:val="0"/>
              <w:spacing w:before="120" w:beforeLines="50" w:after="50"/>
              <w:jc w:val="center"/>
              <w:rPr>
                <w:color w:val="auto"/>
                <w:szCs w:val="21"/>
                <w:highlight w:val="none"/>
              </w:rPr>
            </w:pPr>
            <w:r>
              <w:rPr>
                <w:color w:val="auto"/>
                <w:szCs w:val="21"/>
                <w:highlight w:val="none"/>
              </w:rPr>
              <w:t>职务</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CF4CA42">
            <w:pPr>
              <w:snapToGrid w:val="0"/>
              <w:spacing w:before="120" w:beforeLines="50" w:after="50"/>
              <w:jc w:val="center"/>
              <w:rPr>
                <w:color w:val="auto"/>
                <w:szCs w:val="21"/>
                <w:highlight w:val="none"/>
              </w:rPr>
            </w:pPr>
            <w:r>
              <w:rPr>
                <w:color w:val="auto"/>
                <w:szCs w:val="21"/>
                <w:highlight w:val="none"/>
              </w:rPr>
              <w:t>专业技术资格</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952AD49">
            <w:pPr>
              <w:snapToGrid w:val="0"/>
              <w:spacing w:before="120" w:beforeLines="50" w:after="50"/>
              <w:jc w:val="center"/>
              <w:rPr>
                <w:color w:val="auto"/>
                <w:szCs w:val="21"/>
                <w:highlight w:val="none"/>
              </w:rPr>
            </w:pPr>
            <w:r>
              <w:rPr>
                <w:color w:val="auto"/>
                <w:szCs w:val="21"/>
                <w:highlight w:val="none"/>
              </w:rPr>
              <w:t>证书编号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D329C52">
            <w:pPr>
              <w:snapToGrid w:val="0"/>
              <w:spacing w:before="120" w:beforeLines="50" w:after="50"/>
              <w:jc w:val="center"/>
              <w:rPr>
                <w:bCs/>
                <w:color w:val="auto"/>
                <w:szCs w:val="21"/>
                <w:highlight w:val="none"/>
              </w:rPr>
            </w:pPr>
            <w:r>
              <w:rPr>
                <w:bCs/>
                <w:color w:val="auto"/>
                <w:szCs w:val="21"/>
                <w:highlight w:val="none"/>
              </w:rPr>
              <w:t>参加本单位工作时间</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446ED125">
            <w:pPr>
              <w:snapToGrid w:val="0"/>
              <w:spacing w:before="120" w:beforeLines="50" w:after="50"/>
              <w:jc w:val="center"/>
              <w:rPr>
                <w:bCs/>
                <w:color w:val="auto"/>
                <w:szCs w:val="21"/>
                <w:highlight w:val="none"/>
              </w:rPr>
            </w:pPr>
            <w:r>
              <w:rPr>
                <w:bCs/>
                <w:color w:val="auto"/>
                <w:szCs w:val="21"/>
                <w:highlight w:val="none"/>
              </w:rPr>
              <w:t>劳动合同编号</w:t>
            </w:r>
          </w:p>
        </w:tc>
      </w:tr>
      <w:tr w14:paraId="2702EE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5074481E">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B9A6B40">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DB580F4">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0FB58E2C">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703B001">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7F258D6D">
            <w:pPr>
              <w:snapToGrid w:val="0"/>
              <w:spacing w:before="120" w:beforeLines="50" w:after="50"/>
              <w:rPr>
                <w:color w:val="auto"/>
                <w:szCs w:val="21"/>
                <w:highlight w:val="none"/>
              </w:rPr>
            </w:pPr>
          </w:p>
        </w:tc>
      </w:tr>
      <w:tr w14:paraId="427564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60D99488">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086A201">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52A51CC">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700D5287">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D306743">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1950BDB0">
            <w:pPr>
              <w:snapToGrid w:val="0"/>
              <w:spacing w:before="120" w:beforeLines="50" w:after="50"/>
              <w:rPr>
                <w:color w:val="auto"/>
                <w:szCs w:val="21"/>
                <w:highlight w:val="none"/>
              </w:rPr>
            </w:pPr>
          </w:p>
        </w:tc>
      </w:tr>
      <w:tr w14:paraId="4FF10B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6B2FD0B6">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C578D42">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1EF8EFD">
            <w:pPr>
              <w:pStyle w:val="29"/>
              <w:snapToGrid w:val="0"/>
              <w:spacing w:before="120" w:beforeLines="50" w:after="50"/>
              <w:ind w:left="5670" w:hanging="420"/>
              <w:rPr>
                <w:rFonts w:ascii="Times New Roman" w:hAnsi="Times New Roman"/>
                <w:color w:val="auto"/>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01D2281B">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2CB6288A">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4755A370">
            <w:pPr>
              <w:snapToGrid w:val="0"/>
              <w:spacing w:before="120" w:beforeLines="50" w:after="50"/>
              <w:rPr>
                <w:color w:val="auto"/>
                <w:szCs w:val="21"/>
                <w:highlight w:val="none"/>
              </w:rPr>
            </w:pPr>
          </w:p>
        </w:tc>
      </w:tr>
    </w:tbl>
    <w:p w14:paraId="2A47CA30">
      <w:pPr>
        <w:snapToGrid w:val="0"/>
        <w:spacing w:before="50" w:after="120" w:afterLines="50" w:line="440" w:lineRule="exact"/>
        <w:jc w:val="left"/>
        <w:rPr>
          <w:color w:val="auto"/>
          <w:szCs w:val="21"/>
          <w:highlight w:val="none"/>
        </w:rPr>
      </w:pPr>
      <w:r>
        <w:rPr>
          <w:color w:val="auto"/>
          <w:szCs w:val="21"/>
          <w:highlight w:val="none"/>
        </w:rPr>
        <w:t>注：在填写时，如本表格不适合投标单位的实际情况，可根据本表格式自行填写。</w:t>
      </w:r>
    </w:p>
    <w:p w14:paraId="67B98661">
      <w:pPr>
        <w:rPr>
          <w:color w:val="auto"/>
          <w:spacing w:val="20"/>
          <w:szCs w:val="21"/>
          <w:highlight w:val="none"/>
          <w:u w:val="single"/>
        </w:rPr>
      </w:pPr>
      <w:r>
        <w:rPr>
          <w:rFonts w:hint="eastAsia"/>
          <w:color w:val="auto"/>
          <w:szCs w:val="21"/>
          <w:highlight w:val="none"/>
          <w:lang w:eastAsia="zh-CN"/>
        </w:rPr>
        <w:t>投标人</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1F43D6A6">
      <w:pPr>
        <w:rPr>
          <w:color w:val="auto"/>
          <w:szCs w:val="21"/>
          <w:highlight w:val="none"/>
        </w:rPr>
      </w:pPr>
    </w:p>
    <w:p w14:paraId="18D4CD2B">
      <w:pPr>
        <w:rPr>
          <w:color w:val="auto"/>
          <w:szCs w:val="21"/>
          <w:highlight w:val="none"/>
        </w:rPr>
      </w:pPr>
    </w:p>
    <w:p w14:paraId="6257F39D">
      <w:pPr>
        <w:rPr>
          <w:color w:val="auto"/>
          <w:szCs w:val="21"/>
          <w:highlight w:val="none"/>
        </w:rPr>
      </w:pPr>
      <w:r>
        <w:rPr>
          <w:rFonts w:hint="eastAsia"/>
          <w:color w:val="auto"/>
          <w:szCs w:val="21"/>
          <w:highlight w:val="none"/>
          <w:lang w:val="en-US" w:eastAsia="zh-CN"/>
        </w:rPr>
        <w:t>6</w:t>
      </w:r>
      <w:r>
        <w:rPr>
          <w:color w:val="auto"/>
          <w:szCs w:val="21"/>
          <w:highlight w:val="none"/>
        </w:rPr>
        <w:t>．</w:t>
      </w:r>
      <w:r>
        <w:rPr>
          <w:rFonts w:hint="eastAsia"/>
          <w:color w:val="auto"/>
          <w:szCs w:val="21"/>
          <w:highlight w:val="none"/>
          <w:lang w:eastAsia="zh-CN"/>
        </w:rPr>
        <w:t>投标人</w:t>
      </w:r>
      <w:r>
        <w:rPr>
          <w:color w:val="auto"/>
          <w:szCs w:val="21"/>
          <w:highlight w:val="none"/>
        </w:rPr>
        <w:t>需要说明的其他文件和说明。</w:t>
      </w:r>
    </w:p>
    <w:p w14:paraId="1545A17C">
      <w:pPr>
        <w:jc w:val="center"/>
        <w:rPr>
          <w:b/>
          <w:bCs/>
          <w:color w:val="auto"/>
          <w:szCs w:val="21"/>
          <w:highlight w:val="none"/>
        </w:rPr>
      </w:pPr>
      <w:r>
        <w:rPr>
          <w:b/>
          <w:color w:val="auto"/>
          <w:szCs w:val="21"/>
          <w:highlight w:val="none"/>
        </w:rPr>
        <w:br w:type="page"/>
      </w:r>
    </w:p>
    <w:p w14:paraId="7877D296">
      <w:pPr>
        <w:snapToGrid w:val="0"/>
        <w:spacing w:before="120" w:beforeLines="50" w:after="50" w:line="440" w:lineRule="exact"/>
        <w:jc w:val="left"/>
        <w:outlineLvl w:val="1"/>
        <w:rPr>
          <w:bCs/>
          <w:color w:val="auto"/>
          <w:sz w:val="24"/>
          <w:highlight w:val="none"/>
        </w:rPr>
      </w:pPr>
      <w:r>
        <w:rPr>
          <w:bCs/>
          <w:color w:val="auto"/>
          <w:sz w:val="24"/>
          <w:highlight w:val="none"/>
        </w:rPr>
        <w:t>3．投标文件封面参考格式</w:t>
      </w:r>
      <w:r>
        <w:rPr>
          <w:rFonts w:hint="eastAsia"/>
          <w:bCs/>
          <w:color w:val="auto"/>
          <w:sz w:val="24"/>
          <w:highlight w:val="none"/>
        </w:rPr>
        <w:t>（报价文件）</w:t>
      </w:r>
      <w:r>
        <w:rPr>
          <w:bCs/>
          <w:color w:val="auto"/>
          <w:sz w:val="24"/>
          <w:highlight w:val="none"/>
        </w:rPr>
        <w:t xml:space="preserve">： </w:t>
      </w:r>
    </w:p>
    <w:p w14:paraId="0E32C579">
      <w:pPr>
        <w:snapToGrid w:val="0"/>
        <w:spacing w:before="50" w:after="120" w:afterLines="50" w:line="400" w:lineRule="exact"/>
        <w:jc w:val="left"/>
        <w:rPr>
          <w:bCs/>
          <w:color w:val="auto"/>
          <w:sz w:val="24"/>
          <w:highlight w:val="none"/>
        </w:rPr>
      </w:pPr>
    </w:p>
    <w:p w14:paraId="6274370D">
      <w:pPr>
        <w:snapToGrid w:val="0"/>
        <w:spacing w:before="120" w:beforeLines="50" w:after="50" w:line="360" w:lineRule="exact"/>
        <w:rPr>
          <w:color w:val="auto"/>
          <w:sz w:val="24"/>
          <w:highlight w:val="none"/>
        </w:rPr>
      </w:pPr>
    </w:p>
    <w:p w14:paraId="7E40AD69">
      <w:pPr>
        <w:snapToGrid w:val="0"/>
        <w:spacing w:before="120" w:beforeLines="50" w:after="50" w:line="360" w:lineRule="exact"/>
        <w:jc w:val="center"/>
        <w:rPr>
          <w:bCs/>
          <w:color w:val="auto"/>
          <w:sz w:val="24"/>
          <w:highlight w:val="none"/>
        </w:rPr>
      </w:pPr>
    </w:p>
    <w:p w14:paraId="21AEA7E9">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电子</w:t>
      </w:r>
      <w:r>
        <w:rPr>
          <w:b/>
          <w:bCs/>
          <w:color w:val="auto"/>
          <w:sz w:val="44"/>
          <w:szCs w:val="44"/>
          <w:highlight w:val="none"/>
        </w:rPr>
        <w:t>投标文件</w:t>
      </w:r>
    </w:p>
    <w:p w14:paraId="377A3F0A">
      <w:pPr>
        <w:snapToGrid w:val="0"/>
        <w:spacing w:before="120" w:beforeLines="50" w:after="50" w:line="360" w:lineRule="exact"/>
        <w:jc w:val="center"/>
        <w:rPr>
          <w:b/>
          <w:bCs/>
          <w:color w:val="auto"/>
          <w:sz w:val="44"/>
          <w:szCs w:val="44"/>
          <w:highlight w:val="none"/>
        </w:rPr>
      </w:pPr>
    </w:p>
    <w:p w14:paraId="6531066A">
      <w:pPr>
        <w:snapToGrid w:val="0"/>
        <w:spacing w:before="120" w:beforeLines="50" w:after="50" w:line="360" w:lineRule="exact"/>
        <w:jc w:val="center"/>
        <w:rPr>
          <w:b/>
          <w:bCs/>
          <w:color w:val="auto"/>
          <w:sz w:val="44"/>
          <w:szCs w:val="44"/>
          <w:highlight w:val="none"/>
        </w:rPr>
      </w:pPr>
    </w:p>
    <w:p w14:paraId="1EB41E1A">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报价</w:t>
      </w:r>
      <w:r>
        <w:rPr>
          <w:b/>
          <w:bCs/>
          <w:color w:val="auto"/>
          <w:sz w:val="44"/>
          <w:szCs w:val="44"/>
          <w:highlight w:val="none"/>
        </w:rPr>
        <w:t>文件</w:t>
      </w:r>
    </w:p>
    <w:p w14:paraId="18C0384A">
      <w:pPr>
        <w:snapToGrid w:val="0"/>
        <w:spacing w:before="120" w:beforeLines="50" w:after="50" w:line="360" w:lineRule="exact"/>
        <w:rPr>
          <w:bCs/>
          <w:color w:val="auto"/>
          <w:sz w:val="24"/>
          <w:highlight w:val="none"/>
        </w:rPr>
      </w:pPr>
    </w:p>
    <w:p w14:paraId="47BDE2D7">
      <w:pPr>
        <w:snapToGrid w:val="0"/>
        <w:spacing w:before="120" w:beforeLines="50" w:after="50" w:line="360" w:lineRule="exact"/>
        <w:rPr>
          <w:bCs/>
          <w:color w:val="auto"/>
          <w:sz w:val="24"/>
          <w:highlight w:val="none"/>
        </w:rPr>
      </w:pPr>
    </w:p>
    <w:p w14:paraId="2349A9B5">
      <w:pPr>
        <w:snapToGrid w:val="0"/>
        <w:spacing w:before="120" w:beforeLines="50" w:after="50" w:line="360" w:lineRule="exact"/>
        <w:rPr>
          <w:bCs/>
          <w:color w:val="auto"/>
          <w:sz w:val="24"/>
          <w:highlight w:val="none"/>
        </w:rPr>
      </w:pPr>
    </w:p>
    <w:p w14:paraId="40EB51F2">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5F5DBF4C">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794CA8D3">
      <w:pPr>
        <w:snapToGrid w:val="0"/>
        <w:spacing w:before="120" w:beforeLines="50" w:after="50" w:line="36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0AE07C66">
      <w:pPr>
        <w:snapToGrid w:val="0"/>
        <w:spacing w:before="120" w:beforeLines="50" w:after="50" w:line="360" w:lineRule="exact"/>
        <w:ind w:firstLine="720" w:firstLineChars="300"/>
        <w:rPr>
          <w:bCs/>
          <w:color w:val="auto"/>
          <w:sz w:val="24"/>
          <w:highlight w:val="none"/>
        </w:rPr>
      </w:pPr>
      <w:r>
        <w:rPr>
          <w:rFonts w:hint="eastAsia"/>
          <w:bCs/>
          <w:color w:val="auto"/>
          <w:sz w:val="24"/>
          <w:highlight w:val="none"/>
          <w:lang w:eastAsia="zh-CN"/>
        </w:rPr>
        <w:t>投标人</w:t>
      </w:r>
      <w:r>
        <w:rPr>
          <w:bCs/>
          <w:color w:val="auto"/>
          <w:sz w:val="24"/>
          <w:highlight w:val="none"/>
        </w:rPr>
        <w:t>名称：</w:t>
      </w:r>
    </w:p>
    <w:p w14:paraId="4CBB40AD">
      <w:pPr>
        <w:snapToGrid w:val="0"/>
        <w:spacing w:before="120" w:beforeLines="50" w:after="50" w:line="360" w:lineRule="exact"/>
        <w:ind w:firstLine="720" w:firstLineChars="300"/>
        <w:rPr>
          <w:bCs/>
          <w:color w:val="auto"/>
          <w:sz w:val="24"/>
          <w:highlight w:val="none"/>
        </w:rPr>
      </w:pPr>
      <w:r>
        <w:rPr>
          <w:rFonts w:hint="eastAsia"/>
          <w:bCs/>
          <w:color w:val="auto"/>
          <w:sz w:val="24"/>
          <w:highlight w:val="none"/>
          <w:lang w:eastAsia="zh-CN"/>
        </w:rPr>
        <w:t>投标人</w:t>
      </w:r>
      <w:r>
        <w:rPr>
          <w:bCs/>
          <w:color w:val="auto"/>
          <w:sz w:val="24"/>
          <w:highlight w:val="none"/>
        </w:rPr>
        <w:t>地址：</w:t>
      </w:r>
    </w:p>
    <w:p w14:paraId="53C183DB">
      <w:pPr>
        <w:snapToGrid w:val="0"/>
        <w:spacing w:before="120" w:beforeLines="50" w:after="50" w:line="360" w:lineRule="exact"/>
        <w:ind w:firstLine="720" w:firstLineChars="300"/>
        <w:rPr>
          <w:bCs/>
          <w:color w:val="auto"/>
          <w:sz w:val="24"/>
          <w:highlight w:val="none"/>
        </w:rPr>
      </w:pPr>
    </w:p>
    <w:p w14:paraId="75597DD0">
      <w:pPr>
        <w:pStyle w:val="8"/>
        <w:snapToGrid w:val="0"/>
        <w:spacing w:before="50" w:after="50" w:line="360" w:lineRule="exact"/>
        <w:ind w:firstLine="960" w:firstLineChars="400"/>
        <w:rPr>
          <w:bCs/>
          <w:color w:val="auto"/>
          <w:sz w:val="24"/>
          <w:szCs w:val="24"/>
          <w:highlight w:val="none"/>
        </w:rPr>
      </w:pPr>
    </w:p>
    <w:p w14:paraId="19D4C994">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68BAC2E6">
      <w:pPr>
        <w:rPr>
          <w:color w:val="auto"/>
          <w:highlight w:val="none"/>
        </w:rPr>
      </w:pPr>
      <w:r>
        <w:rPr>
          <w:color w:val="auto"/>
          <w:highlight w:val="none"/>
        </w:rPr>
        <w:br w:type="page"/>
      </w:r>
    </w:p>
    <w:p w14:paraId="76615236">
      <w:pPr>
        <w:widowControl/>
        <w:jc w:val="left"/>
        <w:rPr>
          <w:b/>
          <w:bCs/>
          <w:color w:val="auto"/>
          <w:szCs w:val="21"/>
          <w:highlight w:val="none"/>
        </w:rPr>
      </w:pPr>
    </w:p>
    <w:p w14:paraId="5FF8A996">
      <w:pPr>
        <w:jc w:val="center"/>
        <w:rPr>
          <w:b/>
          <w:bCs/>
          <w:color w:val="auto"/>
          <w:szCs w:val="21"/>
          <w:highlight w:val="none"/>
        </w:rPr>
      </w:pPr>
    </w:p>
    <w:p w14:paraId="45996FD2">
      <w:pPr>
        <w:jc w:val="center"/>
        <w:rPr>
          <w:color w:val="auto"/>
          <w:sz w:val="28"/>
          <w:szCs w:val="28"/>
          <w:highlight w:val="none"/>
        </w:rPr>
      </w:pPr>
      <w:r>
        <w:rPr>
          <w:color w:val="auto"/>
          <w:sz w:val="28"/>
          <w:szCs w:val="28"/>
          <w:highlight w:val="none"/>
        </w:rPr>
        <w:t>第三部分 报价文件</w:t>
      </w:r>
    </w:p>
    <w:p w14:paraId="56194519">
      <w:pPr>
        <w:jc w:val="center"/>
        <w:rPr>
          <w:b/>
          <w:bCs/>
          <w:color w:val="auto"/>
          <w:szCs w:val="21"/>
          <w:highlight w:val="none"/>
        </w:rPr>
      </w:pPr>
    </w:p>
    <w:p w14:paraId="0064AA99">
      <w:pPr>
        <w:rPr>
          <w:color w:val="auto"/>
          <w:highlight w:val="none"/>
        </w:rPr>
      </w:pPr>
      <w:bookmarkStart w:id="206" w:name="_Hlk19115777"/>
      <w:r>
        <w:rPr>
          <w:color w:val="auto"/>
          <w:highlight w:val="none"/>
        </w:rPr>
        <w:t>1．投标函格式：</w:t>
      </w:r>
    </w:p>
    <w:p w14:paraId="009B7710">
      <w:pPr>
        <w:jc w:val="center"/>
        <w:rPr>
          <w:b/>
          <w:color w:val="auto"/>
          <w:szCs w:val="21"/>
          <w:highlight w:val="none"/>
        </w:rPr>
      </w:pPr>
    </w:p>
    <w:p w14:paraId="0AA25B9E">
      <w:pPr>
        <w:jc w:val="center"/>
        <w:rPr>
          <w:b/>
          <w:color w:val="auto"/>
          <w:szCs w:val="21"/>
          <w:highlight w:val="none"/>
        </w:rPr>
      </w:pPr>
      <w:r>
        <w:rPr>
          <w:b/>
          <w:color w:val="auto"/>
          <w:szCs w:val="21"/>
          <w:highlight w:val="none"/>
        </w:rPr>
        <w:t>投 标 函</w:t>
      </w:r>
    </w:p>
    <w:p w14:paraId="343A6EEE">
      <w:pPr>
        <w:rPr>
          <w:b/>
          <w:color w:val="auto"/>
          <w:szCs w:val="21"/>
          <w:highlight w:val="none"/>
        </w:rPr>
      </w:pPr>
    </w:p>
    <w:p w14:paraId="45F2B2DF">
      <w:pPr>
        <w:spacing w:line="360" w:lineRule="auto"/>
        <w:rPr>
          <w:color w:val="auto"/>
          <w:szCs w:val="21"/>
          <w:highlight w:val="none"/>
        </w:rPr>
      </w:pPr>
      <w:r>
        <w:rPr>
          <w:color w:val="auto"/>
          <w:szCs w:val="21"/>
          <w:highlight w:val="none"/>
        </w:rPr>
        <w:t>致：</w:t>
      </w:r>
      <w:bookmarkStart w:id="207" w:name="_Hlk19051378"/>
      <w:r>
        <w:rPr>
          <w:color w:val="auto"/>
          <w:szCs w:val="21"/>
          <w:highlight w:val="none"/>
        </w:rPr>
        <w:t>_</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i/>
          <w:iCs/>
          <w:color w:val="auto"/>
          <w:szCs w:val="21"/>
          <w:highlight w:val="none"/>
        </w:rPr>
        <w:t>_</w:t>
      </w:r>
      <w:bookmarkEnd w:id="207"/>
      <w:r>
        <w:rPr>
          <w:color w:val="auto"/>
          <w:szCs w:val="21"/>
          <w:highlight w:val="none"/>
        </w:rPr>
        <w:t>：</w:t>
      </w:r>
    </w:p>
    <w:p w14:paraId="557BC2C8">
      <w:pPr>
        <w:spacing w:line="360" w:lineRule="auto"/>
        <w:ind w:firstLine="420" w:firstLineChars="200"/>
        <w:rPr>
          <w:color w:val="auto"/>
          <w:szCs w:val="21"/>
          <w:highlight w:val="none"/>
        </w:rPr>
      </w:pPr>
      <w:r>
        <w:rPr>
          <w:color w:val="auto"/>
          <w:szCs w:val="21"/>
          <w:highlight w:val="none"/>
        </w:rPr>
        <w:t>我方已仔细研究了</w:t>
      </w:r>
      <w:bookmarkStart w:id="208" w:name="_Hlk19051388"/>
      <w:r>
        <w:rPr>
          <w:rFonts w:hint="eastAsia"/>
          <w:i/>
          <w:iCs/>
          <w:color w:val="auto"/>
          <w:szCs w:val="21"/>
          <w:highlight w:val="none"/>
          <w:u w:val="single"/>
        </w:rPr>
        <w:t>（项目名称）</w:t>
      </w:r>
      <w:bookmarkEnd w:id="208"/>
      <w:r>
        <w:rPr>
          <w:color w:val="auto"/>
          <w:szCs w:val="21"/>
          <w:highlight w:val="none"/>
        </w:rPr>
        <w:t>的招标文件的全部内容。签字代表</w:t>
      </w:r>
      <w:bookmarkStart w:id="209" w:name="_Hlk19051393"/>
      <w:r>
        <w:rPr>
          <w:rFonts w:hint="eastAsia"/>
          <w:i/>
          <w:iCs/>
          <w:color w:val="auto"/>
          <w:szCs w:val="21"/>
          <w:highlight w:val="none"/>
          <w:u w:val="single"/>
        </w:rPr>
        <w:t>（授权代表姓名）</w:t>
      </w:r>
      <w:bookmarkEnd w:id="209"/>
      <w:r>
        <w:rPr>
          <w:color w:val="auto"/>
          <w:szCs w:val="21"/>
          <w:highlight w:val="none"/>
        </w:rPr>
        <w:t>经正式授权并代表</w:t>
      </w:r>
      <w:r>
        <w:rPr>
          <w:rFonts w:hint="eastAsia"/>
          <w:color w:val="auto"/>
          <w:szCs w:val="21"/>
          <w:highlight w:val="none"/>
          <w:lang w:eastAsia="zh-CN"/>
        </w:rPr>
        <w:t>投标人</w:t>
      </w:r>
      <w:r>
        <w:rPr>
          <w:color w:val="auto"/>
          <w:szCs w:val="21"/>
          <w:highlight w:val="none"/>
        </w:rPr>
        <w:t>_</w:t>
      </w:r>
      <w:bookmarkStart w:id="210" w:name="_Hlk19051402"/>
      <w:r>
        <w:rPr>
          <w:i/>
          <w:iCs/>
          <w:color w:val="auto"/>
          <w:szCs w:val="21"/>
          <w:highlight w:val="none"/>
          <w:u w:val="single"/>
        </w:rPr>
        <w:t>（</w:t>
      </w:r>
      <w:r>
        <w:rPr>
          <w:rFonts w:hint="eastAsia"/>
          <w:i/>
          <w:iCs/>
          <w:color w:val="auto"/>
          <w:szCs w:val="21"/>
          <w:highlight w:val="none"/>
          <w:u w:val="single"/>
          <w:lang w:eastAsia="zh-CN"/>
        </w:rPr>
        <w:t>投标人</w:t>
      </w:r>
      <w:r>
        <w:rPr>
          <w:i/>
          <w:iCs/>
          <w:color w:val="auto"/>
          <w:szCs w:val="21"/>
          <w:highlight w:val="none"/>
          <w:u w:val="single"/>
        </w:rPr>
        <w:t>名称）</w:t>
      </w:r>
      <w:bookmarkEnd w:id="210"/>
      <w:r>
        <w:rPr>
          <w:color w:val="auto"/>
          <w:szCs w:val="21"/>
          <w:highlight w:val="none"/>
        </w:rPr>
        <w:t>提交投标文件</w:t>
      </w:r>
      <w:r>
        <w:rPr>
          <w:rFonts w:hint="eastAsia"/>
          <w:color w:val="auto"/>
          <w:szCs w:val="21"/>
          <w:highlight w:val="none"/>
        </w:rPr>
        <w:t>。</w:t>
      </w:r>
    </w:p>
    <w:p w14:paraId="074FA8EF">
      <w:pPr>
        <w:spacing w:line="360" w:lineRule="auto"/>
        <w:ind w:firstLine="420" w:firstLineChars="200"/>
        <w:rPr>
          <w:color w:val="auto"/>
          <w:szCs w:val="21"/>
          <w:highlight w:val="none"/>
        </w:rPr>
      </w:pPr>
      <w:r>
        <w:rPr>
          <w:color w:val="auto"/>
          <w:szCs w:val="21"/>
          <w:highlight w:val="none"/>
        </w:rPr>
        <w:t>据此函，签字代表宣布同意如下：</w:t>
      </w:r>
    </w:p>
    <w:p w14:paraId="39A48F6F">
      <w:pPr>
        <w:spacing w:line="360" w:lineRule="auto"/>
        <w:rPr>
          <w:color w:val="auto"/>
          <w:szCs w:val="21"/>
          <w:highlight w:val="none"/>
        </w:rPr>
      </w:pPr>
      <w:r>
        <w:rPr>
          <w:color w:val="auto"/>
          <w:szCs w:val="21"/>
          <w:highlight w:val="none"/>
        </w:rPr>
        <w:t>（1）</w:t>
      </w:r>
      <w:r>
        <w:rPr>
          <w:rFonts w:hint="eastAsia"/>
          <w:color w:val="auto"/>
          <w:szCs w:val="21"/>
          <w:highlight w:val="none"/>
        </w:rPr>
        <w:t>我方</w:t>
      </w:r>
      <w:r>
        <w:rPr>
          <w:color w:val="auto"/>
          <w:szCs w:val="21"/>
          <w:highlight w:val="none"/>
        </w:rPr>
        <w:t>已详细审查全部“招标文件”，包括修改文件（如有的话）以及全部参考资料和有关附件，已经了解我方对于招标文件、采购过程、采购结果有依法进行询问、质疑、投诉的权利及相关渠道和要求。</w:t>
      </w:r>
    </w:p>
    <w:p w14:paraId="7C811CCF">
      <w:pPr>
        <w:spacing w:line="360" w:lineRule="auto"/>
        <w:rPr>
          <w:color w:val="auto"/>
          <w:szCs w:val="21"/>
          <w:highlight w:val="none"/>
        </w:rPr>
      </w:pPr>
      <w:r>
        <w:rPr>
          <w:color w:val="auto"/>
          <w:szCs w:val="21"/>
          <w:highlight w:val="none"/>
        </w:rPr>
        <w:t>（2）</w:t>
      </w:r>
      <w:r>
        <w:rPr>
          <w:rFonts w:hint="eastAsia"/>
          <w:color w:val="auto"/>
          <w:szCs w:val="21"/>
          <w:highlight w:val="none"/>
        </w:rPr>
        <w:t>我方</w:t>
      </w:r>
      <w:r>
        <w:rPr>
          <w:color w:val="auto"/>
          <w:szCs w:val="21"/>
          <w:highlight w:val="none"/>
        </w:rPr>
        <w:t>在投标之前已经与贵方进行了充分的沟通，完全理解并接受招标文件的各项规定和要求，对招标文件的合理性、合法性不再有异议。</w:t>
      </w:r>
    </w:p>
    <w:p w14:paraId="05E6EF93">
      <w:pPr>
        <w:spacing w:line="360" w:lineRule="auto"/>
        <w:rPr>
          <w:color w:val="auto"/>
          <w:szCs w:val="21"/>
          <w:highlight w:val="none"/>
        </w:rPr>
      </w:pPr>
      <w:r>
        <w:rPr>
          <w:color w:val="auto"/>
          <w:szCs w:val="21"/>
          <w:highlight w:val="none"/>
        </w:rPr>
        <w:t>（3）</w:t>
      </w:r>
      <w:r>
        <w:rPr>
          <w:rFonts w:hint="eastAsia"/>
          <w:color w:val="auto"/>
          <w:szCs w:val="21"/>
          <w:highlight w:val="none"/>
        </w:rPr>
        <w:t>我方承诺本投标有效期为第三章投标人须知规定的期限。</w:t>
      </w:r>
    </w:p>
    <w:p w14:paraId="03EB4524">
      <w:pPr>
        <w:spacing w:line="360" w:lineRule="auto"/>
        <w:rPr>
          <w:color w:val="auto"/>
          <w:szCs w:val="21"/>
          <w:highlight w:val="none"/>
        </w:rPr>
      </w:pPr>
      <w:r>
        <w:rPr>
          <w:color w:val="auto"/>
          <w:szCs w:val="21"/>
          <w:highlight w:val="none"/>
        </w:rPr>
        <w:t>（4）如中标，本投标文件至本项目合同履行完毕止均保持有效，</w:t>
      </w:r>
      <w:r>
        <w:rPr>
          <w:rFonts w:hint="eastAsia"/>
          <w:color w:val="auto"/>
          <w:szCs w:val="21"/>
          <w:highlight w:val="none"/>
        </w:rPr>
        <w:t>我方</w:t>
      </w:r>
      <w:r>
        <w:rPr>
          <w:color w:val="auto"/>
          <w:szCs w:val="21"/>
          <w:highlight w:val="none"/>
        </w:rPr>
        <w:t>将按“招标文件”及政府采购法律、法规的规定履行合同责任和义务</w:t>
      </w:r>
      <w:r>
        <w:rPr>
          <w:rFonts w:hint="eastAsia"/>
          <w:color w:val="auto"/>
          <w:szCs w:val="21"/>
          <w:highlight w:val="none"/>
        </w:rPr>
        <w:t>，并承诺</w:t>
      </w:r>
      <w:r>
        <w:rPr>
          <w:color w:val="auto"/>
          <w:szCs w:val="21"/>
          <w:highlight w:val="none"/>
        </w:rPr>
        <w:t>不分包及转包他人。</w:t>
      </w:r>
    </w:p>
    <w:p w14:paraId="6C71D1FA">
      <w:pPr>
        <w:spacing w:line="360" w:lineRule="auto"/>
        <w:rPr>
          <w:color w:val="auto"/>
          <w:szCs w:val="21"/>
          <w:highlight w:val="none"/>
        </w:rPr>
      </w:pPr>
      <w:r>
        <w:rPr>
          <w:color w:val="auto"/>
          <w:szCs w:val="21"/>
          <w:highlight w:val="none"/>
        </w:rPr>
        <w:t>（5）</w:t>
      </w:r>
      <w:r>
        <w:rPr>
          <w:rFonts w:hint="eastAsia"/>
          <w:color w:val="auto"/>
          <w:szCs w:val="21"/>
          <w:highlight w:val="none"/>
        </w:rPr>
        <w:t>我方</w:t>
      </w:r>
      <w:r>
        <w:rPr>
          <w:color w:val="auto"/>
          <w:szCs w:val="21"/>
          <w:highlight w:val="none"/>
        </w:rPr>
        <w:t>同意按照贵方要求提供与投标有关的一切数据或资料。</w:t>
      </w:r>
    </w:p>
    <w:p w14:paraId="3A76D7B2">
      <w:pPr>
        <w:spacing w:line="360" w:lineRule="auto"/>
        <w:rPr>
          <w:color w:val="auto"/>
          <w:szCs w:val="21"/>
          <w:highlight w:val="none"/>
        </w:rPr>
      </w:pPr>
      <w:r>
        <w:rPr>
          <w:color w:val="auto"/>
          <w:szCs w:val="21"/>
          <w:highlight w:val="none"/>
        </w:rPr>
        <w:t>（6）与本项目有关的一切正式往来信函请寄：</w:t>
      </w:r>
    </w:p>
    <w:p w14:paraId="2BEAB71C">
      <w:pPr>
        <w:spacing w:line="360" w:lineRule="auto"/>
        <w:rPr>
          <w:color w:val="auto"/>
          <w:szCs w:val="21"/>
          <w:highlight w:val="none"/>
        </w:rPr>
      </w:pPr>
      <w:r>
        <w:rPr>
          <w:color w:val="auto"/>
          <w:szCs w:val="21"/>
          <w:highlight w:val="none"/>
        </w:rPr>
        <w:t>地址：</w:t>
      </w:r>
      <w:r>
        <w:rPr>
          <w:color w:val="auto"/>
          <w:szCs w:val="21"/>
          <w:highlight w:val="none"/>
          <w:u w:val="single"/>
        </w:rPr>
        <w:t xml:space="preserve">                      </w:t>
      </w:r>
      <w:r>
        <w:rPr>
          <w:color w:val="auto"/>
          <w:szCs w:val="21"/>
          <w:highlight w:val="none"/>
        </w:rPr>
        <w:t>邮编：</w:t>
      </w:r>
      <w:r>
        <w:rPr>
          <w:color w:val="auto"/>
          <w:szCs w:val="21"/>
          <w:highlight w:val="none"/>
          <w:u w:val="single"/>
        </w:rPr>
        <w:t xml:space="preserve">         </w:t>
      </w:r>
      <w:r>
        <w:rPr>
          <w:color w:val="auto"/>
          <w:szCs w:val="21"/>
          <w:highlight w:val="none"/>
        </w:rPr>
        <w:t xml:space="preserve">  电话：</w:t>
      </w:r>
      <w:r>
        <w:rPr>
          <w:color w:val="auto"/>
          <w:szCs w:val="21"/>
          <w:highlight w:val="none"/>
          <w:u w:val="single"/>
        </w:rPr>
        <w:t xml:space="preserve">            </w:t>
      </w:r>
    </w:p>
    <w:p w14:paraId="7B1A9AA7">
      <w:pPr>
        <w:spacing w:line="360" w:lineRule="auto"/>
        <w:rPr>
          <w:color w:val="auto"/>
          <w:szCs w:val="21"/>
          <w:highlight w:val="none"/>
        </w:rPr>
      </w:pPr>
      <w:r>
        <w:rPr>
          <w:color w:val="auto"/>
          <w:szCs w:val="21"/>
          <w:highlight w:val="none"/>
        </w:rPr>
        <w:t>传真：</w:t>
      </w:r>
      <w:r>
        <w:rPr>
          <w:color w:val="auto"/>
          <w:szCs w:val="21"/>
          <w:highlight w:val="none"/>
          <w:u w:val="single"/>
        </w:rPr>
        <w:t xml:space="preserve">           </w:t>
      </w:r>
      <w:r>
        <w:rPr>
          <w:color w:val="auto"/>
          <w:szCs w:val="21"/>
          <w:highlight w:val="none"/>
        </w:rPr>
        <w:t xml:space="preserve">  </w:t>
      </w:r>
    </w:p>
    <w:p w14:paraId="7C5EA712">
      <w:pPr>
        <w:spacing w:line="360" w:lineRule="auto"/>
        <w:rPr>
          <w:color w:val="auto"/>
          <w:szCs w:val="21"/>
          <w:highlight w:val="none"/>
        </w:rPr>
      </w:pPr>
      <w:r>
        <w:rPr>
          <w:rFonts w:hint="eastAsia"/>
          <w:color w:val="auto"/>
          <w:szCs w:val="21"/>
          <w:highlight w:val="none"/>
          <w:lang w:eastAsia="zh-CN"/>
        </w:rPr>
        <w:t>投标人</w:t>
      </w:r>
      <w:r>
        <w:rPr>
          <w:color w:val="auto"/>
          <w:szCs w:val="21"/>
          <w:highlight w:val="none"/>
        </w:rPr>
        <w:t>代表姓名</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邮箱：</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p>
    <w:bookmarkEnd w:id="206"/>
    <w:p w14:paraId="17077F31">
      <w:pPr>
        <w:spacing w:line="360" w:lineRule="auto"/>
        <w:rPr>
          <w:color w:val="auto"/>
          <w:szCs w:val="21"/>
          <w:highlight w:val="none"/>
        </w:rPr>
      </w:pPr>
    </w:p>
    <w:p w14:paraId="66CE40B8">
      <w:pPr>
        <w:spacing w:line="360" w:lineRule="auto"/>
        <w:rPr>
          <w:color w:val="auto"/>
          <w:szCs w:val="21"/>
          <w:highlight w:val="none"/>
        </w:rPr>
      </w:pPr>
    </w:p>
    <w:p w14:paraId="519EEA21">
      <w:pPr>
        <w:spacing w:line="360" w:lineRule="auto"/>
        <w:rPr>
          <w:color w:val="auto"/>
          <w:szCs w:val="21"/>
          <w:highlight w:val="none"/>
          <w:u w:val="single"/>
        </w:rPr>
      </w:pPr>
      <w:r>
        <w:rPr>
          <w:rFonts w:hint="eastAsia"/>
          <w:color w:val="auto"/>
          <w:szCs w:val="21"/>
          <w:highlight w:val="none"/>
          <w:lang w:eastAsia="zh-CN"/>
        </w:rPr>
        <w:t>投标人</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r>
        <w:rPr>
          <w:color w:val="auto"/>
          <w:szCs w:val="21"/>
          <w:highlight w:val="none"/>
        </w:rPr>
        <w:t xml:space="preserve">        </w:t>
      </w:r>
    </w:p>
    <w:p w14:paraId="074231A3">
      <w:pPr>
        <w:spacing w:line="360" w:lineRule="auto"/>
        <w:rPr>
          <w:color w:val="auto"/>
          <w:szCs w:val="21"/>
          <w:highlight w:val="none"/>
        </w:rPr>
      </w:pPr>
    </w:p>
    <w:p w14:paraId="575B263D">
      <w:pPr>
        <w:spacing w:line="360" w:lineRule="auto"/>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53C75D01">
      <w:pPr>
        <w:rPr>
          <w:color w:val="auto"/>
          <w:highlight w:val="none"/>
        </w:rPr>
      </w:pPr>
      <w:r>
        <w:rPr>
          <w:b/>
          <w:color w:val="auto"/>
          <w:szCs w:val="21"/>
          <w:highlight w:val="none"/>
        </w:rPr>
        <w:br w:type="page"/>
      </w:r>
      <w:r>
        <w:rPr>
          <w:rFonts w:hint="eastAsia"/>
          <w:b/>
          <w:color w:val="auto"/>
          <w:szCs w:val="21"/>
          <w:highlight w:val="none"/>
          <w:lang w:val="en-US" w:eastAsia="zh-CN"/>
        </w:rPr>
        <w:t>2.</w:t>
      </w:r>
      <w:r>
        <w:rPr>
          <w:color w:val="auto"/>
          <w:highlight w:val="none"/>
        </w:rPr>
        <w:t>投标报价明细表格式：</w:t>
      </w:r>
    </w:p>
    <w:p w14:paraId="16766DD6">
      <w:pPr>
        <w:jc w:val="center"/>
        <w:rPr>
          <w:b/>
          <w:color w:val="auto"/>
          <w:szCs w:val="21"/>
          <w:highlight w:val="none"/>
        </w:rPr>
      </w:pPr>
      <w:r>
        <w:rPr>
          <w:b/>
          <w:color w:val="auto"/>
          <w:szCs w:val="21"/>
          <w:highlight w:val="none"/>
        </w:rPr>
        <w:t>投标报价明细表</w:t>
      </w:r>
    </w:p>
    <w:p w14:paraId="518B8776">
      <w:pPr>
        <w:ind w:firstLine="2415" w:firstLineChars="1150"/>
        <w:rPr>
          <w:color w:val="auto"/>
          <w:szCs w:val="21"/>
          <w:highlight w:val="none"/>
        </w:rPr>
      </w:pPr>
      <w:r>
        <w:rPr>
          <w:color w:val="auto"/>
          <w:szCs w:val="21"/>
          <w:highlight w:val="none"/>
        </w:rPr>
        <w:t xml:space="preserve">                                    金额单位：人民币（元）</w:t>
      </w:r>
    </w:p>
    <w:tbl>
      <w:tblPr>
        <w:tblStyle w:val="51"/>
        <w:tblW w:w="87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0"/>
        <w:gridCol w:w="1620"/>
        <w:gridCol w:w="1080"/>
        <w:gridCol w:w="1268"/>
        <w:gridCol w:w="1599"/>
        <w:gridCol w:w="1118"/>
        <w:gridCol w:w="1259"/>
      </w:tblGrid>
      <w:tr w14:paraId="5F313D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14:paraId="3C417A66">
            <w:pPr>
              <w:jc w:val="center"/>
              <w:rPr>
                <w:color w:val="auto"/>
                <w:spacing w:val="20"/>
                <w:szCs w:val="21"/>
                <w:highlight w:val="none"/>
              </w:rPr>
            </w:pPr>
            <w:r>
              <w:rPr>
                <w:color w:val="auto"/>
                <w:szCs w:val="21"/>
                <w:highlight w:val="none"/>
              </w:rPr>
              <w:t>序号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7F2B023">
            <w:pPr>
              <w:jc w:val="center"/>
              <w:rPr>
                <w:color w:val="auto"/>
                <w:szCs w:val="21"/>
                <w:highlight w:val="none"/>
              </w:rPr>
            </w:pPr>
            <w:r>
              <w:rPr>
                <w:color w:val="auto"/>
                <w:szCs w:val="21"/>
                <w:highlight w:val="none"/>
              </w:rPr>
              <w:t>产品或服务名称</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D68EE04">
            <w:pPr>
              <w:jc w:val="center"/>
              <w:rPr>
                <w:color w:val="auto"/>
                <w:szCs w:val="21"/>
                <w:highlight w:val="none"/>
              </w:rPr>
            </w:pPr>
            <w:r>
              <w:rPr>
                <w:color w:val="auto"/>
                <w:szCs w:val="21"/>
                <w:highlight w:val="none"/>
              </w:rPr>
              <w:t>制造商或服务商</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43AEEC2">
            <w:pPr>
              <w:jc w:val="center"/>
              <w:rPr>
                <w:color w:val="auto"/>
                <w:szCs w:val="21"/>
                <w:highlight w:val="none"/>
              </w:rPr>
            </w:pPr>
            <w:r>
              <w:rPr>
                <w:color w:val="auto"/>
                <w:szCs w:val="21"/>
                <w:highlight w:val="none"/>
              </w:rPr>
              <w:t>规格型号</w:t>
            </w:r>
          </w:p>
        </w:tc>
        <w:tc>
          <w:tcPr>
            <w:tcW w:w="1599" w:type="dxa"/>
            <w:tcBorders>
              <w:top w:val="single" w:color="auto" w:sz="4" w:space="0"/>
              <w:left w:val="single" w:color="auto" w:sz="4" w:space="0"/>
              <w:bottom w:val="single" w:color="auto" w:sz="4" w:space="0"/>
              <w:right w:val="single" w:color="auto" w:sz="4" w:space="0"/>
            </w:tcBorders>
            <w:noWrap w:val="0"/>
            <w:vAlign w:val="center"/>
          </w:tcPr>
          <w:p w14:paraId="4F6061B3">
            <w:pPr>
              <w:jc w:val="center"/>
              <w:rPr>
                <w:color w:val="auto"/>
                <w:szCs w:val="21"/>
                <w:highlight w:val="none"/>
              </w:rPr>
            </w:pPr>
            <w:r>
              <w:rPr>
                <w:color w:val="auto"/>
                <w:szCs w:val="21"/>
                <w:highlight w:val="none"/>
              </w:rPr>
              <w:t>单位及数量</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6D041BD5">
            <w:pPr>
              <w:jc w:val="center"/>
              <w:rPr>
                <w:color w:val="auto"/>
                <w:szCs w:val="21"/>
                <w:highlight w:val="none"/>
              </w:rPr>
            </w:pPr>
            <w:r>
              <w:rPr>
                <w:color w:val="auto"/>
                <w:szCs w:val="21"/>
                <w:highlight w:val="none"/>
              </w:rPr>
              <w:t>单价</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2D031DD7">
            <w:pPr>
              <w:jc w:val="center"/>
              <w:rPr>
                <w:color w:val="auto"/>
                <w:szCs w:val="21"/>
                <w:highlight w:val="none"/>
              </w:rPr>
            </w:pPr>
            <w:r>
              <w:rPr>
                <w:rFonts w:hint="eastAsia"/>
                <w:color w:val="auto"/>
                <w:szCs w:val="21"/>
                <w:highlight w:val="none"/>
              </w:rPr>
              <w:t>合计</w:t>
            </w:r>
          </w:p>
        </w:tc>
      </w:tr>
      <w:tr w14:paraId="352BB1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14:paraId="4E1250D2">
            <w:pPr>
              <w:jc w:val="center"/>
              <w:rPr>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F6EB97C">
            <w:pPr>
              <w:jc w:val="center"/>
              <w:rPr>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05D31B8">
            <w:pPr>
              <w:jc w:val="center"/>
              <w:rPr>
                <w:color w:val="auto"/>
                <w:spacing w:val="2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2155028E">
            <w:pPr>
              <w:jc w:val="center"/>
              <w:rPr>
                <w:color w:val="auto"/>
                <w:spacing w:val="20"/>
                <w:szCs w:val="21"/>
                <w:highlight w:val="none"/>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14:paraId="42CC8BD7">
            <w:pPr>
              <w:jc w:val="center"/>
              <w:rPr>
                <w:color w:val="auto"/>
                <w:spacing w:val="20"/>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2DC86E67">
            <w:pPr>
              <w:jc w:val="center"/>
              <w:rPr>
                <w:color w:val="auto"/>
                <w:spacing w:val="20"/>
                <w:szCs w:val="21"/>
                <w:highlight w:val="none"/>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14:paraId="549B3CE8">
            <w:pPr>
              <w:jc w:val="center"/>
              <w:rPr>
                <w:color w:val="auto"/>
                <w:spacing w:val="20"/>
                <w:szCs w:val="21"/>
                <w:highlight w:val="none"/>
              </w:rPr>
            </w:pPr>
          </w:p>
        </w:tc>
      </w:tr>
      <w:tr w14:paraId="24552C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14:paraId="43DD3159">
            <w:pPr>
              <w:jc w:val="center"/>
              <w:rPr>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994BACF">
            <w:pPr>
              <w:jc w:val="center"/>
              <w:rPr>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2AF00BD">
            <w:pPr>
              <w:jc w:val="center"/>
              <w:rPr>
                <w:color w:val="auto"/>
                <w:spacing w:val="2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07AD862">
            <w:pPr>
              <w:jc w:val="center"/>
              <w:rPr>
                <w:color w:val="auto"/>
                <w:spacing w:val="20"/>
                <w:szCs w:val="21"/>
                <w:highlight w:val="none"/>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14:paraId="2A4AA35D">
            <w:pPr>
              <w:jc w:val="center"/>
              <w:rPr>
                <w:color w:val="auto"/>
                <w:spacing w:val="20"/>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18A69751">
            <w:pPr>
              <w:jc w:val="center"/>
              <w:rPr>
                <w:color w:val="auto"/>
                <w:spacing w:val="20"/>
                <w:szCs w:val="21"/>
                <w:highlight w:val="none"/>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14:paraId="4AFECF0C">
            <w:pPr>
              <w:jc w:val="center"/>
              <w:rPr>
                <w:color w:val="auto"/>
                <w:spacing w:val="20"/>
                <w:szCs w:val="21"/>
                <w:highlight w:val="none"/>
              </w:rPr>
            </w:pPr>
          </w:p>
        </w:tc>
      </w:tr>
      <w:tr w14:paraId="493F3E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8774" w:type="dxa"/>
            <w:gridSpan w:val="7"/>
            <w:tcBorders>
              <w:top w:val="single" w:color="auto" w:sz="4" w:space="0"/>
              <w:left w:val="single" w:color="auto" w:sz="4" w:space="0"/>
              <w:bottom w:val="single" w:color="auto" w:sz="4" w:space="0"/>
              <w:right w:val="single" w:color="auto" w:sz="4" w:space="0"/>
            </w:tcBorders>
            <w:noWrap w:val="0"/>
            <w:vAlign w:val="center"/>
          </w:tcPr>
          <w:p w14:paraId="1D5E1938">
            <w:pPr>
              <w:jc w:val="left"/>
              <w:rPr>
                <w:rFonts w:hint="default"/>
                <w:color w:val="auto"/>
                <w:spacing w:val="20"/>
                <w:szCs w:val="21"/>
                <w:highlight w:val="none"/>
                <w:lang w:val="en-US"/>
              </w:rPr>
            </w:pPr>
            <w:r>
              <w:rPr>
                <w:rFonts w:hint="eastAsia"/>
                <w:color w:val="auto"/>
                <w:spacing w:val="20"/>
                <w:szCs w:val="21"/>
                <w:highlight w:val="none"/>
                <w:lang w:val="en-US" w:eastAsia="zh-CN"/>
              </w:rPr>
              <w:t>合计：（大写）人民币           （¥           ）</w:t>
            </w:r>
          </w:p>
        </w:tc>
      </w:tr>
    </w:tbl>
    <w:p w14:paraId="5EE01B04">
      <w:pPr>
        <w:rPr>
          <w:color w:val="auto"/>
          <w:spacing w:val="20"/>
          <w:szCs w:val="21"/>
          <w:highlight w:val="none"/>
          <w:u w:val="single"/>
        </w:rPr>
      </w:pPr>
    </w:p>
    <w:p w14:paraId="72C9E2AC">
      <w:pPr>
        <w:jc w:val="center"/>
        <w:rPr>
          <w:rFonts w:hint="eastAsia"/>
          <w:color w:val="auto"/>
          <w:spacing w:val="20"/>
          <w:szCs w:val="21"/>
          <w:highlight w:val="none"/>
          <w:u w:val="none"/>
          <w:lang w:val="en-US" w:eastAsia="zh-CN"/>
        </w:rPr>
      </w:pPr>
    </w:p>
    <w:p w14:paraId="14E83B9D">
      <w:pPr>
        <w:spacing w:line="360" w:lineRule="auto"/>
        <w:rPr>
          <w:rFonts w:hint="default"/>
          <w:color w:val="auto"/>
          <w:spacing w:val="20"/>
          <w:szCs w:val="21"/>
          <w:highlight w:val="none"/>
          <w:lang w:val="en-US" w:eastAsia="zh-CN"/>
        </w:rPr>
      </w:pPr>
    </w:p>
    <w:p w14:paraId="0F126450">
      <w:pPr>
        <w:pStyle w:val="17"/>
        <w:rPr>
          <w:color w:val="auto"/>
          <w:highlight w:val="none"/>
        </w:rPr>
      </w:pPr>
      <w:bookmarkStart w:id="211" w:name="_Hlk88990717"/>
      <w:r>
        <w:rPr>
          <w:color w:val="auto"/>
          <w:szCs w:val="21"/>
          <w:highlight w:val="none"/>
        </w:rPr>
        <w:t>注：</w:t>
      </w:r>
      <w:r>
        <w:rPr>
          <w:rFonts w:hint="eastAsia"/>
          <w:color w:val="auto"/>
          <w:szCs w:val="21"/>
          <w:highlight w:val="none"/>
        </w:rPr>
        <w:t>本表如</w:t>
      </w:r>
      <w:r>
        <w:rPr>
          <w:rFonts w:hint="eastAsia"/>
          <w:color w:val="auto"/>
          <w:highlight w:val="none"/>
        </w:rPr>
        <w:t>与</w:t>
      </w:r>
      <w:r>
        <w:rPr>
          <w:rFonts w:hint="eastAsia"/>
          <w:color w:val="auto"/>
          <w:szCs w:val="21"/>
          <w:highlight w:val="none"/>
        </w:rPr>
        <w:t>广西政府采购云平台</w:t>
      </w:r>
      <w:r>
        <w:rPr>
          <w:rFonts w:hint="eastAsia"/>
          <w:color w:val="auto"/>
          <w:highlight w:val="none"/>
        </w:rPr>
        <w:t>不一致的，以</w:t>
      </w:r>
      <w:r>
        <w:rPr>
          <w:rFonts w:hint="eastAsia"/>
          <w:color w:val="auto"/>
          <w:szCs w:val="21"/>
          <w:highlight w:val="none"/>
        </w:rPr>
        <w:t>广西政府采购云平台</w:t>
      </w:r>
      <w:r>
        <w:rPr>
          <w:rFonts w:hint="eastAsia"/>
          <w:color w:val="auto"/>
          <w:highlight w:val="none"/>
        </w:rPr>
        <w:t>为准。</w:t>
      </w:r>
    </w:p>
    <w:p w14:paraId="3A72FC75">
      <w:pPr>
        <w:jc w:val="left"/>
        <w:rPr>
          <w:color w:val="auto"/>
          <w:szCs w:val="21"/>
          <w:highlight w:val="none"/>
        </w:rPr>
      </w:pPr>
    </w:p>
    <w:p w14:paraId="75960C4E">
      <w:pPr>
        <w:spacing w:line="360" w:lineRule="auto"/>
        <w:rPr>
          <w:color w:val="auto"/>
          <w:spacing w:val="20"/>
          <w:szCs w:val="21"/>
          <w:highlight w:val="none"/>
        </w:rPr>
      </w:pPr>
    </w:p>
    <w:p w14:paraId="59AFDAAC">
      <w:pPr>
        <w:spacing w:line="360" w:lineRule="auto"/>
        <w:rPr>
          <w:color w:val="auto"/>
          <w:szCs w:val="21"/>
          <w:highlight w:val="none"/>
        </w:rPr>
      </w:pPr>
      <w:r>
        <w:rPr>
          <w:rFonts w:hint="eastAsia"/>
          <w:color w:val="auto"/>
          <w:szCs w:val="21"/>
          <w:highlight w:val="none"/>
          <w:lang w:eastAsia="zh-CN"/>
        </w:rPr>
        <w:t>投标人</w:t>
      </w:r>
      <w:r>
        <w:rPr>
          <w:color w:val="auto"/>
          <w:szCs w:val="21"/>
          <w:highlight w:val="none"/>
        </w:rPr>
        <w:t>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70C5EE12">
      <w:pPr>
        <w:spacing w:line="360" w:lineRule="auto"/>
        <w:rPr>
          <w:color w:val="auto"/>
          <w:spacing w:val="20"/>
          <w:szCs w:val="21"/>
          <w:highlight w:val="none"/>
          <w:u w:val="single"/>
        </w:rPr>
      </w:pPr>
      <w:r>
        <w:rPr>
          <w:color w:val="auto"/>
          <w:szCs w:val="21"/>
          <w:highlight w:val="none"/>
        </w:rPr>
        <w:t>日  期</w:t>
      </w:r>
      <w:r>
        <w:rPr>
          <w:rFonts w:hint="eastAsia"/>
          <w:color w:val="auto"/>
          <w:szCs w:val="21"/>
          <w:highlight w:val="none"/>
          <w:lang w:eastAsia="zh-CN"/>
        </w:rPr>
        <w:t>：</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bookmarkEnd w:id="211"/>
    <w:p w14:paraId="0F40AA89">
      <w:pPr>
        <w:snapToGrid w:val="0"/>
        <w:spacing w:before="50" w:after="120" w:afterLines="50"/>
        <w:jc w:val="left"/>
        <w:rPr>
          <w:color w:val="auto"/>
          <w:szCs w:val="21"/>
          <w:highlight w:val="none"/>
        </w:rPr>
        <w:sectPr>
          <w:headerReference r:id="rId16" w:type="default"/>
          <w:pgSz w:w="11906" w:h="16838"/>
          <w:pgMar w:top="1418" w:right="1133" w:bottom="1246"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052B5B6E">
      <w:pPr>
        <w:spacing w:line="360" w:lineRule="auto"/>
        <w:jc w:val="left"/>
        <w:rPr>
          <w:color w:val="auto"/>
          <w:szCs w:val="21"/>
          <w:highlight w:val="none"/>
        </w:rPr>
      </w:pPr>
      <w:bookmarkStart w:id="212" w:name="_Hlk19115862"/>
      <w:r>
        <w:rPr>
          <w:color w:val="auto"/>
          <w:szCs w:val="21"/>
          <w:highlight w:val="none"/>
        </w:rPr>
        <w:t>3．过低报价合理性的说明。（如有）</w:t>
      </w:r>
    </w:p>
    <w:p w14:paraId="11EB573B">
      <w:pPr>
        <w:spacing w:line="360" w:lineRule="auto"/>
        <w:ind w:firstLine="420" w:firstLineChars="200"/>
        <w:rPr>
          <w:rFonts w:hint="eastAsia"/>
          <w:color w:val="auto"/>
          <w:szCs w:val="21"/>
          <w:highlight w:val="none"/>
        </w:rPr>
      </w:pPr>
      <w:r>
        <w:rPr>
          <w:color w:val="auto"/>
          <w:szCs w:val="21"/>
          <w:highlight w:val="none"/>
        </w:rPr>
        <w:t>评审委员会认为的报价</w:t>
      </w:r>
      <w:r>
        <w:rPr>
          <w:rFonts w:hint="eastAsia"/>
          <w:color w:val="auto"/>
          <w:szCs w:val="21"/>
          <w:highlight w:val="none"/>
          <w:lang w:val="en-US" w:eastAsia="zh-CN"/>
        </w:rPr>
        <w:t>存在异常低价问题的情形</w:t>
      </w:r>
      <w:r>
        <w:rPr>
          <w:color w:val="auto"/>
          <w:szCs w:val="21"/>
          <w:highlight w:val="none"/>
        </w:rPr>
        <w:t>，</w:t>
      </w:r>
      <w:r>
        <w:rPr>
          <w:rFonts w:hint="eastAsia"/>
          <w:color w:val="auto"/>
          <w:szCs w:val="21"/>
          <w:highlight w:val="none"/>
          <w:lang w:eastAsia="zh-CN"/>
        </w:rPr>
        <w:t>投标人</w:t>
      </w:r>
      <w:r>
        <w:rPr>
          <w:color w:val="auto"/>
          <w:szCs w:val="21"/>
          <w:highlight w:val="none"/>
        </w:rPr>
        <w:t>将被要求以书面方式提供</w:t>
      </w:r>
      <w:r>
        <w:rPr>
          <w:rFonts w:hint="eastAsia"/>
          <w:color w:val="auto"/>
          <w:szCs w:val="21"/>
          <w:highlight w:val="none"/>
          <w:lang w:val="en-US" w:eastAsia="zh-CN"/>
        </w:rPr>
        <w:t>项目具体成本测算等与报价合理性相关的书面说明及必要的证明材料</w:t>
      </w:r>
      <w:r>
        <w:rPr>
          <w:color w:val="auto"/>
          <w:szCs w:val="21"/>
          <w:highlight w:val="none"/>
        </w:rPr>
        <w:t>。为避免在评审现场因未能及时提供说明而导致被评审委员会作为无效投标，</w:t>
      </w:r>
      <w:r>
        <w:rPr>
          <w:rFonts w:hint="eastAsia"/>
          <w:color w:val="auto"/>
          <w:szCs w:val="21"/>
          <w:highlight w:val="none"/>
          <w:lang w:eastAsia="zh-CN"/>
        </w:rPr>
        <w:t>投标人</w:t>
      </w:r>
      <w:r>
        <w:rPr>
          <w:rFonts w:hint="eastAsia"/>
          <w:color w:val="auto"/>
          <w:highlight w:val="none"/>
        </w:rPr>
        <w:t>自行决定是否</w:t>
      </w:r>
      <w:r>
        <w:rPr>
          <w:color w:val="auto"/>
          <w:kern w:val="1"/>
          <w:szCs w:val="21"/>
          <w:highlight w:val="none"/>
        </w:rPr>
        <w:t>直接在</w:t>
      </w:r>
      <w:r>
        <w:rPr>
          <w:color w:val="auto"/>
          <w:szCs w:val="21"/>
          <w:highlight w:val="none"/>
        </w:rPr>
        <w:t>此处</w:t>
      </w:r>
      <w:r>
        <w:rPr>
          <w:rFonts w:hint="eastAsia"/>
          <w:color w:val="auto"/>
          <w:szCs w:val="21"/>
          <w:highlight w:val="none"/>
        </w:rPr>
        <w:t>进行陈述</w:t>
      </w:r>
      <w:r>
        <w:rPr>
          <w:color w:val="auto"/>
          <w:szCs w:val="21"/>
          <w:highlight w:val="none"/>
        </w:rPr>
        <w:t>。格式自拟。</w:t>
      </w:r>
      <w:r>
        <w:rPr>
          <w:rFonts w:hint="eastAsia"/>
          <w:color w:val="auto"/>
          <w:szCs w:val="21"/>
          <w:highlight w:val="none"/>
        </w:rPr>
        <w:t>（</w:t>
      </w:r>
      <w:r>
        <w:rPr>
          <w:rFonts w:hint="eastAsia"/>
          <w:color w:val="auto"/>
          <w:kern w:val="1"/>
          <w:szCs w:val="21"/>
          <w:highlight w:val="none"/>
        </w:rPr>
        <w:t>具体要求详见第四章评审方法及标准“过低报价合理性的审查”</w:t>
      </w:r>
      <w:r>
        <w:rPr>
          <w:rFonts w:hint="eastAsia"/>
          <w:color w:val="auto"/>
          <w:szCs w:val="21"/>
          <w:highlight w:val="none"/>
        </w:rPr>
        <w:t>）</w:t>
      </w:r>
    </w:p>
    <w:p w14:paraId="59C44341">
      <w:pPr>
        <w:pStyle w:val="173"/>
        <w:jc w:val="center"/>
        <w:rPr>
          <w:b/>
          <w:bCs/>
          <w:color w:val="auto"/>
          <w:highlight w:val="none"/>
        </w:rPr>
      </w:pPr>
      <w:bookmarkStart w:id="213" w:name="_Hlk211331823"/>
    </w:p>
    <w:p w14:paraId="783E9B9E">
      <w:pPr>
        <w:pStyle w:val="173"/>
        <w:jc w:val="center"/>
        <w:rPr>
          <w:color w:val="auto"/>
          <w:highlight w:val="none"/>
        </w:rPr>
      </w:pPr>
      <w:r>
        <w:rPr>
          <w:rFonts w:hint="eastAsia"/>
          <w:b/>
          <w:bCs/>
          <w:color w:val="auto"/>
          <w:highlight w:val="none"/>
          <w:lang w:val="en-US" w:eastAsia="zh-CN"/>
        </w:rPr>
        <w:t>产品成本测算表（参考格式）</w:t>
      </w:r>
    </w:p>
    <w:p w14:paraId="2DB889C3">
      <w:pPr>
        <w:spacing w:line="360" w:lineRule="auto"/>
        <w:rPr>
          <w:color w:val="auto"/>
          <w:highlight w:val="none"/>
        </w:rPr>
      </w:pPr>
    </w:p>
    <w:bookmarkEnd w:id="213"/>
    <w:tbl>
      <w:tblPr>
        <w:tblStyle w:val="51"/>
        <w:tblW w:w="452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26"/>
        <w:gridCol w:w="348"/>
        <w:gridCol w:w="660"/>
        <w:gridCol w:w="490"/>
        <w:gridCol w:w="830"/>
        <w:gridCol w:w="1202"/>
        <w:gridCol w:w="972"/>
        <w:gridCol w:w="887"/>
        <w:gridCol w:w="1052"/>
        <w:gridCol w:w="780"/>
        <w:gridCol w:w="1019"/>
      </w:tblGrid>
      <w:tr w14:paraId="643B52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8" w:hRule="atLeast"/>
          <w:jc w:val="center"/>
        </w:trPr>
        <w:tc>
          <w:tcPr>
            <w:tcW w:w="245" w:type="pct"/>
            <w:shd w:val="clear" w:color="C3BD96" w:themeColor="background2" w:themeShade="BF" w:fill="auto"/>
            <w:vAlign w:val="center"/>
          </w:tcPr>
          <w:p w14:paraId="3E050D07">
            <w:pPr>
              <w:ind w:left="-105" w:leftChars="-50" w:right="-105" w:rightChars="-50"/>
              <w:jc w:val="center"/>
              <w:rPr>
                <w:rFonts w:cs="宋体"/>
                <w:b/>
                <w:color w:val="auto"/>
                <w:highlight w:val="none"/>
              </w:rPr>
            </w:pPr>
            <w:r>
              <w:rPr>
                <w:rFonts w:hint="eastAsia" w:cs="仿宋_GB2312"/>
                <w:b/>
                <w:color w:val="auto"/>
                <w:szCs w:val="24"/>
                <w:highlight w:val="none"/>
              </w:rPr>
              <w:t>序号</w:t>
            </w:r>
          </w:p>
        </w:tc>
        <w:tc>
          <w:tcPr>
            <w:tcW w:w="201" w:type="pct"/>
            <w:shd w:val="clear" w:color="C3BD96" w:themeColor="background2" w:themeShade="BF" w:fill="auto"/>
            <w:vAlign w:val="center"/>
          </w:tcPr>
          <w:p w14:paraId="41F004A5">
            <w:pPr>
              <w:spacing w:line="360" w:lineRule="auto"/>
              <w:ind w:left="-48" w:leftChars="-23" w:right="-65" w:rightChars="-31"/>
              <w:jc w:val="center"/>
              <w:rPr>
                <w:rFonts w:cs="宋体"/>
                <w:b/>
                <w:color w:val="auto"/>
                <w:highlight w:val="none"/>
              </w:rPr>
            </w:pPr>
            <w:r>
              <w:rPr>
                <w:rFonts w:hint="eastAsia" w:cs="宋体"/>
                <w:b/>
                <w:color w:val="auto"/>
                <w:highlight w:val="none"/>
              </w:rPr>
              <w:t>名称</w:t>
            </w:r>
          </w:p>
        </w:tc>
        <w:tc>
          <w:tcPr>
            <w:tcW w:w="380" w:type="pct"/>
            <w:shd w:val="clear" w:color="C3BD96" w:themeColor="background2" w:themeShade="BF" w:fill="auto"/>
            <w:vAlign w:val="center"/>
          </w:tcPr>
          <w:p w14:paraId="56B5E2B5">
            <w:pPr>
              <w:spacing w:line="360" w:lineRule="auto"/>
              <w:ind w:left="-48" w:leftChars="-23" w:right="-65" w:rightChars="-31"/>
              <w:jc w:val="center"/>
              <w:rPr>
                <w:rFonts w:cs="宋体"/>
                <w:b/>
                <w:color w:val="auto"/>
                <w:highlight w:val="none"/>
              </w:rPr>
            </w:pPr>
            <w:r>
              <w:rPr>
                <w:rFonts w:hint="eastAsia"/>
                <w:b/>
                <w:color w:val="auto"/>
                <w:highlight w:val="none"/>
              </w:rPr>
              <w:t>品牌规格型号</w:t>
            </w:r>
          </w:p>
        </w:tc>
        <w:tc>
          <w:tcPr>
            <w:tcW w:w="282" w:type="pct"/>
            <w:tcBorders>
              <w:left w:val="single" w:color="auto" w:sz="4" w:space="0"/>
            </w:tcBorders>
            <w:shd w:val="clear" w:color="C3BD96" w:themeColor="background2" w:themeShade="BF" w:fill="auto"/>
            <w:vAlign w:val="center"/>
          </w:tcPr>
          <w:p w14:paraId="68FAEDED">
            <w:pPr>
              <w:spacing w:line="360" w:lineRule="auto"/>
              <w:ind w:left="-48" w:leftChars="-23" w:right="-65" w:rightChars="-31"/>
              <w:jc w:val="center"/>
              <w:rPr>
                <w:rFonts w:cs="宋体"/>
                <w:b/>
                <w:color w:val="auto"/>
                <w:highlight w:val="none"/>
              </w:rPr>
            </w:pPr>
            <w:r>
              <w:rPr>
                <w:rFonts w:hint="eastAsia" w:cs="宋体"/>
                <w:b/>
                <w:color w:val="auto"/>
                <w:highlight w:val="none"/>
              </w:rPr>
              <w:t>单位</w:t>
            </w:r>
          </w:p>
        </w:tc>
        <w:tc>
          <w:tcPr>
            <w:tcW w:w="478" w:type="pct"/>
            <w:tcBorders>
              <w:right w:val="single" w:color="auto" w:sz="4" w:space="0"/>
            </w:tcBorders>
            <w:shd w:val="clear" w:color="C3BD96" w:themeColor="background2" w:themeShade="BF" w:fill="auto"/>
            <w:vAlign w:val="center"/>
          </w:tcPr>
          <w:p w14:paraId="4A7D5C6E">
            <w:pPr>
              <w:spacing w:line="360" w:lineRule="auto"/>
              <w:ind w:left="-48" w:leftChars="-23" w:right="-65" w:rightChars="-31"/>
              <w:jc w:val="center"/>
              <w:rPr>
                <w:rFonts w:cs="宋体"/>
                <w:b/>
                <w:color w:val="auto"/>
                <w:highlight w:val="none"/>
              </w:rPr>
            </w:pPr>
            <w:r>
              <w:rPr>
                <w:rFonts w:hint="eastAsia" w:cs="宋体"/>
                <w:b/>
                <w:color w:val="auto"/>
                <w:highlight w:val="none"/>
                <w:lang w:val="en-US" w:eastAsia="zh-CN"/>
              </w:rPr>
              <w:t>报价</w:t>
            </w:r>
            <w:r>
              <w:rPr>
                <w:rFonts w:hint="eastAsia" w:cs="宋体"/>
                <w:b/>
                <w:color w:val="auto"/>
                <w:highlight w:val="none"/>
              </w:rPr>
              <w:t>单价（</w:t>
            </w:r>
            <w:r>
              <w:rPr>
                <w:rFonts w:cs="宋体"/>
                <w:b/>
                <w:color w:val="auto"/>
                <w:highlight w:val="none"/>
              </w:rPr>
              <w:t>元）</w:t>
            </w:r>
          </w:p>
        </w:tc>
        <w:tc>
          <w:tcPr>
            <w:tcW w:w="692" w:type="pct"/>
            <w:shd w:val="clear" w:color="C3BD96" w:themeColor="background2" w:themeShade="BF" w:fill="auto"/>
            <w:vAlign w:val="center"/>
          </w:tcPr>
          <w:p w14:paraId="4810EFDE">
            <w:pPr>
              <w:spacing w:line="360" w:lineRule="auto"/>
              <w:ind w:left="-48" w:leftChars="-23" w:right="-65" w:rightChars="-31"/>
              <w:jc w:val="center"/>
              <w:rPr>
                <w:rFonts w:hint="default" w:eastAsia="宋体" w:cs="宋体"/>
                <w:b/>
                <w:color w:val="auto"/>
                <w:highlight w:val="none"/>
                <w:lang w:val="en-US" w:eastAsia="zh-CN"/>
              </w:rPr>
            </w:pPr>
            <w:r>
              <w:rPr>
                <w:rFonts w:hint="eastAsia" w:cs="宋体"/>
                <w:b/>
                <w:color w:val="auto"/>
                <w:highlight w:val="none"/>
                <w:lang w:val="en-US" w:eastAsia="zh-CN"/>
              </w:rPr>
              <w:t>成本项目</w:t>
            </w:r>
          </w:p>
          <w:p w14:paraId="5AD3EE4D">
            <w:pPr>
              <w:spacing w:line="360" w:lineRule="auto"/>
              <w:ind w:right="-65" w:rightChars="-31"/>
              <w:jc w:val="both"/>
              <w:rPr>
                <w:rFonts w:hint="default" w:cs="宋体"/>
                <w:b/>
                <w:color w:val="auto"/>
                <w:highlight w:val="none"/>
                <w:lang w:val="en-US" w:eastAsia="zh-CN"/>
              </w:rPr>
            </w:pPr>
          </w:p>
        </w:tc>
        <w:tc>
          <w:tcPr>
            <w:tcW w:w="560" w:type="pct"/>
            <w:shd w:val="clear" w:color="C3BD96" w:themeColor="background2" w:themeShade="BF" w:fill="auto"/>
            <w:vAlign w:val="center"/>
          </w:tcPr>
          <w:p w14:paraId="09333A32">
            <w:pPr>
              <w:spacing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具体明细</w:t>
            </w:r>
          </w:p>
          <w:p w14:paraId="7EF200FF">
            <w:pPr>
              <w:spacing w:line="360" w:lineRule="auto"/>
              <w:ind w:left="-48" w:leftChars="-23" w:right="-65" w:rightChars="-31"/>
              <w:jc w:val="center"/>
              <w:rPr>
                <w:rFonts w:hint="eastAsia" w:cs="宋体"/>
                <w:b/>
                <w:color w:val="auto"/>
                <w:highlight w:val="none"/>
                <w:lang w:val="en-US" w:eastAsia="zh-CN"/>
              </w:rPr>
            </w:pPr>
          </w:p>
        </w:tc>
        <w:tc>
          <w:tcPr>
            <w:tcW w:w="511" w:type="pct"/>
            <w:shd w:val="clear" w:color="C3BD96" w:themeColor="background2" w:themeShade="BF" w:fill="auto"/>
            <w:vAlign w:val="center"/>
          </w:tcPr>
          <w:p w14:paraId="68567C70">
            <w:pPr>
              <w:spacing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单位产品用量</w:t>
            </w:r>
          </w:p>
          <w:p w14:paraId="27DC558F">
            <w:pPr>
              <w:spacing w:line="360" w:lineRule="auto"/>
              <w:ind w:left="-48" w:leftChars="-23" w:right="-65" w:rightChars="-31"/>
              <w:jc w:val="center"/>
              <w:rPr>
                <w:rFonts w:hint="eastAsia" w:cs="宋体"/>
                <w:b/>
                <w:color w:val="auto"/>
                <w:highlight w:val="none"/>
                <w:lang w:val="en-US" w:eastAsia="zh-CN"/>
              </w:rPr>
            </w:pPr>
          </w:p>
        </w:tc>
        <w:tc>
          <w:tcPr>
            <w:tcW w:w="606" w:type="pct"/>
            <w:shd w:val="clear" w:color="C3BD96" w:themeColor="background2" w:themeShade="BF" w:fill="auto"/>
            <w:vAlign w:val="center"/>
          </w:tcPr>
          <w:p w14:paraId="5FE0F8B4">
            <w:pPr>
              <w:spacing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单位成本（元）</w:t>
            </w:r>
          </w:p>
        </w:tc>
        <w:tc>
          <w:tcPr>
            <w:tcW w:w="449" w:type="pct"/>
            <w:tcBorders>
              <w:left w:val="single" w:color="auto" w:sz="4" w:space="0"/>
            </w:tcBorders>
            <w:shd w:val="clear" w:color="C3BD96" w:themeColor="background2" w:themeShade="BF" w:fill="auto"/>
            <w:vAlign w:val="center"/>
          </w:tcPr>
          <w:p w14:paraId="2A09A13B">
            <w:pPr>
              <w:spacing w:line="360" w:lineRule="auto"/>
              <w:ind w:left="-48" w:leftChars="-23" w:right="-65" w:rightChars="-31"/>
              <w:jc w:val="center"/>
              <w:rPr>
                <w:rFonts w:cs="宋体"/>
                <w:b/>
                <w:color w:val="auto"/>
                <w:highlight w:val="none"/>
              </w:rPr>
            </w:pPr>
            <w:r>
              <w:rPr>
                <w:rFonts w:hint="eastAsia" w:cs="宋体"/>
                <w:b/>
                <w:color w:val="auto"/>
                <w:highlight w:val="none"/>
              </w:rPr>
              <w:t>成本</w:t>
            </w:r>
            <w:r>
              <w:rPr>
                <w:rFonts w:cs="宋体"/>
                <w:b/>
                <w:color w:val="auto"/>
                <w:highlight w:val="none"/>
              </w:rPr>
              <w:t>合计（元）</w:t>
            </w:r>
          </w:p>
        </w:tc>
        <w:tc>
          <w:tcPr>
            <w:tcW w:w="587" w:type="pct"/>
            <w:tcBorders>
              <w:left w:val="single" w:color="auto" w:sz="4" w:space="0"/>
            </w:tcBorders>
            <w:shd w:val="clear" w:color="C3BD96" w:themeColor="background2" w:themeShade="BF" w:fill="auto"/>
            <w:vAlign w:val="center"/>
          </w:tcPr>
          <w:p w14:paraId="4F7624BA">
            <w:pPr>
              <w:spacing w:line="360" w:lineRule="auto"/>
              <w:ind w:left="-48" w:leftChars="-23" w:right="-65" w:rightChars="-31"/>
              <w:jc w:val="center"/>
              <w:rPr>
                <w:rFonts w:hint="eastAsia" w:cs="宋体"/>
                <w:b/>
                <w:color w:val="auto"/>
                <w:highlight w:val="none"/>
              </w:rPr>
            </w:pPr>
            <w:r>
              <w:rPr>
                <w:rFonts w:hint="eastAsia" w:cs="宋体"/>
                <w:b/>
                <w:color w:val="auto"/>
                <w:highlight w:val="none"/>
                <w:lang w:val="en-US" w:eastAsia="zh-CN"/>
              </w:rPr>
              <w:t>备注（测算依据/证明材料）</w:t>
            </w:r>
          </w:p>
        </w:tc>
      </w:tr>
      <w:tr w14:paraId="137325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restart"/>
            <w:shd w:val="clear" w:color="auto" w:fill="auto"/>
            <w:vAlign w:val="center"/>
          </w:tcPr>
          <w:p w14:paraId="31899164">
            <w:pPr>
              <w:numPr>
                <w:ilvl w:val="0"/>
                <w:numId w:val="5"/>
              </w:numPr>
              <w:tabs>
                <w:tab w:val="left" w:pos="61"/>
              </w:tabs>
              <w:jc w:val="center"/>
              <w:rPr>
                <w:color w:val="auto"/>
                <w:highlight w:val="none"/>
              </w:rPr>
            </w:pPr>
          </w:p>
        </w:tc>
        <w:tc>
          <w:tcPr>
            <w:tcW w:w="201" w:type="pct"/>
            <w:vMerge w:val="restart"/>
            <w:shd w:val="clear" w:color="auto" w:fill="auto"/>
            <w:vAlign w:val="center"/>
          </w:tcPr>
          <w:p w14:paraId="65B757C2">
            <w:pPr>
              <w:tabs>
                <w:tab w:val="left" w:pos="0"/>
                <w:tab w:val="left" w:pos="56"/>
              </w:tabs>
              <w:ind w:left="547" w:hanging="478" w:hangingChars="228"/>
              <w:jc w:val="center"/>
              <w:rPr>
                <w:color w:val="auto"/>
                <w:highlight w:val="none"/>
              </w:rPr>
            </w:pPr>
          </w:p>
        </w:tc>
        <w:tc>
          <w:tcPr>
            <w:tcW w:w="380" w:type="pct"/>
            <w:vMerge w:val="restart"/>
            <w:shd w:val="clear" w:color="auto" w:fill="auto"/>
            <w:vAlign w:val="center"/>
          </w:tcPr>
          <w:p w14:paraId="58C050D9">
            <w:pPr>
              <w:spacing w:line="240" w:lineRule="atLeast"/>
              <w:ind w:left="-48" w:leftChars="-23" w:right="-65" w:rightChars="-31"/>
              <w:jc w:val="left"/>
              <w:rPr>
                <w:rFonts w:cs="宋体"/>
                <w:color w:val="auto"/>
                <w:szCs w:val="24"/>
                <w:highlight w:val="none"/>
              </w:rPr>
            </w:pPr>
          </w:p>
        </w:tc>
        <w:tc>
          <w:tcPr>
            <w:tcW w:w="282" w:type="pct"/>
            <w:vMerge w:val="restart"/>
            <w:tcBorders>
              <w:left w:val="single" w:color="auto" w:sz="4" w:space="0"/>
            </w:tcBorders>
            <w:shd w:val="clear" w:color="auto" w:fill="auto"/>
            <w:vAlign w:val="center"/>
          </w:tcPr>
          <w:p w14:paraId="3B157FD4">
            <w:pPr>
              <w:spacing w:line="240" w:lineRule="atLeast"/>
              <w:ind w:left="-48" w:leftChars="-23" w:right="-65" w:rightChars="-31"/>
              <w:jc w:val="left"/>
              <w:rPr>
                <w:rFonts w:cs="宋体"/>
                <w:color w:val="auto"/>
                <w:szCs w:val="24"/>
                <w:highlight w:val="none"/>
              </w:rPr>
            </w:pPr>
          </w:p>
        </w:tc>
        <w:tc>
          <w:tcPr>
            <w:tcW w:w="478" w:type="pct"/>
            <w:vMerge w:val="restart"/>
            <w:tcBorders>
              <w:left w:val="single" w:color="auto" w:sz="4" w:space="0"/>
              <w:right w:val="single" w:color="auto" w:sz="4" w:space="0"/>
            </w:tcBorders>
            <w:shd w:val="clear" w:color="auto" w:fill="auto"/>
            <w:vAlign w:val="center"/>
          </w:tcPr>
          <w:p w14:paraId="67F6C6EE">
            <w:pPr>
              <w:spacing w:line="240" w:lineRule="atLeast"/>
              <w:ind w:left="-48" w:leftChars="-23" w:right="-65" w:rightChars="-31"/>
              <w:jc w:val="left"/>
              <w:rPr>
                <w:rFonts w:cs="宋体"/>
                <w:color w:val="auto"/>
                <w:szCs w:val="24"/>
                <w:highlight w:val="none"/>
              </w:rPr>
            </w:pPr>
          </w:p>
        </w:tc>
        <w:tc>
          <w:tcPr>
            <w:tcW w:w="692" w:type="pct"/>
            <w:vMerge w:val="restart"/>
            <w:tcBorders>
              <w:left w:val="single" w:color="auto" w:sz="4" w:space="0"/>
              <w:right w:val="single" w:color="auto" w:sz="4" w:space="0"/>
            </w:tcBorders>
            <w:vAlign w:val="center"/>
          </w:tcPr>
          <w:p w14:paraId="4F6F6858">
            <w:pPr>
              <w:spacing w:line="240" w:lineRule="atLeast"/>
              <w:ind w:left="-48" w:leftChars="-23" w:right="-65" w:rightChars="-31"/>
              <w:jc w:val="left"/>
              <w:rPr>
                <w:rFonts w:cs="宋体"/>
                <w:color w:val="auto"/>
                <w:szCs w:val="24"/>
                <w:highlight w:val="none"/>
              </w:rPr>
            </w:pPr>
            <w:r>
              <w:rPr>
                <w:rFonts w:hint="eastAsia" w:cs="宋体"/>
                <w:color w:val="auto"/>
                <w:szCs w:val="24"/>
                <w:highlight w:val="none"/>
              </w:rPr>
              <w:t>原材料成本</w:t>
            </w:r>
          </w:p>
        </w:tc>
        <w:tc>
          <w:tcPr>
            <w:tcW w:w="560" w:type="pct"/>
            <w:tcBorders>
              <w:left w:val="single" w:color="auto" w:sz="4" w:space="0"/>
            </w:tcBorders>
            <w:shd w:val="clear" w:color="auto" w:fill="auto"/>
            <w:vAlign w:val="center"/>
          </w:tcPr>
          <w:p w14:paraId="33003AD0">
            <w:pPr>
              <w:spacing w:line="240" w:lineRule="atLeast"/>
              <w:ind w:left="-48" w:leftChars="-23" w:right="-65" w:rightChars="-31"/>
              <w:jc w:val="left"/>
              <w:rPr>
                <w:rFonts w:cs="宋体"/>
                <w:color w:val="auto"/>
                <w:szCs w:val="24"/>
                <w:highlight w:val="none"/>
              </w:rPr>
            </w:pPr>
            <w:r>
              <w:rPr>
                <w:rFonts w:cs="宋体"/>
                <w:color w:val="auto"/>
                <w:szCs w:val="24"/>
                <w:highlight w:val="none"/>
                <w:lang w:val="en-US" w:eastAsia="zh-CN"/>
              </w:rPr>
              <w:t>原材料1</w:t>
            </w:r>
          </w:p>
        </w:tc>
        <w:tc>
          <w:tcPr>
            <w:tcW w:w="511" w:type="pct"/>
            <w:tcBorders>
              <w:left w:val="single" w:color="auto" w:sz="4" w:space="0"/>
            </w:tcBorders>
            <w:shd w:val="clear" w:color="auto" w:fill="auto"/>
            <w:vAlign w:val="center"/>
          </w:tcPr>
          <w:p w14:paraId="2A7EE56F">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00318077">
            <w:pPr>
              <w:spacing w:line="240" w:lineRule="atLeast"/>
              <w:ind w:left="-48" w:leftChars="-23" w:right="-65" w:rightChars="-31"/>
              <w:jc w:val="left"/>
              <w:rPr>
                <w:rFonts w:cs="宋体"/>
                <w:color w:val="auto"/>
                <w:szCs w:val="24"/>
                <w:highlight w:val="none"/>
              </w:rPr>
            </w:pPr>
          </w:p>
        </w:tc>
        <w:tc>
          <w:tcPr>
            <w:tcW w:w="449" w:type="pct"/>
            <w:vMerge w:val="restart"/>
            <w:tcBorders>
              <w:left w:val="single" w:color="auto" w:sz="4" w:space="0"/>
            </w:tcBorders>
            <w:shd w:val="clear" w:color="auto" w:fill="auto"/>
            <w:vAlign w:val="center"/>
          </w:tcPr>
          <w:p w14:paraId="17873F2F">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71C7FD89">
            <w:pPr>
              <w:spacing w:line="240" w:lineRule="atLeast"/>
              <w:ind w:left="-48" w:leftChars="-23" w:right="-65" w:rightChars="-31"/>
              <w:jc w:val="left"/>
              <w:rPr>
                <w:rFonts w:cs="宋体"/>
                <w:color w:val="auto"/>
                <w:szCs w:val="24"/>
                <w:highlight w:val="none"/>
              </w:rPr>
            </w:pPr>
          </w:p>
        </w:tc>
      </w:tr>
      <w:tr w14:paraId="700507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7DA847D1">
            <w:pPr>
              <w:numPr>
                <w:ilvl w:val="0"/>
                <w:numId w:val="5"/>
              </w:numPr>
              <w:tabs>
                <w:tab w:val="left" w:pos="61"/>
              </w:tabs>
              <w:jc w:val="center"/>
              <w:rPr>
                <w:color w:val="auto"/>
                <w:highlight w:val="none"/>
              </w:rPr>
            </w:pPr>
          </w:p>
        </w:tc>
        <w:tc>
          <w:tcPr>
            <w:tcW w:w="201" w:type="pct"/>
            <w:vMerge w:val="continue"/>
            <w:shd w:val="clear" w:color="auto" w:fill="auto"/>
            <w:vAlign w:val="center"/>
          </w:tcPr>
          <w:p w14:paraId="462E3DFC">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2E160B9A">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38DF83C2">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731170B0">
            <w:pPr>
              <w:spacing w:line="240" w:lineRule="atLeast"/>
              <w:ind w:left="-48" w:leftChars="-23" w:right="-65" w:rightChars="-31"/>
              <w:jc w:val="left"/>
              <w:rPr>
                <w:rFonts w:cs="宋体"/>
                <w:color w:val="auto"/>
                <w:szCs w:val="24"/>
                <w:highlight w:val="none"/>
              </w:rPr>
            </w:pPr>
          </w:p>
        </w:tc>
        <w:tc>
          <w:tcPr>
            <w:tcW w:w="692" w:type="pct"/>
            <w:vMerge w:val="continue"/>
            <w:tcBorders>
              <w:left w:val="single" w:color="auto" w:sz="4" w:space="0"/>
              <w:right w:val="single" w:color="auto" w:sz="4" w:space="0"/>
            </w:tcBorders>
            <w:vAlign w:val="center"/>
          </w:tcPr>
          <w:p w14:paraId="1F910922">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26F1672B">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shd w:val="clear" w:color="auto" w:fill="auto"/>
            <w:vAlign w:val="center"/>
          </w:tcPr>
          <w:p w14:paraId="539CD006">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0960E9F9">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4AF14547">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580CE386">
            <w:pPr>
              <w:spacing w:line="240" w:lineRule="atLeast"/>
              <w:ind w:left="-48" w:leftChars="-23" w:right="-65" w:rightChars="-31"/>
              <w:jc w:val="left"/>
              <w:rPr>
                <w:rFonts w:cs="宋体"/>
                <w:color w:val="auto"/>
                <w:szCs w:val="24"/>
                <w:highlight w:val="none"/>
              </w:rPr>
            </w:pPr>
          </w:p>
        </w:tc>
      </w:tr>
      <w:tr w14:paraId="78B1BE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047A0B9B">
            <w:pPr>
              <w:tabs>
                <w:tab w:val="left" w:pos="61"/>
              </w:tabs>
              <w:jc w:val="center"/>
              <w:rPr>
                <w:color w:val="auto"/>
                <w:highlight w:val="none"/>
              </w:rPr>
            </w:pPr>
          </w:p>
        </w:tc>
        <w:tc>
          <w:tcPr>
            <w:tcW w:w="201" w:type="pct"/>
            <w:vMerge w:val="continue"/>
            <w:shd w:val="clear" w:color="auto" w:fill="auto"/>
            <w:vAlign w:val="center"/>
          </w:tcPr>
          <w:p w14:paraId="5EEB1F4F">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185BAC6B">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5F37CA61">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28855F02">
            <w:pPr>
              <w:spacing w:line="240" w:lineRule="atLeast"/>
              <w:ind w:left="-48" w:leftChars="-23" w:right="-65" w:rightChars="-31"/>
              <w:jc w:val="left"/>
              <w:rPr>
                <w:rFonts w:cs="宋体"/>
                <w:color w:val="auto"/>
                <w:szCs w:val="24"/>
                <w:highlight w:val="none"/>
              </w:rPr>
            </w:pPr>
          </w:p>
        </w:tc>
        <w:tc>
          <w:tcPr>
            <w:tcW w:w="692" w:type="pct"/>
            <w:vMerge w:val="restart"/>
            <w:tcBorders>
              <w:left w:val="single" w:color="auto" w:sz="4" w:space="0"/>
              <w:right w:val="single" w:color="auto" w:sz="4" w:space="0"/>
            </w:tcBorders>
            <w:vAlign w:val="center"/>
          </w:tcPr>
          <w:p w14:paraId="4FD27713">
            <w:pPr>
              <w:spacing w:line="240" w:lineRule="atLeast"/>
              <w:ind w:left="-48" w:leftChars="-23" w:right="-65" w:rightChars="-31"/>
              <w:jc w:val="left"/>
              <w:rPr>
                <w:rFonts w:cs="宋体"/>
                <w:color w:val="auto"/>
                <w:szCs w:val="24"/>
                <w:highlight w:val="none"/>
              </w:rPr>
            </w:pPr>
            <w:r>
              <w:rPr>
                <w:rFonts w:hint="eastAsia" w:cs="宋体"/>
                <w:color w:val="auto"/>
                <w:szCs w:val="24"/>
                <w:highlight w:val="none"/>
              </w:rPr>
              <w:t>人工成本</w:t>
            </w:r>
          </w:p>
        </w:tc>
        <w:tc>
          <w:tcPr>
            <w:tcW w:w="560" w:type="pct"/>
            <w:tcBorders>
              <w:left w:val="single" w:color="auto" w:sz="4" w:space="0"/>
            </w:tcBorders>
            <w:shd w:val="clear" w:color="auto" w:fill="auto"/>
            <w:vAlign w:val="center"/>
          </w:tcPr>
          <w:p w14:paraId="3880182C">
            <w:pPr>
              <w:spacing w:line="240" w:lineRule="atLeast"/>
              <w:ind w:left="-48" w:leftChars="-23" w:right="-65" w:rightChars="-31"/>
              <w:jc w:val="left"/>
              <w:rPr>
                <w:rFonts w:cs="宋体"/>
                <w:color w:val="auto"/>
                <w:szCs w:val="24"/>
                <w:highlight w:val="none"/>
              </w:rPr>
            </w:pPr>
            <w:r>
              <w:rPr>
                <w:rFonts w:cs="宋体"/>
                <w:color w:val="auto"/>
                <w:szCs w:val="24"/>
                <w:highlight w:val="none"/>
                <w:lang w:val="en-US" w:eastAsia="zh-CN"/>
              </w:rPr>
              <w:t>生产工人工资</w:t>
            </w:r>
          </w:p>
        </w:tc>
        <w:tc>
          <w:tcPr>
            <w:tcW w:w="511" w:type="pct"/>
            <w:tcBorders>
              <w:left w:val="single" w:color="auto" w:sz="4" w:space="0"/>
            </w:tcBorders>
            <w:shd w:val="clear" w:color="auto" w:fill="auto"/>
            <w:vAlign w:val="center"/>
          </w:tcPr>
          <w:p w14:paraId="3FC90750">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6A222EF7">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2CB39DE6">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55657EF1">
            <w:pPr>
              <w:spacing w:line="240" w:lineRule="atLeast"/>
              <w:ind w:left="-48" w:leftChars="-23" w:right="-65" w:rightChars="-31"/>
              <w:jc w:val="left"/>
              <w:rPr>
                <w:rFonts w:cs="宋体"/>
                <w:color w:val="auto"/>
                <w:szCs w:val="24"/>
                <w:highlight w:val="none"/>
              </w:rPr>
            </w:pPr>
          </w:p>
        </w:tc>
      </w:tr>
      <w:tr w14:paraId="3DA39A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6C5D4CED">
            <w:pPr>
              <w:tabs>
                <w:tab w:val="left" w:pos="61"/>
              </w:tabs>
              <w:jc w:val="center"/>
              <w:rPr>
                <w:color w:val="auto"/>
                <w:highlight w:val="none"/>
              </w:rPr>
            </w:pPr>
          </w:p>
        </w:tc>
        <w:tc>
          <w:tcPr>
            <w:tcW w:w="201" w:type="pct"/>
            <w:vMerge w:val="continue"/>
            <w:shd w:val="clear" w:color="auto" w:fill="auto"/>
            <w:vAlign w:val="center"/>
          </w:tcPr>
          <w:p w14:paraId="25F98AE1">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71F08945">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6A7BEF54">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6DE32178">
            <w:pPr>
              <w:spacing w:line="240" w:lineRule="atLeast"/>
              <w:ind w:left="-48" w:leftChars="-23" w:right="-65" w:rightChars="-31"/>
              <w:jc w:val="left"/>
              <w:rPr>
                <w:rFonts w:cs="宋体"/>
                <w:color w:val="auto"/>
                <w:szCs w:val="24"/>
                <w:highlight w:val="none"/>
              </w:rPr>
            </w:pPr>
          </w:p>
        </w:tc>
        <w:tc>
          <w:tcPr>
            <w:tcW w:w="692" w:type="pct"/>
            <w:vMerge w:val="continue"/>
            <w:tcBorders>
              <w:left w:val="single" w:color="auto" w:sz="4" w:space="0"/>
              <w:right w:val="single" w:color="auto" w:sz="4" w:space="0"/>
            </w:tcBorders>
            <w:vAlign w:val="center"/>
          </w:tcPr>
          <w:p w14:paraId="74A0A741">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7C7461BE">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shd w:val="clear" w:color="auto" w:fill="auto"/>
            <w:vAlign w:val="center"/>
          </w:tcPr>
          <w:p w14:paraId="22BA3532">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7735E1B2">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261E1BF4">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421563FB">
            <w:pPr>
              <w:spacing w:line="240" w:lineRule="atLeast"/>
              <w:ind w:left="-48" w:leftChars="-23" w:right="-65" w:rightChars="-31"/>
              <w:jc w:val="left"/>
              <w:rPr>
                <w:rFonts w:cs="宋体"/>
                <w:color w:val="auto"/>
                <w:szCs w:val="24"/>
                <w:highlight w:val="none"/>
              </w:rPr>
            </w:pPr>
          </w:p>
        </w:tc>
      </w:tr>
      <w:tr w14:paraId="25FAD3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605F5DD7">
            <w:pPr>
              <w:tabs>
                <w:tab w:val="left" w:pos="61"/>
              </w:tabs>
              <w:jc w:val="center"/>
              <w:rPr>
                <w:color w:val="auto"/>
                <w:highlight w:val="none"/>
              </w:rPr>
            </w:pPr>
          </w:p>
        </w:tc>
        <w:tc>
          <w:tcPr>
            <w:tcW w:w="201" w:type="pct"/>
            <w:vMerge w:val="continue"/>
            <w:shd w:val="clear" w:color="auto" w:fill="auto"/>
            <w:vAlign w:val="center"/>
          </w:tcPr>
          <w:p w14:paraId="49146DB7">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23B4217D">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5F08DA06">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75B959EE">
            <w:pPr>
              <w:spacing w:line="240" w:lineRule="atLeast"/>
              <w:ind w:left="-48" w:leftChars="-23" w:right="-65" w:rightChars="-31"/>
              <w:jc w:val="left"/>
              <w:rPr>
                <w:rFonts w:cs="宋体"/>
                <w:color w:val="auto"/>
                <w:szCs w:val="24"/>
                <w:highlight w:val="none"/>
              </w:rPr>
            </w:pPr>
          </w:p>
        </w:tc>
        <w:tc>
          <w:tcPr>
            <w:tcW w:w="692" w:type="pct"/>
            <w:vMerge w:val="restart"/>
            <w:tcBorders>
              <w:left w:val="single" w:color="auto" w:sz="4" w:space="0"/>
              <w:right w:val="single" w:color="auto" w:sz="4" w:space="0"/>
            </w:tcBorders>
            <w:vAlign w:val="center"/>
          </w:tcPr>
          <w:p w14:paraId="6C2F56BC">
            <w:pPr>
              <w:spacing w:line="240" w:lineRule="atLeast"/>
              <w:ind w:left="-48" w:leftChars="-23" w:right="-65" w:rightChars="-31"/>
              <w:jc w:val="left"/>
              <w:rPr>
                <w:rFonts w:hint="eastAsia" w:cs="宋体"/>
                <w:color w:val="auto"/>
                <w:szCs w:val="24"/>
                <w:highlight w:val="none"/>
              </w:rPr>
            </w:pPr>
            <w:r>
              <w:rPr>
                <w:rFonts w:hint="eastAsia" w:cs="宋体"/>
                <w:color w:val="auto"/>
                <w:szCs w:val="24"/>
                <w:highlight w:val="none"/>
              </w:rPr>
              <w:t>制造费用</w:t>
            </w:r>
          </w:p>
        </w:tc>
        <w:tc>
          <w:tcPr>
            <w:tcW w:w="560" w:type="pct"/>
            <w:tcBorders>
              <w:left w:val="single" w:color="auto" w:sz="4" w:space="0"/>
            </w:tcBorders>
            <w:shd w:val="clear" w:color="auto" w:fill="auto"/>
            <w:vAlign w:val="center"/>
          </w:tcPr>
          <w:p w14:paraId="615956BA">
            <w:pPr>
              <w:spacing w:line="240" w:lineRule="atLeast"/>
              <w:ind w:left="-48" w:leftChars="-23" w:right="-65" w:rightChars="-31"/>
              <w:jc w:val="left"/>
              <w:rPr>
                <w:rFonts w:cs="宋体"/>
                <w:color w:val="auto"/>
                <w:szCs w:val="24"/>
                <w:highlight w:val="none"/>
              </w:rPr>
            </w:pPr>
            <w:r>
              <w:rPr>
                <w:rFonts w:cs="宋体"/>
                <w:color w:val="auto"/>
                <w:szCs w:val="24"/>
                <w:highlight w:val="none"/>
                <w:lang w:val="en-US" w:eastAsia="zh-CN"/>
              </w:rPr>
              <w:t>设备折旧费</w:t>
            </w:r>
          </w:p>
        </w:tc>
        <w:tc>
          <w:tcPr>
            <w:tcW w:w="511" w:type="pct"/>
            <w:tcBorders>
              <w:left w:val="single" w:color="auto" w:sz="4" w:space="0"/>
            </w:tcBorders>
            <w:shd w:val="clear" w:color="auto" w:fill="auto"/>
            <w:vAlign w:val="center"/>
          </w:tcPr>
          <w:p w14:paraId="03C89923">
            <w:pPr>
              <w:spacing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shd w:val="clear" w:color="auto" w:fill="auto"/>
            <w:vAlign w:val="center"/>
          </w:tcPr>
          <w:p w14:paraId="38F9C2E1">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2D67D214">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412E883A">
            <w:pPr>
              <w:spacing w:line="240" w:lineRule="atLeast"/>
              <w:ind w:left="-48" w:leftChars="-23" w:right="-65" w:rightChars="-31"/>
              <w:jc w:val="left"/>
              <w:rPr>
                <w:rFonts w:cs="宋体"/>
                <w:color w:val="auto"/>
                <w:szCs w:val="24"/>
                <w:highlight w:val="none"/>
              </w:rPr>
            </w:pPr>
          </w:p>
        </w:tc>
      </w:tr>
      <w:tr w14:paraId="67AFEB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078DF2BD">
            <w:pPr>
              <w:tabs>
                <w:tab w:val="left" w:pos="61"/>
              </w:tabs>
              <w:jc w:val="center"/>
              <w:rPr>
                <w:color w:val="auto"/>
                <w:highlight w:val="none"/>
              </w:rPr>
            </w:pPr>
          </w:p>
        </w:tc>
        <w:tc>
          <w:tcPr>
            <w:tcW w:w="201" w:type="pct"/>
            <w:vMerge w:val="continue"/>
            <w:shd w:val="clear" w:color="auto" w:fill="auto"/>
            <w:vAlign w:val="center"/>
          </w:tcPr>
          <w:p w14:paraId="1D439CE3">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71BFE9FA">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56D75B0E">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2FB42261">
            <w:pPr>
              <w:spacing w:line="240" w:lineRule="atLeast"/>
              <w:ind w:left="-48" w:leftChars="-23" w:right="-65" w:rightChars="-31"/>
              <w:jc w:val="left"/>
              <w:rPr>
                <w:rFonts w:cs="宋体"/>
                <w:color w:val="auto"/>
                <w:szCs w:val="24"/>
                <w:highlight w:val="none"/>
              </w:rPr>
            </w:pPr>
          </w:p>
        </w:tc>
        <w:tc>
          <w:tcPr>
            <w:tcW w:w="692" w:type="pct"/>
            <w:vMerge w:val="continue"/>
            <w:tcBorders>
              <w:left w:val="single" w:color="auto" w:sz="4" w:space="0"/>
              <w:right w:val="single" w:color="auto" w:sz="4" w:space="0"/>
            </w:tcBorders>
            <w:vAlign w:val="center"/>
          </w:tcPr>
          <w:p w14:paraId="236288DA">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53B24EE4">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shd w:val="clear" w:color="auto" w:fill="auto"/>
            <w:vAlign w:val="center"/>
          </w:tcPr>
          <w:p w14:paraId="2C7EE97E">
            <w:pPr>
              <w:spacing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shd w:val="clear" w:color="auto" w:fill="auto"/>
            <w:vAlign w:val="center"/>
          </w:tcPr>
          <w:p w14:paraId="7D55CCBC">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4A3183CF">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689037C1">
            <w:pPr>
              <w:spacing w:line="240" w:lineRule="atLeast"/>
              <w:ind w:left="-48" w:leftChars="-23" w:right="-65" w:rightChars="-31"/>
              <w:jc w:val="left"/>
              <w:rPr>
                <w:rFonts w:cs="宋体"/>
                <w:color w:val="auto"/>
                <w:szCs w:val="24"/>
                <w:highlight w:val="none"/>
              </w:rPr>
            </w:pPr>
          </w:p>
        </w:tc>
      </w:tr>
      <w:tr w14:paraId="291B38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5818CE3A">
            <w:pPr>
              <w:tabs>
                <w:tab w:val="left" w:pos="61"/>
              </w:tabs>
              <w:jc w:val="center"/>
              <w:rPr>
                <w:color w:val="auto"/>
                <w:highlight w:val="none"/>
              </w:rPr>
            </w:pPr>
          </w:p>
        </w:tc>
        <w:tc>
          <w:tcPr>
            <w:tcW w:w="201" w:type="pct"/>
            <w:vMerge w:val="continue"/>
            <w:shd w:val="clear" w:color="auto" w:fill="auto"/>
            <w:vAlign w:val="center"/>
          </w:tcPr>
          <w:p w14:paraId="5530FE59">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68A909D4">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3B997D96">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0915F4C3">
            <w:pPr>
              <w:spacing w:line="240" w:lineRule="atLeast"/>
              <w:ind w:left="-48" w:leftChars="-23" w:right="-65" w:rightChars="-31"/>
              <w:jc w:val="left"/>
              <w:rPr>
                <w:rFonts w:cs="宋体"/>
                <w:color w:val="auto"/>
                <w:szCs w:val="24"/>
                <w:highlight w:val="none"/>
              </w:rPr>
            </w:pPr>
          </w:p>
        </w:tc>
        <w:tc>
          <w:tcPr>
            <w:tcW w:w="692" w:type="pct"/>
            <w:tcBorders>
              <w:left w:val="single" w:color="auto" w:sz="4" w:space="0"/>
              <w:right w:val="single" w:color="auto" w:sz="4" w:space="0"/>
            </w:tcBorders>
            <w:vAlign w:val="center"/>
          </w:tcPr>
          <w:p w14:paraId="55B3EF5C">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其他成本</w:t>
            </w:r>
          </w:p>
        </w:tc>
        <w:tc>
          <w:tcPr>
            <w:tcW w:w="560" w:type="pct"/>
            <w:tcBorders>
              <w:left w:val="single" w:color="auto" w:sz="4" w:space="0"/>
            </w:tcBorders>
            <w:shd w:val="clear" w:color="auto" w:fill="auto"/>
            <w:vAlign w:val="center"/>
          </w:tcPr>
          <w:p w14:paraId="28AD62CC">
            <w:pPr>
              <w:spacing w:line="240" w:lineRule="atLeast"/>
              <w:ind w:left="-48" w:leftChars="-23" w:right="-65" w:rightChars="-31"/>
              <w:jc w:val="left"/>
              <w:rPr>
                <w:rFonts w:hint="eastAsia" w:eastAsia="宋体" w:cs="宋体"/>
                <w:color w:val="auto"/>
                <w:szCs w:val="24"/>
                <w:highlight w:val="none"/>
                <w:lang w:val="en-US" w:eastAsia="zh-CN"/>
              </w:rPr>
            </w:pPr>
          </w:p>
        </w:tc>
        <w:tc>
          <w:tcPr>
            <w:tcW w:w="511" w:type="pct"/>
            <w:tcBorders>
              <w:left w:val="single" w:color="auto" w:sz="4" w:space="0"/>
            </w:tcBorders>
            <w:shd w:val="clear" w:color="auto" w:fill="auto"/>
            <w:vAlign w:val="center"/>
          </w:tcPr>
          <w:p w14:paraId="480F1EE7">
            <w:pPr>
              <w:spacing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shd w:val="clear" w:color="auto" w:fill="auto"/>
            <w:vAlign w:val="center"/>
          </w:tcPr>
          <w:p w14:paraId="1DFF4C39">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593452B9">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1EA1D96E">
            <w:pPr>
              <w:spacing w:line="240" w:lineRule="atLeast"/>
              <w:ind w:left="-48" w:leftChars="-23" w:right="-65" w:rightChars="-31"/>
              <w:jc w:val="left"/>
              <w:rPr>
                <w:rFonts w:cs="宋体"/>
                <w:color w:val="auto"/>
                <w:szCs w:val="24"/>
                <w:highlight w:val="none"/>
              </w:rPr>
            </w:pPr>
          </w:p>
        </w:tc>
      </w:tr>
      <w:tr w14:paraId="3AF8D6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shd w:val="clear" w:color="auto" w:fill="auto"/>
            <w:vAlign w:val="center"/>
          </w:tcPr>
          <w:p w14:paraId="14707BF8">
            <w:pPr>
              <w:tabs>
                <w:tab w:val="left" w:pos="61"/>
              </w:tabs>
              <w:jc w:val="center"/>
              <w:rPr>
                <w:rFonts w:hint="eastAsia" w:eastAsia="宋体"/>
                <w:color w:val="auto"/>
                <w:highlight w:val="none"/>
                <w:lang w:val="en-US" w:eastAsia="zh-CN"/>
              </w:rPr>
            </w:pPr>
            <w:r>
              <w:rPr>
                <w:rFonts w:hint="eastAsia"/>
                <w:color w:val="auto"/>
                <w:highlight w:val="none"/>
                <w:lang w:val="en-US" w:eastAsia="zh-CN"/>
              </w:rPr>
              <w:t>2</w:t>
            </w:r>
          </w:p>
        </w:tc>
        <w:tc>
          <w:tcPr>
            <w:tcW w:w="201" w:type="pct"/>
            <w:shd w:val="clear" w:color="auto" w:fill="auto"/>
            <w:vAlign w:val="center"/>
          </w:tcPr>
          <w:p w14:paraId="2637B63F">
            <w:pPr>
              <w:tabs>
                <w:tab w:val="left" w:pos="0"/>
                <w:tab w:val="left" w:pos="56"/>
              </w:tabs>
              <w:ind w:left="547" w:hanging="478" w:hangingChars="228"/>
              <w:jc w:val="center"/>
              <w:rPr>
                <w:color w:val="auto"/>
                <w:highlight w:val="none"/>
              </w:rPr>
            </w:pPr>
          </w:p>
        </w:tc>
        <w:tc>
          <w:tcPr>
            <w:tcW w:w="380" w:type="pct"/>
            <w:shd w:val="clear" w:color="auto" w:fill="auto"/>
            <w:vAlign w:val="center"/>
          </w:tcPr>
          <w:p w14:paraId="2118CF07">
            <w:pPr>
              <w:spacing w:line="240" w:lineRule="atLeast"/>
              <w:ind w:left="-48" w:leftChars="-23" w:right="-65" w:rightChars="-31"/>
              <w:jc w:val="left"/>
              <w:rPr>
                <w:rFonts w:cs="宋体"/>
                <w:color w:val="auto"/>
                <w:szCs w:val="24"/>
                <w:highlight w:val="none"/>
              </w:rPr>
            </w:pPr>
          </w:p>
        </w:tc>
        <w:tc>
          <w:tcPr>
            <w:tcW w:w="282" w:type="pct"/>
            <w:tcBorders>
              <w:left w:val="single" w:color="auto" w:sz="4" w:space="0"/>
            </w:tcBorders>
            <w:shd w:val="clear" w:color="auto" w:fill="auto"/>
            <w:vAlign w:val="center"/>
          </w:tcPr>
          <w:p w14:paraId="1F00C114">
            <w:pPr>
              <w:spacing w:line="240" w:lineRule="atLeast"/>
              <w:ind w:left="-48" w:leftChars="-23" w:right="-65" w:rightChars="-31"/>
              <w:jc w:val="left"/>
              <w:rPr>
                <w:rFonts w:cs="宋体"/>
                <w:color w:val="auto"/>
                <w:szCs w:val="24"/>
                <w:highlight w:val="none"/>
              </w:rPr>
            </w:pPr>
          </w:p>
        </w:tc>
        <w:tc>
          <w:tcPr>
            <w:tcW w:w="478" w:type="pct"/>
            <w:tcBorders>
              <w:left w:val="single" w:color="auto" w:sz="4" w:space="0"/>
              <w:right w:val="single" w:color="auto" w:sz="4" w:space="0"/>
            </w:tcBorders>
            <w:shd w:val="clear" w:color="auto" w:fill="auto"/>
            <w:vAlign w:val="center"/>
          </w:tcPr>
          <w:p w14:paraId="39DA2191">
            <w:pPr>
              <w:spacing w:line="240" w:lineRule="atLeast"/>
              <w:ind w:left="-48" w:leftChars="-23" w:right="-65" w:rightChars="-31"/>
              <w:jc w:val="left"/>
              <w:rPr>
                <w:rFonts w:cs="宋体"/>
                <w:color w:val="auto"/>
                <w:szCs w:val="24"/>
                <w:highlight w:val="none"/>
              </w:rPr>
            </w:pPr>
          </w:p>
        </w:tc>
        <w:tc>
          <w:tcPr>
            <w:tcW w:w="692" w:type="pct"/>
            <w:tcBorders>
              <w:left w:val="single" w:color="auto" w:sz="4" w:space="0"/>
              <w:right w:val="single" w:color="auto" w:sz="4" w:space="0"/>
            </w:tcBorders>
          </w:tcPr>
          <w:p w14:paraId="65D21A97">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488B511B">
            <w:pPr>
              <w:spacing w:line="240" w:lineRule="atLeast"/>
              <w:ind w:left="-48" w:leftChars="-23" w:right="-65" w:rightChars="-31"/>
              <w:jc w:val="left"/>
              <w:rPr>
                <w:rFonts w:cs="宋体"/>
                <w:color w:val="auto"/>
                <w:szCs w:val="24"/>
                <w:highlight w:val="none"/>
              </w:rPr>
            </w:pPr>
          </w:p>
        </w:tc>
        <w:tc>
          <w:tcPr>
            <w:tcW w:w="511" w:type="pct"/>
            <w:tcBorders>
              <w:left w:val="single" w:color="auto" w:sz="4" w:space="0"/>
            </w:tcBorders>
            <w:shd w:val="clear" w:color="auto" w:fill="auto"/>
            <w:vAlign w:val="center"/>
          </w:tcPr>
          <w:p w14:paraId="630599EE">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2392663E">
            <w:pPr>
              <w:spacing w:line="240" w:lineRule="atLeast"/>
              <w:ind w:left="-48" w:leftChars="-23" w:right="-65" w:rightChars="-31"/>
              <w:jc w:val="left"/>
              <w:rPr>
                <w:rFonts w:cs="宋体"/>
                <w:color w:val="auto"/>
                <w:szCs w:val="24"/>
                <w:highlight w:val="none"/>
              </w:rPr>
            </w:pPr>
          </w:p>
        </w:tc>
        <w:tc>
          <w:tcPr>
            <w:tcW w:w="449" w:type="pct"/>
            <w:tcBorders>
              <w:left w:val="single" w:color="auto" w:sz="4" w:space="0"/>
            </w:tcBorders>
            <w:shd w:val="clear" w:color="auto" w:fill="auto"/>
            <w:vAlign w:val="center"/>
          </w:tcPr>
          <w:p w14:paraId="729BB8DB">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24ACDC09">
            <w:pPr>
              <w:spacing w:line="240" w:lineRule="atLeast"/>
              <w:ind w:left="-48" w:leftChars="-23" w:right="-65" w:rightChars="-31"/>
              <w:jc w:val="left"/>
              <w:rPr>
                <w:rFonts w:cs="宋体"/>
                <w:color w:val="auto"/>
                <w:szCs w:val="24"/>
                <w:highlight w:val="none"/>
              </w:rPr>
            </w:pPr>
          </w:p>
        </w:tc>
      </w:tr>
      <w:tr w14:paraId="645FD7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4" w:hRule="atLeast"/>
          <w:jc w:val="center"/>
        </w:trPr>
        <w:tc>
          <w:tcPr>
            <w:tcW w:w="245" w:type="pct"/>
            <w:tcBorders>
              <w:bottom w:val="single" w:color="auto" w:sz="4" w:space="0"/>
            </w:tcBorders>
            <w:shd w:val="clear" w:color="auto" w:fill="auto"/>
            <w:vAlign w:val="center"/>
          </w:tcPr>
          <w:p w14:paraId="563A9DFF">
            <w:pPr>
              <w:tabs>
                <w:tab w:val="left" w:pos="82"/>
              </w:tabs>
              <w:jc w:val="center"/>
              <w:rPr>
                <w:color w:val="auto"/>
                <w:highlight w:val="none"/>
              </w:rPr>
            </w:pPr>
            <w:r>
              <w:rPr>
                <w:rFonts w:hint="eastAsia"/>
                <w:color w:val="auto"/>
                <w:highlight w:val="none"/>
              </w:rPr>
              <w:t>…</w:t>
            </w:r>
          </w:p>
        </w:tc>
        <w:tc>
          <w:tcPr>
            <w:tcW w:w="201" w:type="pct"/>
            <w:tcBorders>
              <w:bottom w:val="single" w:color="auto" w:sz="4" w:space="0"/>
            </w:tcBorders>
            <w:shd w:val="clear" w:color="auto" w:fill="auto"/>
            <w:vAlign w:val="center"/>
          </w:tcPr>
          <w:p w14:paraId="5E924863">
            <w:pPr>
              <w:spacing w:line="240" w:lineRule="atLeast"/>
              <w:ind w:left="-48" w:leftChars="-23" w:right="-65" w:rightChars="-31"/>
              <w:jc w:val="left"/>
              <w:rPr>
                <w:rFonts w:cs="宋体"/>
                <w:color w:val="auto"/>
                <w:szCs w:val="24"/>
                <w:highlight w:val="none"/>
              </w:rPr>
            </w:pPr>
          </w:p>
        </w:tc>
        <w:tc>
          <w:tcPr>
            <w:tcW w:w="380" w:type="pct"/>
            <w:tcBorders>
              <w:bottom w:val="single" w:color="auto" w:sz="4" w:space="0"/>
            </w:tcBorders>
            <w:shd w:val="clear" w:color="auto" w:fill="auto"/>
            <w:vAlign w:val="center"/>
          </w:tcPr>
          <w:p w14:paraId="7F8C583D">
            <w:pPr>
              <w:spacing w:line="240" w:lineRule="atLeast"/>
              <w:ind w:left="-48" w:leftChars="-23" w:right="-65" w:rightChars="-31"/>
              <w:jc w:val="left"/>
              <w:rPr>
                <w:rFonts w:cs="宋体"/>
                <w:color w:val="auto"/>
                <w:szCs w:val="24"/>
                <w:highlight w:val="none"/>
              </w:rPr>
            </w:pPr>
          </w:p>
        </w:tc>
        <w:tc>
          <w:tcPr>
            <w:tcW w:w="282" w:type="pct"/>
            <w:tcBorders>
              <w:left w:val="single" w:color="auto" w:sz="4" w:space="0"/>
              <w:bottom w:val="single" w:color="auto" w:sz="4" w:space="0"/>
            </w:tcBorders>
            <w:shd w:val="clear" w:color="auto" w:fill="auto"/>
            <w:vAlign w:val="center"/>
          </w:tcPr>
          <w:p w14:paraId="4319768C">
            <w:pPr>
              <w:spacing w:line="240" w:lineRule="atLeast"/>
              <w:ind w:left="-48" w:leftChars="-23" w:right="-65" w:rightChars="-31"/>
              <w:jc w:val="left"/>
              <w:rPr>
                <w:rFonts w:cs="宋体"/>
                <w:color w:val="auto"/>
                <w:szCs w:val="24"/>
                <w:highlight w:val="none"/>
              </w:rPr>
            </w:pPr>
          </w:p>
        </w:tc>
        <w:tc>
          <w:tcPr>
            <w:tcW w:w="478" w:type="pct"/>
            <w:tcBorders>
              <w:left w:val="single" w:color="auto" w:sz="4" w:space="0"/>
              <w:bottom w:val="single" w:color="auto" w:sz="4" w:space="0"/>
              <w:right w:val="single" w:color="auto" w:sz="4" w:space="0"/>
            </w:tcBorders>
            <w:shd w:val="clear" w:color="auto" w:fill="auto"/>
            <w:vAlign w:val="center"/>
          </w:tcPr>
          <w:p w14:paraId="33135464">
            <w:pPr>
              <w:spacing w:line="240" w:lineRule="atLeast"/>
              <w:ind w:left="-48" w:leftChars="-23" w:right="-65" w:rightChars="-31"/>
              <w:jc w:val="left"/>
              <w:rPr>
                <w:rFonts w:cs="宋体"/>
                <w:color w:val="auto"/>
                <w:szCs w:val="24"/>
                <w:highlight w:val="none"/>
              </w:rPr>
            </w:pPr>
          </w:p>
        </w:tc>
        <w:tc>
          <w:tcPr>
            <w:tcW w:w="692" w:type="pct"/>
            <w:tcBorders>
              <w:left w:val="single" w:color="auto" w:sz="4" w:space="0"/>
              <w:bottom w:val="single" w:color="auto" w:sz="4" w:space="0"/>
              <w:right w:val="single" w:color="auto" w:sz="4" w:space="0"/>
            </w:tcBorders>
          </w:tcPr>
          <w:p w14:paraId="57E57687">
            <w:pPr>
              <w:spacing w:line="240" w:lineRule="atLeast"/>
              <w:ind w:left="-48" w:leftChars="-23" w:right="-65" w:rightChars="-31"/>
              <w:jc w:val="left"/>
              <w:rPr>
                <w:rFonts w:cs="宋体"/>
                <w:color w:val="auto"/>
                <w:szCs w:val="24"/>
                <w:highlight w:val="none"/>
              </w:rPr>
            </w:pPr>
          </w:p>
        </w:tc>
        <w:tc>
          <w:tcPr>
            <w:tcW w:w="560" w:type="pct"/>
            <w:tcBorders>
              <w:left w:val="single" w:color="auto" w:sz="4" w:space="0"/>
              <w:bottom w:val="single" w:color="auto" w:sz="4" w:space="0"/>
            </w:tcBorders>
            <w:shd w:val="clear" w:color="auto" w:fill="auto"/>
            <w:vAlign w:val="center"/>
          </w:tcPr>
          <w:p w14:paraId="1B29C270">
            <w:pPr>
              <w:spacing w:line="240" w:lineRule="atLeast"/>
              <w:ind w:left="-48" w:leftChars="-23" w:right="-65" w:rightChars="-31"/>
              <w:jc w:val="left"/>
              <w:rPr>
                <w:rFonts w:cs="宋体"/>
                <w:color w:val="auto"/>
                <w:szCs w:val="24"/>
                <w:highlight w:val="none"/>
              </w:rPr>
            </w:pPr>
          </w:p>
        </w:tc>
        <w:tc>
          <w:tcPr>
            <w:tcW w:w="511" w:type="pct"/>
            <w:tcBorders>
              <w:left w:val="single" w:color="auto" w:sz="4" w:space="0"/>
              <w:bottom w:val="single" w:color="auto" w:sz="4" w:space="0"/>
            </w:tcBorders>
            <w:shd w:val="clear" w:color="auto" w:fill="auto"/>
            <w:vAlign w:val="center"/>
          </w:tcPr>
          <w:p w14:paraId="4EC1DCA5">
            <w:pPr>
              <w:spacing w:line="240" w:lineRule="atLeast"/>
              <w:ind w:left="-48" w:leftChars="-23" w:right="-65" w:rightChars="-31"/>
              <w:jc w:val="left"/>
              <w:rPr>
                <w:rFonts w:cs="宋体"/>
                <w:color w:val="auto"/>
                <w:szCs w:val="24"/>
                <w:highlight w:val="none"/>
              </w:rPr>
            </w:pPr>
          </w:p>
          <w:p w14:paraId="56BF2198">
            <w:pPr>
              <w:rPr>
                <w:color w:val="auto"/>
                <w:highlight w:val="none"/>
              </w:rPr>
            </w:pPr>
          </w:p>
        </w:tc>
        <w:tc>
          <w:tcPr>
            <w:tcW w:w="606" w:type="pct"/>
            <w:tcBorders>
              <w:left w:val="single" w:color="auto" w:sz="4" w:space="0"/>
              <w:bottom w:val="single" w:color="auto" w:sz="4" w:space="0"/>
            </w:tcBorders>
            <w:shd w:val="clear" w:color="auto" w:fill="auto"/>
            <w:vAlign w:val="center"/>
          </w:tcPr>
          <w:p w14:paraId="6DA7B2EB">
            <w:pPr>
              <w:rPr>
                <w:color w:val="auto"/>
                <w:highlight w:val="none"/>
              </w:rPr>
            </w:pPr>
          </w:p>
        </w:tc>
        <w:tc>
          <w:tcPr>
            <w:tcW w:w="449" w:type="pct"/>
            <w:tcBorders>
              <w:left w:val="single" w:color="auto" w:sz="4" w:space="0"/>
              <w:bottom w:val="single" w:color="auto" w:sz="4" w:space="0"/>
            </w:tcBorders>
            <w:shd w:val="clear" w:color="auto" w:fill="auto"/>
            <w:vAlign w:val="center"/>
          </w:tcPr>
          <w:p w14:paraId="0D352044">
            <w:pPr>
              <w:spacing w:line="240" w:lineRule="atLeast"/>
              <w:ind w:left="-48" w:leftChars="-23" w:right="-65" w:rightChars="-31"/>
              <w:jc w:val="left"/>
              <w:rPr>
                <w:rFonts w:cs="宋体"/>
                <w:color w:val="auto"/>
                <w:szCs w:val="24"/>
                <w:highlight w:val="none"/>
              </w:rPr>
            </w:pPr>
          </w:p>
        </w:tc>
        <w:tc>
          <w:tcPr>
            <w:tcW w:w="587" w:type="pct"/>
            <w:tcBorders>
              <w:left w:val="single" w:color="auto" w:sz="4" w:space="0"/>
              <w:bottom w:val="single" w:color="auto" w:sz="4" w:space="0"/>
            </w:tcBorders>
            <w:shd w:val="clear" w:color="auto" w:fill="auto"/>
            <w:vAlign w:val="center"/>
          </w:tcPr>
          <w:p w14:paraId="2EBEC3BF">
            <w:pPr>
              <w:spacing w:line="240" w:lineRule="atLeast"/>
              <w:ind w:left="-48" w:leftChars="-23" w:right="-65" w:rightChars="-31"/>
              <w:jc w:val="left"/>
              <w:rPr>
                <w:rFonts w:cs="宋体"/>
                <w:color w:val="auto"/>
                <w:szCs w:val="24"/>
                <w:highlight w:val="none"/>
              </w:rPr>
            </w:pPr>
          </w:p>
        </w:tc>
      </w:tr>
    </w:tbl>
    <w:p w14:paraId="474E7602">
      <w:pPr>
        <w:spacing w:line="360" w:lineRule="auto"/>
        <w:jc w:val="left"/>
        <w:rPr>
          <w:color w:val="auto"/>
          <w:szCs w:val="21"/>
          <w:highlight w:val="none"/>
        </w:rPr>
      </w:pPr>
    </w:p>
    <w:p w14:paraId="752808A1">
      <w:pPr>
        <w:spacing w:line="360" w:lineRule="auto"/>
        <w:jc w:val="left"/>
        <w:rPr>
          <w:color w:val="auto"/>
          <w:szCs w:val="21"/>
          <w:highlight w:val="none"/>
        </w:rPr>
      </w:pPr>
      <w:r>
        <w:rPr>
          <w:rFonts w:hint="eastAsia"/>
          <w:color w:val="auto"/>
          <w:szCs w:val="21"/>
          <w:highlight w:val="none"/>
          <w:lang w:val="en-US" w:eastAsia="zh-CN"/>
        </w:rPr>
        <w:t>说明：项目具体成本测算等与报价合理性相关的书面说明及必要的证明材料，包括但不限于原材料成本、人工成本、制造费用等</w:t>
      </w:r>
    </w:p>
    <w:p w14:paraId="598510DD">
      <w:pPr>
        <w:spacing w:line="360" w:lineRule="auto"/>
        <w:ind w:firstLine="6090" w:firstLineChars="2900"/>
        <w:jc w:val="left"/>
        <w:rPr>
          <w:color w:val="auto"/>
          <w:szCs w:val="21"/>
          <w:highlight w:val="none"/>
        </w:rPr>
      </w:pPr>
      <w:r>
        <w:rPr>
          <w:rFonts w:hint="eastAsia"/>
          <w:color w:val="auto"/>
          <w:szCs w:val="21"/>
          <w:highlight w:val="none"/>
          <w:lang w:eastAsia="zh-CN"/>
        </w:rPr>
        <w:t>投标人</w:t>
      </w:r>
      <w:r>
        <w:rPr>
          <w:color w:val="auto"/>
          <w:szCs w:val="21"/>
          <w:highlight w:val="none"/>
        </w:rPr>
        <w:t>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2CB469F6">
      <w:pPr>
        <w:spacing w:line="360" w:lineRule="auto"/>
        <w:ind w:firstLine="6090" w:firstLineChars="2900"/>
        <w:jc w:val="left"/>
        <w:rPr>
          <w:color w:val="auto"/>
          <w:szCs w:val="21"/>
          <w:highlight w:val="none"/>
        </w:rPr>
        <w:sectPr>
          <w:pgSz w:w="11906" w:h="16838"/>
          <w:pgMar w:top="1418" w:right="1133" w:bottom="1246" w:left="1418" w:header="851" w:footer="992" w:gutter="0"/>
          <w:pgBorders>
            <w:top w:val="none" w:sz="0" w:space="0"/>
            <w:left w:val="none" w:sz="0" w:space="0"/>
            <w:bottom w:val="none" w:sz="0" w:space="0"/>
            <w:right w:val="none" w:sz="0" w:space="0"/>
          </w:pgBorders>
          <w:pgNumType w:fmt="decimal"/>
          <w:cols w:space="720" w:num="1"/>
          <w:docGrid w:linePitch="312" w:charSpace="0"/>
        </w:sectPr>
      </w:pPr>
      <w:r>
        <w:rPr>
          <w:color w:val="auto"/>
          <w:szCs w:val="21"/>
          <w:highlight w:val="none"/>
        </w:rPr>
        <w:t>日  期</w:t>
      </w:r>
      <w:r>
        <w:rPr>
          <w:rFonts w:hint="eastAsia" w:eastAsia="宋体"/>
          <w:color w:val="auto"/>
          <w:szCs w:val="21"/>
          <w:highlight w:val="none"/>
          <w:lang w:eastAsia="zh-CN"/>
        </w:rPr>
        <w:t>：</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bookmarkEnd w:id="212"/>
    <w:p w14:paraId="70D8819B">
      <w:pPr>
        <w:widowControl/>
        <w:jc w:val="left"/>
        <w:rPr>
          <w:color w:val="auto"/>
          <w:szCs w:val="21"/>
          <w:highlight w:val="none"/>
        </w:rPr>
      </w:pPr>
      <w:bookmarkStart w:id="214" w:name="_Hlk88990880"/>
    </w:p>
    <w:p w14:paraId="0A21D426">
      <w:pPr>
        <w:widowControl/>
        <w:jc w:val="left"/>
        <w:outlineLvl w:val="1"/>
        <w:rPr>
          <w:color w:val="auto"/>
          <w:szCs w:val="21"/>
          <w:highlight w:val="none"/>
        </w:rPr>
      </w:pPr>
      <w:r>
        <w:rPr>
          <w:rFonts w:hint="eastAsia"/>
          <w:color w:val="auto"/>
          <w:szCs w:val="21"/>
          <w:highlight w:val="none"/>
          <w:lang w:val="en-US" w:eastAsia="zh-CN"/>
        </w:rPr>
        <w:t>4</w:t>
      </w:r>
      <w:r>
        <w:rPr>
          <w:rFonts w:hint="eastAsia"/>
          <w:color w:val="auto"/>
          <w:szCs w:val="21"/>
          <w:highlight w:val="none"/>
        </w:rPr>
        <w:t>．开标一览表</w:t>
      </w:r>
    </w:p>
    <w:p w14:paraId="6E4CFAEB">
      <w:pPr>
        <w:widowControl/>
        <w:jc w:val="left"/>
        <w:rPr>
          <w:color w:val="auto"/>
          <w:szCs w:val="21"/>
          <w:highlight w:val="none"/>
        </w:rPr>
      </w:pPr>
    </w:p>
    <w:p w14:paraId="37AE0F2D">
      <w:pPr>
        <w:widowControl/>
        <w:jc w:val="left"/>
        <w:rPr>
          <w:color w:val="auto"/>
          <w:szCs w:val="21"/>
          <w:highlight w:val="none"/>
        </w:rPr>
      </w:pPr>
    </w:p>
    <w:p w14:paraId="3880E96A">
      <w:pPr>
        <w:widowControl/>
        <w:jc w:val="left"/>
        <w:rPr>
          <w:color w:val="auto"/>
          <w:szCs w:val="21"/>
          <w:highlight w:val="none"/>
        </w:rPr>
      </w:pPr>
    </w:p>
    <w:p w14:paraId="486EEAE2">
      <w:pPr>
        <w:rPr>
          <w:b/>
          <w:color w:val="auto"/>
          <w:szCs w:val="21"/>
          <w:highlight w:val="none"/>
        </w:rPr>
      </w:pPr>
    </w:p>
    <w:p w14:paraId="5C860530">
      <w:pPr>
        <w:rPr>
          <w:b/>
          <w:color w:val="auto"/>
          <w:szCs w:val="21"/>
          <w:highlight w:val="none"/>
        </w:rPr>
      </w:pPr>
    </w:p>
    <w:p w14:paraId="77D8EB09">
      <w:pPr>
        <w:rPr>
          <w:b/>
          <w:color w:val="auto"/>
          <w:szCs w:val="21"/>
          <w:highlight w:val="none"/>
        </w:rPr>
      </w:pPr>
      <w:r>
        <w:rPr>
          <w:rFonts w:hint="eastAsia"/>
          <w:b/>
          <w:color w:val="auto"/>
          <w:szCs w:val="21"/>
          <w:highlight w:val="none"/>
        </w:rPr>
        <w:t>格式详见</w:t>
      </w:r>
      <w:r>
        <w:rPr>
          <w:rFonts w:hint="eastAsia"/>
          <w:color w:val="auto"/>
          <w:szCs w:val="21"/>
          <w:highlight w:val="none"/>
        </w:rPr>
        <w:t>广西政府采购云平台</w:t>
      </w:r>
      <w:r>
        <w:rPr>
          <w:rFonts w:hint="eastAsia"/>
          <w:b/>
          <w:color w:val="auto"/>
          <w:szCs w:val="21"/>
          <w:highlight w:val="none"/>
        </w:rPr>
        <w:t>，且仅在</w:t>
      </w:r>
      <w:r>
        <w:rPr>
          <w:rFonts w:hint="eastAsia"/>
          <w:color w:val="auto"/>
          <w:szCs w:val="21"/>
          <w:highlight w:val="none"/>
        </w:rPr>
        <w:t>广西政府采购云平台</w:t>
      </w:r>
      <w:r>
        <w:rPr>
          <w:rFonts w:hint="eastAsia"/>
          <w:b/>
          <w:color w:val="auto"/>
          <w:szCs w:val="21"/>
          <w:highlight w:val="none"/>
        </w:rPr>
        <w:t>填写即可。</w:t>
      </w:r>
    </w:p>
    <w:bookmarkEnd w:id="214"/>
    <w:p w14:paraId="40F7433E">
      <w:pPr>
        <w:widowControl/>
        <w:jc w:val="left"/>
        <w:rPr>
          <w:color w:val="auto"/>
          <w:szCs w:val="21"/>
          <w:highlight w:val="none"/>
        </w:rPr>
      </w:pPr>
    </w:p>
    <w:sectPr>
      <w:pgSz w:w="11906" w:h="16838"/>
      <w:pgMar w:top="1418" w:right="1133" w:bottom="1246" w:left="1418"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F"/>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A09DC">
    <w:pPr>
      <w:pStyle w:val="32"/>
      <w:jc w:val="center"/>
    </w:pPr>
    <w:r>
      <w:fldChar w:fldCharType="begin"/>
    </w:r>
    <w:r>
      <w:instrText xml:space="preserve">PAGE   \* MERGEFORMAT</w:instrText>
    </w:r>
    <w:r>
      <w:fldChar w:fldCharType="separate"/>
    </w:r>
    <w:r>
      <w:rPr>
        <w:lang w:val="zh-CN"/>
      </w:rPr>
      <w:t>35</w:t>
    </w:r>
    <w:r>
      <w:fldChar w:fldCharType="end"/>
    </w:r>
  </w:p>
  <w:p w14:paraId="626EA9E5">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8238A">
    <w:pPr>
      <w:pStyle w:val="32"/>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BF9BF">
    <w:pPr>
      <w:pStyle w:val="32"/>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C21E6">
    <w:pPr>
      <w:pStyle w:val="3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54A3A2">
                          <w:pPr>
                            <w:pStyle w:val="32"/>
                            <w:jc w:val="center"/>
                          </w:pPr>
                          <w:r>
                            <w:fldChar w:fldCharType="begin"/>
                          </w:r>
                          <w:r>
                            <w:instrText xml:space="preserve">PAGE   \* MERGEFORMAT</w:instrText>
                          </w:r>
                          <w:r>
                            <w:fldChar w:fldCharType="separate"/>
                          </w:r>
                          <w:r>
                            <w:rPr>
                              <w:lang w:val="zh-CN"/>
                            </w:rP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554A3A2">
                    <w:pPr>
                      <w:pStyle w:val="32"/>
                      <w:jc w:val="center"/>
                    </w:pPr>
                    <w:r>
                      <w:fldChar w:fldCharType="begin"/>
                    </w:r>
                    <w:r>
                      <w:instrText xml:space="preserve">PAGE   \* MERGEFORMAT</w:instrText>
                    </w:r>
                    <w:r>
                      <w:fldChar w:fldCharType="separate"/>
                    </w:r>
                    <w:r>
                      <w:rPr>
                        <w:lang w:val="zh-CN"/>
                      </w:rPr>
                      <w:t>35</w:t>
                    </w:r>
                    <w:r>
                      <w:fldChar w:fldCharType="end"/>
                    </w:r>
                  </w:p>
                </w:txbxContent>
              </v:textbox>
            </v:shape>
          </w:pict>
        </mc:Fallback>
      </mc:AlternateContent>
    </w:r>
  </w:p>
  <w:p w14:paraId="273CA960">
    <w:pPr>
      <w:pStyle w:val="3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AF0DA">
    <w:pPr>
      <w:pStyle w:val="32"/>
      <w:ind w:right="36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4C904F">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E4C904F">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168BC">
    <w:pPr>
      <w:pStyle w:val="3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21EB8">
                          <w:pPr>
                            <w:pStyle w:val="32"/>
                            <w:jc w:val="center"/>
                          </w:pPr>
                          <w:r>
                            <w:fldChar w:fldCharType="begin"/>
                          </w:r>
                          <w:r>
                            <w:instrText xml:space="preserve">PAGE   \* MERGEFORMAT</w:instrText>
                          </w:r>
                          <w:r>
                            <w:fldChar w:fldCharType="separate"/>
                          </w:r>
                          <w:r>
                            <w:rPr>
                              <w:lang w:val="zh-CN"/>
                            </w:rP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D721EB8">
                    <w:pPr>
                      <w:pStyle w:val="32"/>
                      <w:jc w:val="center"/>
                    </w:pPr>
                    <w:r>
                      <w:fldChar w:fldCharType="begin"/>
                    </w:r>
                    <w:r>
                      <w:instrText xml:space="preserve">PAGE   \* MERGEFORMAT</w:instrText>
                    </w:r>
                    <w:r>
                      <w:fldChar w:fldCharType="separate"/>
                    </w:r>
                    <w:r>
                      <w:rPr>
                        <w:lang w:val="zh-CN"/>
                      </w:rPr>
                      <w:t>35</w:t>
                    </w:r>
                    <w:r>
                      <w:fldChar w:fldCharType="end"/>
                    </w:r>
                  </w:p>
                </w:txbxContent>
              </v:textbox>
            </v:shape>
          </w:pict>
        </mc:Fallback>
      </mc:AlternateContent>
    </w:r>
  </w:p>
  <w:p w14:paraId="03587212">
    <w:pPr>
      <w:pStyle w:val="3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0411E">
    <w:pPr>
      <w:pStyle w:val="32"/>
      <w:ind w:right="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0B2C15">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A0B2C15">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0CD10">
    <w:pPr>
      <w:pStyle w:val="33"/>
      <w:jc w:val="left"/>
    </w:pPr>
    <w:r>
      <w:rPr>
        <w:rFonts w:hint="eastAsia"/>
      </w:rPr>
      <w:t>广西机电设备招标有限公司招标文件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6BFD7">
    <w:pPr>
      <w:pStyle w:val="3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1E501">
    <w:pPr>
      <w:pStyle w:val="33"/>
      <w:jc w:val="left"/>
    </w:pPr>
    <w:r>
      <w:rPr>
        <w:rFonts w:hint="eastAsia"/>
      </w:rPr>
      <w:t xml:space="preserve">广西机电设备招标有限公司招标文件                                                               </w:t>
    </w:r>
  </w:p>
  <w:p w14:paraId="12C4BA08">
    <w:pPr>
      <w:pStyle w:val="3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E46F8">
    <w:pPr>
      <w:pStyle w:val="33"/>
      <w:jc w:val="left"/>
    </w:pPr>
    <w:r>
      <w:rPr>
        <w:rFonts w:hint="eastAsia"/>
      </w:rPr>
      <w:t xml:space="preserve">广西机电设备招标有限公司招标文件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69D21">
    <w:pPr>
      <w:pStyle w:val="33"/>
      <w:jc w:val="left"/>
    </w:pPr>
    <w:r>
      <w:rPr>
        <w:rFonts w:hint="eastAsia"/>
      </w:rPr>
      <w:t>广西机电设备招标有限公司招标文件                                                     评标方法及评标标准</w:t>
    </w:r>
  </w:p>
  <w:p w14:paraId="7024A633">
    <w:pPr>
      <w:pStyle w:val="33"/>
      <w:pBdr>
        <w:bottom w:val="none" w:color="auto" w:sz="0" w:space="0"/>
      </w:pBdr>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59B8E">
    <w:pPr>
      <w:rPr>
        <w:sz w:val="18"/>
        <w:szCs w:val="18"/>
        <w:u w:val="single"/>
      </w:rPr>
    </w:pPr>
    <w:r>
      <w:rPr>
        <w:rFonts w:hint="eastAsia"/>
        <w:sz w:val="18"/>
        <w:szCs w:val="18"/>
        <w:u w:val="single"/>
      </w:rPr>
      <w:t xml:space="preserve">广西机电设备招标有限公司招标文件                                             </w:t>
    </w:r>
    <w:r>
      <w:rPr>
        <w:sz w:val="18"/>
        <w:szCs w:val="18"/>
        <w:u w:val="single"/>
      </w:rPr>
      <w:t xml:space="preserve">            </w:t>
    </w:r>
    <w:r>
      <w:rPr>
        <w:rFonts w:hint="eastAsia"/>
        <w:sz w:val="18"/>
        <w:szCs w:val="18"/>
        <w:u w:val="single"/>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25A24">
    <w:pPr>
      <w:rPr>
        <w:sz w:val="18"/>
        <w:szCs w:val="18"/>
        <w:u w:val="single"/>
      </w:rPr>
    </w:pPr>
    <w:r>
      <w:rPr>
        <w:rFonts w:hint="eastAsia"/>
        <w:sz w:val="18"/>
        <w:szCs w:val="18"/>
        <w:u w:val="single"/>
      </w:rPr>
      <w:t xml:space="preserve">广西机电设备招标有限公司招标文件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5A0531"/>
    <w:multiLevelType w:val="singleLevel"/>
    <w:tmpl w:val="995A0531"/>
    <w:lvl w:ilvl="0" w:tentative="0">
      <w:start w:val="22"/>
      <w:numFmt w:val="decimal"/>
      <w:lvlText w:val="%1."/>
      <w:lvlJc w:val="left"/>
      <w:pPr>
        <w:tabs>
          <w:tab w:val="left" w:pos="312"/>
        </w:tabs>
      </w:pPr>
    </w:lvl>
  </w:abstractNum>
  <w:abstractNum w:abstractNumId="1">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413E24F"/>
    <w:multiLevelType w:val="singleLevel"/>
    <w:tmpl w:val="0413E24F"/>
    <w:lvl w:ilvl="0" w:tentative="0">
      <w:start w:val="13"/>
      <w:numFmt w:val="decimal"/>
      <w:lvlText w:val="%1."/>
      <w:lvlJc w:val="left"/>
      <w:pPr>
        <w:tabs>
          <w:tab w:val="left" w:pos="312"/>
        </w:tabs>
      </w:pPr>
    </w:lvl>
  </w:abstractNum>
  <w:abstractNum w:abstractNumId="3">
    <w:nsid w:val="29CA7A8F"/>
    <w:multiLevelType w:val="singleLevel"/>
    <w:tmpl w:val="29CA7A8F"/>
    <w:lvl w:ilvl="0" w:tentative="0">
      <w:start w:val="1"/>
      <w:numFmt w:val="decimal"/>
      <w:suff w:val="nothing"/>
      <w:lvlText w:val="（%1）"/>
      <w:lvlJc w:val="left"/>
    </w:lvl>
  </w:abstractNum>
  <w:abstractNum w:abstractNumId="4">
    <w:nsid w:val="3B026C45"/>
    <w:multiLevelType w:val="multilevel"/>
    <w:tmpl w:val="3B026C45"/>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isplayHorizontalDrawingGridEvery w:val="1"/>
  <w:displayVerticalDrawingGridEvery w:val="1"/>
  <w:noPunctuationKerning w:val="1"/>
  <w:characterSpacingControl w:val="doNotCompress"/>
  <w:compat>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3NjlhMzJkMWNhYTgzMzUxNGM1YmI0YmEwMDYzMmUifQ=="/>
  </w:docVars>
  <w:rsids>
    <w:rsidRoot w:val="00172A27"/>
    <w:rsid w:val="000003B8"/>
    <w:rsid w:val="000003EF"/>
    <w:rsid w:val="00000653"/>
    <w:rsid w:val="000008B9"/>
    <w:rsid w:val="0000091B"/>
    <w:rsid w:val="00000ADC"/>
    <w:rsid w:val="00000D0A"/>
    <w:rsid w:val="00000D19"/>
    <w:rsid w:val="00000E1A"/>
    <w:rsid w:val="000011C3"/>
    <w:rsid w:val="00001B3E"/>
    <w:rsid w:val="00001B68"/>
    <w:rsid w:val="00001CD6"/>
    <w:rsid w:val="00001D8F"/>
    <w:rsid w:val="00001E6F"/>
    <w:rsid w:val="00001FB8"/>
    <w:rsid w:val="000020DA"/>
    <w:rsid w:val="00002AC8"/>
    <w:rsid w:val="00002DDA"/>
    <w:rsid w:val="00002F41"/>
    <w:rsid w:val="00003255"/>
    <w:rsid w:val="000033BC"/>
    <w:rsid w:val="00003428"/>
    <w:rsid w:val="00003544"/>
    <w:rsid w:val="00003C81"/>
    <w:rsid w:val="00003D02"/>
    <w:rsid w:val="00003DAE"/>
    <w:rsid w:val="00003DDF"/>
    <w:rsid w:val="0000436E"/>
    <w:rsid w:val="000046C2"/>
    <w:rsid w:val="000055C3"/>
    <w:rsid w:val="000056BC"/>
    <w:rsid w:val="000058D7"/>
    <w:rsid w:val="00005E55"/>
    <w:rsid w:val="0000644D"/>
    <w:rsid w:val="00006E2C"/>
    <w:rsid w:val="00007315"/>
    <w:rsid w:val="00007501"/>
    <w:rsid w:val="000079FF"/>
    <w:rsid w:val="00007B0D"/>
    <w:rsid w:val="00007F38"/>
    <w:rsid w:val="000102A9"/>
    <w:rsid w:val="00010339"/>
    <w:rsid w:val="000105C3"/>
    <w:rsid w:val="00011B70"/>
    <w:rsid w:val="00011D72"/>
    <w:rsid w:val="00011DE9"/>
    <w:rsid w:val="00012078"/>
    <w:rsid w:val="00012218"/>
    <w:rsid w:val="00012320"/>
    <w:rsid w:val="0001242C"/>
    <w:rsid w:val="00012447"/>
    <w:rsid w:val="000128AC"/>
    <w:rsid w:val="000129EA"/>
    <w:rsid w:val="00013034"/>
    <w:rsid w:val="00013166"/>
    <w:rsid w:val="00013350"/>
    <w:rsid w:val="0001338B"/>
    <w:rsid w:val="00013391"/>
    <w:rsid w:val="000136AF"/>
    <w:rsid w:val="00013748"/>
    <w:rsid w:val="00013AE8"/>
    <w:rsid w:val="00013D41"/>
    <w:rsid w:val="00013D8B"/>
    <w:rsid w:val="000143A3"/>
    <w:rsid w:val="000144F2"/>
    <w:rsid w:val="000145E3"/>
    <w:rsid w:val="00014CA6"/>
    <w:rsid w:val="00014DD6"/>
    <w:rsid w:val="0001532B"/>
    <w:rsid w:val="0001598C"/>
    <w:rsid w:val="00016007"/>
    <w:rsid w:val="000169F3"/>
    <w:rsid w:val="00016C31"/>
    <w:rsid w:val="00016CE3"/>
    <w:rsid w:val="00016D4C"/>
    <w:rsid w:val="0001710D"/>
    <w:rsid w:val="00017504"/>
    <w:rsid w:val="00017758"/>
    <w:rsid w:val="000178D7"/>
    <w:rsid w:val="00017900"/>
    <w:rsid w:val="00017C14"/>
    <w:rsid w:val="00017E50"/>
    <w:rsid w:val="00017F40"/>
    <w:rsid w:val="000204C7"/>
    <w:rsid w:val="0002053C"/>
    <w:rsid w:val="00020670"/>
    <w:rsid w:val="00020861"/>
    <w:rsid w:val="00020BB1"/>
    <w:rsid w:val="00020BF0"/>
    <w:rsid w:val="00020C0B"/>
    <w:rsid w:val="00020F60"/>
    <w:rsid w:val="00020FAF"/>
    <w:rsid w:val="000215B7"/>
    <w:rsid w:val="000217BF"/>
    <w:rsid w:val="00021C98"/>
    <w:rsid w:val="00021CCD"/>
    <w:rsid w:val="00021EE3"/>
    <w:rsid w:val="00022395"/>
    <w:rsid w:val="00022808"/>
    <w:rsid w:val="000228AB"/>
    <w:rsid w:val="00022C7D"/>
    <w:rsid w:val="00022E58"/>
    <w:rsid w:val="00022F2A"/>
    <w:rsid w:val="00022F8B"/>
    <w:rsid w:val="00022FB8"/>
    <w:rsid w:val="00023147"/>
    <w:rsid w:val="00023187"/>
    <w:rsid w:val="000233CA"/>
    <w:rsid w:val="00023436"/>
    <w:rsid w:val="0002351E"/>
    <w:rsid w:val="00023652"/>
    <w:rsid w:val="000236EE"/>
    <w:rsid w:val="00023731"/>
    <w:rsid w:val="00024633"/>
    <w:rsid w:val="0002469F"/>
    <w:rsid w:val="00024D61"/>
    <w:rsid w:val="0002535B"/>
    <w:rsid w:val="0002560A"/>
    <w:rsid w:val="00025B64"/>
    <w:rsid w:val="00025DA0"/>
    <w:rsid w:val="00026003"/>
    <w:rsid w:val="000262BC"/>
    <w:rsid w:val="0002696D"/>
    <w:rsid w:val="0002754D"/>
    <w:rsid w:val="00027666"/>
    <w:rsid w:val="000276B2"/>
    <w:rsid w:val="00027833"/>
    <w:rsid w:val="00027A1D"/>
    <w:rsid w:val="00027A46"/>
    <w:rsid w:val="00027AF3"/>
    <w:rsid w:val="00027C24"/>
    <w:rsid w:val="00027C79"/>
    <w:rsid w:val="00030024"/>
    <w:rsid w:val="00030124"/>
    <w:rsid w:val="000302F0"/>
    <w:rsid w:val="000305FD"/>
    <w:rsid w:val="0003081E"/>
    <w:rsid w:val="0003084F"/>
    <w:rsid w:val="00030C2F"/>
    <w:rsid w:val="00031169"/>
    <w:rsid w:val="0003129D"/>
    <w:rsid w:val="00031692"/>
    <w:rsid w:val="00031757"/>
    <w:rsid w:val="00031B37"/>
    <w:rsid w:val="00031DDD"/>
    <w:rsid w:val="00031E69"/>
    <w:rsid w:val="00032686"/>
    <w:rsid w:val="0003274B"/>
    <w:rsid w:val="00032AD8"/>
    <w:rsid w:val="00032ADF"/>
    <w:rsid w:val="00032D8D"/>
    <w:rsid w:val="000331CC"/>
    <w:rsid w:val="0003322E"/>
    <w:rsid w:val="00033856"/>
    <w:rsid w:val="00033927"/>
    <w:rsid w:val="00034443"/>
    <w:rsid w:val="00034833"/>
    <w:rsid w:val="00034947"/>
    <w:rsid w:val="00034A89"/>
    <w:rsid w:val="000352BA"/>
    <w:rsid w:val="000357B7"/>
    <w:rsid w:val="00035840"/>
    <w:rsid w:val="00035844"/>
    <w:rsid w:val="00035A8D"/>
    <w:rsid w:val="00035C94"/>
    <w:rsid w:val="00035F2C"/>
    <w:rsid w:val="00035F8C"/>
    <w:rsid w:val="000360DB"/>
    <w:rsid w:val="00036107"/>
    <w:rsid w:val="0003613D"/>
    <w:rsid w:val="00036383"/>
    <w:rsid w:val="00036BAA"/>
    <w:rsid w:val="00036E33"/>
    <w:rsid w:val="00037101"/>
    <w:rsid w:val="00037C2D"/>
    <w:rsid w:val="00037C63"/>
    <w:rsid w:val="00037CE4"/>
    <w:rsid w:val="00037DB6"/>
    <w:rsid w:val="00037DD8"/>
    <w:rsid w:val="00037FD7"/>
    <w:rsid w:val="00040187"/>
    <w:rsid w:val="000401FD"/>
    <w:rsid w:val="0004079D"/>
    <w:rsid w:val="00040AC1"/>
    <w:rsid w:val="00040ED3"/>
    <w:rsid w:val="0004139C"/>
    <w:rsid w:val="000415E3"/>
    <w:rsid w:val="000418B1"/>
    <w:rsid w:val="00041C02"/>
    <w:rsid w:val="00042280"/>
    <w:rsid w:val="0004231D"/>
    <w:rsid w:val="000424AB"/>
    <w:rsid w:val="00042BF9"/>
    <w:rsid w:val="00042ED7"/>
    <w:rsid w:val="000431D3"/>
    <w:rsid w:val="00043295"/>
    <w:rsid w:val="0004377D"/>
    <w:rsid w:val="0004383A"/>
    <w:rsid w:val="00043C71"/>
    <w:rsid w:val="00043FFA"/>
    <w:rsid w:val="00044236"/>
    <w:rsid w:val="00044578"/>
    <w:rsid w:val="00044990"/>
    <w:rsid w:val="00044A8C"/>
    <w:rsid w:val="00044AF1"/>
    <w:rsid w:val="00044D55"/>
    <w:rsid w:val="00045069"/>
    <w:rsid w:val="00045070"/>
    <w:rsid w:val="000450D9"/>
    <w:rsid w:val="000450F6"/>
    <w:rsid w:val="000451CD"/>
    <w:rsid w:val="000453FC"/>
    <w:rsid w:val="00045947"/>
    <w:rsid w:val="000459FB"/>
    <w:rsid w:val="000462A8"/>
    <w:rsid w:val="00046360"/>
    <w:rsid w:val="0004653D"/>
    <w:rsid w:val="000465AB"/>
    <w:rsid w:val="00046E59"/>
    <w:rsid w:val="000472E6"/>
    <w:rsid w:val="000479CD"/>
    <w:rsid w:val="000479FF"/>
    <w:rsid w:val="00047CF5"/>
    <w:rsid w:val="00047FDF"/>
    <w:rsid w:val="000500E6"/>
    <w:rsid w:val="000504FE"/>
    <w:rsid w:val="000513E2"/>
    <w:rsid w:val="00051C80"/>
    <w:rsid w:val="00051D87"/>
    <w:rsid w:val="00051F04"/>
    <w:rsid w:val="00052326"/>
    <w:rsid w:val="000529E7"/>
    <w:rsid w:val="00052DBE"/>
    <w:rsid w:val="00053175"/>
    <w:rsid w:val="000534EE"/>
    <w:rsid w:val="0005359C"/>
    <w:rsid w:val="00053628"/>
    <w:rsid w:val="0005387F"/>
    <w:rsid w:val="00053BFC"/>
    <w:rsid w:val="00053EED"/>
    <w:rsid w:val="0005428F"/>
    <w:rsid w:val="00054331"/>
    <w:rsid w:val="000544F4"/>
    <w:rsid w:val="000545D3"/>
    <w:rsid w:val="00054676"/>
    <w:rsid w:val="000547E4"/>
    <w:rsid w:val="00054870"/>
    <w:rsid w:val="00054AB0"/>
    <w:rsid w:val="00054ABD"/>
    <w:rsid w:val="00054CCC"/>
    <w:rsid w:val="00054D04"/>
    <w:rsid w:val="00054F7D"/>
    <w:rsid w:val="00055230"/>
    <w:rsid w:val="00055279"/>
    <w:rsid w:val="00055557"/>
    <w:rsid w:val="000555EA"/>
    <w:rsid w:val="00055945"/>
    <w:rsid w:val="00055A8A"/>
    <w:rsid w:val="00055AF4"/>
    <w:rsid w:val="00055E6D"/>
    <w:rsid w:val="00055FB0"/>
    <w:rsid w:val="0005625F"/>
    <w:rsid w:val="0005649E"/>
    <w:rsid w:val="0005682D"/>
    <w:rsid w:val="00056945"/>
    <w:rsid w:val="0005700C"/>
    <w:rsid w:val="00057393"/>
    <w:rsid w:val="00057988"/>
    <w:rsid w:val="00057E45"/>
    <w:rsid w:val="0006027F"/>
    <w:rsid w:val="00060523"/>
    <w:rsid w:val="000606B6"/>
    <w:rsid w:val="000609AC"/>
    <w:rsid w:val="0006122E"/>
    <w:rsid w:val="0006148A"/>
    <w:rsid w:val="000618AE"/>
    <w:rsid w:val="00062637"/>
    <w:rsid w:val="0006263C"/>
    <w:rsid w:val="00062653"/>
    <w:rsid w:val="00062949"/>
    <w:rsid w:val="000631AC"/>
    <w:rsid w:val="000631B7"/>
    <w:rsid w:val="000633DD"/>
    <w:rsid w:val="00063420"/>
    <w:rsid w:val="00063894"/>
    <w:rsid w:val="000639D4"/>
    <w:rsid w:val="00063B14"/>
    <w:rsid w:val="00063B29"/>
    <w:rsid w:val="0006408F"/>
    <w:rsid w:val="00064189"/>
    <w:rsid w:val="000642D1"/>
    <w:rsid w:val="000646CC"/>
    <w:rsid w:val="00064840"/>
    <w:rsid w:val="00064882"/>
    <w:rsid w:val="000648B7"/>
    <w:rsid w:val="00064A48"/>
    <w:rsid w:val="00064AEB"/>
    <w:rsid w:val="00064C80"/>
    <w:rsid w:val="00065429"/>
    <w:rsid w:val="00065587"/>
    <w:rsid w:val="000657C2"/>
    <w:rsid w:val="00065AB7"/>
    <w:rsid w:val="00065BFE"/>
    <w:rsid w:val="00065C40"/>
    <w:rsid w:val="00065D71"/>
    <w:rsid w:val="000666D4"/>
    <w:rsid w:val="000673D8"/>
    <w:rsid w:val="000673E7"/>
    <w:rsid w:val="00067DE7"/>
    <w:rsid w:val="00070106"/>
    <w:rsid w:val="0007014F"/>
    <w:rsid w:val="00070517"/>
    <w:rsid w:val="000706AC"/>
    <w:rsid w:val="00070950"/>
    <w:rsid w:val="000709D3"/>
    <w:rsid w:val="00070A7D"/>
    <w:rsid w:val="00070AAB"/>
    <w:rsid w:val="000712F8"/>
    <w:rsid w:val="00071A68"/>
    <w:rsid w:val="00071A6A"/>
    <w:rsid w:val="00071A8B"/>
    <w:rsid w:val="00071C95"/>
    <w:rsid w:val="0007240C"/>
    <w:rsid w:val="00072627"/>
    <w:rsid w:val="00072A95"/>
    <w:rsid w:val="00072AB4"/>
    <w:rsid w:val="00072CEC"/>
    <w:rsid w:val="0007368B"/>
    <w:rsid w:val="00073C3B"/>
    <w:rsid w:val="00074144"/>
    <w:rsid w:val="000744D4"/>
    <w:rsid w:val="000745E9"/>
    <w:rsid w:val="00074674"/>
    <w:rsid w:val="000747B7"/>
    <w:rsid w:val="00074923"/>
    <w:rsid w:val="00074EE8"/>
    <w:rsid w:val="00075092"/>
    <w:rsid w:val="000750EA"/>
    <w:rsid w:val="000750F3"/>
    <w:rsid w:val="0007539D"/>
    <w:rsid w:val="00075562"/>
    <w:rsid w:val="00075A8D"/>
    <w:rsid w:val="00076542"/>
    <w:rsid w:val="000770BC"/>
    <w:rsid w:val="00077359"/>
    <w:rsid w:val="000774F1"/>
    <w:rsid w:val="00077698"/>
    <w:rsid w:val="000777B1"/>
    <w:rsid w:val="00077891"/>
    <w:rsid w:val="0007797E"/>
    <w:rsid w:val="00077C1B"/>
    <w:rsid w:val="0008006B"/>
    <w:rsid w:val="0008017C"/>
    <w:rsid w:val="00080321"/>
    <w:rsid w:val="00080AA6"/>
    <w:rsid w:val="00080BE2"/>
    <w:rsid w:val="00080DA9"/>
    <w:rsid w:val="00080DF6"/>
    <w:rsid w:val="00081BF9"/>
    <w:rsid w:val="00081C1C"/>
    <w:rsid w:val="00081ECB"/>
    <w:rsid w:val="0008224F"/>
    <w:rsid w:val="000822F0"/>
    <w:rsid w:val="000824BD"/>
    <w:rsid w:val="00082611"/>
    <w:rsid w:val="00082617"/>
    <w:rsid w:val="0008264F"/>
    <w:rsid w:val="00082C85"/>
    <w:rsid w:val="0008304A"/>
    <w:rsid w:val="0008372E"/>
    <w:rsid w:val="00083A64"/>
    <w:rsid w:val="00083AC4"/>
    <w:rsid w:val="00083B97"/>
    <w:rsid w:val="000842B5"/>
    <w:rsid w:val="00085560"/>
    <w:rsid w:val="00085A86"/>
    <w:rsid w:val="00085E63"/>
    <w:rsid w:val="00086067"/>
    <w:rsid w:val="000866A9"/>
    <w:rsid w:val="00086975"/>
    <w:rsid w:val="00086EC2"/>
    <w:rsid w:val="000870C0"/>
    <w:rsid w:val="00087358"/>
    <w:rsid w:val="000873F5"/>
    <w:rsid w:val="000876C2"/>
    <w:rsid w:val="0008771A"/>
    <w:rsid w:val="00087736"/>
    <w:rsid w:val="00087B15"/>
    <w:rsid w:val="00087E2E"/>
    <w:rsid w:val="000900DF"/>
    <w:rsid w:val="00090193"/>
    <w:rsid w:val="0009021F"/>
    <w:rsid w:val="00090524"/>
    <w:rsid w:val="00090794"/>
    <w:rsid w:val="000907D1"/>
    <w:rsid w:val="00091332"/>
    <w:rsid w:val="0009134B"/>
    <w:rsid w:val="000919E1"/>
    <w:rsid w:val="00091AE8"/>
    <w:rsid w:val="00091D8D"/>
    <w:rsid w:val="00092F17"/>
    <w:rsid w:val="00093869"/>
    <w:rsid w:val="00093BC0"/>
    <w:rsid w:val="00093D1A"/>
    <w:rsid w:val="00093DF8"/>
    <w:rsid w:val="00093E53"/>
    <w:rsid w:val="000941F6"/>
    <w:rsid w:val="000942AF"/>
    <w:rsid w:val="0009454A"/>
    <w:rsid w:val="000945C5"/>
    <w:rsid w:val="00094ECF"/>
    <w:rsid w:val="00095092"/>
    <w:rsid w:val="000955B6"/>
    <w:rsid w:val="0009592E"/>
    <w:rsid w:val="00095AAF"/>
    <w:rsid w:val="00095B76"/>
    <w:rsid w:val="00095ECB"/>
    <w:rsid w:val="00096D28"/>
    <w:rsid w:val="0009715C"/>
    <w:rsid w:val="00097406"/>
    <w:rsid w:val="000975D5"/>
    <w:rsid w:val="00097D9D"/>
    <w:rsid w:val="00097F93"/>
    <w:rsid w:val="00097F98"/>
    <w:rsid w:val="00097FE0"/>
    <w:rsid w:val="000A062D"/>
    <w:rsid w:val="000A07F9"/>
    <w:rsid w:val="000A0A59"/>
    <w:rsid w:val="000A10DB"/>
    <w:rsid w:val="000A111D"/>
    <w:rsid w:val="000A117F"/>
    <w:rsid w:val="000A128A"/>
    <w:rsid w:val="000A147E"/>
    <w:rsid w:val="000A165F"/>
    <w:rsid w:val="000A21D0"/>
    <w:rsid w:val="000A262B"/>
    <w:rsid w:val="000A27A2"/>
    <w:rsid w:val="000A2960"/>
    <w:rsid w:val="000A2968"/>
    <w:rsid w:val="000A299E"/>
    <w:rsid w:val="000A2AE9"/>
    <w:rsid w:val="000A2C66"/>
    <w:rsid w:val="000A2D6D"/>
    <w:rsid w:val="000A2E12"/>
    <w:rsid w:val="000A2E97"/>
    <w:rsid w:val="000A32CC"/>
    <w:rsid w:val="000A3515"/>
    <w:rsid w:val="000A3518"/>
    <w:rsid w:val="000A3B53"/>
    <w:rsid w:val="000A4852"/>
    <w:rsid w:val="000A4ACE"/>
    <w:rsid w:val="000A4C12"/>
    <w:rsid w:val="000A509A"/>
    <w:rsid w:val="000A56E6"/>
    <w:rsid w:val="000A6C4D"/>
    <w:rsid w:val="000A6C54"/>
    <w:rsid w:val="000A6E22"/>
    <w:rsid w:val="000A6F1D"/>
    <w:rsid w:val="000A707B"/>
    <w:rsid w:val="000A70C7"/>
    <w:rsid w:val="000A7238"/>
    <w:rsid w:val="000A745D"/>
    <w:rsid w:val="000A78BB"/>
    <w:rsid w:val="000A791D"/>
    <w:rsid w:val="000A7931"/>
    <w:rsid w:val="000B034B"/>
    <w:rsid w:val="000B0720"/>
    <w:rsid w:val="000B08E4"/>
    <w:rsid w:val="000B09FE"/>
    <w:rsid w:val="000B0BB1"/>
    <w:rsid w:val="000B15EF"/>
    <w:rsid w:val="000B1F65"/>
    <w:rsid w:val="000B2185"/>
    <w:rsid w:val="000B23BA"/>
    <w:rsid w:val="000B2492"/>
    <w:rsid w:val="000B26D6"/>
    <w:rsid w:val="000B2D1E"/>
    <w:rsid w:val="000B316D"/>
    <w:rsid w:val="000B3194"/>
    <w:rsid w:val="000B3CFE"/>
    <w:rsid w:val="000B40B2"/>
    <w:rsid w:val="000B44CF"/>
    <w:rsid w:val="000B45B1"/>
    <w:rsid w:val="000B49F7"/>
    <w:rsid w:val="000B4EF3"/>
    <w:rsid w:val="000B51CB"/>
    <w:rsid w:val="000B554C"/>
    <w:rsid w:val="000B5D87"/>
    <w:rsid w:val="000B60C6"/>
    <w:rsid w:val="000B6115"/>
    <w:rsid w:val="000B68A5"/>
    <w:rsid w:val="000B6F18"/>
    <w:rsid w:val="000B70DB"/>
    <w:rsid w:val="000B71FC"/>
    <w:rsid w:val="000B76E7"/>
    <w:rsid w:val="000B797D"/>
    <w:rsid w:val="000B7AC2"/>
    <w:rsid w:val="000B7E6D"/>
    <w:rsid w:val="000B7F80"/>
    <w:rsid w:val="000C04DC"/>
    <w:rsid w:val="000C0869"/>
    <w:rsid w:val="000C099A"/>
    <w:rsid w:val="000C0A0F"/>
    <w:rsid w:val="000C1322"/>
    <w:rsid w:val="000C1825"/>
    <w:rsid w:val="000C1979"/>
    <w:rsid w:val="000C19D0"/>
    <w:rsid w:val="000C1DBB"/>
    <w:rsid w:val="000C20B5"/>
    <w:rsid w:val="000C2508"/>
    <w:rsid w:val="000C270D"/>
    <w:rsid w:val="000C2AE8"/>
    <w:rsid w:val="000C2B1E"/>
    <w:rsid w:val="000C2C63"/>
    <w:rsid w:val="000C350A"/>
    <w:rsid w:val="000C3518"/>
    <w:rsid w:val="000C3762"/>
    <w:rsid w:val="000C41CD"/>
    <w:rsid w:val="000C4988"/>
    <w:rsid w:val="000C501B"/>
    <w:rsid w:val="000C5167"/>
    <w:rsid w:val="000C57DD"/>
    <w:rsid w:val="000C59D1"/>
    <w:rsid w:val="000C5C88"/>
    <w:rsid w:val="000C5E1C"/>
    <w:rsid w:val="000C6176"/>
    <w:rsid w:val="000C61B8"/>
    <w:rsid w:val="000C620D"/>
    <w:rsid w:val="000C64D1"/>
    <w:rsid w:val="000C655F"/>
    <w:rsid w:val="000C669B"/>
    <w:rsid w:val="000C66AB"/>
    <w:rsid w:val="000C6872"/>
    <w:rsid w:val="000C6DEA"/>
    <w:rsid w:val="000C7045"/>
    <w:rsid w:val="000C718C"/>
    <w:rsid w:val="000C71D4"/>
    <w:rsid w:val="000C7563"/>
    <w:rsid w:val="000C757A"/>
    <w:rsid w:val="000C77C4"/>
    <w:rsid w:val="000C7D9F"/>
    <w:rsid w:val="000D074C"/>
    <w:rsid w:val="000D0C28"/>
    <w:rsid w:val="000D0F0F"/>
    <w:rsid w:val="000D0F2E"/>
    <w:rsid w:val="000D1788"/>
    <w:rsid w:val="000D17CF"/>
    <w:rsid w:val="000D1ACF"/>
    <w:rsid w:val="000D1C4F"/>
    <w:rsid w:val="000D1D6C"/>
    <w:rsid w:val="000D2D0F"/>
    <w:rsid w:val="000D31CB"/>
    <w:rsid w:val="000D3ACA"/>
    <w:rsid w:val="000D3DCE"/>
    <w:rsid w:val="000D3E1B"/>
    <w:rsid w:val="000D3FBF"/>
    <w:rsid w:val="000D4061"/>
    <w:rsid w:val="000D44A4"/>
    <w:rsid w:val="000D47EF"/>
    <w:rsid w:val="000D4860"/>
    <w:rsid w:val="000D48FB"/>
    <w:rsid w:val="000D4933"/>
    <w:rsid w:val="000D4B4F"/>
    <w:rsid w:val="000D4E0B"/>
    <w:rsid w:val="000D4EC1"/>
    <w:rsid w:val="000D55FD"/>
    <w:rsid w:val="000D562F"/>
    <w:rsid w:val="000D56C7"/>
    <w:rsid w:val="000D672C"/>
    <w:rsid w:val="000D68F4"/>
    <w:rsid w:val="000D6A04"/>
    <w:rsid w:val="000D6A61"/>
    <w:rsid w:val="000D6B49"/>
    <w:rsid w:val="000D6C78"/>
    <w:rsid w:val="000D74B9"/>
    <w:rsid w:val="000D77A9"/>
    <w:rsid w:val="000E01DF"/>
    <w:rsid w:val="000E071A"/>
    <w:rsid w:val="000E1094"/>
    <w:rsid w:val="000E129F"/>
    <w:rsid w:val="000E1838"/>
    <w:rsid w:val="000E18A1"/>
    <w:rsid w:val="000E19D1"/>
    <w:rsid w:val="000E1AC3"/>
    <w:rsid w:val="000E1C04"/>
    <w:rsid w:val="000E20DA"/>
    <w:rsid w:val="000E29CF"/>
    <w:rsid w:val="000E2AD1"/>
    <w:rsid w:val="000E2AD8"/>
    <w:rsid w:val="000E2C47"/>
    <w:rsid w:val="000E2F86"/>
    <w:rsid w:val="000E3D2F"/>
    <w:rsid w:val="000E42EF"/>
    <w:rsid w:val="000E4712"/>
    <w:rsid w:val="000E4723"/>
    <w:rsid w:val="000E4757"/>
    <w:rsid w:val="000E4A4B"/>
    <w:rsid w:val="000E4F47"/>
    <w:rsid w:val="000E508E"/>
    <w:rsid w:val="000E565C"/>
    <w:rsid w:val="000E575A"/>
    <w:rsid w:val="000E612C"/>
    <w:rsid w:val="000E6372"/>
    <w:rsid w:val="000E6C14"/>
    <w:rsid w:val="000E6D38"/>
    <w:rsid w:val="000E6D94"/>
    <w:rsid w:val="000E72E7"/>
    <w:rsid w:val="000E72F6"/>
    <w:rsid w:val="000E7533"/>
    <w:rsid w:val="000E75B3"/>
    <w:rsid w:val="000E75D1"/>
    <w:rsid w:val="000E7C51"/>
    <w:rsid w:val="000E7CC8"/>
    <w:rsid w:val="000F0524"/>
    <w:rsid w:val="000F0608"/>
    <w:rsid w:val="000F0D10"/>
    <w:rsid w:val="000F0DEF"/>
    <w:rsid w:val="000F0E1D"/>
    <w:rsid w:val="000F12E7"/>
    <w:rsid w:val="000F1617"/>
    <w:rsid w:val="000F18D8"/>
    <w:rsid w:val="000F1AF3"/>
    <w:rsid w:val="000F1B78"/>
    <w:rsid w:val="000F1F51"/>
    <w:rsid w:val="000F1FB0"/>
    <w:rsid w:val="000F2181"/>
    <w:rsid w:val="000F238F"/>
    <w:rsid w:val="000F24AC"/>
    <w:rsid w:val="000F253C"/>
    <w:rsid w:val="000F28A5"/>
    <w:rsid w:val="000F2943"/>
    <w:rsid w:val="000F2E97"/>
    <w:rsid w:val="000F2F22"/>
    <w:rsid w:val="000F2F60"/>
    <w:rsid w:val="000F3461"/>
    <w:rsid w:val="000F38FC"/>
    <w:rsid w:val="000F40BA"/>
    <w:rsid w:val="000F4486"/>
    <w:rsid w:val="000F4B3A"/>
    <w:rsid w:val="000F4B82"/>
    <w:rsid w:val="000F500A"/>
    <w:rsid w:val="000F506D"/>
    <w:rsid w:val="000F5331"/>
    <w:rsid w:val="000F55C9"/>
    <w:rsid w:val="000F5CAA"/>
    <w:rsid w:val="000F60C1"/>
    <w:rsid w:val="000F6242"/>
    <w:rsid w:val="000F666F"/>
    <w:rsid w:val="000F6CFE"/>
    <w:rsid w:val="000F6F32"/>
    <w:rsid w:val="000F70DA"/>
    <w:rsid w:val="000F75A8"/>
    <w:rsid w:val="000F76E0"/>
    <w:rsid w:val="000F77B5"/>
    <w:rsid w:val="000F78FB"/>
    <w:rsid w:val="000F79FD"/>
    <w:rsid w:val="00100331"/>
    <w:rsid w:val="00101255"/>
    <w:rsid w:val="001014D2"/>
    <w:rsid w:val="001014F7"/>
    <w:rsid w:val="001016BB"/>
    <w:rsid w:val="001018E0"/>
    <w:rsid w:val="00101989"/>
    <w:rsid w:val="00101A37"/>
    <w:rsid w:val="0010251A"/>
    <w:rsid w:val="00102768"/>
    <w:rsid w:val="00102BC3"/>
    <w:rsid w:val="00102EF2"/>
    <w:rsid w:val="00103458"/>
    <w:rsid w:val="001037BD"/>
    <w:rsid w:val="00103BA3"/>
    <w:rsid w:val="0010425A"/>
    <w:rsid w:val="001047CB"/>
    <w:rsid w:val="00104AFF"/>
    <w:rsid w:val="00104E14"/>
    <w:rsid w:val="0010520D"/>
    <w:rsid w:val="001053EE"/>
    <w:rsid w:val="00105629"/>
    <w:rsid w:val="0010574F"/>
    <w:rsid w:val="00105863"/>
    <w:rsid w:val="0010590B"/>
    <w:rsid w:val="00105996"/>
    <w:rsid w:val="001059FC"/>
    <w:rsid w:val="00105A06"/>
    <w:rsid w:val="00105CCB"/>
    <w:rsid w:val="00105F3E"/>
    <w:rsid w:val="00106050"/>
    <w:rsid w:val="00106171"/>
    <w:rsid w:val="001061C3"/>
    <w:rsid w:val="0010624A"/>
    <w:rsid w:val="001066F6"/>
    <w:rsid w:val="00106DC3"/>
    <w:rsid w:val="00107889"/>
    <w:rsid w:val="001078F4"/>
    <w:rsid w:val="001101C7"/>
    <w:rsid w:val="001105FF"/>
    <w:rsid w:val="00110638"/>
    <w:rsid w:val="00110744"/>
    <w:rsid w:val="00110797"/>
    <w:rsid w:val="00110BFA"/>
    <w:rsid w:val="00110E04"/>
    <w:rsid w:val="00111062"/>
    <w:rsid w:val="0011170E"/>
    <w:rsid w:val="00111849"/>
    <w:rsid w:val="00111A34"/>
    <w:rsid w:val="00111ECD"/>
    <w:rsid w:val="001121DD"/>
    <w:rsid w:val="00112340"/>
    <w:rsid w:val="00112D31"/>
    <w:rsid w:val="00112DBF"/>
    <w:rsid w:val="00113646"/>
    <w:rsid w:val="0011371D"/>
    <w:rsid w:val="001137BE"/>
    <w:rsid w:val="00113A1E"/>
    <w:rsid w:val="00113CD1"/>
    <w:rsid w:val="00113FAA"/>
    <w:rsid w:val="00114359"/>
    <w:rsid w:val="0011487E"/>
    <w:rsid w:val="0011492A"/>
    <w:rsid w:val="00115093"/>
    <w:rsid w:val="00115417"/>
    <w:rsid w:val="00115757"/>
    <w:rsid w:val="00115825"/>
    <w:rsid w:val="00115960"/>
    <w:rsid w:val="001161CA"/>
    <w:rsid w:val="00116258"/>
    <w:rsid w:val="00116494"/>
    <w:rsid w:val="00116529"/>
    <w:rsid w:val="001166D3"/>
    <w:rsid w:val="001167AE"/>
    <w:rsid w:val="001167C6"/>
    <w:rsid w:val="00116BE3"/>
    <w:rsid w:val="001170F8"/>
    <w:rsid w:val="00117A39"/>
    <w:rsid w:val="001202C5"/>
    <w:rsid w:val="0012077F"/>
    <w:rsid w:val="00120813"/>
    <w:rsid w:val="0012099E"/>
    <w:rsid w:val="00120CE3"/>
    <w:rsid w:val="00120E60"/>
    <w:rsid w:val="0012130E"/>
    <w:rsid w:val="001213B0"/>
    <w:rsid w:val="00121741"/>
    <w:rsid w:val="001217BA"/>
    <w:rsid w:val="00121832"/>
    <w:rsid w:val="00122050"/>
    <w:rsid w:val="00122232"/>
    <w:rsid w:val="0012235C"/>
    <w:rsid w:val="00122857"/>
    <w:rsid w:val="001229E1"/>
    <w:rsid w:val="00122A75"/>
    <w:rsid w:val="00122E8B"/>
    <w:rsid w:val="00123529"/>
    <w:rsid w:val="0012388E"/>
    <w:rsid w:val="00123DA5"/>
    <w:rsid w:val="00123E7A"/>
    <w:rsid w:val="001241D1"/>
    <w:rsid w:val="00124271"/>
    <w:rsid w:val="00124457"/>
    <w:rsid w:val="00124669"/>
    <w:rsid w:val="0012466D"/>
    <w:rsid w:val="00124985"/>
    <w:rsid w:val="00124DA6"/>
    <w:rsid w:val="00125609"/>
    <w:rsid w:val="001257A9"/>
    <w:rsid w:val="00125CB3"/>
    <w:rsid w:val="00125D8A"/>
    <w:rsid w:val="001260EE"/>
    <w:rsid w:val="00126655"/>
    <w:rsid w:val="00126707"/>
    <w:rsid w:val="0012679D"/>
    <w:rsid w:val="001269E0"/>
    <w:rsid w:val="00126A92"/>
    <w:rsid w:val="00126F2B"/>
    <w:rsid w:val="00126FC8"/>
    <w:rsid w:val="001270F4"/>
    <w:rsid w:val="001274D7"/>
    <w:rsid w:val="00127514"/>
    <w:rsid w:val="001279A3"/>
    <w:rsid w:val="00127B28"/>
    <w:rsid w:val="00127BB4"/>
    <w:rsid w:val="00130992"/>
    <w:rsid w:val="00130D0F"/>
    <w:rsid w:val="00130D23"/>
    <w:rsid w:val="001311C9"/>
    <w:rsid w:val="001312E1"/>
    <w:rsid w:val="00131335"/>
    <w:rsid w:val="00131627"/>
    <w:rsid w:val="001318CD"/>
    <w:rsid w:val="0013190A"/>
    <w:rsid w:val="00131955"/>
    <w:rsid w:val="00131C94"/>
    <w:rsid w:val="00131DE6"/>
    <w:rsid w:val="001321CA"/>
    <w:rsid w:val="001323E6"/>
    <w:rsid w:val="001326D3"/>
    <w:rsid w:val="001326DF"/>
    <w:rsid w:val="00132848"/>
    <w:rsid w:val="001329EC"/>
    <w:rsid w:val="00132A53"/>
    <w:rsid w:val="00132A5F"/>
    <w:rsid w:val="00132AD8"/>
    <w:rsid w:val="00132CCE"/>
    <w:rsid w:val="00133BBE"/>
    <w:rsid w:val="00133D01"/>
    <w:rsid w:val="001342A2"/>
    <w:rsid w:val="00134510"/>
    <w:rsid w:val="00134DD2"/>
    <w:rsid w:val="001358D6"/>
    <w:rsid w:val="00135FDA"/>
    <w:rsid w:val="00136073"/>
    <w:rsid w:val="00136198"/>
    <w:rsid w:val="001361F7"/>
    <w:rsid w:val="00136606"/>
    <w:rsid w:val="0013663C"/>
    <w:rsid w:val="001367BA"/>
    <w:rsid w:val="00136806"/>
    <w:rsid w:val="001369A6"/>
    <w:rsid w:val="00136BD6"/>
    <w:rsid w:val="00136BF1"/>
    <w:rsid w:val="00136DBC"/>
    <w:rsid w:val="00136F77"/>
    <w:rsid w:val="001370A8"/>
    <w:rsid w:val="00137507"/>
    <w:rsid w:val="00137856"/>
    <w:rsid w:val="00137966"/>
    <w:rsid w:val="00137B4E"/>
    <w:rsid w:val="00137BD3"/>
    <w:rsid w:val="00137BD8"/>
    <w:rsid w:val="00137CFE"/>
    <w:rsid w:val="00140291"/>
    <w:rsid w:val="00140866"/>
    <w:rsid w:val="00140D22"/>
    <w:rsid w:val="0014226B"/>
    <w:rsid w:val="0014229D"/>
    <w:rsid w:val="001422BC"/>
    <w:rsid w:val="001422D4"/>
    <w:rsid w:val="0014235F"/>
    <w:rsid w:val="0014236F"/>
    <w:rsid w:val="00142705"/>
    <w:rsid w:val="00142853"/>
    <w:rsid w:val="001428FA"/>
    <w:rsid w:val="00142A87"/>
    <w:rsid w:val="00142C3F"/>
    <w:rsid w:val="001433C6"/>
    <w:rsid w:val="00143A59"/>
    <w:rsid w:val="00143B30"/>
    <w:rsid w:val="00143B37"/>
    <w:rsid w:val="00143B9F"/>
    <w:rsid w:val="0014427F"/>
    <w:rsid w:val="001442C2"/>
    <w:rsid w:val="001449E1"/>
    <w:rsid w:val="00144D5F"/>
    <w:rsid w:val="00144DD9"/>
    <w:rsid w:val="001455BA"/>
    <w:rsid w:val="00145DDE"/>
    <w:rsid w:val="00145F78"/>
    <w:rsid w:val="0014621F"/>
    <w:rsid w:val="0014647C"/>
    <w:rsid w:val="00146907"/>
    <w:rsid w:val="00146E85"/>
    <w:rsid w:val="00147916"/>
    <w:rsid w:val="0014795D"/>
    <w:rsid w:val="001479AA"/>
    <w:rsid w:val="00147F00"/>
    <w:rsid w:val="00150146"/>
    <w:rsid w:val="001502FF"/>
    <w:rsid w:val="00150536"/>
    <w:rsid w:val="00150564"/>
    <w:rsid w:val="001506A7"/>
    <w:rsid w:val="0015087C"/>
    <w:rsid w:val="00150882"/>
    <w:rsid w:val="00150A4A"/>
    <w:rsid w:val="00150D1D"/>
    <w:rsid w:val="00150FCC"/>
    <w:rsid w:val="00150FFB"/>
    <w:rsid w:val="00151671"/>
    <w:rsid w:val="001518B5"/>
    <w:rsid w:val="00151BBA"/>
    <w:rsid w:val="00151BDE"/>
    <w:rsid w:val="00151DC1"/>
    <w:rsid w:val="0015252D"/>
    <w:rsid w:val="00152656"/>
    <w:rsid w:val="00152C00"/>
    <w:rsid w:val="00152C2B"/>
    <w:rsid w:val="00152E98"/>
    <w:rsid w:val="00153084"/>
    <w:rsid w:val="00153A54"/>
    <w:rsid w:val="00153B4B"/>
    <w:rsid w:val="00154072"/>
    <w:rsid w:val="00154264"/>
    <w:rsid w:val="00154304"/>
    <w:rsid w:val="00154493"/>
    <w:rsid w:val="001544EE"/>
    <w:rsid w:val="001546EA"/>
    <w:rsid w:val="0015477A"/>
    <w:rsid w:val="00154902"/>
    <w:rsid w:val="00154913"/>
    <w:rsid w:val="00154951"/>
    <w:rsid w:val="001549E4"/>
    <w:rsid w:val="00154BA6"/>
    <w:rsid w:val="00154F0A"/>
    <w:rsid w:val="001551DA"/>
    <w:rsid w:val="001552AE"/>
    <w:rsid w:val="001559DA"/>
    <w:rsid w:val="00156891"/>
    <w:rsid w:val="00156BA3"/>
    <w:rsid w:val="00157320"/>
    <w:rsid w:val="001579B9"/>
    <w:rsid w:val="001602EB"/>
    <w:rsid w:val="0016080B"/>
    <w:rsid w:val="00160853"/>
    <w:rsid w:val="00160D29"/>
    <w:rsid w:val="00160F65"/>
    <w:rsid w:val="001610EB"/>
    <w:rsid w:val="00161216"/>
    <w:rsid w:val="001614D4"/>
    <w:rsid w:val="00161BB8"/>
    <w:rsid w:val="00161C1F"/>
    <w:rsid w:val="00161C2F"/>
    <w:rsid w:val="00161F11"/>
    <w:rsid w:val="001620B6"/>
    <w:rsid w:val="001622BA"/>
    <w:rsid w:val="00162664"/>
    <w:rsid w:val="00162C60"/>
    <w:rsid w:val="00163194"/>
    <w:rsid w:val="00163499"/>
    <w:rsid w:val="001634CD"/>
    <w:rsid w:val="001638DF"/>
    <w:rsid w:val="001639B6"/>
    <w:rsid w:val="00163DB9"/>
    <w:rsid w:val="00163DD8"/>
    <w:rsid w:val="00163EC3"/>
    <w:rsid w:val="001643DB"/>
    <w:rsid w:val="00164F8F"/>
    <w:rsid w:val="00165130"/>
    <w:rsid w:val="0016529F"/>
    <w:rsid w:val="00165645"/>
    <w:rsid w:val="001658F5"/>
    <w:rsid w:val="00165C1E"/>
    <w:rsid w:val="00165F38"/>
    <w:rsid w:val="001661B8"/>
    <w:rsid w:val="00166237"/>
    <w:rsid w:val="00166385"/>
    <w:rsid w:val="0016644D"/>
    <w:rsid w:val="0016655F"/>
    <w:rsid w:val="00166656"/>
    <w:rsid w:val="001666AA"/>
    <w:rsid w:val="00166EE6"/>
    <w:rsid w:val="001672AF"/>
    <w:rsid w:val="00167454"/>
    <w:rsid w:val="00167460"/>
    <w:rsid w:val="00167517"/>
    <w:rsid w:val="0016764C"/>
    <w:rsid w:val="00170307"/>
    <w:rsid w:val="00170377"/>
    <w:rsid w:val="001706B2"/>
    <w:rsid w:val="00170A14"/>
    <w:rsid w:val="00170B33"/>
    <w:rsid w:val="00170B4C"/>
    <w:rsid w:val="00170F8B"/>
    <w:rsid w:val="00171014"/>
    <w:rsid w:val="0017112B"/>
    <w:rsid w:val="0017113C"/>
    <w:rsid w:val="00171185"/>
    <w:rsid w:val="00171C71"/>
    <w:rsid w:val="00172202"/>
    <w:rsid w:val="001726CF"/>
    <w:rsid w:val="00172A27"/>
    <w:rsid w:val="00172A39"/>
    <w:rsid w:val="00172BAF"/>
    <w:rsid w:val="00172D05"/>
    <w:rsid w:val="00172EC0"/>
    <w:rsid w:val="00173191"/>
    <w:rsid w:val="0017339D"/>
    <w:rsid w:val="00173686"/>
    <w:rsid w:val="001737FE"/>
    <w:rsid w:val="00173E1F"/>
    <w:rsid w:val="00173F0C"/>
    <w:rsid w:val="0017426E"/>
    <w:rsid w:val="00174691"/>
    <w:rsid w:val="00175014"/>
    <w:rsid w:val="001751EE"/>
    <w:rsid w:val="001753D1"/>
    <w:rsid w:val="00175B11"/>
    <w:rsid w:val="00175B5B"/>
    <w:rsid w:val="00175F46"/>
    <w:rsid w:val="00176AFA"/>
    <w:rsid w:val="00176B0A"/>
    <w:rsid w:val="00176C25"/>
    <w:rsid w:val="00176D15"/>
    <w:rsid w:val="00176E50"/>
    <w:rsid w:val="0017723E"/>
    <w:rsid w:val="001775DA"/>
    <w:rsid w:val="00177935"/>
    <w:rsid w:val="00177AD0"/>
    <w:rsid w:val="00177B95"/>
    <w:rsid w:val="00180510"/>
    <w:rsid w:val="001807EF"/>
    <w:rsid w:val="00180952"/>
    <w:rsid w:val="0018095E"/>
    <w:rsid w:val="00181019"/>
    <w:rsid w:val="001810ED"/>
    <w:rsid w:val="00181135"/>
    <w:rsid w:val="00181394"/>
    <w:rsid w:val="001813A3"/>
    <w:rsid w:val="001816A8"/>
    <w:rsid w:val="00181C0B"/>
    <w:rsid w:val="00181EF7"/>
    <w:rsid w:val="00181F74"/>
    <w:rsid w:val="001820BF"/>
    <w:rsid w:val="00182382"/>
    <w:rsid w:val="0018274C"/>
    <w:rsid w:val="00182DEB"/>
    <w:rsid w:val="00182DF8"/>
    <w:rsid w:val="00182F66"/>
    <w:rsid w:val="0018315F"/>
    <w:rsid w:val="00183672"/>
    <w:rsid w:val="00183DA3"/>
    <w:rsid w:val="0018495A"/>
    <w:rsid w:val="0018502B"/>
    <w:rsid w:val="0018578E"/>
    <w:rsid w:val="00185DC9"/>
    <w:rsid w:val="00186403"/>
    <w:rsid w:val="00186455"/>
    <w:rsid w:val="00186B76"/>
    <w:rsid w:val="00186C91"/>
    <w:rsid w:val="00186DC9"/>
    <w:rsid w:val="0018707E"/>
    <w:rsid w:val="001872C9"/>
    <w:rsid w:val="0018776D"/>
    <w:rsid w:val="00187892"/>
    <w:rsid w:val="00187DFB"/>
    <w:rsid w:val="00190463"/>
    <w:rsid w:val="00191435"/>
    <w:rsid w:val="00191C69"/>
    <w:rsid w:val="00191F33"/>
    <w:rsid w:val="00192213"/>
    <w:rsid w:val="001927A2"/>
    <w:rsid w:val="00192BD1"/>
    <w:rsid w:val="00192FED"/>
    <w:rsid w:val="00192FF5"/>
    <w:rsid w:val="0019302D"/>
    <w:rsid w:val="0019335B"/>
    <w:rsid w:val="001938DB"/>
    <w:rsid w:val="00193DB1"/>
    <w:rsid w:val="00193EBE"/>
    <w:rsid w:val="001940F4"/>
    <w:rsid w:val="0019423A"/>
    <w:rsid w:val="00194277"/>
    <w:rsid w:val="001945BB"/>
    <w:rsid w:val="0019473A"/>
    <w:rsid w:val="00194FA4"/>
    <w:rsid w:val="00195203"/>
    <w:rsid w:val="00195234"/>
    <w:rsid w:val="00195384"/>
    <w:rsid w:val="0019557A"/>
    <w:rsid w:val="00195648"/>
    <w:rsid w:val="001959DC"/>
    <w:rsid w:val="00195A29"/>
    <w:rsid w:val="00195F44"/>
    <w:rsid w:val="00195FB5"/>
    <w:rsid w:val="00195FC6"/>
    <w:rsid w:val="00196019"/>
    <w:rsid w:val="001963F9"/>
    <w:rsid w:val="00196B1D"/>
    <w:rsid w:val="00196C83"/>
    <w:rsid w:val="00196E92"/>
    <w:rsid w:val="001972D7"/>
    <w:rsid w:val="00197AAA"/>
    <w:rsid w:val="00197C3A"/>
    <w:rsid w:val="00197FDE"/>
    <w:rsid w:val="001A0298"/>
    <w:rsid w:val="001A03EA"/>
    <w:rsid w:val="001A0896"/>
    <w:rsid w:val="001A0BA5"/>
    <w:rsid w:val="001A0F1F"/>
    <w:rsid w:val="001A0F97"/>
    <w:rsid w:val="001A0FF1"/>
    <w:rsid w:val="001A11A2"/>
    <w:rsid w:val="001A172F"/>
    <w:rsid w:val="001A1D22"/>
    <w:rsid w:val="001A2185"/>
    <w:rsid w:val="001A2679"/>
    <w:rsid w:val="001A315B"/>
    <w:rsid w:val="001A334F"/>
    <w:rsid w:val="001A3856"/>
    <w:rsid w:val="001A3954"/>
    <w:rsid w:val="001A3F6D"/>
    <w:rsid w:val="001A4126"/>
    <w:rsid w:val="001A4C94"/>
    <w:rsid w:val="001A4D77"/>
    <w:rsid w:val="001A4F40"/>
    <w:rsid w:val="001A5233"/>
    <w:rsid w:val="001A564C"/>
    <w:rsid w:val="001A56FD"/>
    <w:rsid w:val="001A57C8"/>
    <w:rsid w:val="001A5923"/>
    <w:rsid w:val="001A5AAB"/>
    <w:rsid w:val="001A5DA1"/>
    <w:rsid w:val="001A66E5"/>
    <w:rsid w:val="001A6A4C"/>
    <w:rsid w:val="001A7328"/>
    <w:rsid w:val="001A775C"/>
    <w:rsid w:val="001A7CA4"/>
    <w:rsid w:val="001A7CBA"/>
    <w:rsid w:val="001B0DF5"/>
    <w:rsid w:val="001B16E6"/>
    <w:rsid w:val="001B1736"/>
    <w:rsid w:val="001B1AE6"/>
    <w:rsid w:val="001B1CC8"/>
    <w:rsid w:val="001B1F0B"/>
    <w:rsid w:val="001B201D"/>
    <w:rsid w:val="001B2576"/>
    <w:rsid w:val="001B2E4E"/>
    <w:rsid w:val="001B32D3"/>
    <w:rsid w:val="001B32E4"/>
    <w:rsid w:val="001B3778"/>
    <w:rsid w:val="001B3783"/>
    <w:rsid w:val="001B3CB6"/>
    <w:rsid w:val="001B3E30"/>
    <w:rsid w:val="001B43A2"/>
    <w:rsid w:val="001B4634"/>
    <w:rsid w:val="001B4D03"/>
    <w:rsid w:val="001B4ED3"/>
    <w:rsid w:val="001B5091"/>
    <w:rsid w:val="001B50CC"/>
    <w:rsid w:val="001B5355"/>
    <w:rsid w:val="001B5426"/>
    <w:rsid w:val="001B593D"/>
    <w:rsid w:val="001B5D57"/>
    <w:rsid w:val="001B5D62"/>
    <w:rsid w:val="001B6049"/>
    <w:rsid w:val="001B60D4"/>
    <w:rsid w:val="001B618E"/>
    <w:rsid w:val="001B6482"/>
    <w:rsid w:val="001B6B01"/>
    <w:rsid w:val="001B6F4A"/>
    <w:rsid w:val="001B7014"/>
    <w:rsid w:val="001B739D"/>
    <w:rsid w:val="001B7432"/>
    <w:rsid w:val="001B7474"/>
    <w:rsid w:val="001B7C32"/>
    <w:rsid w:val="001B7CBF"/>
    <w:rsid w:val="001B7E06"/>
    <w:rsid w:val="001C0476"/>
    <w:rsid w:val="001C0846"/>
    <w:rsid w:val="001C0FCB"/>
    <w:rsid w:val="001C12CB"/>
    <w:rsid w:val="001C148A"/>
    <w:rsid w:val="001C15DB"/>
    <w:rsid w:val="001C16C8"/>
    <w:rsid w:val="001C17AC"/>
    <w:rsid w:val="001C1814"/>
    <w:rsid w:val="001C1B36"/>
    <w:rsid w:val="001C1F01"/>
    <w:rsid w:val="001C2831"/>
    <w:rsid w:val="001C31AC"/>
    <w:rsid w:val="001C320C"/>
    <w:rsid w:val="001C32D4"/>
    <w:rsid w:val="001C3BCE"/>
    <w:rsid w:val="001C3D5E"/>
    <w:rsid w:val="001C3D80"/>
    <w:rsid w:val="001C4222"/>
    <w:rsid w:val="001C4361"/>
    <w:rsid w:val="001C4AA8"/>
    <w:rsid w:val="001C4C81"/>
    <w:rsid w:val="001C51A3"/>
    <w:rsid w:val="001C5358"/>
    <w:rsid w:val="001C56D1"/>
    <w:rsid w:val="001C5A59"/>
    <w:rsid w:val="001C5E59"/>
    <w:rsid w:val="001C606C"/>
    <w:rsid w:val="001C61E9"/>
    <w:rsid w:val="001C67E7"/>
    <w:rsid w:val="001C6F0D"/>
    <w:rsid w:val="001C7325"/>
    <w:rsid w:val="001C7702"/>
    <w:rsid w:val="001C7A8C"/>
    <w:rsid w:val="001C7DF6"/>
    <w:rsid w:val="001C7F79"/>
    <w:rsid w:val="001C7FBB"/>
    <w:rsid w:val="001D0774"/>
    <w:rsid w:val="001D0AF1"/>
    <w:rsid w:val="001D0B07"/>
    <w:rsid w:val="001D0D82"/>
    <w:rsid w:val="001D0F05"/>
    <w:rsid w:val="001D1136"/>
    <w:rsid w:val="001D13E6"/>
    <w:rsid w:val="001D151F"/>
    <w:rsid w:val="001D15D9"/>
    <w:rsid w:val="001D1912"/>
    <w:rsid w:val="001D1DD7"/>
    <w:rsid w:val="001D1EC2"/>
    <w:rsid w:val="001D215D"/>
    <w:rsid w:val="001D21CD"/>
    <w:rsid w:val="001D23EF"/>
    <w:rsid w:val="001D2608"/>
    <w:rsid w:val="001D273D"/>
    <w:rsid w:val="001D285A"/>
    <w:rsid w:val="001D2A03"/>
    <w:rsid w:val="001D2E8F"/>
    <w:rsid w:val="001D3534"/>
    <w:rsid w:val="001D3652"/>
    <w:rsid w:val="001D4607"/>
    <w:rsid w:val="001D49FD"/>
    <w:rsid w:val="001D4EB1"/>
    <w:rsid w:val="001D5354"/>
    <w:rsid w:val="001D537F"/>
    <w:rsid w:val="001D565B"/>
    <w:rsid w:val="001D592E"/>
    <w:rsid w:val="001D6B8D"/>
    <w:rsid w:val="001D6D80"/>
    <w:rsid w:val="001D723E"/>
    <w:rsid w:val="001D75E1"/>
    <w:rsid w:val="001D7681"/>
    <w:rsid w:val="001D7CDE"/>
    <w:rsid w:val="001E0531"/>
    <w:rsid w:val="001E131D"/>
    <w:rsid w:val="001E15B4"/>
    <w:rsid w:val="001E1FA3"/>
    <w:rsid w:val="001E21AC"/>
    <w:rsid w:val="001E24A4"/>
    <w:rsid w:val="001E2756"/>
    <w:rsid w:val="001E28CC"/>
    <w:rsid w:val="001E28E4"/>
    <w:rsid w:val="001E290A"/>
    <w:rsid w:val="001E2DA9"/>
    <w:rsid w:val="001E317A"/>
    <w:rsid w:val="001E31A6"/>
    <w:rsid w:val="001E321D"/>
    <w:rsid w:val="001E327A"/>
    <w:rsid w:val="001E3315"/>
    <w:rsid w:val="001E33D6"/>
    <w:rsid w:val="001E38B1"/>
    <w:rsid w:val="001E3A2B"/>
    <w:rsid w:val="001E4004"/>
    <w:rsid w:val="001E4100"/>
    <w:rsid w:val="001E478C"/>
    <w:rsid w:val="001E47D9"/>
    <w:rsid w:val="001E4C00"/>
    <w:rsid w:val="001E4D12"/>
    <w:rsid w:val="001E4D56"/>
    <w:rsid w:val="001E4DB4"/>
    <w:rsid w:val="001E532C"/>
    <w:rsid w:val="001E5559"/>
    <w:rsid w:val="001E5BBC"/>
    <w:rsid w:val="001E5F00"/>
    <w:rsid w:val="001E62C7"/>
    <w:rsid w:val="001E6542"/>
    <w:rsid w:val="001E6685"/>
    <w:rsid w:val="001E66CC"/>
    <w:rsid w:val="001E6976"/>
    <w:rsid w:val="001E69FA"/>
    <w:rsid w:val="001E72E0"/>
    <w:rsid w:val="001E7739"/>
    <w:rsid w:val="001E7AB5"/>
    <w:rsid w:val="001E7B04"/>
    <w:rsid w:val="001F0064"/>
    <w:rsid w:val="001F03DE"/>
    <w:rsid w:val="001F0D9E"/>
    <w:rsid w:val="001F16DF"/>
    <w:rsid w:val="001F193B"/>
    <w:rsid w:val="001F1960"/>
    <w:rsid w:val="001F1FBA"/>
    <w:rsid w:val="001F2022"/>
    <w:rsid w:val="001F2202"/>
    <w:rsid w:val="001F2C58"/>
    <w:rsid w:val="001F3066"/>
    <w:rsid w:val="001F327B"/>
    <w:rsid w:val="001F32DA"/>
    <w:rsid w:val="001F3DAE"/>
    <w:rsid w:val="001F4A98"/>
    <w:rsid w:val="001F4C8F"/>
    <w:rsid w:val="001F4F82"/>
    <w:rsid w:val="001F6159"/>
    <w:rsid w:val="001F6680"/>
    <w:rsid w:val="001F6947"/>
    <w:rsid w:val="001F6C51"/>
    <w:rsid w:val="001F6DC6"/>
    <w:rsid w:val="001F6FB6"/>
    <w:rsid w:val="001F736C"/>
    <w:rsid w:val="001F740D"/>
    <w:rsid w:val="001F7432"/>
    <w:rsid w:val="001F792F"/>
    <w:rsid w:val="001F7AC9"/>
    <w:rsid w:val="001F7B9E"/>
    <w:rsid w:val="001F7BE1"/>
    <w:rsid w:val="001F7C97"/>
    <w:rsid w:val="00200A84"/>
    <w:rsid w:val="00200A89"/>
    <w:rsid w:val="00200C40"/>
    <w:rsid w:val="00200D7D"/>
    <w:rsid w:val="00201213"/>
    <w:rsid w:val="00201229"/>
    <w:rsid w:val="002013AF"/>
    <w:rsid w:val="002014F7"/>
    <w:rsid w:val="0020175B"/>
    <w:rsid w:val="00201C9F"/>
    <w:rsid w:val="00202359"/>
    <w:rsid w:val="002023BE"/>
    <w:rsid w:val="0020248C"/>
    <w:rsid w:val="00202576"/>
    <w:rsid w:val="00202583"/>
    <w:rsid w:val="0020269C"/>
    <w:rsid w:val="00202B50"/>
    <w:rsid w:val="00202E5D"/>
    <w:rsid w:val="00202EF9"/>
    <w:rsid w:val="00203204"/>
    <w:rsid w:val="00203236"/>
    <w:rsid w:val="00203395"/>
    <w:rsid w:val="002036E8"/>
    <w:rsid w:val="00203939"/>
    <w:rsid w:val="00203B3F"/>
    <w:rsid w:val="002048AD"/>
    <w:rsid w:val="00204967"/>
    <w:rsid w:val="00204BB7"/>
    <w:rsid w:val="0020511F"/>
    <w:rsid w:val="002051F7"/>
    <w:rsid w:val="0020531C"/>
    <w:rsid w:val="00205693"/>
    <w:rsid w:val="002056B0"/>
    <w:rsid w:val="00205AD3"/>
    <w:rsid w:val="00205B53"/>
    <w:rsid w:val="00205E98"/>
    <w:rsid w:val="002066C1"/>
    <w:rsid w:val="002067D2"/>
    <w:rsid w:val="00206D59"/>
    <w:rsid w:val="00206DC8"/>
    <w:rsid w:val="00206EF3"/>
    <w:rsid w:val="00207026"/>
    <w:rsid w:val="0020708A"/>
    <w:rsid w:val="00207402"/>
    <w:rsid w:val="00207435"/>
    <w:rsid w:val="00207642"/>
    <w:rsid w:val="00207877"/>
    <w:rsid w:val="00207A53"/>
    <w:rsid w:val="00207AAC"/>
    <w:rsid w:val="00207F6A"/>
    <w:rsid w:val="00210191"/>
    <w:rsid w:val="00210256"/>
    <w:rsid w:val="00210394"/>
    <w:rsid w:val="0021051F"/>
    <w:rsid w:val="002105C8"/>
    <w:rsid w:val="0021076E"/>
    <w:rsid w:val="002107A4"/>
    <w:rsid w:val="002109BC"/>
    <w:rsid w:val="00211511"/>
    <w:rsid w:val="00211A77"/>
    <w:rsid w:val="00211D58"/>
    <w:rsid w:val="00211E23"/>
    <w:rsid w:val="00211F07"/>
    <w:rsid w:val="00211F79"/>
    <w:rsid w:val="0021206E"/>
    <w:rsid w:val="00212451"/>
    <w:rsid w:val="002127B9"/>
    <w:rsid w:val="00212B08"/>
    <w:rsid w:val="00212B38"/>
    <w:rsid w:val="00213289"/>
    <w:rsid w:val="002132ED"/>
    <w:rsid w:val="00213825"/>
    <w:rsid w:val="00213CEF"/>
    <w:rsid w:val="00214189"/>
    <w:rsid w:val="0021432D"/>
    <w:rsid w:val="002143B4"/>
    <w:rsid w:val="00214532"/>
    <w:rsid w:val="00214ADD"/>
    <w:rsid w:val="0021525B"/>
    <w:rsid w:val="002160AD"/>
    <w:rsid w:val="00216356"/>
    <w:rsid w:val="002164F1"/>
    <w:rsid w:val="00216A00"/>
    <w:rsid w:val="00216A50"/>
    <w:rsid w:val="00216B19"/>
    <w:rsid w:val="00216CCC"/>
    <w:rsid w:val="00216E16"/>
    <w:rsid w:val="002172B5"/>
    <w:rsid w:val="0021738B"/>
    <w:rsid w:val="00217EE6"/>
    <w:rsid w:val="00220082"/>
    <w:rsid w:val="002203BD"/>
    <w:rsid w:val="002203F3"/>
    <w:rsid w:val="00220517"/>
    <w:rsid w:val="00220776"/>
    <w:rsid w:val="0022116D"/>
    <w:rsid w:val="002216CC"/>
    <w:rsid w:val="00221ED0"/>
    <w:rsid w:val="002221C3"/>
    <w:rsid w:val="002222FA"/>
    <w:rsid w:val="0022241C"/>
    <w:rsid w:val="0022256B"/>
    <w:rsid w:val="0022299A"/>
    <w:rsid w:val="00222A0B"/>
    <w:rsid w:val="00222B91"/>
    <w:rsid w:val="00222D7D"/>
    <w:rsid w:val="00222DE4"/>
    <w:rsid w:val="002230FD"/>
    <w:rsid w:val="002232B3"/>
    <w:rsid w:val="00223664"/>
    <w:rsid w:val="0022401E"/>
    <w:rsid w:val="00224756"/>
    <w:rsid w:val="002247AB"/>
    <w:rsid w:val="00224878"/>
    <w:rsid w:val="0022514D"/>
    <w:rsid w:val="00225CEE"/>
    <w:rsid w:val="00225E3F"/>
    <w:rsid w:val="00226447"/>
    <w:rsid w:val="002266DB"/>
    <w:rsid w:val="00226894"/>
    <w:rsid w:val="002268B0"/>
    <w:rsid w:val="00226C0B"/>
    <w:rsid w:val="002272F5"/>
    <w:rsid w:val="00227577"/>
    <w:rsid w:val="002277E9"/>
    <w:rsid w:val="00230153"/>
    <w:rsid w:val="002302AF"/>
    <w:rsid w:val="002303A6"/>
    <w:rsid w:val="00230894"/>
    <w:rsid w:val="002308E9"/>
    <w:rsid w:val="00231060"/>
    <w:rsid w:val="0023146B"/>
    <w:rsid w:val="00231B36"/>
    <w:rsid w:val="00231F9E"/>
    <w:rsid w:val="00232498"/>
    <w:rsid w:val="002324E2"/>
    <w:rsid w:val="0023254E"/>
    <w:rsid w:val="00232918"/>
    <w:rsid w:val="00232955"/>
    <w:rsid w:val="00232B27"/>
    <w:rsid w:val="00232E1E"/>
    <w:rsid w:val="0023350C"/>
    <w:rsid w:val="00233698"/>
    <w:rsid w:val="00233981"/>
    <w:rsid w:val="00233E70"/>
    <w:rsid w:val="002340E1"/>
    <w:rsid w:val="00234281"/>
    <w:rsid w:val="00234B9E"/>
    <w:rsid w:val="00234BBE"/>
    <w:rsid w:val="00234DD6"/>
    <w:rsid w:val="00234FD3"/>
    <w:rsid w:val="0023568A"/>
    <w:rsid w:val="00235B0E"/>
    <w:rsid w:val="00236382"/>
    <w:rsid w:val="00236B90"/>
    <w:rsid w:val="00236BCD"/>
    <w:rsid w:val="00236C21"/>
    <w:rsid w:val="00236FF2"/>
    <w:rsid w:val="002371BF"/>
    <w:rsid w:val="002371E1"/>
    <w:rsid w:val="00237249"/>
    <w:rsid w:val="00237662"/>
    <w:rsid w:val="00237A87"/>
    <w:rsid w:val="00237F71"/>
    <w:rsid w:val="00240262"/>
    <w:rsid w:val="002404C3"/>
    <w:rsid w:val="002410C4"/>
    <w:rsid w:val="00241129"/>
    <w:rsid w:val="002411AE"/>
    <w:rsid w:val="00241205"/>
    <w:rsid w:val="00241388"/>
    <w:rsid w:val="00241731"/>
    <w:rsid w:val="00241840"/>
    <w:rsid w:val="00241C36"/>
    <w:rsid w:val="002423E5"/>
    <w:rsid w:val="0024262D"/>
    <w:rsid w:val="002427EB"/>
    <w:rsid w:val="002427F0"/>
    <w:rsid w:val="002428BD"/>
    <w:rsid w:val="00242D15"/>
    <w:rsid w:val="00242E09"/>
    <w:rsid w:val="002432B7"/>
    <w:rsid w:val="002432E9"/>
    <w:rsid w:val="00243D23"/>
    <w:rsid w:val="002440B2"/>
    <w:rsid w:val="00244577"/>
    <w:rsid w:val="002445FE"/>
    <w:rsid w:val="002451B3"/>
    <w:rsid w:val="002458CE"/>
    <w:rsid w:val="002459C5"/>
    <w:rsid w:val="00245A3D"/>
    <w:rsid w:val="00245DE9"/>
    <w:rsid w:val="00245E81"/>
    <w:rsid w:val="00245F09"/>
    <w:rsid w:val="00246513"/>
    <w:rsid w:val="00246851"/>
    <w:rsid w:val="00246B1D"/>
    <w:rsid w:val="00246E71"/>
    <w:rsid w:val="00246F16"/>
    <w:rsid w:val="0024705A"/>
    <w:rsid w:val="002477AE"/>
    <w:rsid w:val="00247BDE"/>
    <w:rsid w:val="00247D10"/>
    <w:rsid w:val="00247D4D"/>
    <w:rsid w:val="00247F3A"/>
    <w:rsid w:val="002504FC"/>
    <w:rsid w:val="00250B11"/>
    <w:rsid w:val="00250D82"/>
    <w:rsid w:val="00250F7C"/>
    <w:rsid w:val="0025120C"/>
    <w:rsid w:val="00251CC2"/>
    <w:rsid w:val="00251EB3"/>
    <w:rsid w:val="00251EE5"/>
    <w:rsid w:val="00252136"/>
    <w:rsid w:val="002523D0"/>
    <w:rsid w:val="00252D18"/>
    <w:rsid w:val="0025329B"/>
    <w:rsid w:val="00253582"/>
    <w:rsid w:val="0025362C"/>
    <w:rsid w:val="002538BA"/>
    <w:rsid w:val="00253AC1"/>
    <w:rsid w:val="00253AE3"/>
    <w:rsid w:val="00253C3E"/>
    <w:rsid w:val="00253EC4"/>
    <w:rsid w:val="0025418A"/>
    <w:rsid w:val="00254240"/>
    <w:rsid w:val="0025425A"/>
    <w:rsid w:val="002547EA"/>
    <w:rsid w:val="0025531B"/>
    <w:rsid w:val="00255536"/>
    <w:rsid w:val="002557BB"/>
    <w:rsid w:val="002558AC"/>
    <w:rsid w:val="00255BC2"/>
    <w:rsid w:val="00255EFE"/>
    <w:rsid w:val="00256298"/>
    <w:rsid w:val="002564CF"/>
    <w:rsid w:val="00256539"/>
    <w:rsid w:val="00256DEA"/>
    <w:rsid w:val="00257117"/>
    <w:rsid w:val="002577B5"/>
    <w:rsid w:val="00257923"/>
    <w:rsid w:val="002579BB"/>
    <w:rsid w:val="00257AB4"/>
    <w:rsid w:val="00257ABE"/>
    <w:rsid w:val="00257C49"/>
    <w:rsid w:val="00260299"/>
    <w:rsid w:val="002603B3"/>
    <w:rsid w:val="0026072F"/>
    <w:rsid w:val="00260952"/>
    <w:rsid w:val="00260B2B"/>
    <w:rsid w:val="00260C11"/>
    <w:rsid w:val="00260F7B"/>
    <w:rsid w:val="002610D7"/>
    <w:rsid w:val="00261192"/>
    <w:rsid w:val="0026131A"/>
    <w:rsid w:val="0026176E"/>
    <w:rsid w:val="00261A11"/>
    <w:rsid w:val="00261CB5"/>
    <w:rsid w:val="00261D8A"/>
    <w:rsid w:val="002625F2"/>
    <w:rsid w:val="00262999"/>
    <w:rsid w:val="00262CA3"/>
    <w:rsid w:val="00262D43"/>
    <w:rsid w:val="00263413"/>
    <w:rsid w:val="00263AEC"/>
    <w:rsid w:val="00263B87"/>
    <w:rsid w:val="00263DE1"/>
    <w:rsid w:val="00263E3B"/>
    <w:rsid w:val="0026408F"/>
    <w:rsid w:val="0026431A"/>
    <w:rsid w:val="002644A4"/>
    <w:rsid w:val="00264634"/>
    <w:rsid w:val="0026485D"/>
    <w:rsid w:val="00264A11"/>
    <w:rsid w:val="00264C8F"/>
    <w:rsid w:val="00265066"/>
    <w:rsid w:val="002650EA"/>
    <w:rsid w:val="00265548"/>
    <w:rsid w:val="00265C93"/>
    <w:rsid w:val="00265CE9"/>
    <w:rsid w:val="00266300"/>
    <w:rsid w:val="002663F1"/>
    <w:rsid w:val="0026641E"/>
    <w:rsid w:val="00266678"/>
    <w:rsid w:val="002669B2"/>
    <w:rsid w:val="00266EE2"/>
    <w:rsid w:val="002674FD"/>
    <w:rsid w:val="0026774B"/>
    <w:rsid w:val="002678CA"/>
    <w:rsid w:val="00267BBD"/>
    <w:rsid w:val="00267EC5"/>
    <w:rsid w:val="00267F3E"/>
    <w:rsid w:val="00270297"/>
    <w:rsid w:val="0027038F"/>
    <w:rsid w:val="002707FA"/>
    <w:rsid w:val="00270DFB"/>
    <w:rsid w:val="00270EAC"/>
    <w:rsid w:val="00270ED2"/>
    <w:rsid w:val="00271150"/>
    <w:rsid w:val="00271DDF"/>
    <w:rsid w:val="0027297F"/>
    <w:rsid w:val="00272EB3"/>
    <w:rsid w:val="00273328"/>
    <w:rsid w:val="00273743"/>
    <w:rsid w:val="0027393F"/>
    <w:rsid w:val="0027438E"/>
    <w:rsid w:val="0027447A"/>
    <w:rsid w:val="00274682"/>
    <w:rsid w:val="002747CC"/>
    <w:rsid w:val="00274830"/>
    <w:rsid w:val="00274AAB"/>
    <w:rsid w:val="00274DF9"/>
    <w:rsid w:val="00275170"/>
    <w:rsid w:val="00275D77"/>
    <w:rsid w:val="00275EAD"/>
    <w:rsid w:val="0027602C"/>
    <w:rsid w:val="002760F9"/>
    <w:rsid w:val="00276A43"/>
    <w:rsid w:val="00276D2F"/>
    <w:rsid w:val="00276D5E"/>
    <w:rsid w:val="00276FBF"/>
    <w:rsid w:val="002775C7"/>
    <w:rsid w:val="002776B3"/>
    <w:rsid w:val="002778F2"/>
    <w:rsid w:val="00277AB9"/>
    <w:rsid w:val="00277F52"/>
    <w:rsid w:val="00277F90"/>
    <w:rsid w:val="002809A3"/>
    <w:rsid w:val="002809CB"/>
    <w:rsid w:val="00280AED"/>
    <w:rsid w:val="00280E91"/>
    <w:rsid w:val="0028107C"/>
    <w:rsid w:val="00281979"/>
    <w:rsid w:val="00281E85"/>
    <w:rsid w:val="0028200C"/>
    <w:rsid w:val="00282011"/>
    <w:rsid w:val="00282469"/>
    <w:rsid w:val="00282533"/>
    <w:rsid w:val="00282622"/>
    <w:rsid w:val="00283221"/>
    <w:rsid w:val="002837F8"/>
    <w:rsid w:val="00283A81"/>
    <w:rsid w:val="00283ACF"/>
    <w:rsid w:val="00283C99"/>
    <w:rsid w:val="00283D11"/>
    <w:rsid w:val="002845EA"/>
    <w:rsid w:val="0028473D"/>
    <w:rsid w:val="00284850"/>
    <w:rsid w:val="00284CEE"/>
    <w:rsid w:val="00284D22"/>
    <w:rsid w:val="00284DB4"/>
    <w:rsid w:val="00284F33"/>
    <w:rsid w:val="002851E8"/>
    <w:rsid w:val="0028529C"/>
    <w:rsid w:val="00285326"/>
    <w:rsid w:val="0028572F"/>
    <w:rsid w:val="00285DE8"/>
    <w:rsid w:val="00287067"/>
    <w:rsid w:val="00290337"/>
    <w:rsid w:val="00290461"/>
    <w:rsid w:val="002904A9"/>
    <w:rsid w:val="0029054D"/>
    <w:rsid w:val="00290891"/>
    <w:rsid w:val="00291DA9"/>
    <w:rsid w:val="00291E40"/>
    <w:rsid w:val="00292552"/>
    <w:rsid w:val="00292661"/>
    <w:rsid w:val="00292773"/>
    <w:rsid w:val="002927AC"/>
    <w:rsid w:val="002928D1"/>
    <w:rsid w:val="00292D88"/>
    <w:rsid w:val="00293689"/>
    <w:rsid w:val="00294241"/>
    <w:rsid w:val="002943E7"/>
    <w:rsid w:val="00294519"/>
    <w:rsid w:val="0029469F"/>
    <w:rsid w:val="0029476B"/>
    <w:rsid w:val="0029515F"/>
    <w:rsid w:val="00295405"/>
    <w:rsid w:val="002954FB"/>
    <w:rsid w:val="00295E06"/>
    <w:rsid w:val="00295E8B"/>
    <w:rsid w:val="0029618D"/>
    <w:rsid w:val="0029658F"/>
    <w:rsid w:val="002965BA"/>
    <w:rsid w:val="00296814"/>
    <w:rsid w:val="00296D48"/>
    <w:rsid w:val="00296EB8"/>
    <w:rsid w:val="00296F5F"/>
    <w:rsid w:val="0029716C"/>
    <w:rsid w:val="002976F2"/>
    <w:rsid w:val="00297A95"/>
    <w:rsid w:val="002A0070"/>
    <w:rsid w:val="002A02A0"/>
    <w:rsid w:val="002A068A"/>
    <w:rsid w:val="002A071D"/>
    <w:rsid w:val="002A076C"/>
    <w:rsid w:val="002A07C4"/>
    <w:rsid w:val="002A0D1C"/>
    <w:rsid w:val="002A0DD4"/>
    <w:rsid w:val="002A2381"/>
    <w:rsid w:val="002A24CF"/>
    <w:rsid w:val="002A2537"/>
    <w:rsid w:val="002A2AB8"/>
    <w:rsid w:val="002A2B8E"/>
    <w:rsid w:val="002A2B92"/>
    <w:rsid w:val="002A3123"/>
    <w:rsid w:val="002A3195"/>
    <w:rsid w:val="002A3789"/>
    <w:rsid w:val="002A399D"/>
    <w:rsid w:val="002A4B7B"/>
    <w:rsid w:val="002A5126"/>
    <w:rsid w:val="002A51EB"/>
    <w:rsid w:val="002A529E"/>
    <w:rsid w:val="002A5948"/>
    <w:rsid w:val="002A5BCC"/>
    <w:rsid w:val="002A5C4F"/>
    <w:rsid w:val="002A6115"/>
    <w:rsid w:val="002A639F"/>
    <w:rsid w:val="002A64F2"/>
    <w:rsid w:val="002A6590"/>
    <w:rsid w:val="002A6708"/>
    <w:rsid w:val="002A6960"/>
    <w:rsid w:val="002A7058"/>
    <w:rsid w:val="002A7478"/>
    <w:rsid w:val="002A7678"/>
    <w:rsid w:val="002A7B26"/>
    <w:rsid w:val="002B01AD"/>
    <w:rsid w:val="002B02F8"/>
    <w:rsid w:val="002B037F"/>
    <w:rsid w:val="002B047F"/>
    <w:rsid w:val="002B0A48"/>
    <w:rsid w:val="002B151D"/>
    <w:rsid w:val="002B1824"/>
    <w:rsid w:val="002B182C"/>
    <w:rsid w:val="002B1845"/>
    <w:rsid w:val="002B1A9F"/>
    <w:rsid w:val="002B210C"/>
    <w:rsid w:val="002B2402"/>
    <w:rsid w:val="002B2667"/>
    <w:rsid w:val="002B2847"/>
    <w:rsid w:val="002B2C8F"/>
    <w:rsid w:val="002B2D78"/>
    <w:rsid w:val="002B32B6"/>
    <w:rsid w:val="002B32C9"/>
    <w:rsid w:val="002B35D8"/>
    <w:rsid w:val="002B3736"/>
    <w:rsid w:val="002B4054"/>
    <w:rsid w:val="002B41A8"/>
    <w:rsid w:val="002B427C"/>
    <w:rsid w:val="002B435D"/>
    <w:rsid w:val="002B46A0"/>
    <w:rsid w:val="002B46FF"/>
    <w:rsid w:val="002B497D"/>
    <w:rsid w:val="002B4BBC"/>
    <w:rsid w:val="002B4D0E"/>
    <w:rsid w:val="002B4D3C"/>
    <w:rsid w:val="002B4EA1"/>
    <w:rsid w:val="002B4F54"/>
    <w:rsid w:val="002B542A"/>
    <w:rsid w:val="002B5495"/>
    <w:rsid w:val="002B54C5"/>
    <w:rsid w:val="002B55DD"/>
    <w:rsid w:val="002B55E5"/>
    <w:rsid w:val="002B6104"/>
    <w:rsid w:val="002B61C9"/>
    <w:rsid w:val="002B653E"/>
    <w:rsid w:val="002B6703"/>
    <w:rsid w:val="002B68A4"/>
    <w:rsid w:val="002B6D69"/>
    <w:rsid w:val="002B6E4E"/>
    <w:rsid w:val="002B6E5B"/>
    <w:rsid w:val="002B6F67"/>
    <w:rsid w:val="002B7411"/>
    <w:rsid w:val="002B7488"/>
    <w:rsid w:val="002B7F1B"/>
    <w:rsid w:val="002C0083"/>
    <w:rsid w:val="002C0186"/>
    <w:rsid w:val="002C0303"/>
    <w:rsid w:val="002C032E"/>
    <w:rsid w:val="002C081A"/>
    <w:rsid w:val="002C087B"/>
    <w:rsid w:val="002C0BA9"/>
    <w:rsid w:val="002C108A"/>
    <w:rsid w:val="002C1553"/>
    <w:rsid w:val="002C1B74"/>
    <w:rsid w:val="002C2035"/>
    <w:rsid w:val="002C231A"/>
    <w:rsid w:val="002C23E0"/>
    <w:rsid w:val="002C24C4"/>
    <w:rsid w:val="002C25D4"/>
    <w:rsid w:val="002C2A2B"/>
    <w:rsid w:val="002C2AB5"/>
    <w:rsid w:val="002C2C95"/>
    <w:rsid w:val="002C2CCD"/>
    <w:rsid w:val="002C2DBF"/>
    <w:rsid w:val="002C2F2D"/>
    <w:rsid w:val="002C2F7F"/>
    <w:rsid w:val="002C2FB4"/>
    <w:rsid w:val="002C2FD3"/>
    <w:rsid w:val="002C3027"/>
    <w:rsid w:val="002C30AA"/>
    <w:rsid w:val="002C3683"/>
    <w:rsid w:val="002C3C31"/>
    <w:rsid w:val="002C4417"/>
    <w:rsid w:val="002C475C"/>
    <w:rsid w:val="002C4AFD"/>
    <w:rsid w:val="002C5516"/>
    <w:rsid w:val="002C5A3A"/>
    <w:rsid w:val="002C5D7E"/>
    <w:rsid w:val="002C654E"/>
    <w:rsid w:val="002C6669"/>
    <w:rsid w:val="002C6A57"/>
    <w:rsid w:val="002C6BB3"/>
    <w:rsid w:val="002C6DC2"/>
    <w:rsid w:val="002C6DDA"/>
    <w:rsid w:val="002C713E"/>
    <w:rsid w:val="002C72FB"/>
    <w:rsid w:val="002C77B0"/>
    <w:rsid w:val="002C77C6"/>
    <w:rsid w:val="002C7C3D"/>
    <w:rsid w:val="002D0068"/>
    <w:rsid w:val="002D0466"/>
    <w:rsid w:val="002D053D"/>
    <w:rsid w:val="002D071B"/>
    <w:rsid w:val="002D0829"/>
    <w:rsid w:val="002D0B99"/>
    <w:rsid w:val="002D0BD0"/>
    <w:rsid w:val="002D1600"/>
    <w:rsid w:val="002D1936"/>
    <w:rsid w:val="002D1CE8"/>
    <w:rsid w:val="002D1F76"/>
    <w:rsid w:val="002D21F0"/>
    <w:rsid w:val="002D22E4"/>
    <w:rsid w:val="002D2403"/>
    <w:rsid w:val="002D2D0D"/>
    <w:rsid w:val="002D2FB2"/>
    <w:rsid w:val="002D3066"/>
    <w:rsid w:val="002D32C1"/>
    <w:rsid w:val="002D34FE"/>
    <w:rsid w:val="002D35EA"/>
    <w:rsid w:val="002D3782"/>
    <w:rsid w:val="002D3B24"/>
    <w:rsid w:val="002D3D02"/>
    <w:rsid w:val="002D3D77"/>
    <w:rsid w:val="002D4837"/>
    <w:rsid w:val="002D48E6"/>
    <w:rsid w:val="002D5331"/>
    <w:rsid w:val="002D55BB"/>
    <w:rsid w:val="002D5B16"/>
    <w:rsid w:val="002D5BC9"/>
    <w:rsid w:val="002D5DDC"/>
    <w:rsid w:val="002D64D5"/>
    <w:rsid w:val="002D67F7"/>
    <w:rsid w:val="002D6DE0"/>
    <w:rsid w:val="002D71F2"/>
    <w:rsid w:val="002D7621"/>
    <w:rsid w:val="002D769A"/>
    <w:rsid w:val="002D7736"/>
    <w:rsid w:val="002D7789"/>
    <w:rsid w:val="002D77B7"/>
    <w:rsid w:val="002D79D9"/>
    <w:rsid w:val="002D7CC4"/>
    <w:rsid w:val="002D7DBC"/>
    <w:rsid w:val="002E00AC"/>
    <w:rsid w:val="002E00DB"/>
    <w:rsid w:val="002E06C1"/>
    <w:rsid w:val="002E0A65"/>
    <w:rsid w:val="002E0C21"/>
    <w:rsid w:val="002E101F"/>
    <w:rsid w:val="002E192A"/>
    <w:rsid w:val="002E2048"/>
    <w:rsid w:val="002E2471"/>
    <w:rsid w:val="002E286E"/>
    <w:rsid w:val="002E2A52"/>
    <w:rsid w:val="002E2B84"/>
    <w:rsid w:val="002E2F11"/>
    <w:rsid w:val="002E300A"/>
    <w:rsid w:val="002E3449"/>
    <w:rsid w:val="002E3543"/>
    <w:rsid w:val="002E3A7E"/>
    <w:rsid w:val="002E3B82"/>
    <w:rsid w:val="002E3C95"/>
    <w:rsid w:val="002E40D7"/>
    <w:rsid w:val="002E4D81"/>
    <w:rsid w:val="002E4E88"/>
    <w:rsid w:val="002E5BC7"/>
    <w:rsid w:val="002E5CA3"/>
    <w:rsid w:val="002E5F0D"/>
    <w:rsid w:val="002E6EE7"/>
    <w:rsid w:val="002E6F4A"/>
    <w:rsid w:val="002E7655"/>
    <w:rsid w:val="002E7750"/>
    <w:rsid w:val="002E7964"/>
    <w:rsid w:val="002E79AB"/>
    <w:rsid w:val="002E7D40"/>
    <w:rsid w:val="002F01E3"/>
    <w:rsid w:val="002F0A52"/>
    <w:rsid w:val="002F0C6B"/>
    <w:rsid w:val="002F0CF2"/>
    <w:rsid w:val="002F0E24"/>
    <w:rsid w:val="002F1686"/>
    <w:rsid w:val="002F1771"/>
    <w:rsid w:val="002F1BD2"/>
    <w:rsid w:val="002F1CD0"/>
    <w:rsid w:val="002F1D5C"/>
    <w:rsid w:val="002F1D62"/>
    <w:rsid w:val="002F1D92"/>
    <w:rsid w:val="002F207F"/>
    <w:rsid w:val="002F23FA"/>
    <w:rsid w:val="002F249E"/>
    <w:rsid w:val="002F24AF"/>
    <w:rsid w:val="002F29E4"/>
    <w:rsid w:val="002F32ED"/>
    <w:rsid w:val="002F3799"/>
    <w:rsid w:val="002F41D5"/>
    <w:rsid w:val="002F43B6"/>
    <w:rsid w:val="002F49F9"/>
    <w:rsid w:val="002F4D5A"/>
    <w:rsid w:val="002F4E54"/>
    <w:rsid w:val="002F515D"/>
    <w:rsid w:val="002F59D7"/>
    <w:rsid w:val="002F5F68"/>
    <w:rsid w:val="002F6028"/>
    <w:rsid w:val="002F6673"/>
    <w:rsid w:val="002F66C9"/>
    <w:rsid w:val="002F66DB"/>
    <w:rsid w:val="002F6A20"/>
    <w:rsid w:val="002F6DE4"/>
    <w:rsid w:val="002F7155"/>
    <w:rsid w:val="002F7700"/>
    <w:rsid w:val="002F778A"/>
    <w:rsid w:val="002F7954"/>
    <w:rsid w:val="002F7C27"/>
    <w:rsid w:val="002F7CCB"/>
    <w:rsid w:val="002F7EB8"/>
    <w:rsid w:val="0030086D"/>
    <w:rsid w:val="00300C25"/>
    <w:rsid w:val="00300D86"/>
    <w:rsid w:val="00300E82"/>
    <w:rsid w:val="00301153"/>
    <w:rsid w:val="003015B5"/>
    <w:rsid w:val="00301655"/>
    <w:rsid w:val="003017E1"/>
    <w:rsid w:val="003021BB"/>
    <w:rsid w:val="00302588"/>
    <w:rsid w:val="00302643"/>
    <w:rsid w:val="00302D5B"/>
    <w:rsid w:val="00302F6A"/>
    <w:rsid w:val="00303061"/>
    <w:rsid w:val="00303314"/>
    <w:rsid w:val="0030359B"/>
    <w:rsid w:val="00303A66"/>
    <w:rsid w:val="00303D62"/>
    <w:rsid w:val="00303F85"/>
    <w:rsid w:val="00303FEF"/>
    <w:rsid w:val="00303FFA"/>
    <w:rsid w:val="00304041"/>
    <w:rsid w:val="003040C0"/>
    <w:rsid w:val="003044AD"/>
    <w:rsid w:val="00304501"/>
    <w:rsid w:val="00304917"/>
    <w:rsid w:val="00304DC8"/>
    <w:rsid w:val="00305040"/>
    <w:rsid w:val="003051FF"/>
    <w:rsid w:val="00305307"/>
    <w:rsid w:val="0030538B"/>
    <w:rsid w:val="00305BB3"/>
    <w:rsid w:val="00305CC7"/>
    <w:rsid w:val="00305F62"/>
    <w:rsid w:val="003067B8"/>
    <w:rsid w:val="003067DB"/>
    <w:rsid w:val="0030688B"/>
    <w:rsid w:val="00306AAF"/>
    <w:rsid w:val="00306E35"/>
    <w:rsid w:val="003074FD"/>
    <w:rsid w:val="00307728"/>
    <w:rsid w:val="00307A2D"/>
    <w:rsid w:val="003100AB"/>
    <w:rsid w:val="00310204"/>
    <w:rsid w:val="00310272"/>
    <w:rsid w:val="003107D8"/>
    <w:rsid w:val="00310BEF"/>
    <w:rsid w:val="00310D86"/>
    <w:rsid w:val="00310EC5"/>
    <w:rsid w:val="00310F34"/>
    <w:rsid w:val="0031157E"/>
    <w:rsid w:val="00312134"/>
    <w:rsid w:val="0031233D"/>
    <w:rsid w:val="003126B1"/>
    <w:rsid w:val="003126F6"/>
    <w:rsid w:val="00312AF6"/>
    <w:rsid w:val="00312CB7"/>
    <w:rsid w:val="00312E68"/>
    <w:rsid w:val="00312F97"/>
    <w:rsid w:val="00313103"/>
    <w:rsid w:val="0031351A"/>
    <w:rsid w:val="003138EC"/>
    <w:rsid w:val="00314039"/>
    <w:rsid w:val="0031460F"/>
    <w:rsid w:val="00314863"/>
    <w:rsid w:val="00314C8A"/>
    <w:rsid w:val="00314E33"/>
    <w:rsid w:val="003153A8"/>
    <w:rsid w:val="00315595"/>
    <w:rsid w:val="00315F66"/>
    <w:rsid w:val="00315FB7"/>
    <w:rsid w:val="003161E5"/>
    <w:rsid w:val="00316520"/>
    <w:rsid w:val="00316884"/>
    <w:rsid w:val="00316C18"/>
    <w:rsid w:val="00317071"/>
    <w:rsid w:val="003170F2"/>
    <w:rsid w:val="003171A9"/>
    <w:rsid w:val="00317767"/>
    <w:rsid w:val="00317F95"/>
    <w:rsid w:val="0032043F"/>
    <w:rsid w:val="003204DA"/>
    <w:rsid w:val="00320582"/>
    <w:rsid w:val="00321282"/>
    <w:rsid w:val="0032130E"/>
    <w:rsid w:val="0032187E"/>
    <w:rsid w:val="003218EA"/>
    <w:rsid w:val="00321A24"/>
    <w:rsid w:val="00321F93"/>
    <w:rsid w:val="0032278A"/>
    <w:rsid w:val="0032279E"/>
    <w:rsid w:val="003229D2"/>
    <w:rsid w:val="00322A25"/>
    <w:rsid w:val="00322C27"/>
    <w:rsid w:val="00322E8B"/>
    <w:rsid w:val="0032318E"/>
    <w:rsid w:val="00323389"/>
    <w:rsid w:val="003233D1"/>
    <w:rsid w:val="0032399E"/>
    <w:rsid w:val="00324067"/>
    <w:rsid w:val="003246F7"/>
    <w:rsid w:val="003248E7"/>
    <w:rsid w:val="00324925"/>
    <w:rsid w:val="00324A14"/>
    <w:rsid w:val="00324FF1"/>
    <w:rsid w:val="00325668"/>
    <w:rsid w:val="00325F1E"/>
    <w:rsid w:val="003260AB"/>
    <w:rsid w:val="003260D7"/>
    <w:rsid w:val="003262AB"/>
    <w:rsid w:val="0032659C"/>
    <w:rsid w:val="0032699B"/>
    <w:rsid w:val="00326D01"/>
    <w:rsid w:val="00326D28"/>
    <w:rsid w:val="00327292"/>
    <w:rsid w:val="003272FD"/>
    <w:rsid w:val="0032744E"/>
    <w:rsid w:val="00327480"/>
    <w:rsid w:val="00327A30"/>
    <w:rsid w:val="00327C6C"/>
    <w:rsid w:val="003300E1"/>
    <w:rsid w:val="00330380"/>
    <w:rsid w:val="003303B7"/>
    <w:rsid w:val="003304A1"/>
    <w:rsid w:val="003309B2"/>
    <w:rsid w:val="00330A37"/>
    <w:rsid w:val="00330A59"/>
    <w:rsid w:val="00330B81"/>
    <w:rsid w:val="003311FC"/>
    <w:rsid w:val="00331300"/>
    <w:rsid w:val="00331713"/>
    <w:rsid w:val="00331820"/>
    <w:rsid w:val="00331AB2"/>
    <w:rsid w:val="00331F6C"/>
    <w:rsid w:val="00332637"/>
    <w:rsid w:val="00332B88"/>
    <w:rsid w:val="00332F69"/>
    <w:rsid w:val="00333A15"/>
    <w:rsid w:val="00333A6D"/>
    <w:rsid w:val="00333D8E"/>
    <w:rsid w:val="00333DF6"/>
    <w:rsid w:val="00333F1D"/>
    <w:rsid w:val="003341BB"/>
    <w:rsid w:val="003341BD"/>
    <w:rsid w:val="003347E1"/>
    <w:rsid w:val="00335021"/>
    <w:rsid w:val="00335387"/>
    <w:rsid w:val="00335776"/>
    <w:rsid w:val="003357FF"/>
    <w:rsid w:val="00335DA6"/>
    <w:rsid w:val="00336075"/>
    <w:rsid w:val="0033623B"/>
    <w:rsid w:val="00336787"/>
    <w:rsid w:val="00336852"/>
    <w:rsid w:val="00337120"/>
    <w:rsid w:val="003371DD"/>
    <w:rsid w:val="003373C1"/>
    <w:rsid w:val="003374B9"/>
    <w:rsid w:val="003375AB"/>
    <w:rsid w:val="003375FE"/>
    <w:rsid w:val="00337717"/>
    <w:rsid w:val="003377A8"/>
    <w:rsid w:val="003378B1"/>
    <w:rsid w:val="003403D8"/>
    <w:rsid w:val="003403FA"/>
    <w:rsid w:val="003408E2"/>
    <w:rsid w:val="00340A5B"/>
    <w:rsid w:val="00340A83"/>
    <w:rsid w:val="00340CB6"/>
    <w:rsid w:val="00340D35"/>
    <w:rsid w:val="00340EE4"/>
    <w:rsid w:val="0034123C"/>
    <w:rsid w:val="003412BF"/>
    <w:rsid w:val="00341384"/>
    <w:rsid w:val="003415A2"/>
    <w:rsid w:val="0034168B"/>
    <w:rsid w:val="003416C0"/>
    <w:rsid w:val="00341CF7"/>
    <w:rsid w:val="00341DFD"/>
    <w:rsid w:val="0034295D"/>
    <w:rsid w:val="00342C62"/>
    <w:rsid w:val="0034312D"/>
    <w:rsid w:val="0034330F"/>
    <w:rsid w:val="0034335B"/>
    <w:rsid w:val="00343669"/>
    <w:rsid w:val="00343773"/>
    <w:rsid w:val="00343C67"/>
    <w:rsid w:val="003440AE"/>
    <w:rsid w:val="0034413A"/>
    <w:rsid w:val="00344BA3"/>
    <w:rsid w:val="00344BDC"/>
    <w:rsid w:val="00344D5E"/>
    <w:rsid w:val="00344E8E"/>
    <w:rsid w:val="00345475"/>
    <w:rsid w:val="0034578E"/>
    <w:rsid w:val="003457A1"/>
    <w:rsid w:val="00346AE5"/>
    <w:rsid w:val="00346C56"/>
    <w:rsid w:val="00347712"/>
    <w:rsid w:val="00347782"/>
    <w:rsid w:val="00347D51"/>
    <w:rsid w:val="00347E11"/>
    <w:rsid w:val="00347F4E"/>
    <w:rsid w:val="003500DB"/>
    <w:rsid w:val="00350268"/>
    <w:rsid w:val="003503A9"/>
    <w:rsid w:val="00350573"/>
    <w:rsid w:val="00350594"/>
    <w:rsid w:val="00350B46"/>
    <w:rsid w:val="0035101C"/>
    <w:rsid w:val="003518DC"/>
    <w:rsid w:val="00351EEA"/>
    <w:rsid w:val="00352012"/>
    <w:rsid w:val="00352542"/>
    <w:rsid w:val="00352668"/>
    <w:rsid w:val="00352677"/>
    <w:rsid w:val="00352780"/>
    <w:rsid w:val="0035326A"/>
    <w:rsid w:val="0035327A"/>
    <w:rsid w:val="003534CB"/>
    <w:rsid w:val="00353803"/>
    <w:rsid w:val="00353832"/>
    <w:rsid w:val="00353C27"/>
    <w:rsid w:val="00353C29"/>
    <w:rsid w:val="00353C8B"/>
    <w:rsid w:val="00353D69"/>
    <w:rsid w:val="00353FC5"/>
    <w:rsid w:val="003541B5"/>
    <w:rsid w:val="003542FC"/>
    <w:rsid w:val="00354407"/>
    <w:rsid w:val="00354730"/>
    <w:rsid w:val="00354C88"/>
    <w:rsid w:val="0035537B"/>
    <w:rsid w:val="003555CF"/>
    <w:rsid w:val="00355B59"/>
    <w:rsid w:val="00355F0D"/>
    <w:rsid w:val="0035620E"/>
    <w:rsid w:val="003562FE"/>
    <w:rsid w:val="003564B6"/>
    <w:rsid w:val="0035669E"/>
    <w:rsid w:val="003574FA"/>
    <w:rsid w:val="00357C05"/>
    <w:rsid w:val="00357DE5"/>
    <w:rsid w:val="00357F44"/>
    <w:rsid w:val="0036007F"/>
    <w:rsid w:val="00360354"/>
    <w:rsid w:val="0036071E"/>
    <w:rsid w:val="00360720"/>
    <w:rsid w:val="00360FEF"/>
    <w:rsid w:val="0036119E"/>
    <w:rsid w:val="00361D18"/>
    <w:rsid w:val="00362D66"/>
    <w:rsid w:val="00362E07"/>
    <w:rsid w:val="00363198"/>
    <w:rsid w:val="003631E0"/>
    <w:rsid w:val="003633CF"/>
    <w:rsid w:val="00363B12"/>
    <w:rsid w:val="00363E69"/>
    <w:rsid w:val="003640DD"/>
    <w:rsid w:val="0036423C"/>
    <w:rsid w:val="003648BB"/>
    <w:rsid w:val="00364C43"/>
    <w:rsid w:val="00364D2C"/>
    <w:rsid w:val="00364D59"/>
    <w:rsid w:val="00364E6A"/>
    <w:rsid w:val="00365433"/>
    <w:rsid w:val="003654BE"/>
    <w:rsid w:val="003654DD"/>
    <w:rsid w:val="003657EE"/>
    <w:rsid w:val="00365B5D"/>
    <w:rsid w:val="00365B9B"/>
    <w:rsid w:val="00365D2E"/>
    <w:rsid w:val="00365DBB"/>
    <w:rsid w:val="00365DF5"/>
    <w:rsid w:val="003668A0"/>
    <w:rsid w:val="0036695E"/>
    <w:rsid w:val="00366A1A"/>
    <w:rsid w:val="00366EE1"/>
    <w:rsid w:val="00367363"/>
    <w:rsid w:val="003673E6"/>
    <w:rsid w:val="003674C3"/>
    <w:rsid w:val="003675F0"/>
    <w:rsid w:val="003678EA"/>
    <w:rsid w:val="00367A90"/>
    <w:rsid w:val="00367E71"/>
    <w:rsid w:val="00370372"/>
    <w:rsid w:val="003703EC"/>
    <w:rsid w:val="003706D5"/>
    <w:rsid w:val="00370769"/>
    <w:rsid w:val="00370865"/>
    <w:rsid w:val="00370963"/>
    <w:rsid w:val="00371009"/>
    <w:rsid w:val="00371252"/>
    <w:rsid w:val="003714DB"/>
    <w:rsid w:val="0037165E"/>
    <w:rsid w:val="0037191D"/>
    <w:rsid w:val="00371AED"/>
    <w:rsid w:val="00371BC4"/>
    <w:rsid w:val="00371EEB"/>
    <w:rsid w:val="00372161"/>
    <w:rsid w:val="003722E8"/>
    <w:rsid w:val="00372733"/>
    <w:rsid w:val="0037280D"/>
    <w:rsid w:val="003728E1"/>
    <w:rsid w:val="00372C4C"/>
    <w:rsid w:val="00372F15"/>
    <w:rsid w:val="0037300F"/>
    <w:rsid w:val="00373198"/>
    <w:rsid w:val="00373B9D"/>
    <w:rsid w:val="00373E06"/>
    <w:rsid w:val="0037445B"/>
    <w:rsid w:val="003745D0"/>
    <w:rsid w:val="0037468A"/>
    <w:rsid w:val="003746A3"/>
    <w:rsid w:val="0037492D"/>
    <w:rsid w:val="00374D3E"/>
    <w:rsid w:val="003755E3"/>
    <w:rsid w:val="00375613"/>
    <w:rsid w:val="00375B8A"/>
    <w:rsid w:val="00375D5B"/>
    <w:rsid w:val="00375E04"/>
    <w:rsid w:val="00376300"/>
    <w:rsid w:val="0037642E"/>
    <w:rsid w:val="00376987"/>
    <w:rsid w:val="00376AF3"/>
    <w:rsid w:val="00376CFA"/>
    <w:rsid w:val="00376DF3"/>
    <w:rsid w:val="00377D45"/>
    <w:rsid w:val="003800E2"/>
    <w:rsid w:val="003801DC"/>
    <w:rsid w:val="00380E15"/>
    <w:rsid w:val="00380F29"/>
    <w:rsid w:val="00380F51"/>
    <w:rsid w:val="003811BA"/>
    <w:rsid w:val="00381993"/>
    <w:rsid w:val="00381AC4"/>
    <w:rsid w:val="00381B3A"/>
    <w:rsid w:val="00381F75"/>
    <w:rsid w:val="00381FAE"/>
    <w:rsid w:val="0038248C"/>
    <w:rsid w:val="00382980"/>
    <w:rsid w:val="00382ABA"/>
    <w:rsid w:val="00382C61"/>
    <w:rsid w:val="00382D1F"/>
    <w:rsid w:val="003830EF"/>
    <w:rsid w:val="00383162"/>
    <w:rsid w:val="00383177"/>
    <w:rsid w:val="003832B6"/>
    <w:rsid w:val="003839BF"/>
    <w:rsid w:val="00383A46"/>
    <w:rsid w:val="00383E24"/>
    <w:rsid w:val="00383F72"/>
    <w:rsid w:val="003840B7"/>
    <w:rsid w:val="003844E0"/>
    <w:rsid w:val="00384837"/>
    <w:rsid w:val="00384D6C"/>
    <w:rsid w:val="003851A1"/>
    <w:rsid w:val="00385367"/>
    <w:rsid w:val="0038549F"/>
    <w:rsid w:val="00385639"/>
    <w:rsid w:val="003856C6"/>
    <w:rsid w:val="0038576D"/>
    <w:rsid w:val="00385B28"/>
    <w:rsid w:val="00385BDE"/>
    <w:rsid w:val="00385DD1"/>
    <w:rsid w:val="00385E50"/>
    <w:rsid w:val="003863F2"/>
    <w:rsid w:val="00386677"/>
    <w:rsid w:val="0038685F"/>
    <w:rsid w:val="00386A40"/>
    <w:rsid w:val="00386B43"/>
    <w:rsid w:val="00386CBA"/>
    <w:rsid w:val="00386E82"/>
    <w:rsid w:val="00386FC4"/>
    <w:rsid w:val="0038728C"/>
    <w:rsid w:val="00387677"/>
    <w:rsid w:val="00387F7C"/>
    <w:rsid w:val="00390088"/>
    <w:rsid w:val="00391901"/>
    <w:rsid w:val="00391AC1"/>
    <w:rsid w:val="00391B2B"/>
    <w:rsid w:val="00391B84"/>
    <w:rsid w:val="00391E1C"/>
    <w:rsid w:val="00391FF2"/>
    <w:rsid w:val="003920C7"/>
    <w:rsid w:val="003923E6"/>
    <w:rsid w:val="0039284A"/>
    <w:rsid w:val="003929A4"/>
    <w:rsid w:val="00392BBB"/>
    <w:rsid w:val="00392FAF"/>
    <w:rsid w:val="00393FE9"/>
    <w:rsid w:val="0039447D"/>
    <w:rsid w:val="0039476B"/>
    <w:rsid w:val="003949BE"/>
    <w:rsid w:val="00394B29"/>
    <w:rsid w:val="00394E45"/>
    <w:rsid w:val="00395146"/>
    <w:rsid w:val="00395205"/>
    <w:rsid w:val="0039571B"/>
    <w:rsid w:val="00396113"/>
    <w:rsid w:val="0039627D"/>
    <w:rsid w:val="00396980"/>
    <w:rsid w:val="003969C2"/>
    <w:rsid w:val="00396F26"/>
    <w:rsid w:val="003970B3"/>
    <w:rsid w:val="003973FD"/>
    <w:rsid w:val="00397413"/>
    <w:rsid w:val="00397432"/>
    <w:rsid w:val="003976E4"/>
    <w:rsid w:val="0039772B"/>
    <w:rsid w:val="003977F5"/>
    <w:rsid w:val="00397A77"/>
    <w:rsid w:val="00397E07"/>
    <w:rsid w:val="00397E21"/>
    <w:rsid w:val="00397FDC"/>
    <w:rsid w:val="003A00BD"/>
    <w:rsid w:val="003A04AE"/>
    <w:rsid w:val="003A0667"/>
    <w:rsid w:val="003A0EA6"/>
    <w:rsid w:val="003A0F7E"/>
    <w:rsid w:val="003A1342"/>
    <w:rsid w:val="003A1719"/>
    <w:rsid w:val="003A18B8"/>
    <w:rsid w:val="003A1935"/>
    <w:rsid w:val="003A19D6"/>
    <w:rsid w:val="003A1AA1"/>
    <w:rsid w:val="003A1AF0"/>
    <w:rsid w:val="003A230D"/>
    <w:rsid w:val="003A269E"/>
    <w:rsid w:val="003A2CEE"/>
    <w:rsid w:val="003A2D4E"/>
    <w:rsid w:val="003A2EF2"/>
    <w:rsid w:val="003A2FE9"/>
    <w:rsid w:val="003A314E"/>
    <w:rsid w:val="003A36DC"/>
    <w:rsid w:val="003A3717"/>
    <w:rsid w:val="003A393F"/>
    <w:rsid w:val="003A3999"/>
    <w:rsid w:val="003A42AC"/>
    <w:rsid w:val="003A436A"/>
    <w:rsid w:val="003A43B8"/>
    <w:rsid w:val="003A4462"/>
    <w:rsid w:val="003A4497"/>
    <w:rsid w:val="003A4663"/>
    <w:rsid w:val="003A4BFF"/>
    <w:rsid w:val="003A4F4E"/>
    <w:rsid w:val="003A5400"/>
    <w:rsid w:val="003A5581"/>
    <w:rsid w:val="003A59CD"/>
    <w:rsid w:val="003A5A0A"/>
    <w:rsid w:val="003A5CFA"/>
    <w:rsid w:val="003A5D90"/>
    <w:rsid w:val="003A5FA4"/>
    <w:rsid w:val="003A6084"/>
    <w:rsid w:val="003A62DA"/>
    <w:rsid w:val="003A6366"/>
    <w:rsid w:val="003A6CC9"/>
    <w:rsid w:val="003A713A"/>
    <w:rsid w:val="003A71E5"/>
    <w:rsid w:val="003A75BB"/>
    <w:rsid w:val="003A77D8"/>
    <w:rsid w:val="003A7A69"/>
    <w:rsid w:val="003A7B14"/>
    <w:rsid w:val="003A7B7B"/>
    <w:rsid w:val="003A7D2A"/>
    <w:rsid w:val="003A7D38"/>
    <w:rsid w:val="003A7ED5"/>
    <w:rsid w:val="003B08CD"/>
    <w:rsid w:val="003B0C92"/>
    <w:rsid w:val="003B0D86"/>
    <w:rsid w:val="003B0E1D"/>
    <w:rsid w:val="003B0F13"/>
    <w:rsid w:val="003B0F7B"/>
    <w:rsid w:val="003B13E9"/>
    <w:rsid w:val="003B14FD"/>
    <w:rsid w:val="003B1539"/>
    <w:rsid w:val="003B16D4"/>
    <w:rsid w:val="003B1BB7"/>
    <w:rsid w:val="003B1E0D"/>
    <w:rsid w:val="003B2427"/>
    <w:rsid w:val="003B28A8"/>
    <w:rsid w:val="003B2904"/>
    <w:rsid w:val="003B2D2B"/>
    <w:rsid w:val="003B2D7D"/>
    <w:rsid w:val="003B2D8C"/>
    <w:rsid w:val="003B2F6C"/>
    <w:rsid w:val="003B3324"/>
    <w:rsid w:val="003B3B97"/>
    <w:rsid w:val="003B3CC4"/>
    <w:rsid w:val="003B3E12"/>
    <w:rsid w:val="003B4696"/>
    <w:rsid w:val="003B4859"/>
    <w:rsid w:val="003B4D81"/>
    <w:rsid w:val="003B4DBD"/>
    <w:rsid w:val="003B4E65"/>
    <w:rsid w:val="003B4EB6"/>
    <w:rsid w:val="003B50E8"/>
    <w:rsid w:val="003B5177"/>
    <w:rsid w:val="003B5200"/>
    <w:rsid w:val="003B53E7"/>
    <w:rsid w:val="003B5482"/>
    <w:rsid w:val="003B5663"/>
    <w:rsid w:val="003B5666"/>
    <w:rsid w:val="003B59DC"/>
    <w:rsid w:val="003B6031"/>
    <w:rsid w:val="003B6178"/>
    <w:rsid w:val="003B6223"/>
    <w:rsid w:val="003B6272"/>
    <w:rsid w:val="003B6294"/>
    <w:rsid w:val="003B638E"/>
    <w:rsid w:val="003B6BF1"/>
    <w:rsid w:val="003B6C19"/>
    <w:rsid w:val="003B6E81"/>
    <w:rsid w:val="003B7160"/>
    <w:rsid w:val="003B7661"/>
    <w:rsid w:val="003B76F3"/>
    <w:rsid w:val="003B7E05"/>
    <w:rsid w:val="003C029F"/>
    <w:rsid w:val="003C0456"/>
    <w:rsid w:val="003C052A"/>
    <w:rsid w:val="003C0590"/>
    <w:rsid w:val="003C0634"/>
    <w:rsid w:val="003C0AE9"/>
    <w:rsid w:val="003C131E"/>
    <w:rsid w:val="003C166B"/>
    <w:rsid w:val="003C19A5"/>
    <w:rsid w:val="003C1C85"/>
    <w:rsid w:val="003C1F69"/>
    <w:rsid w:val="003C2010"/>
    <w:rsid w:val="003C2323"/>
    <w:rsid w:val="003C2BA9"/>
    <w:rsid w:val="003C2C59"/>
    <w:rsid w:val="003C3495"/>
    <w:rsid w:val="003C3895"/>
    <w:rsid w:val="003C3A2A"/>
    <w:rsid w:val="003C3CC7"/>
    <w:rsid w:val="003C3E7F"/>
    <w:rsid w:val="003C4482"/>
    <w:rsid w:val="003C504B"/>
    <w:rsid w:val="003C50B5"/>
    <w:rsid w:val="003C5260"/>
    <w:rsid w:val="003C5936"/>
    <w:rsid w:val="003C5B64"/>
    <w:rsid w:val="003C607D"/>
    <w:rsid w:val="003C612F"/>
    <w:rsid w:val="003C619A"/>
    <w:rsid w:val="003C6468"/>
    <w:rsid w:val="003C64AF"/>
    <w:rsid w:val="003C676E"/>
    <w:rsid w:val="003C7A23"/>
    <w:rsid w:val="003C7A34"/>
    <w:rsid w:val="003C7B28"/>
    <w:rsid w:val="003D0AF6"/>
    <w:rsid w:val="003D0BFD"/>
    <w:rsid w:val="003D0FA5"/>
    <w:rsid w:val="003D1004"/>
    <w:rsid w:val="003D115F"/>
    <w:rsid w:val="003D11D9"/>
    <w:rsid w:val="003D1567"/>
    <w:rsid w:val="003D1E5A"/>
    <w:rsid w:val="003D228C"/>
    <w:rsid w:val="003D22F5"/>
    <w:rsid w:val="003D2939"/>
    <w:rsid w:val="003D2B3F"/>
    <w:rsid w:val="003D2BFE"/>
    <w:rsid w:val="003D2F40"/>
    <w:rsid w:val="003D32AA"/>
    <w:rsid w:val="003D33AE"/>
    <w:rsid w:val="003D3429"/>
    <w:rsid w:val="003D3574"/>
    <w:rsid w:val="003D3990"/>
    <w:rsid w:val="003D3A19"/>
    <w:rsid w:val="003D3C6E"/>
    <w:rsid w:val="003D3FA7"/>
    <w:rsid w:val="003D42CB"/>
    <w:rsid w:val="003D43E2"/>
    <w:rsid w:val="003D4572"/>
    <w:rsid w:val="003D4B62"/>
    <w:rsid w:val="003D4E9A"/>
    <w:rsid w:val="003D51D3"/>
    <w:rsid w:val="003D51F4"/>
    <w:rsid w:val="003D5231"/>
    <w:rsid w:val="003D5345"/>
    <w:rsid w:val="003D5811"/>
    <w:rsid w:val="003D58C5"/>
    <w:rsid w:val="003D5A13"/>
    <w:rsid w:val="003D6316"/>
    <w:rsid w:val="003D6638"/>
    <w:rsid w:val="003D6A51"/>
    <w:rsid w:val="003D6AE1"/>
    <w:rsid w:val="003D7211"/>
    <w:rsid w:val="003D7786"/>
    <w:rsid w:val="003D7FC4"/>
    <w:rsid w:val="003E0354"/>
    <w:rsid w:val="003E0437"/>
    <w:rsid w:val="003E08DC"/>
    <w:rsid w:val="003E10A8"/>
    <w:rsid w:val="003E127A"/>
    <w:rsid w:val="003E184A"/>
    <w:rsid w:val="003E1887"/>
    <w:rsid w:val="003E18C9"/>
    <w:rsid w:val="003E19E2"/>
    <w:rsid w:val="003E1EF3"/>
    <w:rsid w:val="003E2538"/>
    <w:rsid w:val="003E2784"/>
    <w:rsid w:val="003E278F"/>
    <w:rsid w:val="003E2E55"/>
    <w:rsid w:val="003E2F58"/>
    <w:rsid w:val="003E3028"/>
    <w:rsid w:val="003E311C"/>
    <w:rsid w:val="003E3A5D"/>
    <w:rsid w:val="003E3D4A"/>
    <w:rsid w:val="003E4250"/>
    <w:rsid w:val="003E4296"/>
    <w:rsid w:val="003E43C8"/>
    <w:rsid w:val="003E4528"/>
    <w:rsid w:val="003E4B5F"/>
    <w:rsid w:val="003E50BB"/>
    <w:rsid w:val="003E530F"/>
    <w:rsid w:val="003E5A33"/>
    <w:rsid w:val="003E5E27"/>
    <w:rsid w:val="003E5E65"/>
    <w:rsid w:val="003E65FD"/>
    <w:rsid w:val="003E69CF"/>
    <w:rsid w:val="003E6C56"/>
    <w:rsid w:val="003E6DA0"/>
    <w:rsid w:val="003E72DA"/>
    <w:rsid w:val="003E7963"/>
    <w:rsid w:val="003E7C3C"/>
    <w:rsid w:val="003E7C99"/>
    <w:rsid w:val="003F00B9"/>
    <w:rsid w:val="003F031C"/>
    <w:rsid w:val="003F0E59"/>
    <w:rsid w:val="003F0EED"/>
    <w:rsid w:val="003F0F93"/>
    <w:rsid w:val="003F0FBA"/>
    <w:rsid w:val="003F1622"/>
    <w:rsid w:val="003F1AA3"/>
    <w:rsid w:val="003F24EE"/>
    <w:rsid w:val="003F25EF"/>
    <w:rsid w:val="003F28CD"/>
    <w:rsid w:val="003F2A3E"/>
    <w:rsid w:val="003F2D59"/>
    <w:rsid w:val="003F3277"/>
    <w:rsid w:val="003F33C5"/>
    <w:rsid w:val="003F3645"/>
    <w:rsid w:val="003F3B6D"/>
    <w:rsid w:val="003F3BE5"/>
    <w:rsid w:val="003F3EC5"/>
    <w:rsid w:val="003F49D2"/>
    <w:rsid w:val="003F4C79"/>
    <w:rsid w:val="003F4E06"/>
    <w:rsid w:val="003F4FD7"/>
    <w:rsid w:val="003F5383"/>
    <w:rsid w:val="003F58E5"/>
    <w:rsid w:val="003F58F4"/>
    <w:rsid w:val="003F5990"/>
    <w:rsid w:val="003F5E3F"/>
    <w:rsid w:val="003F6068"/>
    <w:rsid w:val="003F6152"/>
    <w:rsid w:val="003F67CB"/>
    <w:rsid w:val="003F6D1A"/>
    <w:rsid w:val="003F6FA1"/>
    <w:rsid w:val="003F759C"/>
    <w:rsid w:val="00400541"/>
    <w:rsid w:val="00400688"/>
    <w:rsid w:val="004018B0"/>
    <w:rsid w:val="00401CD0"/>
    <w:rsid w:val="00402083"/>
    <w:rsid w:val="0040223A"/>
    <w:rsid w:val="0040257A"/>
    <w:rsid w:val="00402608"/>
    <w:rsid w:val="00403542"/>
    <w:rsid w:val="004036AC"/>
    <w:rsid w:val="00403A15"/>
    <w:rsid w:val="00403AD6"/>
    <w:rsid w:val="004042E5"/>
    <w:rsid w:val="00404A7D"/>
    <w:rsid w:val="00405461"/>
    <w:rsid w:val="00405477"/>
    <w:rsid w:val="0040566B"/>
    <w:rsid w:val="004058B9"/>
    <w:rsid w:val="00405AB5"/>
    <w:rsid w:val="00405C5D"/>
    <w:rsid w:val="00405E6C"/>
    <w:rsid w:val="00406079"/>
    <w:rsid w:val="0040654A"/>
    <w:rsid w:val="004066E7"/>
    <w:rsid w:val="004067F1"/>
    <w:rsid w:val="0040689D"/>
    <w:rsid w:val="00406A50"/>
    <w:rsid w:val="00406C91"/>
    <w:rsid w:val="00407363"/>
    <w:rsid w:val="0040798D"/>
    <w:rsid w:val="00407E6E"/>
    <w:rsid w:val="00410179"/>
    <w:rsid w:val="00410441"/>
    <w:rsid w:val="0041074C"/>
    <w:rsid w:val="0041078F"/>
    <w:rsid w:val="00410B78"/>
    <w:rsid w:val="0041102C"/>
    <w:rsid w:val="00411154"/>
    <w:rsid w:val="00411208"/>
    <w:rsid w:val="004114A9"/>
    <w:rsid w:val="004114C9"/>
    <w:rsid w:val="00411645"/>
    <w:rsid w:val="00411863"/>
    <w:rsid w:val="00411BD7"/>
    <w:rsid w:val="00411D31"/>
    <w:rsid w:val="004128FF"/>
    <w:rsid w:val="00412B52"/>
    <w:rsid w:val="00412BDE"/>
    <w:rsid w:val="00413022"/>
    <w:rsid w:val="0041398B"/>
    <w:rsid w:val="00413F0B"/>
    <w:rsid w:val="004143CB"/>
    <w:rsid w:val="00414601"/>
    <w:rsid w:val="004146E5"/>
    <w:rsid w:val="00414828"/>
    <w:rsid w:val="00414C5A"/>
    <w:rsid w:val="00414D14"/>
    <w:rsid w:val="00414DE0"/>
    <w:rsid w:val="00415052"/>
    <w:rsid w:val="004150FE"/>
    <w:rsid w:val="004158A0"/>
    <w:rsid w:val="00415D69"/>
    <w:rsid w:val="00415DEC"/>
    <w:rsid w:val="00415FAD"/>
    <w:rsid w:val="0041600F"/>
    <w:rsid w:val="0041619C"/>
    <w:rsid w:val="004162D3"/>
    <w:rsid w:val="00417377"/>
    <w:rsid w:val="0041747C"/>
    <w:rsid w:val="00417701"/>
    <w:rsid w:val="00417C68"/>
    <w:rsid w:val="00417D7A"/>
    <w:rsid w:val="004203AA"/>
    <w:rsid w:val="00420901"/>
    <w:rsid w:val="00420948"/>
    <w:rsid w:val="00420BA6"/>
    <w:rsid w:val="00420E13"/>
    <w:rsid w:val="00420E32"/>
    <w:rsid w:val="00421063"/>
    <w:rsid w:val="004210D7"/>
    <w:rsid w:val="0042121D"/>
    <w:rsid w:val="0042181C"/>
    <w:rsid w:val="004219E8"/>
    <w:rsid w:val="00421FAA"/>
    <w:rsid w:val="00422508"/>
    <w:rsid w:val="0042267A"/>
    <w:rsid w:val="0042282D"/>
    <w:rsid w:val="00422BE1"/>
    <w:rsid w:val="00422C59"/>
    <w:rsid w:val="00422CFC"/>
    <w:rsid w:val="00423A89"/>
    <w:rsid w:val="00423E35"/>
    <w:rsid w:val="0042409B"/>
    <w:rsid w:val="0042412E"/>
    <w:rsid w:val="0042472D"/>
    <w:rsid w:val="0042505E"/>
    <w:rsid w:val="00425115"/>
    <w:rsid w:val="004257A7"/>
    <w:rsid w:val="00425A22"/>
    <w:rsid w:val="00425A94"/>
    <w:rsid w:val="00425B0B"/>
    <w:rsid w:val="00425E7D"/>
    <w:rsid w:val="00425EF9"/>
    <w:rsid w:val="00426396"/>
    <w:rsid w:val="0042663A"/>
    <w:rsid w:val="004270B5"/>
    <w:rsid w:val="0042770D"/>
    <w:rsid w:val="00427843"/>
    <w:rsid w:val="004279C1"/>
    <w:rsid w:val="00427B37"/>
    <w:rsid w:val="0043009A"/>
    <w:rsid w:val="004303BB"/>
    <w:rsid w:val="004305C5"/>
    <w:rsid w:val="00430C05"/>
    <w:rsid w:val="0043115F"/>
    <w:rsid w:val="004318F9"/>
    <w:rsid w:val="00431BB8"/>
    <w:rsid w:val="004327A9"/>
    <w:rsid w:val="004329E5"/>
    <w:rsid w:val="00432B9E"/>
    <w:rsid w:val="00432BB8"/>
    <w:rsid w:val="00432E66"/>
    <w:rsid w:val="00432F84"/>
    <w:rsid w:val="0043362A"/>
    <w:rsid w:val="0043436F"/>
    <w:rsid w:val="00434374"/>
    <w:rsid w:val="00434476"/>
    <w:rsid w:val="00434A4A"/>
    <w:rsid w:val="00434E4F"/>
    <w:rsid w:val="00435197"/>
    <w:rsid w:val="0043557B"/>
    <w:rsid w:val="0043561C"/>
    <w:rsid w:val="00435BC9"/>
    <w:rsid w:val="00435DF5"/>
    <w:rsid w:val="0043678E"/>
    <w:rsid w:val="0043699B"/>
    <w:rsid w:val="00436DF9"/>
    <w:rsid w:val="00437005"/>
    <w:rsid w:val="00437876"/>
    <w:rsid w:val="00437B57"/>
    <w:rsid w:val="00440068"/>
    <w:rsid w:val="00440418"/>
    <w:rsid w:val="004410BC"/>
    <w:rsid w:val="00441164"/>
    <w:rsid w:val="004414D3"/>
    <w:rsid w:val="004415C2"/>
    <w:rsid w:val="00441A6C"/>
    <w:rsid w:val="004420F9"/>
    <w:rsid w:val="004422EC"/>
    <w:rsid w:val="0044249D"/>
    <w:rsid w:val="004426AD"/>
    <w:rsid w:val="00443250"/>
    <w:rsid w:val="004435D7"/>
    <w:rsid w:val="004436C4"/>
    <w:rsid w:val="00443CFE"/>
    <w:rsid w:val="00443F45"/>
    <w:rsid w:val="0044410A"/>
    <w:rsid w:val="00444188"/>
    <w:rsid w:val="00444473"/>
    <w:rsid w:val="0044482D"/>
    <w:rsid w:val="00444927"/>
    <w:rsid w:val="004449A6"/>
    <w:rsid w:val="00444D84"/>
    <w:rsid w:val="00444FEA"/>
    <w:rsid w:val="0044530D"/>
    <w:rsid w:val="0044536C"/>
    <w:rsid w:val="004458AB"/>
    <w:rsid w:val="00445C9F"/>
    <w:rsid w:val="00445F4E"/>
    <w:rsid w:val="004463E7"/>
    <w:rsid w:val="0044672C"/>
    <w:rsid w:val="00446D64"/>
    <w:rsid w:val="00446FB0"/>
    <w:rsid w:val="00447577"/>
    <w:rsid w:val="004477C4"/>
    <w:rsid w:val="004501E9"/>
    <w:rsid w:val="004503A1"/>
    <w:rsid w:val="0045059B"/>
    <w:rsid w:val="004505E7"/>
    <w:rsid w:val="00450674"/>
    <w:rsid w:val="00450CAE"/>
    <w:rsid w:val="004511C7"/>
    <w:rsid w:val="0045197A"/>
    <w:rsid w:val="00451B26"/>
    <w:rsid w:val="00451C64"/>
    <w:rsid w:val="0045201A"/>
    <w:rsid w:val="0045251E"/>
    <w:rsid w:val="00452687"/>
    <w:rsid w:val="00452691"/>
    <w:rsid w:val="0045283F"/>
    <w:rsid w:val="00453D2C"/>
    <w:rsid w:val="00453DB3"/>
    <w:rsid w:val="00453DC1"/>
    <w:rsid w:val="00453F48"/>
    <w:rsid w:val="00453FCD"/>
    <w:rsid w:val="00454A21"/>
    <w:rsid w:val="00454B72"/>
    <w:rsid w:val="00454B8F"/>
    <w:rsid w:val="00454C05"/>
    <w:rsid w:val="00454C20"/>
    <w:rsid w:val="00454C37"/>
    <w:rsid w:val="00454F4E"/>
    <w:rsid w:val="0045546F"/>
    <w:rsid w:val="004558FA"/>
    <w:rsid w:val="00455CAE"/>
    <w:rsid w:val="00455E9B"/>
    <w:rsid w:val="00456437"/>
    <w:rsid w:val="00456438"/>
    <w:rsid w:val="00456A0A"/>
    <w:rsid w:val="00456D15"/>
    <w:rsid w:val="00456DC0"/>
    <w:rsid w:val="0045725B"/>
    <w:rsid w:val="004578E3"/>
    <w:rsid w:val="00457CF5"/>
    <w:rsid w:val="004602D4"/>
    <w:rsid w:val="0046031D"/>
    <w:rsid w:val="00460657"/>
    <w:rsid w:val="004608BA"/>
    <w:rsid w:val="00460A4B"/>
    <w:rsid w:val="00460AA8"/>
    <w:rsid w:val="00461252"/>
    <w:rsid w:val="004613E4"/>
    <w:rsid w:val="0046159B"/>
    <w:rsid w:val="00461A7C"/>
    <w:rsid w:val="00461A84"/>
    <w:rsid w:val="00461ABF"/>
    <w:rsid w:val="00461E66"/>
    <w:rsid w:val="00461EBB"/>
    <w:rsid w:val="00461FFA"/>
    <w:rsid w:val="00462286"/>
    <w:rsid w:val="00462AAB"/>
    <w:rsid w:val="00462C80"/>
    <w:rsid w:val="00462D87"/>
    <w:rsid w:val="00462D95"/>
    <w:rsid w:val="00462F25"/>
    <w:rsid w:val="004631A1"/>
    <w:rsid w:val="0046330C"/>
    <w:rsid w:val="00463393"/>
    <w:rsid w:val="00463717"/>
    <w:rsid w:val="00463754"/>
    <w:rsid w:val="004637CD"/>
    <w:rsid w:val="00463EC9"/>
    <w:rsid w:val="004646B4"/>
    <w:rsid w:val="00464964"/>
    <w:rsid w:val="00464A75"/>
    <w:rsid w:val="004653AD"/>
    <w:rsid w:val="00465498"/>
    <w:rsid w:val="00465582"/>
    <w:rsid w:val="00465A3C"/>
    <w:rsid w:val="00465A7C"/>
    <w:rsid w:val="00465F55"/>
    <w:rsid w:val="00466093"/>
    <w:rsid w:val="0046615C"/>
    <w:rsid w:val="0046635D"/>
    <w:rsid w:val="00466668"/>
    <w:rsid w:val="004666B2"/>
    <w:rsid w:val="00466742"/>
    <w:rsid w:val="00466A2E"/>
    <w:rsid w:val="00466AE4"/>
    <w:rsid w:val="00467074"/>
    <w:rsid w:val="00467370"/>
    <w:rsid w:val="0046756D"/>
    <w:rsid w:val="0046774B"/>
    <w:rsid w:val="004677AD"/>
    <w:rsid w:val="004677E1"/>
    <w:rsid w:val="00467A1C"/>
    <w:rsid w:val="00467B68"/>
    <w:rsid w:val="00467D8B"/>
    <w:rsid w:val="00467EDD"/>
    <w:rsid w:val="00470D4C"/>
    <w:rsid w:val="0047122D"/>
    <w:rsid w:val="00471361"/>
    <w:rsid w:val="004717F4"/>
    <w:rsid w:val="00471A12"/>
    <w:rsid w:val="00471C14"/>
    <w:rsid w:val="004724CE"/>
    <w:rsid w:val="00472834"/>
    <w:rsid w:val="00472ADA"/>
    <w:rsid w:val="00472AF9"/>
    <w:rsid w:val="00472CA4"/>
    <w:rsid w:val="00472E87"/>
    <w:rsid w:val="004738BC"/>
    <w:rsid w:val="004738E8"/>
    <w:rsid w:val="00473C51"/>
    <w:rsid w:val="00473E89"/>
    <w:rsid w:val="00474322"/>
    <w:rsid w:val="0047443D"/>
    <w:rsid w:val="00474620"/>
    <w:rsid w:val="004746A9"/>
    <w:rsid w:val="004746DA"/>
    <w:rsid w:val="00474A03"/>
    <w:rsid w:val="004751FE"/>
    <w:rsid w:val="00475371"/>
    <w:rsid w:val="0047548C"/>
    <w:rsid w:val="004754C9"/>
    <w:rsid w:val="00475FB6"/>
    <w:rsid w:val="00476446"/>
    <w:rsid w:val="00476479"/>
    <w:rsid w:val="004767BC"/>
    <w:rsid w:val="00476D81"/>
    <w:rsid w:val="0047762B"/>
    <w:rsid w:val="004778B8"/>
    <w:rsid w:val="004779AB"/>
    <w:rsid w:val="00477B96"/>
    <w:rsid w:val="00477C52"/>
    <w:rsid w:val="00477CA1"/>
    <w:rsid w:val="00477FA2"/>
    <w:rsid w:val="004801BA"/>
    <w:rsid w:val="0048028B"/>
    <w:rsid w:val="00480316"/>
    <w:rsid w:val="00480762"/>
    <w:rsid w:val="00480BAF"/>
    <w:rsid w:val="00480C8E"/>
    <w:rsid w:val="00481382"/>
    <w:rsid w:val="00481A19"/>
    <w:rsid w:val="00481BAB"/>
    <w:rsid w:val="00481C87"/>
    <w:rsid w:val="004828B4"/>
    <w:rsid w:val="004829E4"/>
    <w:rsid w:val="00482F94"/>
    <w:rsid w:val="00483314"/>
    <w:rsid w:val="004835ED"/>
    <w:rsid w:val="004836CB"/>
    <w:rsid w:val="004840B7"/>
    <w:rsid w:val="00484D3F"/>
    <w:rsid w:val="004851C3"/>
    <w:rsid w:val="00485352"/>
    <w:rsid w:val="00485B74"/>
    <w:rsid w:val="00486122"/>
    <w:rsid w:val="0048639E"/>
    <w:rsid w:val="004867DA"/>
    <w:rsid w:val="00486EA4"/>
    <w:rsid w:val="00486F65"/>
    <w:rsid w:val="00486FCB"/>
    <w:rsid w:val="004876C2"/>
    <w:rsid w:val="004878B6"/>
    <w:rsid w:val="00487B62"/>
    <w:rsid w:val="00487C76"/>
    <w:rsid w:val="00487E61"/>
    <w:rsid w:val="00487F1E"/>
    <w:rsid w:val="00490130"/>
    <w:rsid w:val="004902C0"/>
    <w:rsid w:val="00490831"/>
    <w:rsid w:val="00490C38"/>
    <w:rsid w:val="00491095"/>
    <w:rsid w:val="00491630"/>
    <w:rsid w:val="004918B1"/>
    <w:rsid w:val="00491B3B"/>
    <w:rsid w:val="00491C5E"/>
    <w:rsid w:val="0049269C"/>
    <w:rsid w:val="004928A8"/>
    <w:rsid w:val="00492B8D"/>
    <w:rsid w:val="00492C56"/>
    <w:rsid w:val="00492D23"/>
    <w:rsid w:val="00492F1A"/>
    <w:rsid w:val="0049304E"/>
    <w:rsid w:val="00493211"/>
    <w:rsid w:val="004932D9"/>
    <w:rsid w:val="00493782"/>
    <w:rsid w:val="004938E0"/>
    <w:rsid w:val="0049398D"/>
    <w:rsid w:val="004939A6"/>
    <w:rsid w:val="00493CF5"/>
    <w:rsid w:val="00493E2D"/>
    <w:rsid w:val="00494B2E"/>
    <w:rsid w:val="00494E4F"/>
    <w:rsid w:val="004952A2"/>
    <w:rsid w:val="00495415"/>
    <w:rsid w:val="00495804"/>
    <w:rsid w:val="0049590C"/>
    <w:rsid w:val="00495CBB"/>
    <w:rsid w:val="00495D9A"/>
    <w:rsid w:val="004963CB"/>
    <w:rsid w:val="004966E0"/>
    <w:rsid w:val="00496FD6"/>
    <w:rsid w:val="0049793F"/>
    <w:rsid w:val="004979FF"/>
    <w:rsid w:val="00497D1D"/>
    <w:rsid w:val="004A05C8"/>
    <w:rsid w:val="004A0697"/>
    <w:rsid w:val="004A0B83"/>
    <w:rsid w:val="004A0ECC"/>
    <w:rsid w:val="004A1163"/>
    <w:rsid w:val="004A1246"/>
    <w:rsid w:val="004A17FA"/>
    <w:rsid w:val="004A1932"/>
    <w:rsid w:val="004A1DAD"/>
    <w:rsid w:val="004A2005"/>
    <w:rsid w:val="004A215B"/>
    <w:rsid w:val="004A23E5"/>
    <w:rsid w:val="004A25D9"/>
    <w:rsid w:val="004A270B"/>
    <w:rsid w:val="004A29C7"/>
    <w:rsid w:val="004A2B71"/>
    <w:rsid w:val="004A2CD5"/>
    <w:rsid w:val="004A321F"/>
    <w:rsid w:val="004A3429"/>
    <w:rsid w:val="004A3644"/>
    <w:rsid w:val="004A38A5"/>
    <w:rsid w:val="004A38D6"/>
    <w:rsid w:val="004A3A41"/>
    <w:rsid w:val="004A3A47"/>
    <w:rsid w:val="004A3ABF"/>
    <w:rsid w:val="004A3CB7"/>
    <w:rsid w:val="004A3F18"/>
    <w:rsid w:val="004A3F2E"/>
    <w:rsid w:val="004A42CE"/>
    <w:rsid w:val="004A43DF"/>
    <w:rsid w:val="004A441D"/>
    <w:rsid w:val="004A44DF"/>
    <w:rsid w:val="004A45FD"/>
    <w:rsid w:val="004A471D"/>
    <w:rsid w:val="004A493E"/>
    <w:rsid w:val="004A4D06"/>
    <w:rsid w:val="004A4FC8"/>
    <w:rsid w:val="004A50BC"/>
    <w:rsid w:val="004A5232"/>
    <w:rsid w:val="004A55BE"/>
    <w:rsid w:val="004A657D"/>
    <w:rsid w:val="004A664D"/>
    <w:rsid w:val="004A6825"/>
    <w:rsid w:val="004A69DA"/>
    <w:rsid w:val="004A6D5C"/>
    <w:rsid w:val="004A723F"/>
    <w:rsid w:val="004A72DD"/>
    <w:rsid w:val="004A74C3"/>
    <w:rsid w:val="004A76F0"/>
    <w:rsid w:val="004A76FD"/>
    <w:rsid w:val="004A7922"/>
    <w:rsid w:val="004B0033"/>
    <w:rsid w:val="004B04F1"/>
    <w:rsid w:val="004B0624"/>
    <w:rsid w:val="004B06D0"/>
    <w:rsid w:val="004B0A5F"/>
    <w:rsid w:val="004B0B6E"/>
    <w:rsid w:val="004B11AD"/>
    <w:rsid w:val="004B140D"/>
    <w:rsid w:val="004B15CE"/>
    <w:rsid w:val="004B1687"/>
    <w:rsid w:val="004B20E2"/>
    <w:rsid w:val="004B2575"/>
    <w:rsid w:val="004B2630"/>
    <w:rsid w:val="004B27E3"/>
    <w:rsid w:val="004B2918"/>
    <w:rsid w:val="004B29F6"/>
    <w:rsid w:val="004B34DD"/>
    <w:rsid w:val="004B358D"/>
    <w:rsid w:val="004B40A7"/>
    <w:rsid w:val="004B4249"/>
    <w:rsid w:val="004B4A60"/>
    <w:rsid w:val="004B4BC7"/>
    <w:rsid w:val="004B50E3"/>
    <w:rsid w:val="004B51A3"/>
    <w:rsid w:val="004B534E"/>
    <w:rsid w:val="004B5393"/>
    <w:rsid w:val="004B5551"/>
    <w:rsid w:val="004B59CB"/>
    <w:rsid w:val="004B625B"/>
    <w:rsid w:val="004B64D4"/>
    <w:rsid w:val="004B6901"/>
    <w:rsid w:val="004B6F05"/>
    <w:rsid w:val="004B702B"/>
    <w:rsid w:val="004B768B"/>
    <w:rsid w:val="004B774C"/>
    <w:rsid w:val="004B7AD9"/>
    <w:rsid w:val="004B7E64"/>
    <w:rsid w:val="004C0244"/>
    <w:rsid w:val="004C0712"/>
    <w:rsid w:val="004C0962"/>
    <w:rsid w:val="004C0EC9"/>
    <w:rsid w:val="004C0F0D"/>
    <w:rsid w:val="004C0FBF"/>
    <w:rsid w:val="004C142D"/>
    <w:rsid w:val="004C175A"/>
    <w:rsid w:val="004C1838"/>
    <w:rsid w:val="004C19D2"/>
    <w:rsid w:val="004C1AA7"/>
    <w:rsid w:val="004C1CE3"/>
    <w:rsid w:val="004C2AD4"/>
    <w:rsid w:val="004C2B40"/>
    <w:rsid w:val="004C2C19"/>
    <w:rsid w:val="004C2C95"/>
    <w:rsid w:val="004C2CAC"/>
    <w:rsid w:val="004C3539"/>
    <w:rsid w:val="004C381C"/>
    <w:rsid w:val="004C3F0D"/>
    <w:rsid w:val="004C3FD7"/>
    <w:rsid w:val="004C4648"/>
    <w:rsid w:val="004C48E5"/>
    <w:rsid w:val="004C4971"/>
    <w:rsid w:val="004C50C0"/>
    <w:rsid w:val="004C55E8"/>
    <w:rsid w:val="004C5AA1"/>
    <w:rsid w:val="004C5BBD"/>
    <w:rsid w:val="004C5D10"/>
    <w:rsid w:val="004C600D"/>
    <w:rsid w:val="004C6374"/>
    <w:rsid w:val="004C64D0"/>
    <w:rsid w:val="004C6641"/>
    <w:rsid w:val="004C683A"/>
    <w:rsid w:val="004C6B4F"/>
    <w:rsid w:val="004C6D63"/>
    <w:rsid w:val="004C6DF5"/>
    <w:rsid w:val="004C7754"/>
    <w:rsid w:val="004C784B"/>
    <w:rsid w:val="004C79D9"/>
    <w:rsid w:val="004D059B"/>
    <w:rsid w:val="004D0705"/>
    <w:rsid w:val="004D0EBA"/>
    <w:rsid w:val="004D14E1"/>
    <w:rsid w:val="004D199D"/>
    <w:rsid w:val="004D1E35"/>
    <w:rsid w:val="004D21E5"/>
    <w:rsid w:val="004D2237"/>
    <w:rsid w:val="004D259F"/>
    <w:rsid w:val="004D25E2"/>
    <w:rsid w:val="004D26A0"/>
    <w:rsid w:val="004D2844"/>
    <w:rsid w:val="004D3A17"/>
    <w:rsid w:val="004D3E36"/>
    <w:rsid w:val="004D4588"/>
    <w:rsid w:val="004D4AC2"/>
    <w:rsid w:val="004D4B5B"/>
    <w:rsid w:val="004D4CAE"/>
    <w:rsid w:val="004D5038"/>
    <w:rsid w:val="004D50DC"/>
    <w:rsid w:val="004D51D4"/>
    <w:rsid w:val="004D5251"/>
    <w:rsid w:val="004D53F8"/>
    <w:rsid w:val="004D5D9E"/>
    <w:rsid w:val="004D5EBD"/>
    <w:rsid w:val="004D6314"/>
    <w:rsid w:val="004D68BE"/>
    <w:rsid w:val="004D68ED"/>
    <w:rsid w:val="004D6A67"/>
    <w:rsid w:val="004D6D7B"/>
    <w:rsid w:val="004D7312"/>
    <w:rsid w:val="004D7420"/>
    <w:rsid w:val="004D7576"/>
    <w:rsid w:val="004E00E6"/>
    <w:rsid w:val="004E01C0"/>
    <w:rsid w:val="004E0242"/>
    <w:rsid w:val="004E054D"/>
    <w:rsid w:val="004E06B0"/>
    <w:rsid w:val="004E07DA"/>
    <w:rsid w:val="004E08E7"/>
    <w:rsid w:val="004E0A8F"/>
    <w:rsid w:val="004E111B"/>
    <w:rsid w:val="004E1454"/>
    <w:rsid w:val="004E1E3E"/>
    <w:rsid w:val="004E1EA8"/>
    <w:rsid w:val="004E2459"/>
    <w:rsid w:val="004E26C8"/>
    <w:rsid w:val="004E2822"/>
    <w:rsid w:val="004E2921"/>
    <w:rsid w:val="004E2BC5"/>
    <w:rsid w:val="004E2FD4"/>
    <w:rsid w:val="004E305F"/>
    <w:rsid w:val="004E368E"/>
    <w:rsid w:val="004E3834"/>
    <w:rsid w:val="004E3C85"/>
    <w:rsid w:val="004E3FB6"/>
    <w:rsid w:val="004E41AF"/>
    <w:rsid w:val="004E4277"/>
    <w:rsid w:val="004E46EE"/>
    <w:rsid w:val="004E49BD"/>
    <w:rsid w:val="004E4E85"/>
    <w:rsid w:val="004E4F95"/>
    <w:rsid w:val="004E53FC"/>
    <w:rsid w:val="004E578F"/>
    <w:rsid w:val="004E5CB9"/>
    <w:rsid w:val="004E5CF5"/>
    <w:rsid w:val="004E63EE"/>
    <w:rsid w:val="004E650B"/>
    <w:rsid w:val="004E6510"/>
    <w:rsid w:val="004E6593"/>
    <w:rsid w:val="004E6BC9"/>
    <w:rsid w:val="004E6CBA"/>
    <w:rsid w:val="004E73E8"/>
    <w:rsid w:val="004E7540"/>
    <w:rsid w:val="004E7FC0"/>
    <w:rsid w:val="004F0148"/>
    <w:rsid w:val="004F04C9"/>
    <w:rsid w:val="004F0564"/>
    <w:rsid w:val="004F056A"/>
    <w:rsid w:val="004F0571"/>
    <w:rsid w:val="004F05B8"/>
    <w:rsid w:val="004F06B9"/>
    <w:rsid w:val="004F083D"/>
    <w:rsid w:val="004F0C3F"/>
    <w:rsid w:val="004F0DF9"/>
    <w:rsid w:val="004F1A7E"/>
    <w:rsid w:val="004F2715"/>
    <w:rsid w:val="004F28AA"/>
    <w:rsid w:val="004F2A1D"/>
    <w:rsid w:val="004F2BB1"/>
    <w:rsid w:val="004F2F35"/>
    <w:rsid w:val="004F304A"/>
    <w:rsid w:val="004F30BF"/>
    <w:rsid w:val="004F34AC"/>
    <w:rsid w:val="004F37EE"/>
    <w:rsid w:val="004F3BE6"/>
    <w:rsid w:val="004F3BF4"/>
    <w:rsid w:val="004F3D20"/>
    <w:rsid w:val="004F3FD2"/>
    <w:rsid w:val="004F40AD"/>
    <w:rsid w:val="004F41C8"/>
    <w:rsid w:val="004F4978"/>
    <w:rsid w:val="004F4F47"/>
    <w:rsid w:val="004F56ED"/>
    <w:rsid w:val="004F588D"/>
    <w:rsid w:val="004F59FF"/>
    <w:rsid w:val="004F5C58"/>
    <w:rsid w:val="004F5D56"/>
    <w:rsid w:val="004F5F23"/>
    <w:rsid w:val="004F5FA0"/>
    <w:rsid w:val="004F6045"/>
    <w:rsid w:val="004F6147"/>
    <w:rsid w:val="004F614F"/>
    <w:rsid w:val="004F6677"/>
    <w:rsid w:val="004F6782"/>
    <w:rsid w:val="004F69FE"/>
    <w:rsid w:val="004F6ED6"/>
    <w:rsid w:val="004F6EE4"/>
    <w:rsid w:val="004F752A"/>
    <w:rsid w:val="004F781C"/>
    <w:rsid w:val="004F7918"/>
    <w:rsid w:val="004F7F31"/>
    <w:rsid w:val="0050098F"/>
    <w:rsid w:val="00500CC6"/>
    <w:rsid w:val="005017AF"/>
    <w:rsid w:val="00501A5D"/>
    <w:rsid w:val="00501C1C"/>
    <w:rsid w:val="00502190"/>
    <w:rsid w:val="005022AE"/>
    <w:rsid w:val="005034E2"/>
    <w:rsid w:val="00503738"/>
    <w:rsid w:val="00503797"/>
    <w:rsid w:val="005038CB"/>
    <w:rsid w:val="0050398F"/>
    <w:rsid w:val="005039EE"/>
    <w:rsid w:val="00503F6D"/>
    <w:rsid w:val="00504CF2"/>
    <w:rsid w:val="005051C5"/>
    <w:rsid w:val="00505714"/>
    <w:rsid w:val="005057FE"/>
    <w:rsid w:val="00505827"/>
    <w:rsid w:val="00505B35"/>
    <w:rsid w:val="0050634D"/>
    <w:rsid w:val="00506441"/>
    <w:rsid w:val="005067EB"/>
    <w:rsid w:val="00506A1E"/>
    <w:rsid w:val="00506B64"/>
    <w:rsid w:val="00506C00"/>
    <w:rsid w:val="00506E42"/>
    <w:rsid w:val="00507749"/>
    <w:rsid w:val="00507A41"/>
    <w:rsid w:val="00510162"/>
    <w:rsid w:val="005106A0"/>
    <w:rsid w:val="00510A77"/>
    <w:rsid w:val="00510B78"/>
    <w:rsid w:val="00510FFA"/>
    <w:rsid w:val="005111E1"/>
    <w:rsid w:val="00511586"/>
    <w:rsid w:val="0051180D"/>
    <w:rsid w:val="0051227C"/>
    <w:rsid w:val="0051254F"/>
    <w:rsid w:val="005125B3"/>
    <w:rsid w:val="005125B6"/>
    <w:rsid w:val="005129F7"/>
    <w:rsid w:val="00512AF0"/>
    <w:rsid w:val="00512E59"/>
    <w:rsid w:val="005130A1"/>
    <w:rsid w:val="005133C9"/>
    <w:rsid w:val="0051367A"/>
    <w:rsid w:val="005137A4"/>
    <w:rsid w:val="00513E25"/>
    <w:rsid w:val="0051430B"/>
    <w:rsid w:val="005144B5"/>
    <w:rsid w:val="00514710"/>
    <w:rsid w:val="00514CF7"/>
    <w:rsid w:val="00514E75"/>
    <w:rsid w:val="0051524A"/>
    <w:rsid w:val="0051535D"/>
    <w:rsid w:val="005158FB"/>
    <w:rsid w:val="00515A03"/>
    <w:rsid w:val="0051601C"/>
    <w:rsid w:val="005162F1"/>
    <w:rsid w:val="005162FB"/>
    <w:rsid w:val="00516603"/>
    <w:rsid w:val="0051788F"/>
    <w:rsid w:val="00517E75"/>
    <w:rsid w:val="0052095A"/>
    <w:rsid w:val="00520E0A"/>
    <w:rsid w:val="0052125B"/>
    <w:rsid w:val="00521565"/>
    <w:rsid w:val="00521745"/>
    <w:rsid w:val="005219BF"/>
    <w:rsid w:val="005221B4"/>
    <w:rsid w:val="005224A4"/>
    <w:rsid w:val="00522B66"/>
    <w:rsid w:val="00523055"/>
    <w:rsid w:val="005232C3"/>
    <w:rsid w:val="005234BC"/>
    <w:rsid w:val="00523D53"/>
    <w:rsid w:val="00523D66"/>
    <w:rsid w:val="00523F12"/>
    <w:rsid w:val="00523FCF"/>
    <w:rsid w:val="0052446A"/>
    <w:rsid w:val="00524490"/>
    <w:rsid w:val="005244CA"/>
    <w:rsid w:val="005248DC"/>
    <w:rsid w:val="005249CF"/>
    <w:rsid w:val="00524A48"/>
    <w:rsid w:val="00524ACF"/>
    <w:rsid w:val="005251FB"/>
    <w:rsid w:val="00525285"/>
    <w:rsid w:val="0052543F"/>
    <w:rsid w:val="0052553B"/>
    <w:rsid w:val="00525A58"/>
    <w:rsid w:val="00525A6A"/>
    <w:rsid w:val="00525BBB"/>
    <w:rsid w:val="00525DF6"/>
    <w:rsid w:val="00526118"/>
    <w:rsid w:val="005263EB"/>
    <w:rsid w:val="00526534"/>
    <w:rsid w:val="005267CF"/>
    <w:rsid w:val="0052699C"/>
    <w:rsid w:val="00526AE6"/>
    <w:rsid w:val="00526CF2"/>
    <w:rsid w:val="0052700A"/>
    <w:rsid w:val="005272A2"/>
    <w:rsid w:val="005275E5"/>
    <w:rsid w:val="00527868"/>
    <w:rsid w:val="00527A5E"/>
    <w:rsid w:val="00527B27"/>
    <w:rsid w:val="00527BA9"/>
    <w:rsid w:val="00530166"/>
    <w:rsid w:val="00530771"/>
    <w:rsid w:val="00530783"/>
    <w:rsid w:val="00530833"/>
    <w:rsid w:val="00530DE9"/>
    <w:rsid w:val="00530EBF"/>
    <w:rsid w:val="00531469"/>
    <w:rsid w:val="005314FB"/>
    <w:rsid w:val="0053199B"/>
    <w:rsid w:val="00531B9E"/>
    <w:rsid w:val="005320EA"/>
    <w:rsid w:val="00532EED"/>
    <w:rsid w:val="00533561"/>
    <w:rsid w:val="00533C9D"/>
    <w:rsid w:val="005348CE"/>
    <w:rsid w:val="00534A7B"/>
    <w:rsid w:val="00534FA1"/>
    <w:rsid w:val="0053567B"/>
    <w:rsid w:val="005356D8"/>
    <w:rsid w:val="0053578C"/>
    <w:rsid w:val="00535955"/>
    <w:rsid w:val="00535DC9"/>
    <w:rsid w:val="0053625D"/>
    <w:rsid w:val="00536816"/>
    <w:rsid w:val="00536F59"/>
    <w:rsid w:val="00537507"/>
    <w:rsid w:val="00537A32"/>
    <w:rsid w:val="00537F17"/>
    <w:rsid w:val="00540376"/>
    <w:rsid w:val="0054077E"/>
    <w:rsid w:val="00540889"/>
    <w:rsid w:val="00540997"/>
    <w:rsid w:val="005412F3"/>
    <w:rsid w:val="00541413"/>
    <w:rsid w:val="005414EF"/>
    <w:rsid w:val="005420CD"/>
    <w:rsid w:val="00542366"/>
    <w:rsid w:val="005424AA"/>
    <w:rsid w:val="005425AD"/>
    <w:rsid w:val="00542A02"/>
    <w:rsid w:val="005431F0"/>
    <w:rsid w:val="005431FC"/>
    <w:rsid w:val="00543B50"/>
    <w:rsid w:val="00543E78"/>
    <w:rsid w:val="00544329"/>
    <w:rsid w:val="00544453"/>
    <w:rsid w:val="005446AA"/>
    <w:rsid w:val="0054481C"/>
    <w:rsid w:val="005448CD"/>
    <w:rsid w:val="00545158"/>
    <w:rsid w:val="00545440"/>
    <w:rsid w:val="005454E8"/>
    <w:rsid w:val="00545C69"/>
    <w:rsid w:val="00546132"/>
    <w:rsid w:val="00546319"/>
    <w:rsid w:val="00546C4D"/>
    <w:rsid w:val="00546E90"/>
    <w:rsid w:val="00546FEB"/>
    <w:rsid w:val="0054766B"/>
    <w:rsid w:val="00547E0F"/>
    <w:rsid w:val="005501CE"/>
    <w:rsid w:val="00550242"/>
    <w:rsid w:val="00550733"/>
    <w:rsid w:val="00550AA6"/>
    <w:rsid w:val="00550BAA"/>
    <w:rsid w:val="00550D0E"/>
    <w:rsid w:val="005516BD"/>
    <w:rsid w:val="0055172A"/>
    <w:rsid w:val="00551A54"/>
    <w:rsid w:val="005520B1"/>
    <w:rsid w:val="00552731"/>
    <w:rsid w:val="0055280C"/>
    <w:rsid w:val="00552833"/>
    <w:rsid w:val="00552941"/>
    <w:rsid w:val="005529BB"/>
    <w:rsid w:val="00552F06"/>
    <w:rsid w:val="005530E3"/>
    <w:rsid w:val="00553198"/>
    <w:rsid w:val="00553457"/>
    <w:rsid w:val="0055347B"/>
    <w:rsid w:val="00553797"/>
    <w:rsid w:val="005539BE"/>
    <w:rsid w:val="005539EC"/>
    <w:rsid w:val="00553A0B"/>
    <w:rsid w:val="00553FFB"/>
    <w:rsid w:val="0055421A"/>
    <w:rsid w:val="005542EE"/>
    <w:rsid w:val="00554329"/>
    <w:rsid w:val="00554607"/>
    <w:rsid w:val="00554627"/>
    <w:rsid w:val="0055475C"/>
    <w:rsid w:val="005547FF"/>
    <w:rsid w:val="00554D86"/>
    <w:rsid w:val="00554E74"/>
    <w:rsid w:val="00554F04"/>
    <w:rsid w:val="00554F9C"/>
    <w:rsid w:val="00555E12"/>
    <w:rsid w:val="00556136"/>
    <w:rsid w:val="005563C9"/>
    <w:rsid w:val="005566AA"/>
    <w:rsid w:val="00556B93"/>
    <w:rsid w:val="00556D00"/>
    <w:rsid w:val="0055711B"/>
    <w:rsid w:val="0055738E"/>
    <w:rsid w:val="005574F9"/>
    <w:rsid w:val="0055758F"/>
    <w:rsid w:val="0055770D"/>
    <w:rsid w:val="00557DAC"/>
    <w:rsid w:val="00560031"/>
    <w:rsid w:val="00560194"/>
    <w:rsid w:val="005602C8"/>
    <w:rsid w:val="005602EA"/>
    <w:rsid w:val="00560404"/>
    <w:rsid w:val="00560469"/>
    <w:rsid w:val="00560624"/>
    <w:rsid w:val="00560748"/>
    <w:rsid w:val="00560881"/>
    <w:rsid w:val="00560978"/>
    <w:rsid w:val="00560A37"/>
    <w:rsid w:val="00560B65"/>
    <w:rsid w:val="00560C38"/>
    <w:rsid w:val="00560D2B"/>
    <w:rsid w:val="00560DE2"/>
    <w:rsid w:val="00560FAC"/>
    <w:rsid w:val="005611B9"/>
    <w:rsid w:val="005612D4"/>
    <w:rsid w:val="005613A3"/>
    <w:rsid w:val="005613A7"/>
    <w:rsid w:val="00561710"/>
    <w:rsid w:val="00561975"/>
    <w:rsid w:val="005619B7"/>
    <w:rsid w:val="00561AEE"/>
    <w:rsid w:val="00561C1C"/>
    <w:rsid w:val="00561CCE"/>
    <w:rsid w:val="00561D3C"/>
    <w:rsid w:val="00562A5F"/>
    <w:rsid w:val="00562BE5"/>
    <w:rsid w:val="00562D7E"/>
    <w:rsid w:val="00562E3D"/>
    <w:rsid w:val="005634BA"/>
    <w:rsid w:val="005639B1"/>
    <w:rsid w:val="00563ADB"/>
    <w:rsid w:val="00563EC3"/>
    <w:rsid w:val="00563F75"/>
    <w:rsid w:val="005640EB"/>
    <w:rsid w:val="00564600"/>
    <w:rsid w:val="0056495D"/>
    <w:rsid w:val="00564DA3"/>
    <w:rsid w:val="00564EB4"/>
    <w:rsid w:val="005651DE"/>
    <w:rsid w:val="00565514"/>
    <w:rsid w:val="0056557A"/>
    <w:rsid w:val="00565A48"/>
    <w:rsid w:val="00565FCB"/>
    <w:rsid w:val="00566076"/>
    <w:rsid w:val="00566282"/>
    <w:rsid w:val="00566571"/>
    <w:rsid w:val="005666B9"/>
    <w:rsid w:val="00566766"/>
    <w:rsid w:val="00566845"/>
    <w:rsid w:val="00566A6C"/>
    <w:rsid w:val="00566F82"/>
    <w:rsid w:val="00567218"/>
    <w:rsid w:val="00567646"/>
    <w:rsid w:val="00567851"/>
    <w:rsid w:val="00567B69"/>
    <w:rsid w:val="00570072"/>
    <w:rsid w:val="0057013D"/>
    <w:rsid w:val="0057031E"/>
    <w:rsid w:val="00570584"/>
    <w:rsid w:val="005705C8"/>
    <w:rsid w:val="0057094E"/>
    <w:rsid w:val="00570A00"/>
    <w:rsid w:val="00570E16"/>
    <w:rsid w:val="005712D6"/>
    <w:rsid w:val="00571812"/>
    <w:rsid w:val="00571DCD"/>
    <w:rsid w:val="0057218C"/>
    <w:rsid w:val="005723F9"/>
    <w:rsid w:val="00572C81"/>
    <w:rsid w:val="00572E70"/>
    <w:rsid w:val="00572EB6"/>
    <w:rsid w:val="00573348"/>
    <w:rsid w:val="00573369"/>
    <w:rsid w:val="0057337D"/>
    <w:rsid w:val="0057354E"/>
    <w:rsid w:val="005737C9"/>
    <w:rsid w:val="00573C20"/>
    <w:rsid w:val="00574098"/>
    <w:rsid w:val="0057418A"/>
    <w:rsid w:val="005747F1"/>
    <w:rsid w:val="00574923"/>
    <w:rsid w:val="005749F3"/>
    <w:rsid w:val="00574D59"/>
    <w:rsid w:val="0057512E"/>
    <w:rsid w:val="00575146"/>
    <w:rsid w:val="0057535A"/>
    <w:rsid w:val="00575641"/>
    <w:rsid w:val="00575BF7"/>
    <w:rsid w:val="00575C24"/>
    <w:rsid w:val="00576226"/>
    <w:rsid w:val="005762EA"/>
    <w:rsid w:val="005767AE"/>
    <w:rsid w:val="00576933"/>
    <w:rsid w:val="005773EC"/>
    <w:rsid w:val="00577AD2"/>
    <w:rsid w:val="00580390"/>
    <w:rsid w:val="00580491"/>
    <w:rsid w:val="00580C3F"/>
    <w:rsid w:val="00580D79"/>
    <w:rsid w:val="00580F52"/>
    <w:rsid w:val="0058137E"/>
    <w:rsid w:val="00581624"/>
    <w:rsid w:val="005816EE"/>
    <w:rsid w:val="005817B2"/>
    <w:rsid w:val="005819CB"/>
    <w:rsid w:val="005819F7"/>
    <w:rsid w:val="00581A20"/>
    <w:rsid w:val="00581BC4"/>
    <w:rsid w:val="00581C35"/>
    <w:rsid w:val="00581C62"/>
    <w:rsid w:val="0058204A"/>
    <w:rsid w:val="005820CE"/>
    <w:rsid w:val="005820EC"/>
    <w:rsid w:val="0058220C"/>
    <w:rsid w:val="00582265"/>
    <w:rsid w:val="005823A5"/>
    <w:rsid w:val="005824C6"/>
    <w:rsid w:val="00582629"/>
    <w:rsid w:val="00582674"/>
    <w:rsid w:val="0058267C"/>
    <w:rsid w:val="005826EE"/>
    <w:rsid w:val="0058271E"/>
    <w:rsid w:val="0058283F"/>
    <w:rsid w:val="00582ECE"/>
    <w:rsid w:val="00583198"/>
    <w:rsid w:val="005831BF"/>
    <w:rsid w:val="005834BC"/>
    <w:rsid w:val="00583930"/>
    <w:rsid w:val="00583BFE"/>
    <w:rsid w:val="00583D8A"/>
    <w:rsid w:val="00583DBE"/>
    <w:rsid w:val="005840EB"/>
    <w:rsid w:val="005840EF"/>
    <w:rsid w:val="005843BE"/>
    <w:rsid w:val="005845A3"/>
    <w:rsid w:val="005848F8"/>
    <w:rsid w:val="00584E2F"/>
    <w:rsid w:val="005850F8"/>
    <w:rsid w:val="00585151"/>
    <w:rsid w:val="0058523B"/>
    <w:rsid w:val="0058525B"/>
    <w:rsid w:val="00585AAE"/>
    <w:rsid w:val="00585C03"/>
    <w:rsid w:val="00585F1C"/>
    <w:rsid w:val="005863B2"/>
    <w:rsid w:val="005863F7"/>
    <w:rsid w:val="00586637"/>
    <w:rsid w:val="005868AB"/>
    <w:rsid w:val="005868C2"/>
    <w:rsid w:val="00587229"/>
    <w:rsid w:val="00587C46"/>
    <w:rsid w:val="00587F56"/>
    <w:rsid w:val="00587FD9"/>
    <w:rsid w:val="0059001E"/>
    <w:rsid w:val="005900B9"/>
    <w:rsid w:val="005902C9"/>
    <w:rsid w:val="005908B9"/>
    <w:rsid w:val="00591265"/>
    <w:rsid w:val="00591282"/>
    <w:rsid w:val="00591283"/>
    <w:rsid w:val="005915A4"/>
    <w:rsid w:val="005924D3"/>
    <w:rsid w:val="005924F1"/>
    <w:rsid w:val="005925E3"/>
    <w:rsid w:val="00592CF0"/>
    <w:rsid w:val="0059304D"/>
    <w:rsid w:val="00593058"/>
    <w:rsid w:val="005933AE"/>
    <w:rsid w:val="005934A8"/>
    <w:rsid w:val="0059382B"/>
    <w:rsid w:val="00593CBE"/>
    <w:rsid w:val="00593F5D"/>
    <w:rsid w:val="0059404E"/>
    <w:rsid w:val="0059406A"/>
    <w:rsid w:val="005944F1"/>
    <w:rsid w:val="005946CA"/>
    <w:rsid w:val="005948E1"/>
    <w:rsid w:val="005948F3"/>
    <w:rsid w:val="00594B14"/>
    <w:rsid w:val="00594CD9"/>
    <w:rsid w:val="00595156"/>
    <w:rsid w:val="005962ED"/>
    <w:rsid w:val="005965C9"/>
    <w:rsid w:val="005966C9"/>
    <w:rsid w:val="00596790"/>
    <w:rsid w:val="005967C0"/>
    <w:rsid w:val="00596832"/>
    <w:rsid w:val="00596CCB"/>
    <w:rsid w:val="00596DB6"/>
    <w:rsid w:val="005970CD"/>
    <w:rsid w:val="00597459"/>
    <w:rsid w:val="00597753"/>
    <w:rsid w:val="005979C3"/>
    <w:rsid w:val="00597D8A"/>
    <w:rsid w:val="00597E6F"/>
    <w:rsid w:val="00597F9D"/>
    <w:rsid w:val="005A0203"/>
    <w:rsid w:val="005A03BD"/>
    <w:rsid w:val="005A052F"/>
    <w:rsid w:val="005A05DF"/>
    <w:rsid w:val="005A0C7F"/>
    <w:rsid w:val="005A0ECA"/>
    <w:rsid w:val="005A0EFC"/>
    <w:rsid w:val="005A1018"/>
    <w:rsid w:val="005A1099"/>
    <w:rsid w:val="005A10AE"/>
    <w:rsid w:val="005A12EF"/>
    <w:rsid w:val="005A1396"/>
    <w:rsid w:val="005A13B0"/>
    <w:rsid w:val="005A1586"/>
    <w:rsid w:val="005A15BB"/>
    <w:rsid w:val="005A15D8"/>
    <w:rsid w:val="005A1980"/>
    <w:rsid w:val="005A1A26"/>
    <w:rsid w:val="005A1BC8"/>
    <w:rsid w:val="005A1C64"/>
    <w:rsid w:val="005A1CFF"/>
    <w:rsid w:val="005A1D75"/>
    <w:rsid w:val="005A1F74"/>
    <w:rsid w:val="005A207E"/>
    <w:rsid w:val="005A2293"/>
    <w:rsid w:val="005A2593"/>
    <w:rsid w:val="005A2FFB"/>
    <w:rsid w:val="005A3196"/>
    <w:rsid w:val="005A339E"/>
    <w:rsid w:val="005A35CE"/>
    <w:rsid w:val="005A3858"/>
    <w:rsid w:val="005A3993"/>
    <w:rsid w:val="005A3CF7"/>
    <w:rsid w:val="005A3E4B"/>
    <w:rsid w:val="005A3F81"/>
    <w:rsid w:val="005A408B"/>
    <w:rsid w:val="005A4142"/>
    <w:rsid w:val="005A414B"/>
    <w:rsid w:val="005A48B4"/>
    <w:rsid w:val="005A48BD"/>
    <w:rsid w:val="005A581C"/>
    <w:rsid w:val="005A5872"/>
    <w:rsid w:val="005A5A88"/>
    <w:rsid w:val="005A6A8A"/>
    <w:rsid w:val="005A6E32"/>
    <w:rsid w:val="005A6F80"/>
    <w:rsid w:val="005A7215"/>
    <w:rsid w:val="005A726F"/>
    <w:rsid w:val="005A7550"/>
    <w:rsid w:val="005A782E"/>
    <w:rsid w:val="005A793B"/>
    <w:rsid w:val="005A79AE"/>
    <w:rsid w:val="005A7A5C"/>
    <w:rsid w:val="005A7EBC"/>
    <w:rsid w:val="005B00B5"/>
    <w:rsid w:val="005B0168"/>
    <w:rsid w:val="005B01B7"/>
    <w:rsid w:val="005B05E7"/>
    <w:rsid w:val="005B0774"/>
    <w:rsid w:val="005B080D"/>
    <w:rsid w:val="005B0A29"/>
    <w:rsid w:val="005B0E02"/>
    <w:rsid w:val="005B1595"/>
    <w:rsid w:val="005B1731"/>
    <w:rsid w:val="005B1878"/>
    <w:rsid w:val="005B18B2"/>
    <w:rsid w:val="005B1965"/>
    <w:rsid w:val="005B1CF5"/>
    <w:rsid w:val="005B203F"/>
    <w:rsid w:val="005B2054"/>
    <w:rsid w:val="005B247D"/>
    <w:rsid w:val="005B2561"/>
    <w:rsid w:val="005B25AA"/>
    <w:rsid w:val="005B2607"/>
    <w:rsid w:val="005B26FD"/>
    <w:rsid w:val="005B2BC5"/>
    <w:rsid w:val="005B2E63"/>
    <w:rsid w:val="005B3176"/>
    <w:rsid w:val="005B39D8"/>
    <w:rsid w:val="005B3EF1"/>
    <w:rsid w:val="005B3F34"/>
    <w:rsid w:val="005B429E"/>
    <w:rsid w:val="005B42A7"/>
    <w:rsid w:val="005B44D0"/>
    <w:rsid w:val="005B4CD8"/>
    <w:rsid w:val="005B55D6"/>
    <w:rsid w:val="005B5B11"/>
    <w:rsid w:val="005B5C27"/>
    <w:rsid w:val="005B5C4A"/>
    <w:rsid w:val="005B5EDF"/>
    <w:rsid w:val="005B5FC3"/>
    <w:rsid w:val="005B60BD"/>
    <w:rsid w:val="005B61BF"/>
    <w:rsid w:val="005B668D"/>
    <w:rsid w:val="005B6717"/>
    <w:rsid w:val="005B67FE"/>
    <w:rsid w:val="005B6837"/>
    <w:rsid w:val="005B6913"/>
    <w:rsid w:val="005B6AD3"/>
    <w:rsid w:val="005B705F"/>
    <w:rsid w:val="005B72EF"/>
    <w:rsid w:val="005B799E"/>
    <w:rsid w:val="005B7A53"/>
    <w:rsid w:val="005B7C8C"/>
    <w:rsid w:val="005C0178"/>
    <w:rsid w:val="005C02BC"/>
    <w:rsid w:val="005C0423"/>
    <w:rsid w:val="005C0607"/>
    <w:rsid w:val="005C0873"/>
    <w:rsid w:val="005C0A76"/>
    <w:rsid w:val="005C0F3A"/>
    <w:rsid w:val="005C0F51"/>
    <w:rsid w:val="005C0FA9"/>
    <w:rsid w:val="005C0FE5"/>
    <w:rsid w:val="005C11E6"/>
    <w:rsid w:val="005C147A"/>
    <w:rsid w:val="005C1490"/>
    <w:rsid w:val="005C19D6"/>
    <w:rsid w:val="005C1F3B"/>
    <w:rsid w:val="005C208C"/>
    <w:rsid w:val="005C20F7"/>
    <w:rsid w:val="005C2469"/>
    <w:rsid w:val="005C28E4"/>
    <w:rsid w:val="005C2A7E"/>
    <w:rsid w:val="005C2E67"/>
    <w:rsid w:val="005C35ED"/>
    <w:rsid w:val="005C35FA"/>
    <w:rsid w:val="005C37F2"/>
    <w:rsid w:val="005C414B"/>
    <w:rsid w:val="005C42EA"/>
    <w:rsid w:val="005C4457"/>
    <w:rsid w:val="005C4616"/>
    <w:rsid w:val="005C4AD1"/>
    <w:rsid w:val="005C4AF0"/>
    <w:rsid w:val="005C4D24"/>
    <w:rsid w:val="005C4DD7"/>
    <w:rsid w:val="005C5284"/>
    <w:rsid w:val="005C539A"/>
    <w:rsid w:val="005C5693"/>
    <w:rsid w:val="005C59A0"/>
    <w:rsid w:val="005C5A2A"/>
    <w:rsid w:val="005C5BA0"/>
    <w:rsid w:val="005C5C9E"/>
    <w:rsid w:val="005C5D0A"/>
    <w:rsid w:val="005C60B1"/>
    <w:rsid w:val="005C6C12"/>
    <w:rsid w:val="005C6F04"/>
    <w:rsid w:val="005C74F8"/>
    <w:rsid w:val="005C75B9"/>
    <w:rsid w:val="005C778A"/>
    <w:rsid w:val="005C794A"/>
    <w:rsid w:val="005C7B1F"/>
    <w:rsid w:val="005C7E97"/>
    <w:rsid w:val="005D065D"/>
    <w:rsid w:val="005D070B"/>
    <w:rsid w:val="005D0C8D"/>
    <w:rsid w:val="005D12BF"/>
    <w:rsid w:val="005D14B2"/>
    <w:rsid w:val="005D14E9"/>
    <w:rsid w:val="005D19D4"/>
    <w:rsid w:val="005D1A3C"/>
    <w:rsid w:val="005D1B75"/>
    <w:rsid w:val="005D1B9B"/>
    <w:rsid w:val="005D1C71"/>
    <w:rsid w:val="005D1E86"/>
    <w:rsid w:val="005D21A6"/>
    <w:rsid w:val="005D29D5"/>
    <w:rsid w:val="005D29F6"/>
    <w:rsid w:val="005D383D"/>
    <w:rsid w:val="005D3947"/>
    <w:rsid w:val="005D3D18"/>
    <w:rsid w:val="005D3E4A"/>
    <w:rsid w:val="005D3E97"/>
    <w:rsid w:val="005D3F76"/>
    <w:rsid w:val="005D4095"/>
    <w:rsid w:val="005D4641"/>
    <w:rsid w:val="005D4750"/>
    <w:rsid w:val="005D49A2"/>
    <w:rsid w:val="005D49FF"/>
    <w:rsid w:val="005D4ACD"/>
    <w:rsid w:val="005D4C36"/>
    <w:rsid w:val="005D4D0A"/>
    <w:rsid w:val="005D4E41"/>
    <w:rsid w:val="005D526E"/>
    <w:rsid w:val="005D5625"/>
    <w:rsid w:val="005D5672"/>
    <w:rsid w:val="005D5695"/>
    <w:rsid w:val="005D5A82"/>
    <w:rsid w:val="005D5D34"/>
    <w:rsid w:val="005D6151"/>
    <w:rsid w:val="005D6156"/>
    <w:rsid w:val="005D6309"/>
    <w:rsid w:val="005D635A"/>
    <w:rsid w:val="005D63D6"/>
    <w:rsid w:val="005D64BF"/>
    <w:rsid w:val="005D6BF4"/>
    <w:rsid w:val="005D6CA0"/>
    <w:rsid w:val="005D72C3"/>
    <w:rsid w:val="005D7ED3"/>
    <w:rsid w:val="005D7FFC"/>
    <w:rsid w:val="005E06C9"/>
    <w:rsid w:val="005E0862"/>
    <w:rsid w:val="005E08CF"/>
    <w:rsid w:val="005E0E57"/>
    <w:rsid w:val="005E129D"/>
    <w:rsid w:val="005E1375"/>
    <w:rsid w:val="005E147F"/>
    <w:rsid w:val="005E14D8"/>
    <w:rsid w:val="005E178A"/>
    <w:rsid w:val="005E19FF"/>
    <w:rsid w:val="005E1CEB"/>
    <w:rsid w:val="005E2576"/>
    <w:rsid w:val="005E27F6"/>
    <w:rsid w:val="005E2A30"/>
    <w:rsid w:val="005E2BDE"/>
    <w:rsid w:val="005E2FF1"/>
    <w:rsid w:val="005E312D"/>
    <w:rsid w:val="005E3850"/>
    <w:rsid w:val="005E3B4D"/>
    <w:rsid w:val="005E3B5B"/>
    <w:rsid w:val="005E3C1A"/>
    <w:rsid w:val="005E3DEF"/>
    <w:rsid w:val="005E41A6"/>
    <w:rsid w:val="005E4266"/>
    <w:rsid w:val="005E427F"/>
    <w:rsid w:val="005E4E97"/>
    <w:rsid w:val="005E54F0"/>
    <w:rsid w:val="005E57F7"/>
    <w:rsid w:val="005E5C65"/>
    <w:rsid w:val="005E5DFA"/>
    <w:rsid w:val="005E609A"/>
    <w:rsid w:val="005E682E"/>
    <w:rsid w:val="005E68F3"/>
    <w:rsid w:val="005E6A57"/>
    <w:rsid w:val="005E6BB3"/>
    <w:rsid w:val="005E6F86"/>
    <w:rsid w:val="005E70D9"/>
    <w:rsid w:val="005E71E1"/>
    <w:rsid w:val="005E7479"/>
    <w:rsid w:val="005E756A"/>
    <w:rsid w:val="005E7892"/>
    <w:rsid w:val="005E78BB"/>
    <w:rsid w:val="005E7CCA"/>
    <w:rsid w:val="005F0245"/>
    <w:rsid w:val="005F0652"/>
    <w:rsid w:val="005F07BE"/>
    <w:rsid w:val="005F0AE1"/>
    <w:rsid w:val="005F0DE4"/>
    <w:rsid w:val="005F1146"/>
    <w:rsid w:val="005F191F"/>
    <w:rsid w:val="005F1997"/>
    <w:rsid w:val="005F1D63"/>
    <w:rsid w:val="005F1D68"/>
    <w:rsid w:val="005F28D5"/>
    <w:rsid w:val="005F2BC2"/>
    <w:rsid w:val="005F2FB8"/>
    <w:rsid w:val="005F3B11"/>
    <w:rsid w:val="005F3C0A"/>
    <w:rsid w:val="005F3CEA"/>
    <w:rsid w:val="005F44DE"/>
    <w:rsid w:val="005F4587"/>
    <w:rsid w:val="005F4A97"/>
    <w:rsid w:val="005F4E85"/>
    <w:rsid w:val="005F4EB2"/>
    <w:rsid w:val="005F5255"/>
    <w:rsid w:val="005F546F"/>
    <w:rsid w:val="005F5479"/>
    <w:rsid w:val="005F567B"/>
    <w:rsid w:val="005F5B32"/>
    <w:rsid w:val="005F6065"/>
    <w:rsid w:val="005F66AA"/>
    <w:rsid w:val="005F66DC"/>
    <w:rsid w:val="005F7084"/>
    <w:rsid w:val="005F7097"/>
    <w:rsid w:val="005F731B"/>
    <w:rsid w:val="005F786A"/>
    <w:rsid w:val="005F79F6"/>
    <w:rsid w:val="005F7AC1"/>
    <w:rsid w:val="005F7EA3"/>
    <w:rsid w:val="00600DA1"/>
    <w:rsid w:val="006013FB"/>
    <w:rsid w:val="00601583"/>
    <w:rsid w:val="00601CE8"/>
    <w:rsid w:val="00601CFD"/>
    <w:rsid w:val="00601DFB"/>
    <w:rsid w:val="00601F1A"/>
    <w:rsid w:val="00601F8B"/>
    <w:rsid w:val="0060259D"/>
    <w:rsid w:val="00602746"/>
    <w:rsid w:val="00602911"/>
    <w:rsid w:val="0060294C"/>
    <w:rsid w:val="00602FB1"/>
    <w:rsid w:val="00603073"/>
    <w:rsid w:val="00603105"/>
    <w:rsid w:val="00603128"/>
    <w:rsid w:val="006036E2"/>
    <w:rsid w:val="00603705"/>
    <w:rsid w:val="006037C5"/>
    <w:rsid w:val="00603976"/>
    <w:rsid w:val="00603A7A"/>
    <w:rsid w:val="00604319"/>
    <w:rsid w:val="00604485"/>
    <w:rsid w:val="00604861"/>
    <w:rsid w:val="00604C19"/>
    <w:rsid w:val="00604C32"/>
    <w:rsid w:val="00604D76"/>
    <w:rsid w:val="00604E89"/>
    <w:rsid w:val="00604F87"/>
    <w:rsid w:val="0060508A"/>
    <w:rsid w:val="006052B9"/>
    <w:rsid w:val="00605607"/>
    <w:rsid w:val="006059A8"/>
    <w:rsid w:val="00605E4D"/>
    <w:rsid w:val="00606002"/>
    <w:rsid w:val="00606458"/>
    <w:rsid w:val="00606720"/>
    <w:rsid w:val="00606841"/>
    <w:rsid w:val="00606CC5"/>
    <w:rsid w:val="00606E65"/>
    <w:rsid w:val="00607141"/>
    <w:rsid w:val="00607385"/>
    <w:rsid w:val="0060754F"/>
    <w:rsid w:val="00607B23"/>
    <w:rsid w:val="00610057"/>
    <w:rsid w:val="006109AE"/>
    <w:rsid w:val="00610BA7"/>
    <w:rsid w:val="00610C20"/>
    <w:rsid w:val="00611189"/>
    <w:rsid w:val="006116F6"/>
    <w:rsid w:val="00611765"/>
    <w:rsid w:val="00611FD0"/>
    <w:rsid w:val="0061233F"/>
    <w:rsid w:val="006125C5"/>
    <w:rsid w:val="006126E2"/>
    <w:rsid w:val="00612766"/>
    <w:rsid w:val="0061278B"/>
    <w:rsid w:val="00612B0D"/>
    <w:rsid w:val="00612EE9"/>
    <w:rsid w:val="0061385B"/>
    <w:rsid w:val="00613AB5"/>
    <w:rsid w:val="00614153"/>
    <w:rsid w:val="006144BB"/>
    <w:rsid w:val="00614667"/>
    <w:rsid w:val="0061489F"/>
    <w:rsid w:val="006149AD"/>
    <w:rsid w:val="00614CAC"/>
    <w:rsid w:val="00615189"/>
    <w:rsid w:val="0061549B"/>
    <w:rsid w:val="00616089"/>
    <w:rsid w:val="006160EF"/>
    <w:rsid w:val="00616900"/>
    <w:rsid w:val="00616A41"/>
    <w:rsid w:val="00616ACC"/>
    <w:rsid w:val="00616B2A"/>
    <w:rsid w:val="0061744E"/>
    <w:rsid w:val="0061747F"/>
    <w:rsid w:val="006174AA"/>
    <w:rsid w:val="0061799E"/>
    <w:rsid w:val="00617B9D"/>
    <w:rsid w:val="00617CDA"/>
    <w:rsid w:val="00620102"/>
    <w:rsid w:val="0062032D"/>
    <w:rsid w:val="006204D9"/>
    <w:rsid w:val="0062057F"/>
    <w:rsid w:val="006205AD"/>
    <w:rsid w:val="00620BE6"/>
    <w:rsid w:val="00620CA8"/>
    <w:rsid w:val="00620E5D"/>
    <w:rsid w:val="0062122F"/>
    <w:rsid w:val="0062165E"/>
    <w:rsid w:val="00621934"/>
    <w:rsid w:val="00621C89"/>
    <w:rsid w:val="00621D6D"/>
    <w:rsid w:val="00621FA9"/>
    <w:rsid w:val="00622007"/>
    <w:rsid w:val="00622079"/>
    <w:rsid w:val="0062237E"/>
    <w:rsid w:val="00622782"/>
    <w:rsid w:val="00622874"/>
    <w:rsid w:val="00622A90"/>
    <w:rsid w:val="006239A3"/>
    <w:rsid w:val="00623D94"/>
    <w:rsid w:val="00623F1D"/>
    <w:rsid w:val="00624529"/>
    <w:rsid w:val="00624544"/>
    <w:rsid w:val="00624CA0"/>
    <w:rsid w:val="00624D93"/>
    <w:rsid w:val="006250CF"/>
    <w:rsid w:val="006254B1"/>
    <w:rsid w:val="00625671"/>
    <w:rsid w:val="006261D9"/>
    <w:rsid w:val="006261E6"/>
    <w:rsid w:val="006265AF"/>
    <w:rsid w:val="006265BD"/>
    <w:rsid w:val="006265D8"/>
    <w:rsid w:val="00626AAB"/>
    <w:rsid w:val="00626BD8"/>
    <w:rsid w:val="0062797D"/>
    <w:rsid w:val="00627A7E"/>
    <w:rsid w:val="00630007"/>
    <w:rsid w:val="00630115"/>
    <w:rsid w:val="006305AE"/>
    <w:rsid w:val="00630770"/>
    <w:rsid w:val="00630940"/>
    <w:rsid w:val="00630B6A"/>
    <w:rsid w:val="006310C3"/>
    <w:rsid w:val="006312F7"/>
    <w:rsid w:val="00631B50"/>
    <w:rsid w:val="00631C3E"/>
    <w:rsid w:val="006320CB"/>
    <w:rsid w:val="006321A5"/>
    <w:rsid w:val="00632209"/>
    <w:rsid w:val="00632656"/>
    <w:rsid w:val="00632991"/>
    <w:rsid w:val="00632F67"/>
    <w:rsid w:val="006331E5"/>
    <w:rsid w:val="006333DD"/>
    <w:rsid w:val="006335DE"/>
    <w:rsid w:val="006339B8"/>
    <w:rsid w:val="00633CDD"/>
    <w:rsid w:val="00633FD6"/>
    <w:rsid w:val="0063450F"/>
    <w:rsid w:val="006345ED"/>
    <w:rsid w:val="006345EE"/>
    <w:rsid w:val="00634C72"/>
    <w:rsid w:val="00634E95"/>
    <w:rsid w:val="0063515E"/>
    <w:rsid w:val="00635D61"/>
    <w:rsid w:val="00635E30"/>
    <w:rsid w:val="006361DC"/>
    <w:rsid w:val="00636330"/>
    <w:rsid w:val="00636B1C"/>
    <w:rsid w:val="00636E2D"/>
    <w:rsid w:val="006370ED"/>
    <w:rsid w:val="0063731C"/>
    <w:rsid w:val="00637C31"/>
    <w:rsid w:val="00640005"/>
    <w:rsid w:val="00640169"/>
    <w:rsid w:val="0064043A"/>
    <w:rsid w:val="006407E9"/>
    <w:rsid w:val="0064099A"/>
    <w:rsid w:val="00640B61"/>
    <w:rsid w:val="00640EE9"/>
    <w:rsid w:val="00640FBA"/>
    <w:rsid w:val="0064166A"/>
    <w:rsid w:val="00641758"/>
    <w:rsid w:val="00641B57"/>
    <w:rsid w:val="00641CD9"/>
    <w:rsid w:val="00641DF1"/>
    <w:rsid w:val="00641E4F"/>
    <w:rsid w:val="006420AB"/>
    <w:rsid w:val="006420D7"/>
    <w:rsid w:val="00642128"/>
    <w:rsid w:val="006428DF"/>
    <w:rsid w:val="00642978"/>
    <w:rsid w:val="00642B83"/>
    <w:rsid w:val="0064341D"/>
    <w:rsid w:val="00644429"/>
    <w:rsid w:val="00644462"/>
    <w:rsid w:val="00644634"/>
    <w:rsid w:val="00644E33"/>
    <w:rsid w:val="00644FA1"/>
    <w:rsid w:val="00645164"/>
    <w:rsid w:val="006455FE"/>
    <w:rsid w:val="00645C8C"/>
    <w:rsid w:val="00645CDC"/>
    <w:rsid w:val="00646291"/>
    <w:rsid w:val="00646441"/>
    <w:rsid w:val="006469A2"/>
    <w:rsid w:val="00646AB8"/>
    <w:rsid w:val="00646D0D"/>
    <w:rsid w:val="006470E5"/>
    <w:rsid w:val="006471F9"/>
    <w:rsid w:val="006475CA"/>
    <w:rsid w:val="0064776F"/>
    <w:rsid w:val="0064782E"/>
    <w:rsid w:val="006479EC"/>
    <w:rsid w:val="00647A3C"/>
    <w:rsid w:val="0065045B"/>
    <w:rsid w:val="00650635"/>
    <w:rsid w:val="00650760"/>
    <w:rsid w:val="006507E9"/>
    <w:rsid w:val="00650822"/>
    <w:rsid w:val="00650A98"/>
    <w:rsid w:val="00650E05"/>
    <w:rsid w:val="00650E20"/>
    <w:rsid w:val="006516E7"/>
    <w:rsid w:val="006517A8"/>
    <w:rsid w:val="00651DE4"/>
    <w:rsid w:val="006521E6"/>
    <w:rsid w:val="006525F9"/>
    <w:rsid w:val="0065271E"/>
    <w:rsid w:val="00652863"/>
    <w:rsid w:val="0065290E"/>
    <w:rsid w:val="00652921"/>
    <w:rsid w:val="00652950"/>
    <w:rsid w:val="00652E02"/>
    <w:rsid w:val="006532FB"/>
    <w:rsid w:val="006533A9"/>
    <w:rsid w:val="00653C4B"/>
    <w:rsid w:val="00653D6D"/>
    <w:rsid w:val="006548AD"/>
    <w:rsid w:val="00654978"/>
    <w:rsid w:val="0065544C"/>
    <w:rsid w:val="006555F3"/>
    <w:rsid w:val="00655962"/>
    <w:rsid w:val="006559C6"/>
    <w:rsid w:val="00655E4B"/>
    <w:rsid w:val="006560A2"/>
    <w:rsid w:val="00656401"/>
    <w:rsid w:val="00656989"/>
    <w:rsid w:val="006572C7"/>
    <w:rsid w:val="00657372"/>
    <w:rsid w:val="00657575"/>
    <w:rsid w:val="00657674"/>
    <w:rsid w:val="0065775E"/>
    <w:rsid w:val="006578FA"/>
    <w:rsid w:val="0066025F"/>
    <w:rsid w:val="006602A6"/>
    <w:rsid w:val="0066041F"/>
    <w:rsid w:val="00660473"/>
    <w:rsid w:val="0066047B"/>
    <w:rsid w:val="00660D04"/>
    <w:rsid w:val="00660E13"/>
    <w:rsid w:val="0066141F"/>
    <w:rsid w:val="006614D8"/>
    <w:rsid w:val="006615CE"/>
    <w:rsid w:val="00661B9D"/>
    <w:rsid w:val="006624EE"/>
    <w:rsid w:val="006628C1"/>
    <w:rsid w:val="00662A84"/>
    <w:rsid w:val="00662C39"/>
    <w:rsid w:val="00662E8A"/>
    <w:rsid w:val="00663136"/>
    <w:rsid w:val="0066364A"/>
    <w:rsid w:val="006636ED"/>
    <w:rsid w:val="006637D3"/>
    <w:rsid w:val="00663BB8"/>
    <w:rsid w:val="00663CD7"/>
    <w:rsid w:val="00663E10"/>
    <w:rsid w:val="00663EBA"/>
    <w:rsid w:val="00663F2E"/>
    <w:rsid w:val="0066419D"/>
    <w:rsid w:val="0066434A"/>
    <w:rsid w:val="00664404"/>
    <w:rsid w:val="00664716"/>
    <w:rsid w:val="00664879"/>
    <w:rsid w:val="006655C3"/>
    <w:rsid w:val="00665E1E"/>
    <w:rsid w:val="006661AE"/>
    <w:rsid w:val="006661E7"/>
    <w:rsid w:val="00666763"/>
    <w:rsid w:val="0066694C"/>
    <w:rsid w:val="00666EAA"/>
    <w:rsid w:val="0066711D"/>
    <w:rsid w:val="006671D6"/>
    <w:rsid w:val="00667451"/>
    <w:rsid w:val="006674AF"/>
    <w:rsid w:val="00667861"/>
    <w:rsid w:val="00667B14"/>
    <w:rsid w:val="00667CE2"/>
    <w:rsid w:val="00667EF3"/>
    <w:rsid w:val="00667FEE"/>
    <w:rsid w:val="00670175"/>
    <w:rsid w:val="006701A1"/>
    <w:rsid w:val="00670560"/>
    <w:rsid w:val="006707CC"/>
    <w:rsid w:val="006708F6"/>
    <w:rsid w:val="00670DF0"/>
    <w:rsid w:val="00670E7B"/>
    <w:rsid w:val="00670ECD"/>
    <w:rsid w:val="0067129F"/>
    <w:rsid w:val="006714BB"/>
    <w:rsid w:val="00671629"/>
    <w:rsid w:val="00671766"/>
    <w:rsid w:val="00671A26"/>
    <w:rsid w:val="00671AF8"/>
    <w:rsid w:val="00671D87"/>
    <w:rsid w:val="00671D8A"/>
    <w:rsid w:val="00671E40"/>
    <w:rsid w:val="00672050"/>
    <w:rsid w:val="00672427"/>
    <w:rsid w:val="006729A4"/>
    <w:rsid w:val="00672F7D"/>
    <w:rsid w:val="0067356B"/>
    <w:rsid w:val="0067362A"/>
    <w:rsid w:val="00673669"/>
    <w:rsid w:val="00673A3B"/>
    <w:rsid w:val="00673BEE"/>
    <w:rsid w:val="00673D65"/>
    <w:rsid w:val="00673DCA"/>
    <w:rsid w:val="00673E42"/>
    <w:rsid w:val="006740EF"/>
    <w:rsid w:val="006741B8"/>
    <w:rsid w:val="006746D0"/>
    <w:rsid w:val="00675115"/>
    <w:rsid w:val="00675489"/>
    <w:rsid w:val="00675502"/>
    <w:rsid w:val="00675796"/>
    <w:rsid w:val="00675847"/>
    <w:rsid w:val="00675FA0"/>
    <w:rsid w:val="006770C5"/>
    <w:rsid w:val="006775D3"/>
    <w:rsid w:val="00677B79"/>
    <w:rsid w:val="00677E62"/>
    <w:rsid w:val="00677FAC"/>
    <w:rsid w:val="00680190"/>
    <w:rsid w:val="006805AC"/>
    <w:rsid w:val="006809EC"/>
    <w:rsid w:val="00680B1F"/>
    <w:rsid w:val="00680E20"/>
    <w:rsid w:val="00680E4A"/>
    <w:rsid w:val="00681209"/>
    <w:rsid w:val="00681436"/>
    <w:rsid w:val="006815F6"/>
    <w:rsid w:val="00681A6F"/>
    <w:rsid w:val="00681C2D"/>
    <w:rsid w:val="00681D97"/>
    <w:rsid w:val="00681E83"/>
    <w:rsid w:val="00681E9C"/>
    <w:rsid w:val="00681F0B"/>
    <w:rsid w:val="00681F24"/>
    <w:rsid w:val="006820A6"/>
    <w:rsid w:val="006821AB"/>
    <w:rsid w:val="00682324"/>
    <w:rsid w:val="006826D6"/>
    <w:rsid w:val="00682B55"/>
    <w:rsid w:val="00682D13"/>
    <w:rsid w:val="00682DEB"/>
    <w:rsid w:val="00682E6A"/>
    <w:rsid w:val="00682F49"/>
    <w:rsid w:val="006838FF"/>
    <w:rsid w:val="00683A08"/>
    <w:rsid w:val="00683C33"/>
    <w:rsid w:val="00683F65"/>
    <w:rsid w:val="0068401C"/>
    <w:rsid w:val="006840C7"/>
    <w:rsid w:val="0068441B"/>
    <w:rsid w:val="0068476F"/>
    <w:rsid w:val="00684C89"/>
    <w:rsid w:val="00685196"/>
    <w:rsid w:val="0068553C"/>
    <w:rsid w:val="006856C2"/>
    <w:rsid w:val="006857F9"/>
    <w:rsid w:val="006866BE"/>
    <w:rsid w:val="00686933"/>
    <w:rsid w:val="00686F72"/>
    <w:rsid w:val="0068744E"/>
    <w:rsid w:val="006875BF"/>
    <w:rsid w:val="00687644"/>
    <w:rsid w:val="00687A58"/>
    <w:rsid w:val="00687C95"/>
    <w:rsid w:val="00687CF6"/>
    <w:rsid w:val="00687D00"/>
    <w:rsid w:val="00687EA8"/>
    <w:rsid w:val="00687EE8"/>
    <w:rsid w:val="006900B3"/>
    <w:rsid w:val="0069098B"/>
    <w:rsid w:val="00691108"/>
    <w:rsid w:val="00691115"/>
    <w:rsid w:val="006914F0"/>
    <w:rsid w:val="006915D4"/>
    <w:rsid w:val="006915DB"/>
    <w:rsid w:val="00691734"/>
    <w:rsid w:val="00691C10"/>
    <w:rsid w:val="006923EA"/>
    <w:rsid w:val="006926D4"/>
    <w:rsid w:val="00692BB5"/>
    <w:rsid w:val="00692D1A"/>
    <w:rsid w:val="00692DC6"/>
    <w:rsid w:val="006930F8"/>
    <w:rsid w:val="006932A5"/>
    <w:rsid w:val="00693310"/>
    <w:rsid w:val="00693359"/>
    <w:rsid w:val="006935A3"/>
    <w:rsid w:val="00693912"/>
    <w:rsid w:val="00693BDB"/>
    <w:rsid w:val="00693D13"/>
    <w:rsid w:val="006940D3"/>
    <w:rsid w:val="006940F0"/>
    <w:rsid w:val="00694113"/>
    <w:rsid w:val="0069465F"/>
    <w:rsid w:val="006947F6"/>
    <w:rsid w:val="006949CD"/>
    <w:rsid w:val="00694D72"/>
    <w:rsid w:val="00694FE0"/>
    <w:rsid w:val="006957DE"/>
    <w:rsid w:val="00695A3D"/>
    <w:rsid w:val="00695C9D"/>
    <w:rsid w:val="006962AA"/>
    <w:rsid w:val="006966DF"/>
    <w:rsid w:val="00696FF1"/>
    <w:rsid w:val="006972F7"/>
    <w:rsid w:val="00697918"/>
    <w:rsid w:val="00697AC1"/>
    <w:rsid w:val="00697ED5"/>
    <w:rsid w:val="00697F3F"/>
    <w:rsid w:val="006A030E"/>
    <w:rsid w:val="006A0405"/>
    <w:rsid w:val="006A0534"/>
    <w:rsid w:val="006A0747"/>
    <w:rsid w:val="006A0942"/>
    <w:rsid w:val="006A0D24"/>
    <w:rsid w:val="006A120D"/>
    <w:rsid w:val="006A14AC"/>
    <w:rsid w:val="006A14EC"/>
    <w:rsid w:val="006A1640"/>
    <w:rsid w:val="006A1679"/>
    <w:rsid w:val="006A16A8"/>
    <w:rsid w:val="006A18E6"/>
    <w:rsid w:val="006A1DBF"/>
    <w:rsid w:val="006A273B"/>
    <w:rsid w:val="006A28CF"/>
    <w:rsid w:val="006A29F8"/>
    <w:rsid w:val="006A3097"/>
    <w:rsid w:val="006A3187"/>
    <w:rsid w:val="006A356D"/>
    <w:rsid w:val="006A3734"/>
    <w:rsid w:val="006A3786"/>
    <w:rsid w:val="006A39FB"/>
    <w:rsid w:val="006A3E95"/>
    <w:rsid w:val="006A4344"/>
    <w:rsid w:val="006A43FD"/>
    <w:rsid w:val="006A48EB"/>
    <w:rsid w:val="006A4E28"/>
    <w:rsid w:val="006A50E1"/>
    <w:rsid w:val="006A55B0"/>
    <w:rsid w:val="006A562D"/>
    <w:rsid w:val="006A5946"/>
    <w:rsid w:val="006A5A36"/>
    <w:rsid w:val="006A5BE3"/>
    <w:rsid w:val="006A5C43"/>
    <w:rsid w:val="006A5C90"/>
    <w:rsid w:val="006A6023"/>
    <w:rsid w:val="006A683D"/>
    <w:rsid w:val="006A693A"/>
    <w:rsid w:val="006A6C1F"/>
    <w:rsid w:val="006A6CA6"/>
    <w:rsid w:val="006A77AB"/>
    <w:rsid w:val="006A77B3"/>
    <w:rsid w:val="006A78B9"/>
    <w:rsid w:val="006A7A4D"/>
    <w:rsid w:val="006A7B27"/>
    <w:rsid w:val="006A7D09"/>
    <w:rsid w:val="006A7E1D"/>
    <w:rsid w:val="006B00FD"/>
    <w:rsid w:val="006B0723"/>
    <w:rsid w:val="006B0794"/>
    <w:rsid w:val="006B0B91"/>
    <w:rsid w:val="006B0EF2"/>
    <w:rsid w:val="006B1213"/>
    <w:rsid w:val="006B14B4"/>
    <w:rsid w:val="006B1692"/>
    <w:rsid w:val="006B1A4C"/>
    <w:rsid w:val="006B1B31"/>
    <w:rsid w:val="006B1B70"/>
    <w:rsid w:val="006B2203"/>
    <w:rsid w:val="006B2257"/>
    <w:rsid w:val="006B249D"/>
    <w:rsid w:val="006B253D"/>
    <w:rsid w:val="006B25B8"/>
    <w:rsid w:val="006B26C9"/>
    <w:rsid w:val="006B27DB"/>
    <w:rsid w:val="006B2CF1"/>
    <w:rsid w:val="006B31D8"/>
    <w:rsid w:val="006B3642"/>
    <w:rsid w:val="006B38F2"/>
    <w:rsid w:val="006B3E1A"/>
    <w:rsid w:val="006B3F37"/>
    <w:rsid w:val="006B4124"/>
    <w:rsid w:val="006B490F"/>
    <w:rsid w:val="006B4968"/>
    <w:rsid w:val="006B49F5"/>
    <w:rsid w:val="006B4DB0"/>
    <w:rsid w:val="006B51B9"/>
    <w:rsid w:val="006B54D8"/>
    <w:rsid w:val="006B6130"/>
    <w:rsid w:val="006B624D"/>
    <w:rsid w:val="006B632A"/>
    <w:rsid w:val="006B657B"/>
    <w:rsid w:val="006B66A3"/>
    <w:rsid w:val="006B6E38"/>
    <w:rsid w:val="006B7123"/>
    <w:rsid w:val="006B75B6"/>
    <w:rsid w:val="006B7772"/>
    <w:rsid w:val="006B7983"/>
    <w:rsid w:val="006B7A80"/>
    <w:rsid w:val="006C0484"/>
    <w:rsid w:val="006C05A9"/>
    <w:rsid w:val="006C0F83"/>
    <w:rsid w:val="006C0F9C"/>
    <w:rsid w:val="006C1165"/>
    <w:rsid w:val="006C179E"/>
    <w:rsid w:val="006C1850"/>
    <w:rsid w:val="006C192B"/>
    <w:rsid w:val="006C1A5F"/>
    <w:rsid w:val="006C1C99"/>
    <w:rsid w:val="006C1D4C"/>
    <w:rsid w:val="006C1F6C"/>
    <w:rsid w:val="006C2157"/>
    <w:rsid w:val="006C25DD"/>
    <w:rsid w:val="006C2910"/>
    <w:rsid w:val="006C2CB1"/>
    <w:rsid w:val="006C2D53"/>
    <w:rsid w:val="006C2DAE"/>
    <w:rsid w:val="006C3606"/>
    <w:rsid w:val="006C3AB5"/>
    <w:rsid w:val="006C3C49"/>
    <w:rsid w:val="006C47A7"/>
    <w:rsid w:val="006C495F"/>
    <w:rsid w:val="006C562C"/>
    <w:rsid w:val="006C5775"/>
    <w:rsid w:val="006C580C"/>
    <w:rsid w:val="006C588E"/>
    <w:rsid w:val="006C61A8"/>
    <w:rsid w:val="006C65A0"/>
    <w:rsid w:val="006C66A6"/>
    <w:rsid w:val="006C6782"/>
    <w:rsid w:val="006C6E7A"/>
    <w:rsid w:val="006C7394"/>
    <w:rsid w:val="006C76C7"/>
    <w:rsid w:val="006C7AA6"/>
    <w:rsid w:val="006C7BAC"/>
    <w:rsid w:val="006C7EC3"/>
    <w:rsid w:val="006D036D"/>
    <w:rsid w:val="006D0760"/>
    <w:rsid w:val="006D0793"/>
    <w:rsid w:val="006D0B8E"/>
    <w:rsid w:val="006D0E1D"/>
    <w:rsid w:val="006D0F97"/>
    <w:rsid w:val="006D101E"/>
    <w:rsid w:val="006D130E"/>
    <w:rsid w:val="006D1A28"/>
    <w:rsid w:val="006D1ABC"/>
    <w:rsid w:val="006D1B1C"/>
    <w:rsid w:val="006D1B4E"/>
    <w:rsid w:val="006D2146"/>
    <w:rsid w:val="006D217E"/>
    <w:rsid w:val="006D21C1"/>
    <w:rsid w:val="006D2699"/>
    <w:rsid w:val="006D2BDA"/>
    <w:rsid w:val="006D2DBC"/>
    <w:rsid w:val="006D2FED"/>
    <w:rsid w:val="006D348B"/>
    <w:rsid w:val="006D3522"/>
    <w:rsid w:val="006D3530"/>
    <w:rsid w:val="006D3751"/>
    <w:rsid w:val="006D4415"/>
    <w:rsid w:val="006D47F4"/>
    <w:rsid w:val="006D48BD"/>
    <w:rsid w:val="006D4C5C"/>
    <w:rsid w:val="006D4DAD"/>
    <w:rsid w:val="006D52D5"/>
    <w:rsid w:val="006D5683"/>
    <w:rsid w:val="006D60C9"/>
    <w:rsid w:val="006D6123"/>
    <w:rsid w:val="006D6772"/>
    <w:rsid w:val="006D6F11"/>
    <w:rsid w:val="006D716B"/>
    <w:rsid w:val="006D72A3"/>
    <w:rsid w:val="006D7E02"/>
    <w:rsid w:val="006D7EAC"/>
    <w:rsid w:val="006E03A8"/>
    <w:rsid w:val="006E04A0"/>
    <w:rsid w:val="006E0520"/>
    <w:rsid w:val="006E0CFF"/>
    <w:rsid w:val="006E0F5E"/>
    <w:rsid w:val="006E17E8"/>
    <w:rsid w:val="006E1A47"/>
    <w:rsid w:val="006E1B36"/>
    <w:rsid w:val="006E1EAC"/>
    <w:rsid w:val="006E21F4"/>
    <w:rsid w:val="006E23AB"/>
    <w:rsid w:val="006E255D"/>
    <w:rsid w:val="006E2E6A"/>
    <w:rsid w:val="006E3379"/>
    <w:rsid w:val="006E3648"/>
    <w:rsid w:val="006E38CF"/>
    <w:rsid w:val="006E3B32"/>
    <w:rsid w:val="006E40E4"/>
    <w:rsid w:val="006E4494"/>
    <w:rsid w:val="006E4844"/>
    <w:rsid w:val="006E48CC"/>
    <w:rsid w:val="006E49E7"/>
    <w:rsid w:val="006E4E59"/>
    <w:rsid w:val="006E551D"/>
    <w:rsid w:val="006E566A"/>
    <w:rsid w:val="006E566E"/>
    <w:rsid w:val="006E5CD9"/>
    <w:rsid w:val="006E6B3F"/>
    <w:rsid w:val="006E6F67"/>
    <w:rsid w:val="006E7035"/>
    <w:rsid w:val="006E737E"/>
    <w:rsid w:val="006E74B5"/>
    <w:rsid w:val="006E783E"/>
    <w:rsid w:val="006E7889"/>
    <w:rsid w:val="006E7CBD"/>
    <w:rsid w:val="006E7E39"/>
    <w:rsid w:val="006E7FC2"/>
    <w:rsid w:val="006F000F"/>
    <w:rsid w:val="006F003B"/>
    <w:rsid w:val="006F021B"/>
    <w:rsid w:val="006F0608"/>
    <w:rsid w:val="006F090F"/>
    <w:rsid w:val="006F0ED3"/>
    <w:rsid w:val="006F0F4F"/>
    <w:rsid w:val="006F1238"/>
    <w:rsid w:val="006F1358"/>
    <w:rsid w:val="006F1F39"/>
    <w:rsid w:val="006F2254"/>
    <w:rsid w:val="006F2668"/>
    <w:rsid w:val="006F26CE"/>
    <w:rsid w:val="006F27E3"/>
    <w:rsid w:val="006F28FB"/>
    <w:rsid w:val="006F2EE7"/>
    <w:rsid w:val="006F310C"/>
    <w:rsid w:val="006F316D"/>
    <w:rsid w:val="006F3298"/>
    <w:rsid w:val="006F337A"/>
    <w:rsid w:val="006F3593"/>
    <w:rsid w:val="006F3918"/>
    <w:rsid w:val="006F39CD"/>
    <w:rsid w:val="006F3A0F"/>
    <w:rsid w:val="006F3A12"/>
    <w:rsid w:val="006F3DAA"/>
    <w:rsid w:val="006F491F"/>
    <w:rsid w:val="006F4F72"/>
    <w:rsid w:val="006F529F"/>
    <w:rsid w:val="006F5643"/>
    <w:rsid w:val="006F5FB6"/>
    <w:rsid w:val="006F60C3"/>
    <w:rsid w:val="006F7DDF"/>
    <w:rsid w:val="00700123"/>
    <w:rsid w:val="007004A0"/>
    <w:rsid w:val="00700E5B"/>
    <w:rsid w:val="0070109F"/>
    <w:rsid w:val="00701447"/>
    <w:rsid w:val="007016A8"/>
    <w:rsid w:val="007016D3"/>
    <w:rsid w:val="00701979"/>
    <w:rsid w:val="00701F65"/>
    <w:rsid w:val="007021FC"/>
    <w:rsid w:val="00702260"/>
    <w:rsid w:val="007023A5"/>
    <w:rsid w:val="00702672"/>
    <w:rsid w:val="0070281F"/>
    <w:rsid w:val="00702CCE"/>
    <w:rsid w:val="00702F78"/>
    <w:rsid w:val="00702F7F"/>
    <w:rsid w:val="00703156"/>
    <w:rsid w:val="0070326E"/>
    <w:rsid w:val="00703425"/>
    <w:rsid w:val="0070369A"/>
    <w:rsid w:val="00703706"/>
    <w:rsid w:val="00703C9A"/>
    <w:rsid w:val="00703CFD"/>
    <w:rsid w:val="00703E2E"/>
    <w:rsid w:val="00703FAC"/>
    <w:rsid w:val="00704A0E"/>
    <w:rsid w:val="00704A76"/>
    <w:rsid w:val="00704B01"/>
    <w:rsid w:val="00704E72"/>
    <w:rsid w:val="00705320"/>
    <w:rsid w:val="0070538E"/>
    <w:rsid w:val="00705495"/>
    <w:rsid w:val="007055DE"/>
    <w:rsid w:val="007056E8"/>
    <w:rsid w:val="0070661B"/>
    <w:rsid w:val="0070698D"/>
    <w:rsid w:val="00706A08"/>
    <w:rsid w:val="00706F45"/>
    <w:rsid w:val="00706FCE"/>
    <w:rsid w:val="00707282"/>
    <w:rsid w:val="00707892"/>
    <w:rsid w:val="00707926"/>
    <w:rsid w:val="00707992"/>
    <w:rsid w:val="00707ACC"/>
    <w:rsid w:val="007102CB"/>
    <w:rsid w:val="00710376"/>
    <w:rsid w:val="007104DD"/>
    <w:rsid w:val="00710809"/>
    <w:rsid w:val="007108D9"/>
    <w:rsid w:val="00710A5C"/>
    <w:rsid w:val="00711196"/>
    <w:rsid w:val="00711564"/>
    <w:rsid w:val="00711B3F"/>
    <w:rsid w:val="00711D8C"/>
    <w:rsid w:val="00712024"/>
    <w:rsid w:val="007121B4"/>
    <w:rsid w:val="00712886"/>
    <w:rsid w:val="007129A2"/>
    <w:rsid w:val="00713423"/>
    <w:rsid w:val="00713D1E"/>
    <w:rsid w:val="00713DE8"/>
    <w:rsid w:val="00714306"/>
    <w:rsid w:val="00714870"/>
    <w:rsid w:val="007150D4"/>
    <w:rsid w:val="0071544C"/>
    <w:rsid w:val="00715633"/>
    <w:rsid w:val="00715664"/>
    <w:rsid w:val="00715A72"/>
    <w:rsid w:val="00715BF6"/>
    <w:rsid w:val="00715EA4"/>
    <w:rsid w:val="00716220"/>
    <w:rsid w:val="00716994"/>
    <w:rsid w:val="007177FC"/>
    <w:rsid w:val="00717B75"/>
    <w:rsid w:val="00717ECB"/>
    <w:rsid w:val="00717FE8"/>
    <w:rsid w:val="00720025"/>
    <w:rsid w:val="007203E3"/>
    <w:rsid w:val="0072064C"/>
    <w:rsid w:val="00720710"/>
    <w:rsid w:val="00720C72"/>
    <w:rsid w:val="00720FE8"/>
    <w:rsid w:val="007213E4"/>
    <w:rsid w:val="0072154F"/>
    <w:rsid w:val="0072161F"/>
    <w:rsid w:val="0072163E"/>
    <w:rsid w:val="007218C4"/>
    <w:rsid w:val="007219FB"/>
    <w:rsid w:val="00721B66"/>
    <w:rsid w:val="00721D3E"/>
    <w:rsid w:val="00722F64"/>
    <w:rsid w:val="00723F70"/>
    <w:rsid w:val="00723F81"/>
    <w:rsid w:val="007241E9"/>
    <w:rsid w:val="007244D5"/>
    <w:rsid w:val="007245DB"/>
    <w:rsid w:val="00724A61"/>
    <w:rsid w:val="00724F5C"/>
    <w:rsid w:val="00724F8A"/>
    <w:rsid w:val="0072521E"/>
    <w:rsid w:val="00725385"/>
    <w:rsid w:val="0072578A"/>
    <w:rsid w:val="00725F9F"/>
    <w:rsid w:val="007261CA"/>
    <w:rsid w:val="00726329"/>
    <w:rsid w:val="0072662E"/>
    <w:rsid w:val="00726C8F"/>
    <w:rsid w:val="00726CB3"/>
    <w:rsid w:val="00726DAC"/>
    <w:rsid w:val="0072715C"/>
    <w:rsid w:val="00727C11"/>
    <w:rsid w:val="00727FF0"/>
    <w:rsid w:val="00730355"/>
    <w:rsid w:val="00730825"/>
    <w:rsid w:val="00730894"/>
    <w:rsid w:val="00730A5F"/>
    <w:rsid w:val="00730D1A"/>
    <w:rsid w:val="00730E75"/>
    <w:rsid w:val="007311D1"/>
    <w:rsid w:val="00731544"/>
    <w:rsid w:val="0073158E"/>
    <w:rsid w:val="007315F4"/>
    <w:rsid w:val="00731679"/>
    <w:rsid w:val="0073172A"/>
    <w:rsid w:val="00732773"/>
    <w:rsid w:val="00732905"/>
    <w:rsid w:val="0073299D"/>
    <w:rsid w:val="00732EBC"/>
    <w:rsid w:val="00733672"/>
    <w:rsid w:val="0073379C"/>
    <w:rsid w:val="007339DE"/>
    <w:rsid w:val="00733B01"/>
    <w:rsid w:val="00733C84"/>
    <w:rsid w:val="00733E91"/>
    <w:rsid w:val="00733FAF"/>
    <w:rsid w:val="00733FFC"/>
    <w:rsid w:val="0073414D"/>
    <w:rsid w:val="00734191"/>
    <w:rsid w:val="00734289"/>
    <w:rsid w:val="007345C7"/>
    <w:rsid w:val="00734947"/>
    <w:rsid w:val="00734C17"/>
    <w:rsid w:val="00734DB4"/>
    <w:rsid w:val="00734EF6"/>
    <w:rsid w:val="00734F10"/>
    <w:rsid w:val="00735263"/>
    <w:rsid w:val="00735626"/>
    <w:rsid w:val="00735893"/>
    <w:rsid w:val="007358CC"/>
    <w:rsid w:val="007359D7"/>
    <w:rsid w:val="00735B47"/>
    <w:rsid w:val="00735C2D"/>
    <w:rsid w:val="00735E32"/>
    <w:rsid w:val="0073630A"/>
    <w:rsid w:val="00736733"/>
    <w:rsid w:val="00736A2F"/>
    <w:rsid w:val="00736AA2"/>
    <w:rsid w:val="007371A6"/>
    <w:rsid w:val="00737264"/>
    <w:rsid w:val="007379E4"/>
    <w:rsid w:val="00737B6E"/>
    <w:rsid w:val="00737BA6"/>
    <w:rsid w:val="00737C8A"/>
    <w:rsid w:val="00740267"/>
    <w:rsid w:val="007409B2"/>
    <w:rsid w:val="007409C1"/>
    <w:rsid w:val="00740BA0"/>
    <w:rsid w:val="00740DBC"/>
    <w:rsid w:val="00741015"/>
    <w:rsid w:val="00741510"/>
    <w:rsid w:val="0074157A"/>
    <w:rsid w:val="007417E5"/>
    <w:rsid w:val="00741DBC"/>
    <w:rsid w:val="00742506"/>
    <w:rsid w:val="00742D9E"/>
    <w:rsid w:val="00742DC6"/>
    <w:rsid w:val="007433F0"/>
    <w:rsid w:val="00743A40"/>
    <w:rsid w:val="00743AB9"/>
    <w:rsid w:val="00743ADC"/>
    <w:rsid w:val="00743CE3"/>
    <w:rsid w:val="00743E67"/>
    <w:rsid w:val="0074404B"/>
    <w:rsid w:val="00744416"/>
    <w:rsid w:val="00744493"/>
    <w:rsid w:val="00744649"/>
    <w:rsid w:val="007446F8"/>
    <w:rsid w:val="0074484C"/>
    <w:rsid w:val="00744C97"/>
    <w:rsid w:val="007455FE"/>
    <w:rsid w:val="00745C69"/>
    <w:rsid w:val="007461FF"/>
    <w:rsid w:val="007462EC"/>
    <w:rsid w:val="00746589"/>
    <w:rsid w:val="0074663B"/>
    <w:rsid w:val="007472AA"/>
    <w:rsid w:val="00747A23"/>
    <w:rsid w:val="00747C62"/>
    <w:rsid w:val="00747DCF"/>
    <w:rsid w:val="0075090A"/>
    <w:rsid w:val="00750B94"/>
    <w:rsid w:val="00750BEE"/>
    <w:rsid w:val="00751195"/>
    <w:rsid w:val="007514A9"/>
    <w:rsid w:val="00751657"/>
    <w:rsid w:val="00751720"/>
    <w:rsid w:val="007519BA"/>
    <w:rsid w:val="00751A88"/>
    <w:rsid w:val="00751FC9"/>
    <w:rsid w:val="0075215B"/>
    <w:rsid w:val="0075224C"/>
    <w:rsid w:val="007522AF"/>
    <w:rsid w:val="007532F4"/>
    <w:rsid w:val="007533C9"/>
    <w:rsid w:val="007539BF"/>
    <w:rsid w:val="007539CB"/>
    <w:rsid w:val="00753F62"/>
    <w:rsid w:val="007541A4"/>
    <w:rsid w:val="007544A9"/>
    <w:rsid w:val="00754C49"/>
    <w:rsid w:val="00755096"/>
    <w:rsid w:val="007550EE"/>
    <w:rsid w:val="00755901"/>
    <w:rsid w:val="00755D9A"/>
    <w:rsid w:val="00755FCE"/>
    <w:rsid w:val="0075689B"/>
    <w:rsid w:val="00756B31"/>
    <w:rsid w:val="00757425"/>
    <w:rsid w:val="0075771E"/>
    <w:rsid w:val="00757887"/>
    <w:rsid w:val="0075790F"/>
    <w:rsid w:val="00757AE7"/>
    <w:rsid w:val="00757DB6"/>
    <w:rsid w:val="0076077A"/>
    <w:rsid w:val="007613CB"/>
    <w:rsid w:val="00761795"/>
    <w:rsid w:val="00761AC8"/>
    <w:rsid w:val="00761AEE"/>
    <w:rsid w:val="00761DB1"/>
    <w:rsid w:val="0076206F"/>
    <w:rsid w:val="00762226"/>
    <w:rsid w:val="00762400"/>
    <w:rsid w:val="007624F5"/>
    <w:rsid w:val="00762CF0"/>
    <w:rsid w:val="00762D38"/>
    <w:rsid w:val="007632E0"/>
    <w:rsid w:val="0076345B"/>
    <w:rsid w:val="007634AC"/>
    <w:rsid w:val="00763566"/>
    <w:rsid w:val="00764453"/>
    <w:rsid w:val="0076449D"/>
    <w:rsid w:val="00764801"/>
    <w:rsid w:val="00764C4A"/>
    <w:rsid w:val="0076515D"/>
    <w:rsid w:val="007651D6"/>
    <w:rsid w:val="007652CA"/>
    <w:rsid w:val="007655FA"/>
    <w:rsid w:val="007658E5"/>
    <w:rsid w:val="00765AA7"/>
    <w:rsid w:val="00765B1B"/>
    <w:rsid w:val="00765C16"/>
    <w:rsid w:val="00765C3D"/>
    <w:rsid w:val="00765EC0"/>
    <w:rsid w:val="00766003"/>
    <w:rsid w:val="00766523"/>
    <w:rsid w:val="007669D7"/>
    <w:rsid w:val="00766FEB"/>
    <w:rsid w:val="00767397"/>
    <w:rsid w:val="007679EB"/>
    <w:rsid w:val="007704CA"/>
    <w:rsid w:val="00770C8A"/>
    <w:rsid w:val="00770D94"/>
    <w:rsid w:val="007715F2"/>
    <w:rsid w:val="0077160D"/>
    <w:rsid w:val="00771631"/>
    <w:rsid w:val="00771F9B"/>
    <w:rsid w:val="0077230E"/>
    <w:rsid w:val="007723F1"/>
    <w:rsid w:val="00772559"/>
    <w:rsid w:val="0077261D"/>
    <w:rsid w:val="00772656"/>
    <w:rsid w:val="0077271B"/>
    <w:rsid w:val="00772ADE"/>
    <w:rsid w:val="00772D6E"/>
    <w:rsid w:val="00772F01"/>
    <w:rsid w:val="0077306D"/>
    <w:rsid w:val="0077311A"/>
    <w:rsid w:val="007732F1"/>
    <w:rsid w:val="007738EC"/>
    <w:rsid w:val="00773F7A"/>
    <w:rsid w:val="00774114"/>
    <w:rsid w:val="007741FF"/>
    <w:rsid w:val="0077546B"/>
    <w:rsid w:val="007756C3"/>
    <w:rsid w:val="00775A2C"/>
    <w:rsid w:val="00775ACF"/>
    <w:rsid w:val="00775FCE"/>
    <w:rsid w:val="00776033"/>
    <w:rsid w:val="0077621D"/>
    <w:rsid w:val="007762CD"/>
    <w:rsid w:val="0077643C"/>
    <w:rsid w:val="0077684B"/>
    <w:rsid w:val="00777020"/>
    <w:rsid w:val="0077726D"/>
    <w:rsid w:val="00777290"/>
    <w:rsid w:val="007772E8"/>
    <w:rsid w:val="00777721"/>
    <w:rsid w:val="00780273"/>
    <w:rsid w:val="00780355"/>
    <w:rsid w:val="00780956"/>
    <w:rsid w:val="00780981"/>
    <w:rsid w:val="0078148C"/>
    <w:rsid w:val="00781552"/>
    <w:rsid w:val="00781619"/>
    <w:rsid w:val="00781725"/>
    <w:rsid w:val="007818C2"/>
    <w:rsid w:val="00781AC2"/>
    <w:rsid w:val="00781C82"/>
    <w:rsid w:val="0078233F"/>
    <w:rsid w:val="00782692"/>
    <w:rsid w:val="007828D5"/>
    <w:rsid w:val="00782A08"/>
    <w:rsid w:val="00782D8F"/>
    <w:rsid w:val="00782F00"/>
    <w:rsid w:val="00782FC5"/>
    <w:rsid w:val="00783263"/>
    <w:rsid w:val="00783345"/>
    <w:rsid w:val="0078357E"/>
    <w:rsid w:val="00783633"/>
    <w:rsid w:val="0078385A"/>
    <w:rsid w:val="007839E7"/>
    <w:rsid w:val="007841FF"/>
    <w:rsid w:val="00785009"/>
    <w:rsid w:val="007853D9"/>
    <w:rsid w:val="0078599A"/>
    <w:rsid w:val="00785A63"/>
    <w:rsid w:val="00785E26"/>
    <w:rsid w:val="00785EFF"/>
    <w:rsid w:val="00786824"/>
    <w:rsid w:val="00786C1E"/>
    <w:rsid w:val="0078724C"/>
    <w:rsid w:val="0078751E"/>
    <w:rsid w:val="00787C9D"/>
    <w:rsid w:val="0079013E"/>
    <w:rsid w:val="007906CA"/>
    <w:rsid w:val="00790D49"/>
    <w:rsid w:val="00791503"/>
    <w:rsid w:val="00791816"/>
    <w:rsid w:val="00791C4B"/>
    <w:rsid w:val="00791E96"/>
    <w:rsid w:val="0079215A"/>
    <w:rsid w:val="00792460"/>
    <w:rsid w:val="007934D4"/>
    <w:rsid w:val="0079377C"/>
    <w:rsid w:val="0079394A"/>
    <w:rsid w:val="0079399A"/>
    <w:rsid w:val="007939BD"/>
    <w:rsid w:val="00793A05"/>
    <w:rsid w:val="00793A0E"/>
    <w:rsid w:val="00793C16"/>
    <w:rsid w:val="00793FBD"/>
    <w:rsid w:val="00794725"/>
    <w:rsid w:val="00794AEE"/>
    <w:rsid w:val="007952E5"/>
    <w:rsid w:val="00795610"/>
    <w:rsid w:val="0079574C"/>
    <w:rsid w:val="00795792"/>
    <w:rsid w:val="00795B10"/>
    <w:rsid w:val="00795BA2"/>
    <w:rsid w:val="00795D98"/>
    <w:rsid w:val="0079663A"/>
    <w:rsid w:val="00796AC3"/>
    <w:rsid w:val="00796C5E"/>
    <w:rsid w:val="00796F84"/>
    <w:rsid w:val="00796F8B"/>
    <w:rsid w:val="007970F4"/>
    <w:rsid w:val="007974EC"/>
    <w:rsid w:val="0079775B"/>
    <w:rsid w:val="00797C38"/>
    <w:rsid w:val="00797E54"/>
    <w:rsid w:val="007A0692"/>
    <w:rsid w:val="007A0B62"/>
    <w:rsid w:val="007A0C8C"/>
    <w:rsid w:val="007A11B0"/>
    <w:rsid w:val="007A1236"/>
    <w:rsid w:val="007A125D"/>
    <w:rsid w:val="007A1760"/>
    <w:rsid w:val="007A1B02"/>
    <w:rsid w:val="007A1D32"/>
    <w:rsid w:val="007A21A0"/>
    <w:rsid w:val="007A2818"/>
    <w:rsid w:val="007A28A4"/>
    <w:rsid w:val="007A2A69"/>
    <w:rsid w:val="007A2A6F"/>
    <w:rsid w:val="007A3386"/>
    <w:rsid w:val="007A39D3"/>
    <w:rsid w:val="007A3BDD"/>
    <w:rsid w:val="007A3D3F"/>
    <w:rsid w:val="007A3E4D"/>
    <w:rsid w:val="007A4506"/>
    <w:rsid w:val="007A45AB"/>
    <w:rsid w:val="007A4BE7"/>
    <w:rsid w:val="007A4C59"/>
    <w:rsid w:val="007A518D"/>
    <w:rsid w:val="007A57AE"/>
    <w:rsid w:val="007A5BDB"/>
    <w:rsid w:val="007A6648"/>
    <w:rsid w:val="007A6B70"/>
    <w:rsid w:val="007A6E20"/>
    <w:rsid w:val="007A6FD8"/>
    <w:rsid w:val="007A7136"/>
    <w:rsid w:val="007A73DA"/>
    <w:rsid w:val="007A7498"/>
    <w:rsid w:val="007A74B2"/>
    <w:rsid w:val="007A771E"/>
    <w:rsid w:val="007A7C64"/>
    <w:rsid w:val="007B0037"/>
    <w:rsid w:val="007B0571"/>
    <w:rsid w:val="007B06B8"/>
    <w:rsid w:val="007B07C4"/>
    <w:rsid w:val="007B0B94"/>
    <w:rsid w:val="007B0C12"/>
    <w:rsid w:val="007B109A"/>
    <w:rsid w:val="007B11EC"/>
    <w:rsid w:val="007B139D"/>
    <w:rsid w:val="007B16E5"/>
    <w:rsid w:val="007B1F57"/>
    <w:rsid w:val="007B2135"/>
    <w:rsid w:val="007B216F"/>
    <w:rsid w:val="007B25D1"/>
    <w:rsid w:val="007B2616"/>
    <w:rsid w:val="007B2926"/>
    <w:rsid w:val="007B3057"/>
    <w:rsid w:val="007B3E8D"/>
    <w:rsid w:val="007B418D"/>
    <w:rsid w:val="007B41B5"/>
    <w:rsid w:val="007B4597"/>
    <w:rsid w:val="007B47A0"/>
    <w:rsid w:val="007B5174"/>
    <w:rsid w:val="007B5255"/>
    <w:rsid w:val="007B5336"/>
    <w:rsid w:val="007B55C5"/>
    <w:rsid w:val="007B561D"/>
    <w:rsid w:val="007B57D2"/>
    <w:rsid w:val="007B5E43"/>
    <w:rsid w:val="007B5F3C"/>
    <w:rsid w:val="007B6B9D"/>
    <w:rsid w:val="007B6CC6"/>
    <w:rsid w:val="007B6F4D"/>
    <w:rsid w:val="007B70FB"/>
    <w:rsid w:val="007B72CD"/>
    <w:rsid w:val="007B74DB"/>
    <w:rsid w:val="007B7566"/>
    <w:rsid w:val="007B7A47"/>
    <w:rsid w:val="007B7A6C"/>
    <w:rsid w:val="007B7B3D"/>
    <w:rsid w:val="007C0482"/>
    <w:rsid w:val="007C0E18"/>
    <w:rsid w:val="007C0E80"/>
    <w:rsid w:val="007C123C"/>
    <w:rsid w:val="007C1637"/>
    <w:rsid w:val="007C1DC9"/>
    <w:rsid w:val="007C1E1A"/>
    <w:rsid w:val="007C20FE"/>
    <w:rsid w:val="007C2343"/>
    <w:rsid w:val="007C24BB"/>
    <w:rsid w:val="007C2678"/>
    <w:rsid w:val="007C3435"/>
    <w:rsid w:val="007C351D"/>
    <w:rsid w:val="007C35A9"/>
    <w:rsid w:val="007C35F6"/>
    <w:rsid w:val="007C360B"/>
    <w:rsid w:val="007C376A"/>
    <w:rsid w:val="007C3888"/>
    <w:rsid w:val="007C4526"/>
    <w:rsid w:val="007C49F2"/>
    <w:rsid w:val="007C4A77"/>
    <w:rsid w:val="007C4AC1"/>
    <w:rsid w:val="007C4ACA"/>
    <w:rsid w:val="007C4F4F"/>
    <w:rsid w:val="007C5084"/>
    <w:rsid w:val="007C5577"/>
    <w:rsid w:val="007C55A5"/>
    <w:rsid w:val="007C55BE"/>
    <w:rsid w:val="007C5686"/>
    <w:rsid w:val="007C5AB5"/>
    <w:rsid w:val="007C5DB4"/>
    <w:rsid w:val="007C62D0"/>
    <w:rsid w:val="007C6E2F"/>
    <w:rsid w:val="007C7506"/>
    <w:rsid w:val="007C7663"/>
    <w:rsid w:val="007C766F"/>
    <w:rsid w:val="007C7AD6"/>
    <w:rsid w:val="007C7C59"/>
    <w:rsid w:val="007C7D51"/>
    <w:rsid w:val="007C7DC7"/>
    <w:rsid w:val="007D033A"/>
    <w:rsid w:val="007D03B3"/>
    <w:rsid w:val="007D0816"/>
    <w:rsid w:val="007D0B72"/>
    <w:rsid w:val="007D132F"/>
    <w:rsid w:val="007D136E"/>
    <w:rsid w:val="007D15F0"/>
    <w:rsid w:val="007D178B"/>
    <w:rsid w:val="007D1AAA"/>
    <w:rsid w:val="007D1B64"/>
    <w:rsid w:val="007D1CE7"/>
    <w:rsid w:val="007D1F73"/>
    <w:rsid w:val="007D226F"/>
    <w:rsid w:val="007D22CE"/>
    <w:rsid w:val="007D2B9F"/>
    <w:rsid w:val="007D2C50"/>
    <w:rsid w:val="007D2FE3"/>
    <w:rsid w:val="007D3398"/>
    <w:rsid w:val="007D33FA"/>
    <w:rsid w:val="007D363F"/>
    <w:rsid w:val="007D3A86"/>
    <w:rsid w:val="007D3B12"/>
    <w:rsid w:val="007D3BC5"/>
    <w:rsid w:val="007D3CE9"/>
    <w:rsid w:val="007D3DF7"/>
    <w:rsid w:val="007D3F75"/>
    <w:rsid w:val="007D40F5"/>
    <w:rsid w:val="007D440A"/>
    <w:rsid w:val="007D457B"/>
    <w:rsid w:val="007D46D8"/>
    <w:rsid w:val="007D4832"/>
    <w:rsid w:val="007D4892"/>
    <w:rsid w:val="007D48E9"/>
    <w:rsid w:val="007D4A1A"/>
    <w:rsid w:val="007D4D44"/>
    <w:rsid w:val="007D4DC5"/>
    <w:rsid w:val="007D53CB"/>
    <w:rsid w:val="007D561F"/>
    <w:rsid w:val="007D5857"/>
    <w:rsid w:val="007D5BB4"/>
    <w:rsid w:val="007D6246"/>
    <w:rsid w:val="007D68DB"/>
    <w:rsid w:val="007D6A54"/>
    <w:rsid w:val="007D6CE6"/>
    <w:rsid w:val="007D6E43"/>
    <w:rsid w:val="007D6F86"/>
    <w:rsid w:val="007D72CB"/>
    <w:rsid w:val="007D72EB"/>
    <w:rsid w:val="007D735A"/>
    <w:rsid w:val="007D7CDD"/>
    <w:rsid w:val="007D7F37"/>
    <w:rsid w:val="007E016B"/>
    <w:rsid w:val="007E0416"/>
    <w:rsid w:val="007E08C9"/>
    <w:rsid w:val="007E0A12"/>
    <w:rsid w:val="007E0D35"/>
    <w:rsid w:val="007E0F8F"/>
    <w:rsid w:val="007E13A8"/>
    <w:rsid w:val="007E1A71"/>
    <w:rsid w:val="007E1AAD"/>
    <w:rsid w:val="007E2236"/>
    <w:rsid w:val="007E273A"/>
    <w:rsid w:val="007E296A"/>
    <w:rsid w:val="007E2A9F"/>
    <w:rsid w:val="007E317C"/>
    <w:rsid w:val="007E3456"/>
    <w:rsid w:val="007E35D0"/>
    <w:rsid w:val="007E3A03"/>
    <w:rsid w:val="007E3E82"/>
    <w:rsid w:val="007E44F9"/>
    <w:rsid w:val="007E4701"/>
    <w:rsid w:val="007E47D5"/>
    <w:rsid w:val="007E4C3C"/>
    <w:rsid w:val="007E4DA6"/>
    <w:rsid w:val="007E4F53"/>
    <w:rsid w:val="007E502A"/>
    <w:rsid w:val="007E5268"/>
    <w:rsid w:val="007E53AF"/>
    <w:rsid w:val="007E5725"/>
    <w:rsid w:val="007E5937"/>
    <w:rsid w:val="007E5A2C"/>
    <w:rsid w:val="007E5E82"/>
    <w:rsid w:val="007E5ED9"/>
    <w:rsid w:val="007E5EDC"/>
    <w:rsid w:val="007E6646"/>
    <w:rsid w:val="007E67D9"/>
    <w:rsid w:val="007E691D"/>
    <w:rsid w:val="007E6A96"/>
    <w:rsid w:val="007E6C51"/>
    <w:rsid w:val="007E6D20"/>
    <w:rsid w:val="007E7232"/>
    <w:rsid w:val="007E72AB"/>
    <w:rsid w:val="007E735E"/>
    <w:rsid w:val="007E7D5D"/>
    <w:rsid w:val="007E7E0F"/>
    <w:rsid w:val="007E7EC0"/>
    <w:rsid w:val="007F0378"/>
    <w:rsid w:val="007F0684"/>
    <w:rsid w:val="007F06B6"/>
    <w:rsid w:val="007F06E8"/>
    <w:rsid w:val="007F0AF8"/>
    <w:rsid w:val="007F0E4C"/>
    <w:rsid w:val="007F1933"/>
    <w:rsid w:val="007F1B94"/>
    <w:rsid w:val="007F1F1C"/>
    <w:rsid w:val="007F219A"/>
    <w:rsid w:val="007F2444"/>
    <w:rsid w:val="007F2C78"/>
    <w:rsid w:val="007F3088"/>
    <w:rsid w:val="007F3130"/>
    <w:rsid w:val="007F35B8"/>
    <w:rsid w:val="007F37EA"/>
    <w:rsid w:val="007F3D80"/>
    <w:rsid w:val="007F3F16"/>
    <w:rsid w:val="007F42F0"/>
    <w:rsid w:val="007F4748"/>
    <w:rsid w:val="007F4906"/>
    <w:rsid w:val="007F4981"/>
    <w:rsid w:val="007F4D34"/>
    <w:rsid w:val="007F56FC"/>
    <w:rsid w:val="007F62FD"/>
    <w:rsid w:val="007F6340"/>
    <w:rsid w:val="007F65DB"/>
    <w:rsid w:val="007F6761"/>
    <w:rsid w:val="007F6BC4"/>
    <w:rsid w:val="007F6C0E"/>
    <w:rsid w:val="007F6DA9"/>
    <w:rsid w:val="007F70D4"/>
    <w:rsid w:val="007F752E"/>
    <w:rsid w:val="007F76B6"/>
    <w:rsid w:val="007F7ABF"/>
    <w:rsid w:val="007F7CA1"/>
    <w:rsid w:val="0080059B"/>
    <w:rsid w:val="0080073F"/>
    <w:rsid w:val="00800917"/>
    <w:rsid w:val="00800DBB"/>
    <w:rsid w:val="00801607"/>
    <w:rsid w:val="00801713"/>
    <w:rsid w:val="0080176E"/>
    <w:rsid w:val="00801B94"/>
    <w:rsid w:val="00801CB1"/>
    <w:rsid w:val="00801DC9"/>
    <w:rsid w:val="0080238B"/>
    <w:rsid w:val="00802758"/>
    <w:rsid w:val="00802A50"/>
    <w:rsid w:val="00802A7A"/>
    <w:rsid w:val="00802AA7"/>
    <w:rsid w:val="00802B6F"/>
    <w:rsid w:val="00803003"/>
    <w:rsid w:val="008038AE"/>
    <w:rsid w:val="008039DB"/>
    <w:rsid w:val="00803AAC"/>
    <w:rsid w:val="00803ACE"/>
    <w:rsid w:val="00803F4E"/>
    <w:rsid w:val="008057B1"/>
    <w:rsid w:val="00805834"/>
    <w:rsid w:val="00805B99"/>
    <w:rsid w:val="00805D3E"/>
    <w:rsid w:val="00805EEC"/>
    <w:rsid w:val="00806026"/>
    <w:rsid w:val="008061C2"/>
    <w:rsid w:val="00806E9B"/>
    <w:rsid w:val="00807090"/>
    <w:rsid w:val="008074F3"/>
    <w:rsid w:val="00807926"/>
    <w:rsid w:val="0080796B"/>
    <w:rsid w:val="00807A15"/>
    <w:rsid w:val="00807AB5"/>
    <w:rsid w:val="00807EBB"/>
    <w:rsid w:val="00807FC3"/>
    <w:rsid w:val="008100A2"/>
    <w:rsid w:val="008104A0"/>
    <w:rsid w:val="008107F5"/>
    <w:rsid w:val="00810A75"/>
    <w:rsid w:val="00810D27"/>
    <w:rsid w:val="00810E30"/>
    <w:rsid w:val="00810ED7"/>
    <w:rsid w:val="00810F56"/>
    <w:rsid w:val="00811057"/>
    <w:rsid w:val="0081169E"/>
    <w:rsid w:val="00811914"/>
    <w:rsid w:val="00811A86"/>
    <w:rsid w:val="00811EE2"/>
    <w:rsid w:val="008123D4"/>
    <w:rsid w:val="00812B2D"/>
    <w:rsid w:val="00812C4E"/>
    <w:rsid w:val="0081353B"/>
    <w:rsid w:val="0081378B"/>
    <w:rsid w:val="00813AEB"/>
    <w:rsid w:val="00814049"/>
    <w:rsid w:val="008140B8"/>
    <w:rsid w:val="0081466A"/>
    <w:rsid w:val="008149A6"/>
    <w:rsid w:val="00814CAD"/>
    <w:rsid w:val="00814E29"/>
    <w:rsid w:val="0081580E"/>
    <w:rsid w:val="00815914"/>
    <w:rsid w:val="00815A49"/>
    <w:rsid w:val="00815BB1"/>
    <w:rsid w:val="00815BFA"/>
    <w:rsid w:val="00815CE0"/>
    <w:rsid w:val="0081623E"/>
    <w:rsid w:val="00816340"/>
    <w:rsid w:val="0081701B"/>
    <w:rsid w:val="008177AE"/>
    <w:rsid w:val="00817C6C"/>
    <w:rsid w:val="00817D96"/>
    <w:rsid w:val="00817E6F"/>
    <w:rsid w:val="00817F9A"/>
    <w:rsid w:val="00820896"/>
    <w:rsid w:val="00820A62"/>
    <w:rsid w:val="008211B5"/>
    <w:rsid w:val="00821912"/>
    <w:rsid w:val="0082194F"/>
    <w:rsid w:val="00821A07"/>
    <w:rsid w:val="0082222E"/>
    <w:rsid w:val="008222D8"/>
    <w:rsid w:val="0082242F"/>
    <w:rsid w:val="008227FA"/>
    <w:rsid w:val="008229A2"/>
    <w:rsid w:val="00822CDF"/>
    <w:rsid w:val="008235B7"/>
    <w:rsid w:val="008236A9"/>
    <w:rsid w:val="00823A6D"/>
    <w:rsid w:val="00823AA9"/>
    <w:rsid w:val="00823FF7"/>
    <w:rsid w:val="008240FA"/>
    <w:rsid w:val="008242B3"/>
    <w:rsid w:val="0082443D"/>
    <w:rsid w:val="00824A9E"/>
    <w:rsid w:val="00824E44"/>
    <w:rsid w:val="008255CE"/>
    <w:rsid w:val="00825966"/>
    <w:rsid w:val="00825ED1"/>
    <w:rsid w:val="00825EDB"/>
    <w:rsid w:val="00825F58"/>
    <w:rsid w:val="008264EB"/>
    <w:rsid w:val="00826635"/>
    <w:rsid w:val="008267E6"/>
    <w:rsid w:val="008268CF"/>
    <w:rsid w:val="00826DEF"/>
    <w:rsid w:val="008270EE"/>
    <w:rsid w:val="00827265"/>
    <w:rsid w:val="008272A7"/>
    <w:rsid w:val="008273A3"/>
    <w:rsid w:val="0082744A"/>
    <w:rsid w:val="00827497"/>
    <w:rsid w:val="008275A9"/>
    <w:rsid w:val="0083026B"/>
    <w:rsid w:val="008307F9"/>
    <w:rsid w:val="00830845"/>
    <w:rsid w:val="0083098F"/>
    <w:rsid w:val="008309E1"/>
    <w:rsid w:val="00830DA4"/>
    <w:rsid w:val="00831472"/>
    <w:rsid w:val="0083171A"/>
    <w:rsid w:val="00831ABE"/>
    <w:rsid w:val="008320C3"/>
    <w:rsid w:val="008322DF"/>
    <w:rsid w:val="008322F6"/>
    <w:rsid w:val="008327F0"/>
    <w:rsid w:val="00832922"/>
    <w:rsid w:val="008329FF"/>
    <w:rsid w:val="00832ECB"/>
    <w:rsid w:val="0083302B"/>
    <w:rsid w:val="00833526"/>
    <w:rsid w:val="008336EE"/>
    <w:rsid w:val="008340EC"/>
    <w:rsid w:val="00834B47"/>
    <w:rsid w:val="00835195"/>
    <w:rsid w:val="00835459"/>
    <w:rsid w:val="00835C3C"/>
    <w:rsid w:val="00835EE4"/>
    <w:rsid w:val="00836259"/>
    <w:rsid w:val="00836AC7"/>
    <w:rsid w:val="00836C77"/>
    <w:rsid w:val="00836E1B"/>
    <w:rsid w:val="008376CD"/>
    <w:rsid w:val="0083793C"/>
    <w:rsid w:val="00837BB6"/>
    <w:rsid w:val="00837C92"/>
    <w:rsid w:val="00837F0F"/>
    <w:rsid w:val="00837FEE"/>
    <w:rsid w:val="008404E0"/>
    <w:rsid w:val="008416E5"/>
    <w:rsid w:val="00841A00"/>
    <w:rsid w:val="00841ED7"/>
    <w:rsid w:val="0084210C"/>
    <w:rsid w:val="00842BBA"/>
    <w:rsid w:val="00842D41"/>
    <w:rsid w:val="00842E56"/>
    <w:rsid w:val="00843029"/>
    <w:rsid w:val="00843420"/>
    <w:rsid w:val="00843B5D"/>
    <w:rsid w:val="00843BE2"/>
    <w:rsid w:val="00843C5D"/>
    <w:rsid w:val="00843F87"/>
    <w:rsid w:val="00844448"/>
    <w:rsid w:val="008447D4"/>
    <w:rsid w:val="0084506C"/>
    <w:rsid w:val="008454BD"/>
    <w:rsid w:val="0084570E"/>
    <w:rsid w:val="00845B66"/>
    <w:rsid w:val="00846126"/>
    <w:rsid w:val="008463AA"/>
    <w:rsid w:val="008463F3"/>
    <w:rsid w:val="00846509"/>
    <w:rsid w:val="008467CB"/>
    <w:rsid w:val="008467D3"/>
    <w:rsid w:val="00846845"/>
    <w:rsid w:val="00846D76"/>
    <w:rsid w:val="00847650"/>
    <w:rsid w:val="008476DC"/>
    <w:rsid w:val="00847829"/>
    <w:rsid w:val="008479B1"/>
    <w:rsid w:val="0085005F"/>
    <w:rsid w:val="008500F5"/>
    <w:rsid w:val="0085030C"/>
    <w:rsid w:val="0085062F"/>
    <w:rsid w:val="00850CBE"/>
    <w:rsid w:val="00851307"/>
    <w:rsid w:val="008515B1"/>
    <w:rsid w:val="008518F3"/>
    <w:rsid w:val="00851C40"/>
    <w:rsid w:val="00851F2D"/>
    <w:rsid w:val="00852239"/>
    <w:rsid w:val="00852508"/>
    <w:rsid w:val="00852578"/>
    <w:rsid w:val="008525B6"/>
    <w:rsid w:val="00852E5B"/>
    <w:rsid w:val="0085323E"/>
    <w:rsid w:val="008535EB"/>
    <w:rsid w:val="00853677"/>
    <w:rsid w:val="00853943"/>
    <w:rsid w:val="00853A88"/>
    <w:rsid w:val="00853ACD"/>
    <w:rsid w:val="00853ACF"/>
    <w:rsid w:val="00853CA6"/>
    <w:rsid w:val="00853F1F"/>
    <w:rsid w:val="008544D3"/>
    <w:rsid w:val="00854AD2"/>
    <w:rsid w:val="00855089"/>
    <w:rsid w:val="0085525C"/>
    <w:rsid w:val="008558A1"/>
    <w:rsid w:val="00855A1E"/>
    <w:rsid w:val="00855DEB"/>
    <w:rsid w:val="0085642F"/>
    <w:rsid w:val="0085645A"/>
    <w:rsid w:val="00856554"/>
    <w:rsid w:val="0085717F"/>
    <w:rsid w:val="008573AF"/>
    <w:rsid w:val="008573F8"/>
    <w:rsid w:val="00857645"/>
    <w:rsid w:val="00857798"/>
    <w:rsid w:val="008577D9"/>
    <w:rsid w:val="00857BEA"/>
    <w:rsid w:val="00857D80"/>
    <w:rsid w:val="00857EAB"/>
    <w:rsid w:val="008602FC"/>
    <w:rsid w:val="0086045C"/>
    <w:rsid w:val="008607FA"/>
    <w:rsid w:val="00860989"/>
    <w:rsid w:val="00860CF9"/>
    <w:rsid w:val="008614A8"/>
    <w:rsid w:val="00861DEF"/>
    <w:rsid w:val="008622D3"/>
    <w:rsid w:val="0086268A"/>
    <w:rsid w:val="00862BD4"/>
    <w:rsid w:val="00862BFA"/>
    <w:rsid w:val="00862D35"/>
    <w:rsid w:val="00862DC6"/>
    <w:rsid w:val="00862EE5"/>
    <w:rsid w:val="008639A2"/>
    <w:rsid w:val="00863BBB"/>
    <w:rsid w:val="008640FD"/>
    <w:rsid w:val="0086426C"/>
    <w:rsid w:val="00864321"/>
    <w:rsid w:val="008644D5"/>
    <w:rsid w:val="00864A96"/>
    <w:rsid w:val="00864E19"/>
    <w:rsid w:val="00864FDD"/>
    <w:rsid w:val="00865020"/>
    <w:rsid w:val="0086526F"/>
    <w:rsid w:val="00865385"/>
    <w:rsid w:val="0086564F"/>
    <w:rsid w:val="00865676"/>
    <w:rsid w:val="00865681"/>
    <w:rsid w:val="00865A34"/>
    <w:rsid w:val="00865AF5"/>
    <w:rsid w:val="00865C9A"/>
    <w:rsid w:val="00866618"/>
    <w:rsid w:val="00866770"/>
    <w:rsid w:val="00867578"/>
    <w:rsid w:val="008678FC"/>
    <w:rsid w:val="00867B6B"/>
    <w:rsid w:val="00867FDD"/>
    <w:rsid w:val="0087000F"/>
    <w:rsid w:val="0087020C"/>
    <w:rsid w:val="008706D6"/>
    <w:rsid w:val="00870788"/>
    <w:rsid w:val="00870923"/>
    <w:rsid w:val="00870A8A"/>
    <w:rsid w:val="00870AFC"/>
    <w:rsid w:val="00870F67"/>
    <w:rsid w:val="00870F6E"/>
    <w:rsid w:val="00871028"/>
    <w:rsid w:val="008715CC"/>
    <w:rsid w:val="008717FE"/>
    <w:rsid w:val="00872589"/>
    <w:rsid w:val="00872770"/>
    <w:rsid w:val="00872A89"/>
    <w:rsid w:val="00872C07"/>
    <w:rsid w:val="00873125"/>
    <w:rsid w:val="008731F2"/>
    <w:rsid w:val="00873754"/>
    <w:rsid w:val="00873CF3"/>
    <w:rsid w:val="008746D7"/>
    <w:rsid w:val="00874D5D"/>
    <w:rsid w:val="0087502F"/>
    <w:rsid w:val="008752FC"/>
    <w:rsid w:val="008755BD"/>
    <w:rsid w:val="00875FA4"/>
    <w:rsid w:val="00876313"/>
    <w:rsid w:val="008763C8"/>
    <w:rsid w:val="0087656D"/>
    <w:rsid w:val="0087672D"/>
    <w:rsid w:val="00876902"/>
    <w:rsid w:val="00876E33"/>
    <w:rsid w:val="00877745"/>
    <w:rsid w:val="008779E9"/>
    <w:rsid w:val="00877ADA"/>
    <w:rsid w:val="00877D2C"/>
    <w:rsid w:val="00877D6E"/>
    <w:rsid w:val="00877E35"/>
    <w:rsid w:val="0088014E"/>
    <w:rsid w:val="008807CE"/>
    <w:rsid w:val="00880AA4"/>
    <w:rsid w:val="00880B6B"/>
    <w:rsid w:val="00880BAB"/>
    <w:rsid w:val="00880C8D"/>
    <w:rsid w:val="008812A7"/>
    <w:rsid w:val="00881646"/>
    <w:rsid w:val="008817FF"/>
    <w:rsid w:val="0088239C"/>
    <w:rsid w:val="00882745"/>
    <w:rsid w:val="008828F7"/>
    <w:rsid w:val="00882946"/>
    <w:rsid w:val="00882A65"/>
    <w:rsid w:val="00882C4D"/>
    <w:rsid w:val="00882D67"/>
    <w:rsid w:val="00882E58"/>
    <w:rsid w:val="00882F94"/>
    <w:rsid w:val="0088318D"/>
    <w:rsid w:val="008835B1"/>
    <w:rsid w:val="00883B3F"/>
    <w:rsid w:val="00883EE0"/>
    <w:rsid w:val="00883EFA"/>
    <w:rsid w:val="008840AD"/>
    <w:rsid w:val="008841BF"/>
    <w:rsid w:val="008846E2"/>
    <w:rsid w:val="00884A91"/>
    <w:rsid w:val="00884E92"/>
    <w:rsid w:val="008851BE"/>
    <w:rsid w:val="00885538"/>
    <w:rsid w:val="00885960"/>
    <w:rsid w:val="00885A63"/>
    <w:rsid w:val="00885ADA"/>
    <w:rsid w:val="00885B81"/>
    <w:rsid w:val="00886188"/>
    <w:rsid w:val="00886342"/>
    <w:rsid w:val="0088651F"/>
    <w:rsid w:val="00886632"/>
    <w:rsid w:val="00886EC6"/>
    <w:rsid w:val="00887063"/>
    <w:rsid w:val="008876D5"/>
    <w:rsid w:val="00887798"/>
    <w:rsid w:val="0088796B"/>
    <w:rsid w:val="00887D83"/>
    <w:rsid w:val="00887F1B"/>
    <w:rsid w:val="008900CF"/>
    <w:rsid w:val="008903F8"/>
    <w:rsid w:val="008905B9"/>
    <w:rsid w:val="00890709"/>
    <w:rsid w:val="00890F94"/>
    <w:rsid w:val="00891AE3"/>
    <w:rsid w:val="00891D67"/>
    <w:rsid w:val="0089203B"/>
    <w:rsid w:val="00892165"/>
    <w:rsid w:val="008922CF"/>
    <w:rsid w:val="008923D1"/>
    <w:rsid w:val="008925B9"/>
    <w:rsid w:val="00892827"/>
    <w:rsid w:val="00892AEE"/>
    <w:rsid w:val="008937AC"/>
    <w:rsid w:val="008937CB"/>
    <w:rsid w:val="00893EA3"/>
    <w:rsid w:val="00893FF7"/>
    <w:rsid w:val="0089427B"/>
    <w:rsid w:val="008942A5"/>
    <w:rsid w:val="008943FD"/>
    <w:rsid w:val="0089483C"/>
    <w:rsid w:val="00894A6B"/>
    <w:rsid w:val="00894A7F"/>
    <w:rsid w:val="00895214"/>
    <w:rsid w:val="00895670"/>
    <w:rsid w:val="00895DCC"/>
    <w:rsid w:val="00895E5A"/>
    <w:rsid w:val="008962BC"/>
    <w:rsid w:val="008973BA"/>
    <w:rsid w:val="00897502"/>
    <w:rsid w:val="00897602"/>
    <w:rsid w:val="0089773D"/>
    <w:rsid w:val="00897855"/>
    <w:rsid w:val="00897A17"/>
    <w:rsid w:val="00897BAC"/>
    <w:rsid w:val="008A03C3"/>
    <w:rsid w:val="008A045F"/>
    <w:rsid w:val="008A0555"/>
    <w:rsid w:val="008A097F"/>
    <w:rsid w:val="008A0994"/>
    <w:rsid w:val="008A0B6D"/>
    <w:rsid w:val="008A0E02"/>
    <w:rsid w:val="008A0E63"/>
    <w:rsid w:val="008A0F85"/>
    <w:rsid w:val="008A148F"/>
    <w:rsid w:val="008A14BA"/>
    <w:rsid w:val="008A14F8"/>
    <w:rsid w:val="008A173F"/>
    <w:rsid w:val="008A1EFD"/>
    <w:rsid w:val="008A1F90"/>
    <w:rsid w:val="008A210B"/>
    <w:rsid w:val="008A211F"/>
    <w:rsid w:val="008A2385"/>
    <w:rsid w:val="008A2790"/>
    <w:rsid w:val="008A279B"/>
    <w:rsid w:val="008A2830"/>
    <w:rsid w:val="008A2987"/>
    <w:rsid w:val="008A2ACB"/>
    <w:rsid w:val="008A2C5D"/>
    <w:rsid w:val="008A30BD"/>
    <w:rsid w:val="008A34B6"/>
    <w:rsid w:val="008A3C32"/>
    <w:rsid w:val="008A444A"/>
    <w:rsid w:val="008A46CB"/>
    <w:rsid w:val="008A4876"/>
    <w:rsid w:val="008A4B83"/>
    <w:rsid w:val="008A4CFD"/>
    <w:rsid w:val="008A4F57"/>
    <w:rsid w:val="008A52CE"/>
    <w:rsid w:val="008A5432"/>
    <w:rsid w:val="008A544C"/>
    <w:rsid w:val="008A574C"/>
    <w:rsid w:val="008A5800"/>
    <w:rsid w:val="008A5BC7"/>
    <w:rsid w:val="008A5E2C"/>
    <w:rsid w:val="008A5E8C"/>
    <w:rsid w:val="008A67A1"/>
    <w:rsid w:val="008A6A25"/>
    <w:rsid w:val="008A6ED8"/>
    <w:rsid w:val="008A720F"/>
    <w:rsid w:val="008A77BD"/>
    <w:rsid w:val="008A7949"/>
    <w:rsid w:val="008A7A03"/>
    <w:rsid w:val="008A7AF1"/>
    <w:rsid w:val="008A7B45"/>
    <w:rsid w:val="008B0BA7"/>
    <w:rsid w:val="008B0E9B"/>
    <w:rsid w:val="008B103F"/>
    <w:rsid w:val="008B12FC"/>
    <w:rsid w:val="008B19DC"/>
    <w:rsid w:val="008B1C8C"/>
    <w:rsid w:val="008B1DFA"/>
    <w:rsid w:val="008B1E06"/>
    <w:rsid w:val="008B200F"/>
    <w:rsid w:val="008B20A4"/>
    <w:rsid w:val="008B2520"/>
    <w:rsid w:val="008B2582"/>
    <w:rsid w:val="008B2720"/>
    <w:rsid w:val="008B2F1A"/>
    <w:rsid w:val="008B31AD"/>
    <w:rsid w:val="008B329A"/>
    <w:rsid w:val="008B331F"/>
    <w:rsid w:val="008B3960"/>
    <w:rsid w:val="008B3A87"/>
    <w:rsid w:val="008B3B8E"/>
    <w:rsid w:val="008B3C1B"/>
    <w:rsid w:val="008B3C1F"/>
    <w:rsid w:val="008B3D7A"/>
    <w:rsid w:val="008B4243"/>
    <w:rsid w:val="008B4700"/>
    <w:rsid w:val="008B47F4"/>
    <w:rsid w:val="008B4953"/>
    <w:rsid w:val="008B4BFD"/>
    <w:rsid w:val="008B4C60"/>
    <w:rsid w:val="008B4E19"/>
    <w:rsid w:val="008B4F72"/>
    <w:rsid w:val="008B58E4"/>
    <w:rsid w:val="008B5A61"/>
    <w:rsid w:val="008B5F19"/>
    <w:rsid w:val="008B5F58"/>
    <w:rsid w:val="008B6190"/>
    <w:rsid w:val="008B6231"/>
    <w:rsid w:val="008B6367"/>
    <w:rsid w:val="008B63AD"/>
    <w:rsid w:val="008B6939"/>
    <w:rsid w:val="008B6A05"/>
    <w:rsid w:val="008B6ADB"/>
    <w:rsid w:val="008B74A7"/>
    <w:rsid w:val="008B7546"/>
    <w:rsid w:val="008B757C"/>
    <w:rsid w:val="008B77EC"/>
    <w:rsid w:val="008B7C5A"/>
    <w:rsid w:val="008B7ECB"/>
    <w:rsid w:val="008C048E"/>
    <w:rsid w:val="008C052D"/>
    <w:rsid w:val="008C0557"/>
    <w:rsid w:val="008C0771"/>
    <w:rsid w:val="008C0845"/>
    <w:rsid w:val="008C08B7"/>
    <w:rsid w:val="008C0D3F"/>
    <w:rsid w:val="008C15BB"/>
    <w:rsid w:val="008C1779"/>
    <w:rsid w:val="008C186A"/>
    <w:rsid w:val="008C1DC1"/>
    <w:rsid w:val="008C21A0"/>
    <w:rsid w:val="008C287C"/>
    <w:rsid w:val="008C28B3"/>
    <w:rsid w:val="008C292B"/>
    <w:rsid w:val="008C34C1"/>
    <w:rsid w:val="008C3591"/>
    <w:rsid w:val="008C3853"/>
    <w:rsid w:val="008C3982"/>
    <w:rsid w:val="008C3A88"/>
    <w:rsid w:val="008C3AC1"/>
    <w:rsid w:val="008C3B2A"/>
    <w:rsid w:val="008C3D73"/>
    <w:rsid w:val="008C41CD"/>
    <w:rsid w:val="008C4270"/>
    <w:rsid w:val="008C44FA"/>
    <w:rsid w:val="008C482E"/>
    <w:rsid w:val="008C4BB0"/>
    <w:rsid w:val="008C4E7C"/>
    <w:rsid w:val="008C4E96"/>
    <w:rsid w:val="008C4EB8"/>
    <w:rsid w:val="008C4F08"/>
    <w:rsid w:val="008C4FFE"/>
    <w:rsid w:val="008C51AD"/>
    <w:rsid w:val="008C52AE"/>
    <w:rsid w:val="008C5A8B"/>
    <w:rsid w:val="008C5EAC"/>
    <w:rsid w:val="008C5F93"/>
    <w:rsid w:val="008C61B0"/>
    <w:rsid w:val="008C627C"/>
    <w:rsid w:val="008C6BA6"/>
    <w:rsid w:val="008C6E3D"/>
    <w:rsid w:val="008C6FD3"/>
    <w:rsid w:val="008C70EB"/>
    <w:rsid w:val="008C71DE"/>
    <w:rsid w:val="008C78EA"/>
    <w:rsid w:val="008C7C23"/>
    <w:rsid w:val="008C7FA7"/>
    <w:rsid w:val="008D0E8E"/>
    <w:rsid w:val="008D1047"/>
    <w:rsid w:val="008D155D"/>
    <w:rsid w:val="008D1566"/>
    <w:rsid w:val="008D15E6"/>
    <w:rsid w:val="008D21BB"/>
    <w:rsid w:val="008D229E"/>
    <w:rsid w:val="008D24C5"/>
    <w:rsid w:val="008D24FA"/>
    <w:rsid w:val="008D24FF"/>
    <w:rsid w:val="008D2F91"/>
    <w:rsid w:val="008D34B0"/>
    <w:rsid w:val="008D36D2"/>
    <w:rsid w:val="008D3E05"/>
    <w:rsid w:val="008D3FE4"/>
    <w:rsid w:val="008D415F"/>
    <w:rsid w:val="008D463D"/>
    <w:rsid w:val="008D4D84"/>
    <w:rsid w:val="008D5099"/>
    <w:rsid w:val="008D536E"/>
    <w:rsid w:val="008D5506"/>
    <w:rsid w:val="008D5659"/>
    <w:rsid w:val="008D57A3"/>
    <w:rsid w:val="008D5C9A"/>
    <w:rsid w:val="008D5D6F"/>
    <w:rsid w:val="008D5DAB"/>
    <w:rsid w:val="008D638E"/>
    <w:rsid w:val="008D6641"/>
    <w:rsid w:val="008D6847"/>
    <w:rsid w:val="008D6968"/>
    <w:rsid w:val="008D6C68"/>
    <w:rsid w:val="008D71F3"/>
    <w:rsid w:val="008D746A"/>
    <w:rsid w:val="008D75FA"/>
    <w:rsid w:val="008D7AFD"/>
    <w:rsid w:val="008D7DEB"/>
    <w:rsid w:val="008D7E3E"/>
    <w:rsid w:val="008D7EA6"/>
    <w:rsid w:val="008E0029"/>
    <w:rsid w:val="008E01BA"/>
    <w:rsid w:val="008E0219"/>
    <w:rsid w:val="008E030F"/>
    <w:rsid w:val="008E03B3"/>
    <w:rsid w:val="008E0535"/>
    <w:rsid w:val="008E054A"/>
    <w:rsid w:val="008E08F2"/>
    <w:rsid w:val="008E0ABF"/>
    <w:rsid w:val="008E0D33"/>
    <w:rsid w:val="008E0DE2"/>
    <w:rsid w:val="008E0EF1"/>
    <w:rsid w:val="008E19E9"/>
    <w:rsid w:val="008E1A0B"/>
    <w:rsid w:val="008E1CA4"/>
    <w:rsid w:val="008E22E0"/>
    <w:rsid w:val="008E2338"/>
    <w:rsid w:val="008E260B"/>
    <w:rsid w:val="008E288B"/>
    <w:rsid w:val="008E2BCC"/>
    <w:rsid w:val="008E2EE9"/>
    <w:rsid w:val="008E3A18"/>
    <w:rsid w:val="008E4157"/>
    <w:rsid w:val="008E46F6"/>
    <w:rsid w:val="008E4E17"/>
    <w:rsid w:val="008E52E7"/>
    <w:rsid w:val="008E53DB"/>
    <w:rsid w:val="008E55C1"/>
    <w:rsid w:val="008E5757"/>
    <w:rsid w:val="008E5909"/>
    <w:rsid w:val="008E5A4E"/>
    <w:rsid w:val="008E5C8F"/>
    <w:rsid w:val="008E5F66"/>
    <w:rsid w:val="008E646A"/>
    <w:rsid w:val="008E68B9"/>
    <w:rsid w:val="008E6D37"/>
    <w:rsid w:val="008E6E86"/>
    <w:rsid w:val="008E6F52"/>
    <w:rsid w:val="008E6F6B"/>
    <w:rsid w:val="008E6FF7"/>
    <w:rsid w:val="008E702F"/>
    <w:rsid w:val="008E712B"/>
    <w:rsid w:val="008E7155"/>
    <w:rsid w:val="008E71FB"/>
    <w:rsid w:val="008E7365"/>
    <w:rsid w:val="008E78ED"/>
    <w:rsid w:val="008F0248"/>
    <w:rsid w:val="008F0288"/>
    <w:rsid w:val="008F0671"/>
    <w:rsid w:val="008F07B8"/>
    <w:rsid w:val="008F080D"/>
    <w:rsid w:val="008F0932"/>
    <w:rsid w:val="008F0945"/>
    <w:rsid w:val="008F0A86"/>
    <w:rsid w:val="008F0AB8"/>
    <w:rsid w:val="008F0AED"/>
    <w:rsid w:val="008F0BD8"/>
    <w:rsid w:val="008F0D11"/>
    <w:rsid w:val="008F0EF5"/>
    <w:rsid w:val="008F0F0D"/>
    <w:rsid w:val="008F1238"/>
    <w:rsid w:val="008F1351"/>
    <w:rsid w:val="008F13E9"/>
    <w:rsid w:val="008F14CA"/>
    <w:rsid w:val="008F14E8"/>
    <w:rsid w:val="008F1C6B"/>
    <w:rsid w:val="008F20E0"/>
    <w:rsid w:val="008F24BD"/>
    <w:rsid w:val="008F257A"/>
    <w:rsid w:val="008F2A47"/>
    <w:rsid w:val="008F2FA5"/>
    <w:rsid w:val="008F35D9"/>
    <w:rsid w:val="008F3793"/>
    <w:rsid w:val="008F3F41"/>
    <w:rsid w:val="008F412A"/>
    <w:rsid w:val="008F438C"/>
    <w:rsid w:val="008F43D6"/>
    <w:rsid w:val="008F45AC"/>
    <w:rsid w:val="008F45BC"/>
    <w:rsid w:val="008F48C6"/>
    <w:rsid w:val="008F49F3"/>
    <w:rsid w:val="008F5138"/>
    <w:rsid w:val="008F525C"/>
    <w:rsid w:val="008F5309"/>
    <w:rsid w:val="008F540C"/>
    <w:rsid w:val="008F58A7"/>
    <w:rsid w:val="008F6060"/>
    <w:rsid w:val="008F6426"/>
    <w:rsid w:val="008F6607"/>
    <w:rsid w:val="008F6AB0"/>
    <w:rsid w:val="008F6B8B"/>
    <w:rsid w:val="008F6BEC"/>
    <w:rsid w:val="00900077"/>
    <w:rsid w:val="0090097F"/>
    <w:rsid w:val="00900D92"/>
    <w:rsid w:val="0090146E"/>
    <w:rsid w:val="009015F4"/>
    <w:rsid w:val="00901E4D"/>
    <w:rsid w:val="0090296B"/>
    <w:rsid w:val="00902972"/>
    <w:rsid w:val="00903424"/>
    <w:rsid w:val="00904206"/>
    <w:rsid w:val="0090441B"/>
    <w:rsid w:val="00904551"/>
    <w:rsid w:val="0090516B"/>
    <w:rsid w:val="00905456"/>
    <w:rsid w:val="00905BE3"/>
    <w:rsid w:val="0090621C"/>
    <w:rsid w:val="00906618"/>
    <w:rsid w:val="0090662F"/>
    <w:rsid w:val="00906BB6"/>
    <w:rsid w:val="00906C4A"/>
    <w:rsid w:val="00907397"/>
    <w:rsid w:val="00907986"/>
    <w:rsid w:val="00907A72"/>
    <w:rsid w:val="00907D90"/>
    <w:rsid w:val="00910078"/>
    <w:rsid w:val="0091026F"/>
    <w:rsid w:val="009104AB"/>
    <w:rsid w:val="00910866"/>
    <w:rsid w:val="0091095D"/>
    <w:rsid w:val="00910D99"/>
    <w:rsid w:val="00910E2C"/>
    <w:rsid w:val="009110AD"/>
    <w:rsid w:val="009111CC"/>
    <w:rsid w:val="009114FF"/>
    <w:rsid w:val="00911A79"/>
    <w:rsid w:val="00911D8B"/>
    <w:rsid w:val="00911DAD"/>
    <w:rsid w:val="0091244E"/>
    <w:rsid w:val="00912464"/>
    <w:rsid w:val="00912662"/>
    <w:rsid w:val="009127CC"/>
    <w:rsid w:val="00912D42"/>
    <w:rsid w:val="009133DD"/>
    <w:rsid w:val="00913BE6"/>
    <w:rsid w:val="009141D1"/>
    <w:rsid w:val="00914234"/>
    <w:rsid w:val="00914525"/>
    <w:rsid w:val="00914722"/>
    <w:rsid w:val="009151EB"/>
    <w:rsid w:val="00915465"/>
    <w:rsid w:val="009158B9"/>
    <w:rsid w:val="00915A71"/>
    <w:rsid w:val="009160F5"/>
    <w:rsid w:val="0091620A"/>
    <w:rsid w:val="00916242"/>
    <w:rsid w:val="00916301"/>
    <w:rsid w:val="00916863"/>
    <w:rsid w:val="0091688E"/>
    <w:rsid w:val="00916F1E"/>
    <w:rsid w:val="00917458"/>
    <w:rsid w:val="00917CA8"/>
    <w:rsid w:val="0092096D"/>
    <w:rsid w:val="00920975"/>
    <w:rsid w:val="009214FB"/>
    <w:rsid w:val="009217B9"/>
    <w:rsid w:val="00921D9C"/>
    <w:rsid w:val="00921E56"/>
    <w:rsid w:val="009221ED"/>
    <w:rsid w:val="0092259C"/>
    <w:rsid w:val="009227F6"/>
    <w:rsid w:val="009228A9"/>
    <w:rsid w:val="00923385"/>
    <w:rsid w:val="009234E2"/>
    <w:rsid w:val="00923EDA"/>
    <w:rsid w:val="009243BC"/>
    <w:rsid w:val="00925099"/>
    <w:rsid w:val="009261AF"/>
    <w:rsid w:val="00926AD0"/>
    <w:rsid w:val="00926F12"/>
    <w:rsid w:val="00927055"/>
    <w:rsid w:val="0092771A"/>
    <w:rsid w:val="009278B2"/>
    <w:rsid w:val="009278EB"/>
    <w:rsid w:val="00927984"/>
    <w:rsid w:val="00927C90"/>
    <w:rsid w:val="00927DE3"/>
    <w:rsid w:val="00930591"/>
    <w:rsid w:val="00930609"/>
    <w:rsid w:val="00930B72"/>
    <w:rsid w:val="0093110E"/>
    <w:rsid w:val="0093122C"/>
    <w:rsid w:val="009315FC"/>
    <w:rsid w:val="009316A9"/>
    <w:rsid w:val="009316C7"/>
    <w:rsid w:val="0093196E"/>
    <w:rsid w:val="00931A58"/>
    <w:rsid w:val="00932027"/>
    <w:rsid w:val="00932113"/>
    <w:rsid w:val="00932670"/>
    <w:rsid w:val="00932AD7"/>
    <w:rsid w:val="00932AFD"/>
    <w:rsid w:val="00932DAC"/>
    <w:rsid w:val="00932E71"/>
    <w:rsid w:val="009332E0"/>
    <w:rsid w:val="00933669"/>
    <w:rsid w:val="00933690"/>
    <w:rsid w:val="00933AC3"/>
    <w:rsid w:val="0093423C"/>
    <w:rsid w:val="00934641"/>
    <w:rsid w:val="00934A83"/>
    <w:rsid w:val="00934DE7"/>
    <w:rsid w:val="00934E11"/>
    <w:rsid w:val="00935130"/>
    <w:rsid w:val="00935153"/>
    <w:rsid w:val="009352C5"/>
    <w:rsid w:val="00935534"/>
    <w:rsid w:val="0093562F"/>
    <w:rsid w:val="00935727"/>
    <w:rsid w:val="0093573A"/>
    <w:rsid w:val="00935929"/>
    <w:rsid w:val="009359EE"/>
    <w:rsid w:val="00935D1C"/>
    <w:rsid w:val="00935DD0"/>
    <w:rsid w:val="00935F61"/>
    <w:rsid w:val="009360BB"/>
    <w:rsid w:val="00936493"/>
    <w:rsid w:val="009366CE"/>
    <w:rsid w:val="00936981"/>
    <w:rsid w:val="00936B1F"/>
    <w:rsid w:val="0093775C"/>
    <w:rsid w:val="00937887"/>
    <w:rsid w:val="009379F0"/>
    <w:rsid w:val="00937A54"/>
    <w:rsid w:val="00937A67"/>
    <w:rsid w:val="00937BEC"/>
    <w:rsid w:val="00940258"/>
    <w:rsid w:val="00940463"/>
    <w:rsid w:val="0094055F"/>
    <w:rsid w:val="009405FA"/>
    <w:rsid w:val="00940757"/>
    <w:rsid w:val="009407D4"/>
    <w:rsid w:val="00940DC6"/>
    <w:rsid w:val="00941639"/>
    <w:rsid w:val="00941A0C"/>
    <w:rsid w:val="00941A8A"/>
    <w:rsid w:val="00941B4B"/>
    <w:rsid w:val="00941FF5"/>
    <w:rsid w:val="009424D8"/>
    <w:rsid w:val="0094282B"/>
    <w:rsid w:val="00942B2E"/>
    <w:rsid w:val="00942DF0"/>
    <w:rsid w:val="00943238"/>
    <w:rsid w:val="00943429"/>
    <w:rsid w:val="00943463"/>
    <w:rsid w:val="00943464"/>
    <w:rsid w:val="009434EB"/>
    <w:rsid w:val="00943572"/>
    <w:rsid w:val="00943CFE"/>
    <w:rsid w:val="00943D56"/>
    <w:rsid w:val="00943EE9"/>
    <w:rsid w:val="00943F5C"/>
    <w:rsid w:val="00943F96"/>
    <w:rsid w:val="00943FA2"/>
    <w:rsid w:val="00944494"/>
    <w:rsid w:val="0094494D"/>
    <w:rsid w:val="00944BA5"/>
    <w:rsid w:val="00944E59"/>
    <w:rsid w:val="00944FD3"/>
    <w:rsid w:val="009451D2"/>
    <w:rsid w:val="00945401"/>
    <w:rsid w:val="009456F4"/>
    <w:rsid w:val="009459F4"/>
    <w:rsid w:val="00945ABE"/>
    <w:rsid w:val="00945D0F"/>
    <w:rsid w:val="00945E58"/>
    <w:rsid w:val="00945F58"/>
    <w:rsid w:val="00946127"/>
    <w:rsid w:val="009465FE"/>
    <w:rsid w:val="009466A9"/>
    <w:rsid w:val="0094689D"/>
    <w:rsid w:val="00946907"/>
    <w:rsid w:val="00946991"/>
    <w:rsid w:val="00947607"/>
    <w:rsid w:val="009477F9"/>
    <w:rsid w:val="00947F6B"/>
    <w:rsid w:val="009505EB"/>
    <w:rsid w:val="00950CAE"/>
    <w:rsid w:val="00951164"/>
    <w:rsid w:val="009512EC"/>
    <w:rsid w:val="009517B8"/>
    <w:rsid w:val="00951807"/>
    <w:rsid w:val="009522A9"/>
    <w:rsid w:val="00952767"/>
    <w:rsid w:val="00952E7D"/>
    <w:rsid w:val="0095315A"/>
    <w:rsid w:val="009534DD"/>
    <w:rsid w:val="009535C2"/>
    <w:rsid w:val="0095369D"/>
    <w:rsid w:val="00953A73"/>
    <w:rsid w:val="0095432C"/>
    <w:rsid w:val="00954747"/>
    <w:rsid w:val="00954BB2"/>
    <w:rsid w:val="00954D5A"/>
    <w:rsid w:val="009551A8"/>
    <w:rsid w:val="00955540"/>
    <w:rsid w:val="00955665"/>
    <w:rsid w:val="00955A76"/>
    <w:rsid w:val="00955BFB"/>
    <w:rsid w:val="00955C1A"/>
    <w:rsid w:val="00956116"/>
    <w:rsid w:val="009562CC"/>
    <w:rsid w:val="00956984"/>
    <w:rsid w:val="009569BE"/>
    <w:rsid w:val="009569E3"/>
    <w:rsid w:val="00956B6C"/>
    <w:rsid w:val="00957031"/>
    <w:rsid w:val="00957932"/>
    <w:rsid w:val="00957B5B"/>
    <w:rsid w:val="009601CB"/>
    <w:rsid w:val="00960349"/>
    <w:rsid w:val="0096059A"/>
    <w:rsid w:val="0096081E"/>
    <w:rsid w:val="0096095E"/>
    <w:rsid w:val="00960C64"/>
    <w:rsid w:val="00960D39"/>
    <w:rsid w:val="00960F7E"/>
    <w:rsid w:val="009611A5"/>
    <w:rsid w:val="00961279"/>
    <w:rsid w:val="0096193B"/>
    <w:rsid w:val="00961B25"/>
    <w:rsid w:val="00961BB2"/>
    <w:rsid w:val="009622A5"/>
    <w:rsid w:val="0096267A"/>
    <w:rsid w:val="0096270D"/>
    <w:rsid w:val="00962879"/>
    <w:rsid w:val="009629FE"/>
    <w:rsid w:val="00963188"/>
    <w:rsid w:val="00963240"/>
    <w:rsid w:val="00963957"/>
    <w:rsid w:val="00963B82"/>
    <w:rsid w:val="00964475"/>
    <w:rsid w:val="00964A6E"/>
    <w:rsid w:val="00964FB4"/>
    <w:rsid w:val="00965713"/>
    <w:rsid w:val="0096582E"/>
    <w:rsid w:val="00965DAE"/>
    <w:rsid w:val="009662BB"/>
    <w:rsid w:val="00966514"/>
    <w:rsid w:val="009666BD"/>
    <w:rsid w:val="00966B91"/>
    <w:rsid w:val="00966BE3"/>
    <w:rsid w:val="00966BFB"/>
    <w:rsid w:val="00966CC2"/>
    <w:rsid w:val="00966FF8"/>
    <w:rsid w:val="0096744A"/>
    <w:rsid w:val="0096749A"/>
    <w:rsid w:val="00967CDA"/>
    <w:rsid w:val="00970048"/>
    <w:rsid w:val="00970549"/>
    <w:rsid w:val="00970999"/>
    <w:rsid w:val="009713C4"/>
    <w:rsid w:val="00971647"/>
    <w:rsid w:val="00971831"/>
    <w:rsid w:val="00971CAF"/>
    <w:rsid w:val="00971F8D"/>
    <w:rsid w:val="0097216D"/>
    <w:rsid w:val="0097218A"/>
    <w:rsid w:val="00972D8F"/>
    <w:rsid w:val="00973C2B"/>
    <w:rsid w:val="00974255"/>
    <w:rsid w:val="0097437B"/>
    <w:rsid w:val="0097441E"/>
    <w:rsid w:val="00975466"/>
    <w:rsid w:val="00975740"/>
    <w:rsid w:val="00975756"/>
    <w:rsid w:val="009758AA"/>
    <w:rsid w:val="00975990"/>
    <w:rsid w:val="00975AF6"/>
    <w:rsid w:val="00975BED"/>
    <w:rsid w:val="00975FB0"/>
    <w:rsid w:val="009762C7"/>
    <w:rsid w:val="0097670F"/>
    <w:rsid w:val="00976BD6"/>
    <w:rsid w:val="00976C61"/>
    <w:rsid w:val="00976E84"/>
    <w:rsid w:val="00977057"/>
    <w:rsid w:val="0097710C"/>
    <w:rsid w:val="009775E0"/>
    <w:rsid w:val="00977AA1"/>
    <w:rsid w:val="009801B1"/>
    <w:rsid w:val="009803EC"/>
    <w:rsid w:val="00980BC3"/>
    <w:rsid w:val="00980DC7"/>
    <w:rsid w:val="00981215"/>
    <w:rsid w:val="009812AC"/>
    <w:rsid w:val="009812FC"/>
    <w:rsid w:val="009813BF"/>
    <w:rsid w:val="009816E3"/>
    <w:rsid w:val="009819CD"/>
    <w:rsid w:val="00981AC2"/>
    <w:rsid w:val="00982032"/>
    <w:rsid w:val="00982332"/>
    <w:rsid w:val="009824DD"/>
    <w:rsid w:val="00982C0D"/>
    <w:rsid w:val="00983028"/>
    <w:rsid w:val="009834ED"/>
    <w:rsid w:val="00983D98"/>
    <w:rsid w:val="00984295"/>
    <w:rsid w:val="009844B4"/>
    <w:rsid w:val="0098453B"/>
    <w:rsid w:val="0098461D"/>
    <w:rsid w:val="009849BE"/>
    <w:rsid w:val="00984BB9"/>
    <w:rsid w:val="00984D82"/>
    <w:rsid w:val="00985587"/>
    <w:rsid w:val="0098568D"/>
    <w:rsid w:val="0098572B"/>
    <w:rsid w:val="00985AEC"/>
    <w:rsid w:val="00985BC0"/>
    <w:rsid w:val="00985CB0"/>
    <w:rsid w:val="00985CDA"/>
    <w:rsid w:val="0098603A"/>
    <w:rsid w:val="00986137"/>
    <w:rsid w:val="00986B96"/>
    <w:rsid w:val="0098740B"/>
    <w:rsid w:val="00987506"/>
    <w:rsid w:val="00987512"/>
    <w:rsid w:val="009876D3"/>
    <w:rsid w:val="00987985"/>
    <w:rsid w:val="00987C6F"/>
    <w:rsid w:val="00990117"/>
    <w:rsid w:val="0099018C"/>
    <w:rsid w:val="00990708"/>
    <w:rsid w:val="00990718"/>
    <w:rsid w:val="00990C3D"/>
    <w:rsid w:val="00990F5C"/>
    <w:rsid w:val="00991200"/>
    <w:rsid w:val="009914A3"/>
    <w:rsid w:val="0099199D"/>
    <w:rsid w:val="00991AE9"/>
    <w:rsid w:val="00991B9A"/>
    <w:rsid w:val="00991D9A"/>
    <w:rsid w:val="00992110"/>
    <w:rsid w:val="0099238D"/>
    <w:rsid w:val="0099242C"/>
    <w:rsid w:val="0099244D"/>
    <w:rsid w:val="009927D8"/>
    <w:rsid w:val="00992837"/>
    <w:rsid w:val="00992A01"/>
    <w:rsid w:val="00993499"/>
    <w:rsid w:val="009934DB"/>
    <w:rsid w:val="009939CB"/>
    <w:rsid w:val="00993B07"/>
    <w:rsid w:val="00993D95"/>
    <w:rsid w:val="00994409"/>
    <w:rsid w:val="009945C0"/>
    <w:rsid w:val="00994879"/>
    <w:rsid w:val="009948FE"/>
    <w:rsid w:val="009949AE"/>
    <w:rsid w:val="00994D20"/>
    <w:rsid w:val="00994D3D"/>
    <w:rsid w:val="00995267"/>
    <w:rsid w:val="009952D8"/>
    <w:rsid w:val="009952F4"/>
    <w:rsid w:val="00995756"/>
    <w:rsid w:val="00995B58"/>
    <w:rsid w:val="00995B8C"/>
    <w:rsid w:val="00995C53"/>
    <w:rsid w:val="00995E08"/>
    <w:rsid w:val="00995E5A"/>
    <w:rsid w:val="009961EF"/>
    <w:rsid w:val="00996468"/>
    <w:rsid w:val="009966AD"/>
    <w:rsid w:val="009967AF"/>
    <w:rsid w:val="00996D27"/>
    <w:rsid w:val="00997125"/>
    <w:rsid w:val="00997D21"/>
    <w:rsid w:val="00997F39"/>
    <w:rsid w:val="009A0208"/>
    <w:rsid w:val="009A03AC"/>
    <w:rsid w:val="009A0574"/>
    <w:rsid w:val="009A0B05"/>
    <w:rsid w:val="009A0BE4"/>
    <w:rsid w:val="009A0C34"/>
    <w:rsid w:val="009A0DCD"/>
    <w:rsid w:val="009A1089"/>
    <w:rsid w:val="009A15C0"/>
    <w:rsid w:val="009A19DF"/>
    <w:rsid w:val="009A19F4"/>
    <w:rsid w:val="009A1B80"/>
    <w:rsid w:val="009A1D3F"/>
    <w:rsid w:val="009A1DCF"/>
    <w:rsid w:val="009A1F44"/>
    <w:rsid w:val="009A1F79"/>
    <w:rsid w:val="009A21EE"/>
    <w:rsid w:val="009A24A0"/>
    <w:rsid w:val="009A253B"/>
    <w:rsid w:val="009A2A20"/>
    <w:rsid w:val="009A3205"/>
    <w:rsid w:val="009A346F"/>
    <w:rsid w:val="009A3C6E"/>
    <w:rsid w:val="009A3CC7"/>
    <w:rsid w:val="009A3DA2"/>
    <w:rsid w:val="009A49BD"/>
    <w:rsid w:val="009A4B92"/>
    <w:rsid w:val="009A4E70"/>
    <w:rsid w:val="009A54A0"/>
    <w:rsid w:val="009A5F39"/>
    <w:rsid w:val="009A640C"/>
    <w:rsid w:val="009A671A"/>
    <w:rsid w:val="009A6A04"/>
    <w:rsid w:val="009A6A34"/>
    <w:rsid w:val="009A707C"/>
    <w:rsid w:val="009A74C7"/>
    <w:rsid w:val="009A7805"/>
    <w:rsid w:val="009A78A6"/>
    <w:rsid w:val="009A7BB0"/>
    <w:rsid w:val="009B01AE"/>
    <w:rsid w:val="009B04F2"/>
    <w:rsid w:val="009B0A43"/>
    <w:rsid w:val="009B0EAE"/>
    <w:rsid w:val="009B123D"/>
    <w:rsid w:val="009B12D4"/>
    <w:rsid w:val="009B19AB"/>
    <w:rsid w:val="009B1C1B"/>
    <w:rsid w:val="009B1DC8"/>
    <w:rsid w:val="009B1E55"/>
    <w:rsid w:val="009B1FF8"/>
    <w:rsid w:val="009B22AC"/>
    <w:rsid w:val="009B23BE"/>
    <w:rsid w:val="009B2486"/>
    <w:rsid w:val="009B2D28"/>
    <w:rsid w:val="009B2DE4"/>
    <w:rsid w:val="009B35B9"/>
    <w:rsid w:val="009B35BF"/>
    <w:rsid w:val="009B438B"/>
    <w:rsid w:val="009B4530"/>
    <w:rsid w:val="009B4C28"/>
    <w:rsid w:val="009B4C3E"/>
    <w:rsid w:val="009B4D2F"/>
    <w:rsid w:val="009B5038"/>
    <w:rsid w:val="009B56BE"/>
    <w:rsid w:val="009B573C"/>
    <w:rsid w:val="009B5A89"/>
    <w:rsid w:val="009B5C8F"/>
    <w:rsid w:val="009B6071"/>
    <w:rsid w:val="009B624C"/>
    <w:rsid w:val="009B6563"/>
    <w:rsid w:val="009B65D5"/>
    <w:rsid w:val="009B6E0F"/>
    <w:rsid w:val="009B6EF9"/>
    <w:rsid w:val="009B7356"/>
    <w:rsid w:val="009B75BD"/>
    <w:rsid w:val="009B78A7"/>
    <w:rsid w:val="009B7A30"/>
    <w:rsid w:val="009B7A8A"/>
    <w:rsid w:val="009B7CFD"/>
    <w:rsid w:val="009C03A2"/>
    <w:rsid w:val="009C0439"/>
    <w:rsid w:val="009C099B"/>
    <w:rsid w:val="009C0B86"/>
    <w:rsid w:val="009C113F"/>
    <w:rsid w:val="009C1832"/>
    <w:rsid w:val="009C1937"/>
    <w:rsid w:val="009C1978"/>
    <w:rsid w:val="009C1ADB"/>
    <w:rsid w:val="009C21E3"/>
    <w:rsid w:val="009C27DB"/>
    <w:rsid w:val="009C353A"/>
    <w:rsid w:val="009C36D1"/>
    <w:rsid w:val="009C37BF"/>
    <w:rsid w:val="009C3803"/>
    <w:rsid w:val="009C38AD"/>
    <w:rsid w:val="009C398A"/>
    <w:rsid w:val="009C39D9"/>
    <w:rsid w:val="009C407C"/>
    <w:rsid w:val="009C4676"/>
    <w:rsid w:val="009C4ADF"/>
    <w:rsid w:val="009C5220"/>
    <w:rsid w:val="009C5263"/>
    <w:rsid w:val="009C576C"/>
    <w:rsid w:val="009C5BB9"/>
    <w:rsid w:val="009C5FC3"/>
    <w:rsid w:val="009C60E9"/>
    <w:rsid w:val="009C6629"/>
    <w:rsid w:val="009C671C"/>
    <w:rsid w:val="009C6881"/>
    <w:rsid w:val="009C6EB9"/>
    <w:rsid w:val="009C77CA"/>
    <w:rsid w:val="009C7896"/>
    <w:rsid w:val="009C79FD"/>
    <w:rsid w:val="009C7E85"/>
    <w:rsid w:val="009D014A"/>
    <w:rsid w:val="009D0530"/>
    <w:rsid w:val="009D0843"/>
    <w:rsid w:val="009D0C23"/>
    <w:rsid w:val="009D0CF4"/>
    <w:rsid w:val="009D0D52"/>
    <w:rsid w:val="009D140A"/>
    <w:rsid w:val="009D16C5"/>
    <w:rsid w:val="009D1A74"/>
    <w:rsid w:val="009D1A85"/>
    <w:rsid w:val="009D1C65"/>
    <w:rsid w:val="009D1E9D"/>
    <w:rsid w:val="009D21D4"/>
    <w:rsid w:val="009D228D"/>
    <w:rsid w:val="009D2B87"/>
    <w:rsid w:val="009D2C76"/>
    <w:rsid w:val="009D2CDC"/>
    <w:rsid w:val="009D3079"/>
    <w:rsid w:val="009D313C"/>
    <w:rsid w:val="009D39E1"/>
    <w:rsid w:val="009D3D90"/>
    <w:rsid w:val="009D4060"/>
    <w:rsid w:val="009D43C4"/>
    <w:rsid w:val="009D4549"/>
    <w:rsid w:val="009D47C3"/>
    <w:rsid w:val="009D4831"/>
    <w:rsid w:val="009D4AF8"/>
    <w:rsid w:val="009D4C5D"/>
    <w:rsid w:val="009D5B6B"/>
    <w:rsid w:val="009D5C28"/>
    <w:rsid w:val="009D60AC"/>
    <w:rsid w:val="009D645F"/>
    <w:rsid w:val="009D6D3F"/>
    <w:rsid w:val="009D6FC5"/>
    <w:rsid w:val="009D7410"/>
    <w:rsid w:val="009D7601"/>
    <w:rsid w:val="009D7622"/>
    <w:rsid w:val="009E0004"/>
    <w:rsid w:val="009E055D"/>
    <w:rsid w:val="009E060E"/>
    <w:rsid w:val="009E085A"/>
    <w:rsid w:val="009E09DF"/>
    <w:rsid w:val="009E0AA4"/>
    <w:rsid w:val="009E0BE2"/>
    <w:rsid w:val="009E0BF9"/>
    <w:rsid w:val="009E0D0F"/>
    <w:rsid w:val="009E137C"/>
    <w:rsid w:val="009E188B"/>
    <w:rsid w:val="009E1908"/>
    <w:rsid w:val="009E1A9B"/>
    <w:rsid w:val="009E1DA0"/>
    <w:rsid w:val="009E2016"/>
    <w:rsid w:val="009E2463"/>
    <w:rsid w:val="009E2611"/>
    <w:rsid w:val="009E262E"/>
    <w:rsid w:val="009E2A52"/>
    <w:rsid w:val="009E2A77"/>
    <w:rsid w:val="009E2B4C"/>
    <w:rsid w:val="009E2C55"/>
    <w:rsid w:val="009E2E3F"/>
    <w:rsid w:val="009E2FAC"/>
    <w:rsid w:val="009E3E24"/>
    <w:rsid w:val="009E44A4"/>
    <w:rsid w:val="009E4A34"/>
    <w:rsid w:val="009E4DC4"/>
    <w:rsid w:val="009E4E3B"/>
    <w:rsid w:val="009E5187"/>
    <w:rsid w:val="009E59F4"/>
    <w:rsid w:val="009E5C70"/>
    <w:rsid w:val="009E5DD3"/>
    <w:rsid w:val="009E5EDA"/>
    <w:rsid w:val="009E610A"/>
    <w:rsid w:val="009E61B0"/>
    <w:rsid w:val="009E622E"/>
    <w:rsid w:val="009E62A8"/>
    <w:rsid w:val="009E6387"/>
    <w:rsid w:val="009E63F0"/>
    <w:rsid w:val="009E7209"/>
    <w:rsid w:val="009E75F6"/>
    <w:rsid w:val="009E760A"/>
    <w:rsid w:val="009E7BB1"/>
    <w:rsid w:val="009E7BCD"/>
    <w:rsid w:val="009E7BFC"/>
    <w:rsid w:val="009E7CC4"/>
    <w:rsid w:val="009E7D13"/>
    <w:rsid w:val="009F012F"/>
    <w:rsid w:val="009F0217"/>
    <w:rsid w:val="009F05AC"/>
    <w:rsid w:val="009F0707"/>
    <w:rsid w:val="009F086C"/>
    <w:rsid w:val="009F09BE"/>
    <w:rsid w:val="009F1191"/>
    <w:rsid w:val="009F11E5"/>
    <w:rsid w:val="009F1443"/>
    <w:rsid w:val="009F1448"/>
    <w:rsid w:val="009F1656"/>
    <w:rsid w:val="009F1778"/>
    <w:rsid w:val="009F1949"/>
    <w:rsid w:val="009F1EB0"/>
    <w:rsid w:val="009F1EEE"/>
    <w:rsid w:val="009F1F3F"/>
    <w:rsid w:val="009F2131"/>
    <w:rsid w:val="009F239C"/>
    <w:rsid w:val="009F274F"/>
    <w:rsid w:val="009F2E88"/>
    <w:rsid w:val="009F2F51"/>
    <w:rsid w:val="009F39A1"/>
    <w:rsid w:val="009F3EDA"/>
    <w:rsid w:val="009F3FE4"/>
    <w:rsid w:val="009F43DD"/>
    <w:rsid w:val="009F4740"/>
    <w:rsid w:val="009F4825"/>
    <w:rsid w:val="009F49FF"/>
    <w:rsid w:val="009F5594"/>
    <w:rsid w:val="009F560B"/>
    <w:rsid w:val="009F583E"/>
    <w:rsid w:val="009F58DD"/>
    <w:rsid w:val="009F5AC4"/>
    <w:rsid w:val="009F5CE6"/>
    <w:rsid w:val="009F60E0"/>
    <w:rsid w:val="009F6200"/>
    <w:rsid w:val="009F68A3"/>
    <w:rsid w:val="009F6B75"/>
    <w:rsid w:val="009F6F03"/>
    <w:rsid w:val="009F6F3D"/>
    <w:rsid w:val="009F7178"/>
    <w:rsid w:val="009F71A2"/>
    <w:rsid w:val="009F71FD"/>
    <w:rsid w:val="009F74DB"/>
    <w:rsid w:val="009F77DF"/>
    <w:rsid w:val="009F7813"/>
    <w:rsid w:val="009F7930"/>
    <w:rsid w:val="009F7F8E"/>
    <w:rsid w:val="00A00140"/>
    <w:rsid w:val="00A00221"/>
    <w:rsid w:val="00A00437"/>
    <w:rsid w:val="00A00792"/>
    <w:rsid w:val="00A00BCB"/>
    <w:rsid w:val="00A00DDA"/>
    <w:rsid w:val="00A012A7"/>
    <w:rsid w:val="00A01385"/>
    <w:rsid w:val="00A016A9"/>
    <w:rsid w:val="00A01A18"/>
    <w:rsid w:val="00A01B9D"/>
    <w:rsid w:val="00A01E84"/>
    <w:rsid w:val="00A0201C"/>
    <w:rsid w:val="00A0231A"/>
    <w:rsid w:val="00A02C0A"/>
    <w:rsid w:val="00A03068"/>
    <w:rsid w:val="00A03652"/>
    <w:rsid w:val="00A03A2A"/>
    <w:rsid w:val="00A03AFF"/>
    <w:rsid w:val="00A03E4B"/>
    <w:rsid w:val="00A03EB2"/>
    <w:rsid w:val="00A047DA"/>
    <w:rsid w:val="00A0480E"/>
    <w:rsid w:val="00A04844"/>
    <w:rsid w:val="00A04982"/>
    <w:rsid w:val="00A04AA0"/>
    <w:rsid w:val="00A051EA"/>
    <w:rsid w:val="00A0588A"/>
    <w:rsid w:val="00A05CA6"/>
    <w:rsid w:val="00A05CF4"/>
    <w:rsid w:val="00A063F5"/>
    <w:rsid w:val="00A06990"/>
    <w:rsid w:val="00A06DC4"/>
    <w:rsid w:val="00A06ED8"/>
    <w:rsid w:val="00A06F9D"/>
    <w:rsid w:val="00A070D9"/>
    <w:rsid w:val="00A07301"/>
    <w:rsid w:val="00A0738D"/>
    <w:rsid w:val="00A07570"/>
    <w:rsid w:val="00A10103"/>
    <w:rsid w:val="00A1054B"/>
    <w:rsid w:val="00A10BC9"/>
    <w:rsid w:val="00A11137"/>
    <w:rsid w:val="00A111EA"/>
    <w:rsid w:val="00A1135E"/>
    <w:rsid w:val="00A11447"/>
    <w:rsid w:val="00A11555"/>
    <w:rsid w:val="00A115D6"/>
    <w:rsid w:val="00A1193E"/>
    <w:rsid w:val="00A11993"/>
    <w:rsid w:val="00A11A81"/>
    <w:rsid w:val="00A11B67"/>
    <w:rsid w:val="00A11D49"/>
    <w:rsid w:val="00A11DEE"/>
    <w:rsid w:val="00A120EE"/>
    <w:rsid w:val="00A12A38"/>
    <w:rsid w:val="00A12A97"/>
    <w:rsid w:val="00A12B28"/>
    <w:rsid w:val="00A13177"/>
    <w:rsid w:val="00A136F2"/>
    <w:rsid w:val="00A1374B"/>
    <w:rsid w:val="00A13EAB"/>
    <w:rsid w:val="00A14E33"/>
    <w:rsid w:val="00A1520C"/>
    <w:rsid w:val="00A15545"/>
    <w:rsid w:val="00A1602B"/>
    <w:rsid w:val="00A162DF"/>
    <w:rsid w:val="00A16324"/>
    <w:rsid w:val="00A17013"/>
    <w:rsid w:val="00A17140"/>
    <w:rsid w:val="00A179FB"/>
    <w:rsid w:val="00A17AF1"/>
    <w:rsid w:val="00A17B4D"/>
    <w:rsid w:val="00A17B91"/>
    <w:rsid w:val="00A17BE0"/>
    <w:rsid w:val="00A2008D"/>
    <w:rsid w:val="00A20220"/>
    <w:rsid w:val="00A2055E"/>
    <w:rsid w:val="00A20CAE"/>
    <w:rsid w:val="00A21676"/>
    <w:rsid w:val="00A21C7C"/>
    <w:rsid w:val="00A22532"/>
    <w:rsid w:val="00A225DB"/>
    <w:rsid w:val="00A23269"/>
    <w:rsid w:val="00A23DCC"/>
    <w:rsid w:val="00A23F95"/>
    <w:rsid w:val="00A24090"/>
    <w:rsid w:val="00A24C51"/>
    <w:rsid w:val="00A252DC"/>
    <w:rsid w:val="00A253BE"/>
    <w:rsid w:val="00A256A9"/>
    <w:rsid w:val="00A25A23"/>
    <w:rsid w:val="00A25DBE"/>
    <w:rsid w:val="00A25E6E"/>
    <w:rsid w:val="00A26159"/>
    <w:rsid w:val="00A26462"/>
    <w:rsid w:val="00A26700"/>
    <w:rsid w:val="00A26B21"/>
    <w:rsid w:val="00A26E73"/>
    <w:rsid w:val="00A274D4"/>
    <w:rsid w:val="00A274E2"/>
    <w:rsid w:val="00A27A34"/>
    <w:rsid w:val="00A27A8A"/>
    <w:rsid w:val="00A27BE4"/>
    <w:rsid w:val="00A303FB"/>
    <w:rsid w:val="00A30527"/>
    <w:rsid w:val="00A3072C"/>
    <w:rsid w:val="00A30B16"/>
    <w:rsid w:val="00A30B97"/>
    <w:rsid w:val="00A30DFC"/>
    <w:rsid w:val="00A31193"/>
    <w:rsid w:val="00A312FC"/>
    <w:rsid w:val="00A31361"/>
    <w:rsid w:val="00A3170B"/>
    <w:rsid w:val="00A31782"/>
    <w:rsid w:val="00A3194F"/>
    <w:rsid w:val="00A31F9A"/>
    <w:rsid w:val="00A31FF4"/>
    <w:rsid w:val="00A32429"/>
    <w:rsid w:val="00A3288D"/>
    <w:rsid w:val="00A3300A"/>
    <w:rsid w:val="00A3307A"/>
    <w:rsid w:val="00A33111"/>
    <w:rsid w:val="00A33A21"/>
    <w:rsid w:val="00A33B8A"/>
    <w:rsid w:val="00A344D2"/>
    <w:rsid w:val="00A34BDA"/>
    <w:rsid w:val="00A35896"/>
    <w:rsid w:val="00A358DC"/>
    <w:rsid w:val="00A35A91"/>
    <w:rsid w:val="00A35C57"/>
    <w:rsid w:val="00A35DEC"/>
    <w:rsid w:val="00A35FDB"/>
    <w:rsid w:val="00A362FE"/>
    <w:rsid w:val="00A36EC0"/>
    <w:rsid w:val="00A37357"/>
    <w:rsid w:val="00A373D8"/>
    <w:rsid w:val="00A374BC"/>
    <w:rsid w:val="00A375B5"/>
    <w:rsid w:val="00A37704"/>
    <w:rsid w:val="00A37719"/>
    <w:rsid w:val="00A37AA5"/>
    <w:rsid w:val="00A37D1B"/>
    <w:rsid w:val="00A37DD6"/>
    <w:rsid w:val="00A40089"/>
    <w:rsid w:val="00A402F9"/>
    <w:rsid w:val="00A40459"/>
    <w:rsid w:val="00A4088D"/>
    <w:rsid w:val="00A408A1"/>
    <w:rsid w:val="00A40E5F"/>
    <w:rsid w:val="00A40EC0"/>
    <w:rsid w:val="00A411CC"/>
    <w:rsid w:val="00A4164A"/>
    <w:rsid w:val="00A41C3D"/>
    <w:rsid w:val="00A41F2E"/>
    <w:rsid w:val="00A42055"/>
    <w:rsid w:val="00A42883"/>
    <w:rsid w:val="00A42F47"/>
    <w:rsid w:val="00A432A0"/>
    <w:rsid w:val="00A4354B"/>
    <w:rsid w:val="00A43A5C"/>
    <w:rsid w:val="00A43F0A"/>
    <w:rsid w:val="00A43F61"/>
    <w:rsid w:val="00A43FF9"/>
    <w:rsid w:val="00A44082"/>
    <w:rsid w:val="00A44220"/>
    <w:rsid w:val="00A44FC7"/>
    <w:rsid w:val="00A45207"/>
    <w:rsid w:val="00A454DA"/>
    <w:rsid w:val="00A457C1"/>
    <w:rsid w:val="00A457E2"/>
    <w:rsid w:val="00A45944"/>
    <w:rsid w:val="00A46084"/>
    <w:rsid w:val="00A46305"/>
    <w:rsid w:val="00A465E9"/>
    <w:rsid w:val="00A468F2"/>
    <w:rsid w:val="00A46A4B"/>
    <w:rsid w:val="00A46AD0"/>
    <w:rsid w:val="00A46EDA"/>
    <w:rsid w:val="00A470C6"/>
    <w:rsid w:val="00A47757"/>
    <w:rsid w:val="00A47774"/>
    <w:rsid w:val="00A4784D"/>
    <w:rsid w:val="00A47BC1"/>
    <w:rsid w:val="00A47D14"/>
    <w:rsid w:val="00A50702"/>
    <w:rsid w:val="00A5077D"/>
    <w:rsid w:val="00A50899"/>
    <w:rsid w:val="00A50C78"/>
    <w:rsid w:val="00A50D1E"/>
    <w:rsid w:val="00A51049"/>
    <w:rsid w:val="00A51084"/>
    <w:rsid w:val="00A51124"/>
    <w:rsid w:val="00A512A2"/>
    <w:rsid w:val="00A5175F"/>
    <w:rsid w:val="00A51875"/>
    <w:rsid w:val="00A518F7"/>
    <w:rsid w:val="00A51996"/>
    <w:rsid w:val="00A51A4B"/>
    <w:rsid w:val="00A5216F"/>
    <w:rsid w:val="00A52254"/>
    <w:rsid w:val="00A52401"/>
    <w:rsid w:val="00A52761"/>
    <w:rsid w:val="00A5287D"/>
    <w:rsid w:val="00A529D4"/>
    <w:rsid w:val="00A52A27"/>
    <w:rsid w:val="00A52C1C"/>
    <w:rsid w:val="00A52D7C"/>
    <w:rsid w:val="00A52E0E"/>
    <w:rsid w:val="00A52ECC"/>
    <w:rsid w:val="00A53131"/>
    <w:rsid w:val="00A536FC"/>
    <w:rsid w:val="00A5419C"/>
    <w:rsid w:val="00A54370"/>
    <w:rsid w:val="00A54C42"/>
    <w:rsid w:val="00A550F7"/>
    <w:rsid w:val="00A5567D"/>
    <w:rsid w:val="00A55BF7"/>
    <w:rsid w:val="00A562BE"/>
    <w:rsid w:val="00A568ED"/>
    <w:rsid w:val="00A56A4F"/>
    <w:rsid w:val="00A56DDE"/>
    <w:rsid w:val="00A5746C"/>
    <w:rsid w:val="00A5773B"/>
    <w:rsid w:val="00A5787F"/>
    <w:rsid w:val="00A57C06"/>
    <w:rsid w:val="00A57E73"/>
    <w:rsid w:val="00A600F7"/>
    <w:rsid w:val="00A601FA"/>
    <w:rsid w:val="00A603C5"/>
    <w:rsid w:val="00A60436"/>
    <w:rsid w:val="00A6052E"/>
    <w:rsid w:val="00A60601"/>
    <w:rsid w:val="00A607D9"/>
    <w:rsid w:val="00A6080A"/>
    <w:rsid w:val="00A60A03"/>
    <w:rsid w:val="00A60C3A"/>
    <w:rsid w:val="00A6104C"/>
    <w:rsid w:val="00A61C35"/>
    <w:rsid w:val="00A621B7"/>
    <w:rsid w:val="00A62DC7"/>
    <w:rsid w:val="00A63037"/>
    <w:rsid w:val="00A6323E"/>
    <w:rsid w:val="00A63277"/>
    <w:rsid w:val="00A633D2"/>
    <w:rsid w:val="00A6351C"/>
    <w:rsid w:val="00A638B4"/>
    <w:rsid w:val="00A63914"/>
    <w:rsid w:val="00A63ADC"/>
    <w:rsid w:val="00A63AF3"/>
    <w:rsid w:val="00A63C03"/>
    <w:rsid w:val="00A64173"/>
    <w:rsid w:val="00A6419E"/>
    <w:rsid w:val="00A64E32"/>
    <w:rsid w:val="00A64E8C"/>
    <w:rsid w:val="00A64EF8"/>
    <w:rsid w:val="00A65B0A"/>
    <w:rsid w:val="00A65CE4"/>
    <w:rsid w:val="00A65E01"/>
    <w:rsid w:val="00A6619D"/>
    <w:rsid w:val="00A66203"/>
    <w:rsid w:val="00A664B6"/>
    <w:rsid w:val="00A6677B"/>
    <w:rsid w:val="00A66B3F"/>
    <w:rsid w:val="00A66CE9"/>
    <w:rsid w:val="00A67D1C"/>
    <w:rsid w:val="00A67F0E"/>
    <w:rsid w:val="00A702BB"/>
    <w:rsid w:val="00A703DF"/>
    <w:rsid w:val="00A70BB5"/>
    <w:rsid w:val="00A70F1D"/>
    <w:rsid w:val="00A70FB9"/>
    <w:rsid w:val="00A70FE6"/>
    <w:rsid w:val="00A710AC"/>
    <w:rsid w:val="00A71316"/>
    <w:rsid w:val="00A7177F"/>
    <w:rsid w:val="00A717AD"/>
    <w:rsid w:val="00A7186E"/>
    <w:rsid w:val="00A71CBF"/>
    <w:rsid w:val="00A71E09"/>
    <w:rsid w:val="00A71FC9"/>
    <w:rsid w:val="00A7218D"/>
    <w:rsid w:val="00A725DB"/>
    <w:rsid w:val="00A72980"/>
    <w:rsid w:val="00A729FA"/>
    <w:rsid w:val="00A72A6F"/>
    <w:rsid w:val="00A72C03"/>
    <w:rsid w:val="00A733FB"/>
    <w:rsid w:val="00A73564"/>
    <w:rsid w:val="00A73738"/>
    <w:rsid w:val="00A73D7C"/>
    <w:rsid w:val="00A73E8F"/>
    <w:rsid w:val="00A747DC"/>
    <w:rsid w:val="00A74A82"/>
    <w:rsid w:val="00A74D4E"/>
    <w:rsid w:val="00A74DFA"/>
    <w:rsid w:val="00A752A2"/>
    <w:rsid w:val="00A75301"/>
    <w:rsid w:val="00A753BD"/>
    <w:rsid w:val="00A758BE"/>
    <w:rsid w:val="00A758EA"/>
    <w:rsid w:val="00A7598F"/>
    <w:rsid w:val="00A75D0C"/>
    <w:rsid w:val="00A75D7A"/>
    <w:rsid w:val="00A761EE"/>
    <w:rsid w:val="00A766DD"/>
    <w:rsid w:val="00A76A99"/>
    <w:rsid w:val="00A76B33"/>
    <w:rsid w:val="00A76FA4"/>
    <w:rsid w:val="00A77279"/>
    <w:rsid w:val="00A777C4"/>
    <w:rsid w:val="00A7783C"/>
    <w:rsid w:val="00A77840"/>
    <w:rsid w:val="00A77933"/>
    <w:rsid w:val="00A77F98"/>
    <w:rsid w:val="00A77FCB"/>
    <w:rsid w:val="00A80559"/>
    <w:rsid w:val="00A80813"/>
    <w:rsid w:val="00A80BF3"/>
    <w:rsid w:val="00A80EA4"/>
    <w:rsid w:val="00A8115F"/>
    <w:rsid w:val="00A819DD"/>
    <w:rsid w:val="00A81C95"/>
    <w:rsid w:val="00A81DE0"/>
    <w:rsid w:val="00A81F01"/>
    <w:rsid w:val="00A827D6"/>
    <w:rsid w:val="00A8297E"/>
    <w:rsid w:val="00A82D4D"/>
    <w:rsid w:val="00A8367F"/>
    <w:rsid w:val="00A83A16"/>
    <w:rsid w:val="00A83CA5"/>
    <w:rsid w:val="00A83DCF"/>
    <w:rsid w:val="00A83ECA"/>
    <w:rsid w:val="00A84336"/>
    <w:rsid w:val="00A8457A"/>
    <w:rsid w:val="00A846D6"/>
    <w:rsid w:val="00A84863"/>
    <w:rsid w:val="00A84EAD"/>
    <w:rsid w:val="00A84EBD"/>
    <w:rsid w:val="00A84EDD"/>
    <w:rsid w:val="00A84F34"/>
    <w:rsid w:val="00A856EE"/>
    <w:rsid w:val="00A8620E"/>
    <w:rsid w:val="00A86499"/>
    <w:rsid w:val="00A864E9"/>
    <w:rsid w:val="00A86521"/>
    <w:rsid w:val="00A86827"/>
    <w:rsid w:val="00A86CC9"/>
    <w:rsid w:val="00A8730E"/>
    <w:rsid w:val="00A8749C"/>
    <w:rsid w:val="00A87673"/>
    <w:rsid w:val="00A87906"/>
    <w:rsid w:val="00A87958"/>
    <w:rsid w:val="00A87AA5"/>
    <w:rsid w:val="00A87E75"/>
    <w:rsid w:val="00A87E9E"/>
    <w:rsid w:val="00A901BE"/>
    <w:rsid w:val="00A904E2"/>
    <w:rsid w:val="00A90B99"/>
    <w:rsid w:val="00A90D2E"/>
    <w:rsid w:val="00A911B5"/>
    <w:rsid w:val="00A912E7"/>
    <w:rsid w:val="00A91B6C"/>
    <w:rsid w:val="00A91E97"/>
    <w:rsid w:val="00A928A6"/>
    <w:rsid w:val="00A92BCF"/>
    <w:rsid w:val="00A92C1A"/>
    <w:rsid w:val="00A92E80"/>
    <w:rsid w:val="00A92EB3"/>
    <w:rsid w:val="00A93095"/>
    <w:rsid w:val="00A93309"/>
    <w:rsid w:val="00A933C8"/>
    <w:rsid w:val="00A934AA"/>
    <w:rsid w:val="00A938A8"/>
    <w:rsid w:val="00A939EB"/>
    <w:rsid w:val="00A93C28"/>
    <w:rsid w:val="00A9448F"/>
    <w:rsid w:val="00A94F32"/>
    <w:rsid w:val="00A95326"/>
    <w:rsid w:val="00A9542D"/>
    <w:rsid w:val="00A954FD"/>
    <w:rsid w:val="00A95612"/>
    <w:rsid w:val="00A957DD"/>
    <w:rsid w:val="00A95C73"/>
    <w:rsid w:val="00A95E2B"/>
    <w:rsid w:val="00A96085"/>
    <w:rsid w:val="00A96151"/>
    <w:rsid w:val="00A96424"/>
    <w:rsid w:val="00A965A2"/>
    <w:rsid w:val="00A96734"/>
    <w:rsid w:val="00A96A1C"/>
    <w:rsid w:val="00A96E3A"/>
    <w:rsid w:val="00A97616"/>
    <w:rsid w:val="00A9797D"/>
    <w:rsid w:val="00A9798C"/>
    <w:rsid w:val="00A97AC3"/>
    <w:rsid w:val="00A97F12"/>
    <w:rsid w:val="00AA0125"/>
    <w:rsid w:val="00AA0297"/>
    <w:rsid w:val="00AA0C9E"/>
    <w:rsid w:val="00AA0D18"/>
    <w:rsid w:val="00AA0F9E"/>
    <w:rsid w:val="00AA139E"/>
    <w:rsid w:val="00AA170D"/>
    <w:rsid w:val="00AA19A6"/>
    <w:rsid w:val="00AA1AED"/>
    <w:rsid w:val="00AA1DA2"/>
    <w:rsid w:val="00AA1EE1"/>
    <w:rsid w:val="00AA20B1"/>
    <w:rsid w:val="00AA25BA"/>
    <w:rsid w:val="00AA262E"/>
    <w:rsid w:val="00AA2AA1"/>
    <w:rsid w:val="00AA2BA2"/>
    <w:rsid w:val="00AA2C89"/>
    <w:rsid w:val="00AA3451"/>
    <w:rsid w:val="00AA3C1A"/>
    <w:rsid w:val="00AA43BD"/>
    <w:rsid w:val="00AA46E6"/>
    <w:rsid w:val="00AA48B6"/>
    <w:rsid w:val="00AA48C1"/>
    <w:rsid w:val="00AA58C2"/>
    <w:rsid w:val="00AA5DCF"/>
    <w:rsid w:val="00AA5EC1"/>
    <w:rsid w:val="00AA5F05"/>
    <w:rsid w:val="00AA60A4"/>
    <w:rsid w:val="00AA62BE"/>
    <w:rsid w:val="00AA63B1"/>
    <w:rsid w:val="00AA67C3"/>
    <w:rsid w:val="00AA6AB5"/>
    <w:rsid w:val="00AA712F"/>
    <w:rsid w:val="00AA714D"/>
    <w:rsid w:val="00AA73A8"/>
    <w:rsid w:val="00AA771D"/>
    <w:rsid w:val="00AA7ADF"/>
    <w:rsid w:val="00AA7C13"/>
    <w:rsid w:val="00AA7D1E"/>
    <w:rsid w:val="00AA7E0A"/>
    <w:rsid w:val="00AB006F"/>
    <w:rsid w:val="00AB0317"/>
    <w:rsid w:val="00AB0BEA"/>
    <w:rsid w:val="00AB12F3"/>
    <w:rsid w:val="00AB171C"/>
    <w:rsid w:val="00AB1A9F"/>
    <w:rsid w:val="00AB200F"/>
    <w:rsid w:val="00AB3037"/>
    <w:rsid w:val="00AB3184"/>
    <w:rsid w:val="00AB33CF"/>
    <w:rsid w:val="00AB33F5"/>
    <w:rsid w:val="00AB33F9"/>
    <w:rsid w:val="00AB35B0"/>
    <w:rsid w:val="00AB3B50"/>
    <w:rsid w:val="00AB3CEC"/>
    <w:rsid w:val="00AB3E8B"/>
    <w:rsid w:val="00AB415A"/>
    <w:rsid w:val="00AB4A5A"/>
    <w:rsid w:val="00AB4AFF"/>
    <w:rsid w:val="00AB537C"/>
    <w:rsid w:val="00AB5487"/>
    <w:rsid w:val="00AB562E"/>
    <w:rsid w:val="00AB5887"/>
    <w:rsid w:val="00AB5B81"/>
    <w:rsid w:val="00AB5C13"/>
    <w:rsid w:val="00AB5CD5"/>
    <w:rsid w:val="00AB5D24"/>
    <w:rsid w:val="00AB5EF2"/>
    <w:rsid w:val="00AB617F"/>
    <w:rsid w:val="00AB6276"/>
    <w:rsid w:val="00AB64D6"/>
    <w:rsid w:val="00AB64E5"/>
    <w:rsid w:val="00AB65F3"/>
    <w:rsid w:val="00AB6C31"/>
    <w:rsid w:val="00AB7002"/>
    <w:rsid w:val="00AB7213"/>
    <w:rsid w:val="00AB7442"/>
    <w:rsid w:val="00AB74CF"/>
    <w:rsid w:val="00AC0712"/>
    <w:rsid w:val="00AC0717"/>
    <w:rsid w:val="00AC11ED"/>
    <w:rsid w:val="00AC1226"/>
    <w:rsid w:val="00AC146B"/>
    <w:rsid w:val="00AC1481"/>
    <w:rsid w:val="00AC1686"/>
    <w:rsid w:val="00AC179A"/>
    <w:rsid w:val="00AC18EF"/>
    <w:rsid w:val="00AC1DC3"/>
    <w:rsid w:val="00AC24F6"/>
    <w:rsid w:val="00AC2888"/>
    <w:rsid w:val="00AC299E"/>
    <w:rsid w:val="00AC2A25"/>
    <w:rsid w:val="00AC2A54"/>
    <w:rsid w:val="00AC2CAF"/>
    <w:rsid w:val="00AC3987"/>
    <w:rsid w:val="00AC3B0B"/>
    <w:rsid w:val="00AC44AF"/>
    <w:rsid w:val="00AC47E0"/>
    <w:rsid w:val="00AC4838"/>
    <w:rsid w:val="00AC550D"/>
    <w:rsid w:val="00AC585F"/>
    <w:rsid w:val="00AC598F"/>
    <w:rsid w:val="00AC5C6A"/>
    <w:rsid w:val="00AC5CC5"/>
    <w:rsid w:val="00AC5EB5"/>
    <w:rsid w:val="00AC60D6"/>
    <w:rsid w:val="00AC635D"/>
    <w:rsid w:val="00AC6484"/>
    <w:rsid w:val="00AC65AF"/>
    <w:rsid w:val="00AC679E"/>
    <w:rsid w:val="00AC7052"/>
    <w:rsid w:val="00AC7703"/>
    <w:rsid w:val="00AC7A73"/>
    <w:rsid w:val="00AC7D7F"/>
    <w:rsid w:val="00AC7DBA"/>
    <w:rsid w:val="00AC7E57"/>
    <w:rsid w:val="00AC7F32"/>
    <w:rsid w:val="00AD00CD"/>
    <w:rsid w:val="00AD01A3"/>
    <w:rsid w:val="00AD0558"/>
    <w:rsid w:val="00AD0FEB"/>
    <w:rsid w:val="00AD10E5"/>
    <w:rsid w:val="00AD1383"/>
    <w:rsid w:val="00AD13A8"/>
    <w:rsid w:val="00AD1674"/>
    <w:rsid w:val="00AD1A75"/>
    <w:rsid w:val="00AD1D97"/>
    <w:rsid w:val="00AD1FF4"/>
    <w:rsid w:val="00AD21D6"/>
    <w:rsid w:val="00AD23CC"/>
    <w:rsid w:val="00AD2479"/>
    <w:rsid w:val="00AD248F"/>
    <w:rsid w:val="00AD31EC"/>
    <w:rsid w:val="00AD32BE"/>
    <w:rsid w:val="00AD35A4"/>
    <w:rsid w:val="00AD37F0"/>
    <w:rsid w:val="00AD3C2A"/>
    <w:rsid w:val="00AD3E6B"/>
    <w:rsid w:val="00AD4028"/>
    <w:rsid w:val="00AD4379"/>
    <w:rsid w:val="00AD43A0"/>
    <w:rsid w:val="00AD45C7"/>
    <w:rsid w:val="00AD4652"/>
    <w:rsid w:val="00AD4A21"/>
    <w:rsid w:val="00AD4DAE"/>
    <w:rsid w:val="00AD4FB3"/>
    <w:rsid w:val="00AD580F"/>
    <w:rsid w:val="00AD59D8"/>
    <w:rsid w:val="00AD5D1F"/>
    <w:rsid w:val="00AD5D67"/>
    <w:rsid w:val="00AD5D9A"/>
    <w:rsid w:val="00AD5E26"/>
    <w:rsid w:val="00AD6676"/>
    <w:rsid w:val="00AD6833"/>
    <w:rsid w:val="00AD6D41"/>
    <w:rsid w:val="00AD715B"/>
    <w:rsid w:val="00AD7356"/>
    <w:rsid w:val="00AD745C"/>
    <w:rsid w:val="00AD76B1"/>
    <w:rsid w:val="00AD7763"/>
    <w:rsid w:val="00AD77FA"/>
    <w:rsid w:val="00AE035E"/>
    <w:rsid w:val="00AE06F7"/>
    <w:rsid w:val="00AE0914"/>
    <w:rsid w:val="00AE0E20"/>
    <w:rsid w:val="00AE1220"/>
    <w:rsid w:val="00AE14B9"/>
    <w:rsid w:val="00AE1923"/>
    <w:rsid w:val="00AE1CFC"/>
    <w:rsid w:val="00AE1D4C"/>
    <w:rsid w:val="00AE203F"/>
    <w:rsid w:val="00AE23AB"/>
    <w:rsid w:val="00AE252A"/>
    <w:rsid w:val="00AE29AA"/>
    <w:rsid w:val="00AE2CFF"/>
    <w:rsid w:val="00AE2D43"/>
    <w:rsid w:val="00AE30A1"/>
    <w:rsid w:val="00AE31C3"/>
    <w:rsid w:val="00AE31EF"/>
    <w:rsid w:val="00AE329C"/>
    <w:rsid w:val="00AE32D3"/>
    <w:rsid w:val="00AE3D0F"/>
    <w:rsid w:val="00AE3E1D"/>
    <w:rsid w:val="00AE3EC3"/>
    <w:rsid w:val="00AE41C8"/>
    <w:rsid w:val="00AE4513"/>
    <w:rsid w:val="00AE48A4"/>
    <w:rsid w:val="00AE4D24"/>
    <w:rsid w:val="00AE4F24"/>
    <w:rsid w:val="00AE4F38"/>
    <w:rsid w:val="00AE507F"/>
    <w:rsid w:val="00AE5095"/>
    <w:rsid w:val="00AE521A"/>
    <w:rsid w:val="00AE5380"/>
    <w:rsid w:val="00AE5AEC"/>
    <w:rsid w:val="00AE600B"/>
    <w:rsid w:val="00AE6602"/>
    <w:rsid w:val="00AE6873"/>
    <w:rsid w:val="00AE6D21"/>
    <w:rsid w:val="00AE6D50"/>
    <w:rsid w:val="00AE75C3"/>
    <w:rsid w:val="00AE7736"/>
    <w:rsid w:val="00AE7F9B"/>
    <w:rsid w:val="00AF03AA"/>
    <w:rsid w:val="00AF0D9E"/>
    <w:rsid w:val="00AF0E76"/>
    <w:rsid w:val="00AF106D"/>
    <w:rsid w:val="00AF1099"/>
    <w:rsid w:val="00AF1220"/>
    <w:rsid w:val="00AF1DE2"/>
    <w:rsid w:val="00AF26A0"/>
    <w:rsid w:val="00AF278C"/>
    <w:rsid w:val="00AF2806"/>
    <w:rsid w:val="00AF3042"/>
    <w:rsid w:val="00AF34EA"/>
    <w:rsid w:val="00AF362D"/>
    <w:rsid w:val="00AF3632"/>
    <w:rsid w:val="00AF406C"/>
    <w:rsid w:val="00AF428A"/>
    <w:rsid w:val="00AF430F"/>
    <w:rsid w:val="00AF498E"/>
    <w:rsid w:val="00AF49D2"/>
    <w:rsid w:val="00AF4AF0"/>
    <w:rsid w:val="00AF4E90"/>
    <w:rsid w:val="00AF4FDE"/>
    <w:rsid w:val="00AF5391"/>
    <w:rsid w:val="00AF5912"/>
    <w:rsid w:val="00AF5D43"/>
    <w:rsid w:val="00AF5D8B"/>
    <w:rsid w:val="00AF62E0"/>
    <w:rsid w:val="00AF6574"/>
    <w:rsid w:val="00AF698E"/>
    <w:rsid w:val="00AF6A75"/>
    <w:rsid w:val="00AF6EE6"/>
    <w:rsid w:val="00AF7341"/>
    <w:rsid w:val="00AF7555"/>
    <w:rsid w:val="00AF7BA6"/>
    <w:rsid w:val="00AF7CA3"/>
    <w:rsid w:val="00AF7CBE"/>
    <w:rsid w:val="00B0063B"/>
    <w:rsid w:val="00B007F3"/>
    <w:rsid w:val="00B00A76"/>
    <w:rsid w:val="00B00C2F"/>
    <w:rsid w:val="00B00EA1"/>
    <w:rsid w:val="00B00F17"/>
    <w:rsid w:val="00B00FB6"/>
    <w:rsid w:val="00B01324"/>
    <w:rsid w:val="00B0133A"/>
    <w:rsid w:val="00B01ABC"/>
    <w:rsid w:val="00B01DB9"/>
    <w:rsid w:val="00B01E36"/>
    <w:rsid w:val="00B01F6C"/>
    <w:rsid w:val="00B025A1"/>
    <w:rsid w:val="00B0264A"/>
    <w:rsid w:val="00B02EE2"/>
    <w:rsid w:val="00B0308E"/>
    <w:rsid w:val="00B03526"/>
    <w:rsid w:val="00B03DEE"/>
    <w:rsid w:val="00B04053"/>
    <w:rsid w:val="00B04B8B"/>
    <w:rsid w:val="00B04BF9"/>
    <w:rsid w:val="00B04C10"/>
    <w:rsid w:val="00B04D6B"/>
    <w:rsid w:val="00B04F0F"/>
    <w:rsid w:val="00B05053"/>
    <w:rsid w:val="00B05330"/>
    <w:rsid w:val="00B0575B"/>
    <w:rsid w:val="00B068E4"/>
    <w:rsid w:val="00B068FF"/>
    <w:rsid w:val="00B069DE"/>
    <w:rsid w:val="00B06A46"/>
    <w:rsid w:val="00B06ED6"/>
    <w:rsid w:val="00B078AE"/>
    <w:rsid w:val="00B1063A"/>
    <w:rsid w:val="00B10684"/>
    <w:rsid w:val="00B10802"/>
    <w:rsid w:val="00B10D68"/>
    <w:rsid w:val="00B10E88"/>
    <w:rsid w:val="00B11083"/>
    <w:rsid w:val="00B11114"/>
    <w:rsid w:val="00B1147E"/>
    <w:rsid w:val="00B115ED"/>
    <w:rsid w:val="00B117CB"/>
    <w:rsid w:val="00B117D7"/>
    <w:rsid w:val="00B11E1F"/>
    <w:rsid w:val="00B12047"/>
    <w:rsid w:val="00B1236B"/>
    <w:rsid w:val="00B12732"/>
    <w:rsid w:val="00B12859"/>
    <w:rsid w:val="00B12A49"/>
    <w:rsid w:val="00B12E82"/>
    <w:rsid w:val="00B12FD8"/>
    <w:rsid w:val="00B134D1"/>
    <w:rsid w:val="00B13785"/>
    <w:rsid w:val="00B13979"/>
    <w:rsid w:val="00B13B16"/>
    <w:rsid w:val="00B13B75"/>
    <w:rsid w:val="00B13B8E"/>
    <w:rsid w:val="00B13BC6"/>
    <w:rsid w:val="00B13FB4"/>
    <w:rsid w:val="00B13FFE"/>
    <w:rsid w:val="00B142E0"/>
    <w:rsid w:val="00B14429"/>
    <w:rsid w:val="00B15237"/>
    <w:rsid w:val="00B156A9"/>
    <w:rsid w:val="00B1598D"/>
    <w:rsid w:val="00B15E04"/>
    <w:rsid w:val="00B1616E"/>
    <w:rsid w:val="00B16360"/>
    <w:rsid w:val="00B166F6"/>
    <w:rsid w:val="00B172FE"/>
    <w:rsid w:val="00B17A6F"/>
    <w:rsid w:val="00B17F5C"/>
    <w:rsid w:val="00B202F8"/>
    <w:rsid w:val="00B2074F"/>
    <w:rsid w:val="00B210CC"/>
    <w:rsid w:val="00B21E4C"/>
    <w:rsid w:val="00B22088"/>
    <w:rsid w:val="00B22359"/>
    <w:rsid w:val="00B22475"/>
    <w:rsid w:val="00B22831"/>
    <w:rsid w:val="00B22BC5"/>
    <w:rsid w:val="00B230D8"/>
    <w:rsid w:val="00B231BC"/>
    <w:rsid w:val="00B232FF"/>
    <w:rsid w:val="00B23573"/>
    <w:rsid w:val="00B23ABE"/>
    <w:rsid w:val="00B23B67"/>
    <w:rsid w:val="00B23F6D"/>
    <w:rsid w:val="00B24B6A"/>
    <w:rsid w:val="00B24B78"/>
    <w:rsid w:val="00B24F9A"/>
    <w:rsid w:val="00B2537B"/>
    <w:rsid w:val="00B2547B"/>
    <w:rsid w:val="00B25FB1"/>
    <w:rsid w:val="00B26797"/>
    <w:rsid w:val="00B26C98"/>
    <w:rsid w:val="00B26E4F"/>
    <w:rsid w:val="00B26F77"/>
    <w:rsid w:val="00B27027"/>
    <w:rsid w:val="00B271E8"/>
    <w:rsid w:val="00B275D8"/>
    <w:rsid w:val="00B27981"/>
    <w:rsid w:val="00B27B3E"/>
    <w:rsid w:val="00B3007E"/>
    <w:rsid w:val="00B300C3"/>
    <w:rsid w:val="00B3024D"/>
    <w:rsid w:val="00B306F6"/>
    <w:rsid w:val="00B30871"/>
    <w:rsid w:val="00B30AD6"/>
    <w:rsid w:val="00B3135E"/>
    <w:rsid w:val="00B313F6"/>
    <w:rsid w:val="00B3147F"/>
    <w:rsid w:val="00B314BB"/>
    <w:rsid w:val="00B31DC7"/>
    <w:rsid w:val="00B31E63"/>
    <w:rsid w:val="00B32506"/>
    <w:rsid w:val="00B32920"/>
    <w:rsid w:val="00B32CCD"/>
    <w:rsid w:val="00B32F66"/>
    <w:rsid w:val="00B33678"/>
    <w:rsid w:val="00B33B9B"/>
    <w:rsid w:val="00B33E58"/>
    <w:rsid w:val="00B33FD6"/>
    <w:rsid w:val="00B3407B"/>
    <w:rsid w:val="00B340B5"/>
    <w:rsid w:val="00B348D2"/>
    <w:rsid w:val="00B34AFD"/>
    <w:rsid w:val="00B34CAA"/>
    <w:rsid w:val="00B3512D"/>
    <w:rsid w:val="00B354E2"/>
    <w:rsid w:val="00B358C1"/>
    <w:rsid w:val="00B35C85"/>
    <w:rsid w:val="00B361AC"/>
    <w:rsid w:val="00B36224"/>
    <w:rsid w:val="00B36630"/>
    <w:rsid w:val="00B36705"/>
    <w:rsid w:val="00B36B2F"/>
    <w:rsid w:val="00B36F8C"/>
    <w:rsid w:val="00B37073"/>
    <w:rsid w:val="00B3708C"/>
    <w:rsid w:val="00B371B2"/>
    <w:rsid w:val="00B37391"/>
    <w:rsid w:val="00B3757C"/>
    <w:rsid w:val="00B37D98"/>
    <w:rsid w:val="00B40037"/>
    <w:rsid w:val="00B405F4"/>
    <w:rsid w:val="00B413F6"/>
    <w:rsid w:val="00B4141C"/>
    <w:rsid w:val="00B414E0"/>
    <w:rsid w:val="00B41861"/>
    <w:rsid w:val="00B41A1A"/>
    <w:rsid w:val="00B41D7E"/>
    <w:rsid w:val="00B42107"/>
    <w:rsid w:val="00B42704"/>
    <w:rsid w:val="00B427F8"/>
    <w:rsid w:val="00B439E2"/>
    <w:rsid w:val="00B43A1C"/>
    <w:rsid w:val="00B43F14"/>
    <w:rsid w:val="00B440D1"/>
    <w:rsid w:val="00B442CD"/>
    <w:rsid w:val="00B443DF"/>
    <w:rsid w:val="00B4492B"/>
    <w:rsid w:val="00B44A28"/>
    <w:rsid w:val="00B44CB0"/>
    <w:rsid w:val="00B45047"/>
    <w:rsid w:val="00B453BC"/>
    <w:rsid w:val="00B45538"/>
    <w:rsid w:val="00B457F9"/>
    <w:rsid w:val="00B45B91"/>
    <w:rsid w:val="00B45BA8"/>
    <w:rsid w:val="00B45BBA"/>
    <w:rsid w:val="00B462D8"/>
    <w:rsid w:val="00B46347"/>
    <w:rsid w:val="00B46444"/>
    <w:rsid w:val="00B46775"/>
    <w:rsid w:val="00B46C8E"/>
    <w:rsid w:val="00B47117"/>
    <w:rsid w:val="00B47236"/>
    <w:rsid w:val="00B475E1"/>
    <w:rsid w:val="00B4762E"/>
    <w:rsid w:val="00B47D1C"/>
    <w:rsid w:val="00B47D23"/>
    <w:rsid w:val="00B507E3"/>
    <w:rsid w:val="00B509ED"/>
    <w:rsid w:val="00B5155A"/>
    <w:rsid w:val="00B516EC"/>
    <w:rsid w:val="00B51800"/>
    <w:rsid w:val="00B51E22"/>
    <w:rsid w:val="00B51E5E"/>
    <w:rsid w:val="00B51F70"/>
    <w:rsid w:val="00B521AD"/>
    <w:rsid w:val="00B52425"/>
    <w:rsid w:val="00B52B7A"/>
    <w:rsid w:val="00B52E89"/>
    <w:rsid w:val="00B52EAD"/>
    <w:rsid w:val="00B52EEC"/>
    <w:rsid w:val="00B52F36"/>
    <w:rsid w:val="00B54093"/>
    <w:rsid w:val="00B542AE"/>
    <w:rsid w:val="00B5436B"/>
    <w:rsid w:val="00B543F1"/>
    <w:rsid w:val="00B546AB"/>
    <w:rsid w:val="00B5474A"/>
    <w:rsid w:val="00B54772"/>
    <w:rsid w:val="00B547C5"/>
    <w:rsid w:val="00B54851"/>
    <w:rsid w:val="00B54B97"/>
    <w:rsid w:val="00B54C7E"/>
    <w:rsid w:val="00B554B1"/>
    <w:rsid w:val="00B554EB"/>
    <w:rsid w:val="00B55825"/>
    <w:rsid w:val="00B55A00"/>
    <w:rsid w:val="00B55C56"/>
    <w:rsid w:val="00B55E02"/>
    <w:rsid w:val="00B55E9E"/>
    <w:rsid w:val="00B566ED"/>
    <w:rsid w:val="00B56B70"/>
    <w:rsid w:val="00B56CFF"/>
    <w:rsid w:val="00B56EB0"/>
    <w:rsid w:val="00B57168"/>
    <w:rsid w:val="00B57205"/>
    <w:rsid w:val="00B57320"/>
    <w:rsid w:val="00B574FC"/>
    <w:rsid w:val="00B57669"/>
    <w:rsid w:val="00B603D4"/>
    <w:rsid w:val="00B604C7"/>
    <w:rsid w:val="00B60CC4"/>
    <w:rsid w:val="00B60D02"/>
    <w:rsid w:val="00B60E24"/>
    <w:rsid w:val="00B61068"/>
    <w:rsid w:val="00B6118D"/>
    <w:rsid w:val="00B61F6B"/>
    <w:rsid w:val="00B62104"/>
    <w:rsid w:val="00B6233A"/>
    <w:rsid w:val="00B62AFD"/>
    <w:rsid w:val="00B62CD1"/>
    <w:rsid w:val="00B6312A"/>
    <w:rsid w:val="00B63594"/>
    <w:rsid w:val="00B63815"/>
    <w:rsid w:val="00B6385C"/>
    <w:rsid w:val="00B63CE9"/>
    <w:rsid w:val="00B6435F"/>
    <w:rsid w:val="00B64FF2"/>
    <w:rsid w:val="00B650FB"/>
    <w:rsid w:val="00B651B7"/>
    <w:rsid w:val="00B65553"/>
    <w:rsid w:val="00B65643"/>
    <w:rsid w:val="00B658B7"/>
    <w:rsid w:val="00B65B2F"/>
    <w:rsid w:val="00B65CD2"/>
    <w:rsid w:val="00B66381"/>
    <w:rsid w:val="00B668FE"/>
    <w:rsid w:val="00B66D46"/>
    <w:rsid w:val="00B66D63"/>
    <w:rsid w:val="00B66E77"/>
    <w:rsid w:val="00B6719B"/>
    <w:rsid w:val="00B674BE"/>
    <w:rsid w:val="00B6777E"/>
    <w:rsid w:val="00B677C5"/>
    <w:rsid w:val="00B67953"/>
    <w:rsid w:val="00B6799D"/>
    <w:rsid w:val="00B67A5D"/>
    <w:rsid w:val="00B67BF5"/>
    <w:rsid w:val="00B67FDE"/>
    <w:rsid w:val="00B70106"/>
    <w:rsid w:val="00B70240"/>
    <w:rsid w:val="00B702B7"/>
    <w:rsid w:val="00B7038A"/>
    <w:rsid w:val="00B706E0"/>
    <w:rsid w:val="00B70C07"/>
    <w:rsid w:val="00B70E68"/>
    <w:rsid w:val="00B71721"/>
    <w:rsid w:val="00B71BEA"/>
    <w:rsid w:val="00B71C5E"/>
    <w:rsid w:val="00B71D0E"/>
    <w:rsid w:val="00B71D57"/>
    <w:rsid w:val="00B71F43"/>
    <w:rsid w:val="00B7212F"/>
    <w:rsid w:val="00B7222F"/>
    <w:rsid w:val="00B72616"/>
    <w:rsid w:val="00B72695"/>
    <w:rsid w:val="00B726B9"/>
    <w:rsid w:val="00B72A69"/>
    <w:rsid w:val="00B72C21"/>
    <w:rsid w:val="00B730B7"/>
    <w:rsid w:val="00B7316F"/>
    <w:rsid w:val="00B73287"/>
    <w:rsid w:val="00B7338B"/>
    <w:rsid w:val="00B7351F"/>
    <w:rsid w:val="00B73814"/>
    <w:rsid w:val="00B7397F"/>
    <w:rsid w:val="00B73D20"/>
    <w:rsid w:val="00B73D5E"/>
    <w:rsid w:val="00B73F56"/>
    <w:rsid w:val="00B743DE"/>
    <w:rsid w:val="00B743DF"/>
    <w:rsid w:val="00B74B6F"/>
    <w:rsid w:val="00B74D21"/>
    <w:rsid w:val="00B752A3"/>
    <w:rsid w:val="00B752B1"/>
    <w:rsid w:val="00B7532F"/>
    <w:rsid w:val="00B75640"/>
    <w:rsid w:val="00B75690"/>
    <w:rsid w:val="00B759E3"/>
    <w:rsid w:val="00B75F97"/>
    <w:rsid w:val="00B76B9D"/>
    <w:rsid w:val="00B77355"/>
    <w:rsid w:val="00B776A8"/>
    <w:rsid w:val="00B77A84"/>
    <w:rsid w:val="00B77E94"/>
    <w:rsid w:val="00B80321"/>
    <w:rsid w:val="00B80573"/>
    <w:rsid w:val="00B8116E"/>
    <w:rsid w:val="00B8139C"/>
    <w:rsid w:val="00B815EB"/>
    <w:rsid w:val="00B81BCF"/>
    <w:rsid w:val="00B81C69"/>
    <w:rsid w:val="00B81ECB"/>
    <w:rsid w:val="00B821B7"/>
    <w:rsid w:val="00B82451"/>
    <w:rsid w:val="00B8298F"/>
    <w:rsid w:val="00B8299B"/>
    <w:rsid w:val="00B82B9A"/>
    <w:rsid w:val="00B82F98"/>
    <w:rsid w:val="00B83503"/>
    <w:rsid w:val="00B836B1"/>
    <w:rsid w:val="00B8389E"/>
    <w:rsid w:val="00B84095"/>
    <w:rsid w:val="00B84D02"/>
    <w:rsid w:val="00B84ED5"/>
    <w:rsid w:val="00B85018"/>
    <w:rsid w:val="00B858B4"/>
    <w:rsid w:val="00B8590E"/>
    <w:rsid w:val="00B8596D"/>
    <w:rsid w:val="00B863E7"/>
    <w:rsid w:val="00B86CD2"/>
    <w:rsid w:val="00B8702D"/>
    <w:rsid w:val="00B8778B"/>
    <w:rsid w:val="00B9031C"/>
    <w:rsid w:val="00B90348"/>
    <w:rsid w:val="00B903D1"/>
    <w:rsid w:val="00B90653"/>
    <w:rsid w:val="00B90FAF"/>
    <w:rsid w:val="00B912EE"/>
    <w:rsid w:val="00B91A75"/>
    <w:rsid w:val="00B925DB"/>
    <w:rsid w:val="00B928E5"/>
    <w:rsid w:val="00B92BDF"/>
    <w:rsid w:val="00B93163"/>
    <w:rsid w:val="00B93299"/>
    <w:rsid w:val="00B9333B"/>
    <w:rsid w:val="00B938E4"/>
    <w:rsid w:val="00B93D40"/>
    <w:rsid w:val="00B947BF"/>
    <w:rsid w:val="00B94811"/>
    <w:rsid w:val="00B94BC2"/>
    <w:rsid w:val="00B94E55"/>
    <w:rsid w:val="00B94F87"/>
    <w:rsid w:val="00B951C1"/>
    <w:rsid w:val="00B95414"/>
    <w:rsid w:val="00B9544A"/>
    <w:rsid w:val="00B9556E"/>
    <w:rsid w:val="00B95619"/>
    <w:rsid w:val="00B95DA7"/>
    <w:rsid w:val="00B95DC7"/>
    <w:rsid w:val="00B96335"/>
    <w:rsid w:val="00B96A63"/>
    <w:rsid w:val="00B96C53"/>
    <w:rsid w:val="00B975CF"/>
    <w:rsid w:val="00B97784"/>
    <w:rsid w:val="00B97EBA"/>
    <w:rsid w:val="00BA0103"/>
    <w:rsid w:val="00BA0587"/>
    <w:rsid w:val="00BA0DF2"/>
    <w:rsid w:val="00BA0E5B"/>
    <w:rsid w:val="00BA0F89"/>
    <w:rsid w:val="00BA1049"/>
    <w:rsid w:val="00BA108A"/>
    <w:rsid w:val="00BA179D"/>
    <w:rsid w:val="00BA181F"/>
    <w:rsid w:val="00BA1AFD"/>
    <w:rsid w:val="00BA217B"/>
    <w:rsid w:val="00BA2A85"/>
    <w:rsid w:val="00BA2DFD"/>
    <w:rsid w:val="00BA3074"/>
    <w:rsid w:val="00BA3094"/>
    <w:rsid w:val="00BA37F0"/>
    <w:rsid w:val="00BA3CC9"/>
    <w:rsid w:val="00BA4214"/>
    <w:rsid w:val="00BA42EA"/>
    <w:rsid w:val="00BA43F3"/>
    <w:rsid w:val="00BA4418"/>
    <w:rsid w:val="00BA4525"/>
    <w:rsid w:val="00BA4AAE"/>
    <w:rsid w:val="00BA4BFB"/>
    <w:rsid w:val="00BA4D60"/>
    <w:rsid w:val="00BA4E2C"/>
    <w:rsid w:val="00BA509D"/>
    <w:rsid w:val="00BA51F6"/>
    <w:rsid w:val="00BA5B47"/>
    <w:rsid w:val="00BA5E43"/>
    <w:rsid w:val="00BA5ED6"/>
    <w:rsid w:val="00BA63D5"/>
    <w:rsid w:val="00BA648B"/>
    <w:rsid w:val="00BA6818"/>
    <w:rsid w:val="00BA6E28"/>
    <w:rsid w:val="00BA74ED"/>
    <w:rsid w:val="00BA771E"/>
    <w:rsid w:val="00BA77DE"/>
    <w:rsid w:val="00BA782E"/>
    <w:rsid w:val="00BA7A25"/>
    <w:rsid w:val="00BA7C2F"/>
    <w:rsid w:val="00BB0599"/>
    <w:rsid w:val="00BB05F4"/>
    <w:rsid w:val="00BB0630"/>
    <w:rsid w:val="00BB064E"/>
    <w:rsid w:val="00BB11B2"/>
    <w:rsid w:val="00BB12F6"/>
    <w:rsid w:val="00BB13AC"/>
    <w:rsid w:val="00BB14C3"/>
    <w:rsid w:val="00BB1CAB"/>
    <w:rsid w:val="00BB1DBF"/>
    <w:rsid w:val="00BB2322"/>
    <w:rsid w:val="00BB2333"/>
    <w:rsid w:val="00BB2405"/>
    <w:rsid w:val="00BB25E1"/>
    <w:rsid w:val="00BB2DFE"/>
    <w:rsid w:val="00BB3436"/>
    <w:rsid w:val="00BB34B7"/>
    <w:rsid w:val="00BB3828"/>
    <w:rsid w:val="00BB3A7C"/>
    <w:rsid w:val="00BB3D9E"/>
    <w:rsid w:val="00BB40D9"/>
    <w:rsid w:val="00BB4199"/>
    <w:rsid w:val="00BB48F9"/>
    <w:rsid w:val="00BB4D2D"/>
    <w:rsid w:val="00BB4D97"/>
    <w:rsid w:val="00BB51DC"/>
    <w:rsid w:val="00BB53DF"/>
    <w:rsid w:val="00BB56C4"/>
    <w:rsid w:val="00BB5776"/>
    <w:rsid w:val="00BB5B56"/>
    <w:rsid w:val="00BB5E0F"/>
    <w:rsid w:val="00BB6030"/>
    <w:rsid w:val="00BB6067"/>
    <w:rsid w:val="00BB6172"/>
    <w:rsid w:val="00BB6853"/>
    <w:rsid w:val="00BB6B0B"/>
    <w:rsid w:val="00BB6C0B"/>
    <w:rsid w:val="00BB6DEB"/>
    <w:rsid w:val="00BB6E7F"/>
    <w:rsid w:val="00BB6F1C"/>
    <w:rsid w:val="00BB716B"/>
    <w:rsid w:val="00BB7651"/>
    <w:rsid w:val="00BB772D"/>
    <w:rsid w:val="00BB7826"/>
    <w:rsid w:val="00BB78B8"/>
    <w:rsid w:val="00BB7E75"/>
    <w:rsid w:val="00BC0321"/>
    <w:rsid w:val="00BC04A5"/>
    <w:rsid w:val="00BC0725"/>
    <w:rsid w:val="00BC07F6"/>
    <w:rsid w:val="00BC091B"/>
    <w:rsid w:val="00BC0967"/>
    <w:rsid w:val="00BC13E1"/>
    <w:rsid w:val="00BC1A7C"/>
    <w:rsid w:val="00BC1BF9"/>
    <w:rsid w:val="00BC23C0"/>
    <w:rsid w:val="00BC25A3"/>
    <w:rsid w:val="00BC265E"/>
    <w:rsid w:val="00BC2932"/>
    <w:rsid w:val="00BC2978"/>
    <w:rsid w:val="00BC2E1D"/>
    <w:rsid w:val="00BC3140"/>
    <w:rsid w:val="00BC3563"/>
    <w:rsid w:val="00BC3677"/>
    <w:rsid w:val="00BC38CC"/>
    <w:rsid w:val="00BC3CF5"/>
    <w:rsid w:val="00BC4118"/>
    <w:rsid w:val="00BC466E"/>
    <w:rsid w:val="00BC47B9"/>
    <w:rsid w:val="00BC484F"/>
    <w:rsid w:val="00BC4D34"/>
    <w:rsid w:val="00BC4E08"/>
    <w:rsid w:val="00BC6291"/>
    <w:rsid w:val="00BC6335"/>
    <w:rsid w:val="00BC6794"/>
    <w:rsid w:val="00BC6862"/>
    <w:rsid w:val="00BC71C9"/>
    <w:rsid w:val="00BC71F5"/>
    <w:rsid w:val="00BC730B"/>
    <w:rsid w:val="00BC7530"/>
    <w:rsid w:val="00BC77E9"/>
    <w:rsid w:val="00BC77EA"/>
    <w:rsid w:val="00BC7B71"/>
    <w:rsid w:val="00BC7C23"/>
    <w:rsid w:val="00BD0264"/>
    <w:rsid w:val="00BD0297"/>
    <w:rsid w:val="00BD039C"/>
    <w:rsid w:val="00BD070A"/>
    <w:rsid w:val="00BD0750"/>
    <w:rsid w:val="00BD08AA"/>
    <w:rsid w:val="00BD0B7D"/>
    <w:rsid w:val="00BD0E33"/>
    <w:rsid w:val="00BD0F89"/>
    <w:rsid w:val="00BD14A8"/>
    <w:rsid w:val="00BD181E"/>
    <w:rsid w:val="00BD1D83"/>
    <w:rsid w:val="00BD21B8"/>
    <w:rsid w:val="00BD26A7"/>
    <w:rsid w:val="00BD35F1"/>
    <w:rsid w:val="00BD369A"/>
    <w:rsid w:val="00BD37BA"/>
    <w:rsid w:val="00BD383C"/>
    <w:rsid w:val="00BD3A57"/>
    <w:rsid w:val="00BD410E"/>
    <w:rsid w:val="00BD4CCC"/>
    <w:rsid w:val="00BD51DF"/>
    <w:rsid w:val="00BD577E"/>
    <w:rsid w:val="00BD578B"/>
    <w:rsid w:val="00BD58C0"/>
    <w:rsid w:val="00BD58CD"/>
    <w:rsid w:val="00BD59F6"/>
    <w:rsid w:val="00BD5FD1"/>
    <w:rsid w:val="00BD601C"/>
    <w:rsid w:val="00BD6B3A"/>
    <w:rsid w:val="00BD6E31"/>
    <w:rsid w:val="00BD70AE"/>
    <w:rsid w:val="00BD7110"/>
    <w:rsid w:val="00BD7A78"/>
    <w:rsid w:val="00BE024B"/>
    <w:rsid w:val="00BE0254"/>
    <w:rsid w:val="00BE05AF"/>
    <w:rsid w:val="00BE0693"/>
    <w:rsid w:val="00BE0CB7"/>
    <w:rsid w:val="00BE0DCB"/>
    <w:rsid w:val="00BE14AB"/>
    <w:rsid w:val="00BE172B"/>
    <w:rsid w:val="00BE1859"/>
    <w:rsid w:val="00BE1C87"/>
    <w:rsid w:val="00BE21B6"/>
    <w:rsid w:val="00BE24E9"/>
    <w:rsid w:val="00BE259F"/>
    <w:rsid w:val="00BE2BD5"/>
    <w:rsid w:val="00BE2D0C"/>
    <w:rsid w:val="00BE2E40"/>
    <w:rsid w:val="00BE2EA5"/>
    <w:rsid w:val="00BE2EBD"/>
    <w:rsid w:val="00BE2F37"/>
    <w:rsid w:val="00BE32A6"/>
    <w:rsid w:val="00BE3535"/>
    <w:rsid w:val="00BE368E"/>
    <w:rsid w:val="00BE39BD"/>
    <w:rsid w:val="00BE3A7B"/>
    <w:rsid w:val="00BE3BC8"/>
    <w:rsid w:val="00BE3D93"/>
    <w:rsid w:val="00BE3F30"/>
    <w:rsid w:val="00BE4090"/>
    <w:rsid w:val="00BE40B0"/>
    <w:rsid w:val="00BE428C"/>
    <w:rsid w:val="00BE4398"/>
    <w:rsid w:val="00BE4A81"/>
    <w:rsid w:val="00BE4C2F"/>
    <w:rsid w:val="00BE4CE9"/>
    <w:rsid w:val="00BE507B"/>
    <w:rsid w:val="00BE50AB"/>
    <w:rsid w:val="00BE538C"/>
    <w:rsid w:val="00BE55E1"/>
    <w:rsid w:val="00BE5711"/>
    <w:rsid w:val="00BE5B2D"/>
    <w:rsid w:val="00BE6556"/>
    <w:rsid w:val="00BE65FA"/>
    <w:rsid w:val="00BE6738"/>
    <w:rsid w:val="00BE6DD4"/>
    <w:rsid w:val="00BE72B2"/>
    <w:rsid w:val="00BE756C"/>
    <w:rsid w:val="00BE7822"/>
    <w:rsid w:val="00BE7888"/>
    <w:rsid w:val="00BE7934"/>
    <w:rsid w:val="00BE79B8"/>
    <w:rsid w:val="00BE7AC2"/>
    <w:rsid w:val="00BE7C43"/>
    <w:rsid w:val="00BF003B"/>
    <w:rsid w:val="00BF00B4"/>
    <w:rsid w:val="00BF0123"/>
    <w:rsid w:val="00BF01F1"/>
    <w:rsid w:val="00BF04AD"/>
    <w:rsid w:val="00BF05A0"/>
    <w:rsid w:val="00BF07D6"/>
    <w:rsid w:val="00BF0BDC"/>
    <w:rsid w:val="00BF10ED"/>
    <w:rsid w:val="00BF12DD"/>
    <w:rsid w:val="00BF1740"/>
    <w:rsid w:val="00BF19B3"/>
    <w:rsid w:val="00BF2146"/>
    <w:rsid w:val="00BF2184"/>
    <w:rsid w:val="00BF2BBE"/>
    <w:rsid w:val="00BF2E19"/>
    <w:rsid w:val="00BF36F1"/>
    <w:rsid w:val="00BF381C"/>
    <w:rsid w:val="00BF3A74"/>
    <w:rsid w:val="00BF3C80"/>
    <w:rsid w:val="00BF3E7D"/>
    <w:rsid w:val="00BF3F81"/>
    <w:rsid w:val="00BF4606"/>
    <w:rsid w:val="00BF4733"/>
    <w:rsid w:val="00BF498B"/>
    <w:rsid w:val="00BF4ADB"/>
    <w:rsid w:val="00BF4E4A"/>
    <w:rsid w:val="00BF4EB8"/>
    <w:rsid w:val="00BF554A"/>
    <w:rsid w:val="00BF579B"/>
    <w:rsid w:val="00BF5D42"/>
    <w:rsid w:val="00BF6690"/>
    <w:rsid w:val="00BF6A28"/>
    <w:rsid w:val="00BF6D6E"/>
    <w:rsid w:val="00BF6E5D"/>
    <w:rsid w:val="00BF71A6"/>
    <w:rsid w:val="00BF7E99"/>
    <w:rsid w:val="00C0021D"/>
    <w:rsid w:val="00C00469"/>
    <w:rsid w:val="00C0047B"/>
    <w:rsid w:val="00C00B5E"/>
    <w:rsid w:val="00C00BA2"/>
    <w:rsid w:val="00C010FA"/>
    <w:rsid w:val="00C015EB"/>
    <w:rsid w:val="00C01675"/>
    <w:rsid w:val="00C016EC"/>
    <w:rsid w:val="00C01A05"/>
    <w:rsid w:val="00C01AF6"/>
    <w:rsid w:val="00C01BB0"/>
    <w:rsid w:val="00C01C75"/>
    <w:rsid w:val="00C01E29"/>
    <w:rsid w:val="00C02121"/>
    <w:rsid w:val="00C02210"/>
    <w:rsid w:val="00C02714"/>
    <w:rsid w:val="00C027E2"/>
    <w:rsid w:val="00C034F4"/>
    <w:rsid w:val="00C037AE"/>
    <w:rsid w:val="00C037FC"/>
    <w:rsid w:val="00C03B7A"/>
    <w:rsid w:val="00C03BCA"/>
    <w:rsid w:val="00C03E34"/>
    <w:rsid w:val="00C03FC3"/>
    <w:rsid w:val="00C042FB"/>
    <w:rsid w:val="00C0440C"/>
    <w:rsid w:val="00C04568"/>
    <w:rsid w:val="00C04A9A"/>
    <w:rsid w:val="00C04B40"/>
    <w:rsid w:val="00C05057"/>
    <w:rsid w:val="00C05098"/>
    <w:rsid w:val="00C05267"/>
    <w:rsid w:val="00C05422"/>
    <w:rsid w:val="00C0546D"/>
    <w:rsid w:val="00C05541"/>
    <w:rsid w:val="00C05611"/>
    <w:rsid w:val="00C0564C"/>
    <w:rsid w:val="00C0591B"/>
    <w:rsid w:val="00C05CF7"/>
    <w:rsid w:val="00C0615B"/>
    <w:rsid w:val="00C0643E"/>
    <w:rsid w:val="00C06508"/>
    <w:rsid w:val="00C066F3"/>
    <w:rsid w:val="00C06A28"/>
    <w:rsid w:val="00C06BA7"/>
    <w:rsid w:val="00C06FD8"/>
    <w:rsid w:val="00C0728B"/>
    <w:rsid w:val="00C07889"/>
    <w:rsid w:val="00C07AE4"/>
    <w:rsid w:val="00C07DAF"/>
    <w:rsid w:val="00C07EE8"/>
    <w:rsid w:val="00C07FCA"/>
    <w:rsid w:val="00C1019C"/>
    <w:rsid w:val="00C1029D"/>
    <w:rsid w:val="00C10716"/>
    <w:rsid w:val="00C10DEE"/>
    <w:rsid w:val="00C10E4A"/>
    <w:rsid w:val="00C10F84"/>
    <w:rsid w:val="00C1106B"/>
    <w:rsid w:val="00C111C4"/>
    <w:rsid w:val="00C115D3"/>
    <w:rsid w:val="00C11958"/>
    <w:rsid w:val="00C11E2F"/>
    <w:rsid w:val="00C11E76"/>
    <w:rsid w:val="00C121C4"/>
    <w:rsid w:val="00C12233"/>
    <w:rsid w:val="00C1230A"/>
    <w:rsid w:val="00C1238B"/>
    <w:rsid w:val="00C12458"/>
    <w:rsid w:val="00C125A7"/>
    <w:rsid w:val="00C129C1"/>
    <w:rsid w:val="00C13ACD"/>
    <w:rsid w:val="00C13E3A"/>
    <w:rsid w:val="00C13EC6"/>
    <w:rsid w:val="00C13FF1"/>
    <w:rsid w:val="00C14145"/>
    <w:rsid w:val="00C14C67"/>
    <w:rsid w:val="00C14D49"/>
    <w:rsid w:val="00C15220"/>
    <w:rsid w:val="00C15346"/>
    <w:rsid w:val="00C15E18"/>
    <w:rsid w:val="00C161A7"/>
    <w:rsid w:val="00C163E9"/>
    <w:rsid w:val="00C164F7"/>
    <w:rsid w:val="00C168AC"/>
    <w:rsid w:val="00C16B83"/>
    <w:rsid w:val="00C16DA8"/>
    <w:rsid w:val="00C1739A"/>
    <w:rsid w:val="00C17D16"/>
    <w:rsid w:val="00C17FD9"/>
    <w:rsid w:val="00C202DC"/>
    <w:rsid w:val="00C20364"/>
    <w:rsid w:val="00C203F0"/>
    <w:rsid w:val="00C20431"/>
    <w:rsid w:val="00C204BF"/>
    <w:rsid w:val="00C20959"/>
    <w:rsid w:val="00C20977"/>
    <w:rsid w:val="00C20C2D"/>
    <w:rsid w:val="00C20D32"/>
    <w:rsid w:val="00C20DA8"/>
    <w:rsid w:val="00C20DF3"/>
    <w:rsid w:val="00C20E60"/>
    <w:rsid w:val="00C21022"/>
    <w:rsid w:val="00C21563"/>
    <w:rsid w:val="00C215CB"/>
    <w:rsid w:val="00C21792"/>
    <w:rsid w:val="00C217E6"/>
    <w:rsid w:val="00C21910"/>
    <w:rsid w:val="00C21C7C"/>
    <w:rsid w:val="00C21DB6"/>
    <w:rsid w:val="00C21FED"/>
    <w:rsid w:val="00C2200C"/>
    <w:rsid w:val="00C221A6"/>
    <w:rsid w:val="00C224BA"/>
    <w:rsid w:val="00C224D0"/>
    <w:rsid w:val="00C22655"/>
    <w:rsid w:val="00C226DB"/>
    <w:rsid w:val="00C2285B"/>
    <w:rsid w:val="00C22E4B"/>
    <w:rsid w:val="00C22FD7"/>
    <w:rsid w:val="00C23397"/>
    <w:rsid w:val="00C233C0"/>
    <w:rsid w:val="00C23610"/>
    <w:rsid w:val="00C238FD"/>
    <w:rsid w:val="00C23ADC"/>
    <w:rsid w:val="00C23CB8"/>
    <w:rsid w:val="00C23E65"/>
    <w:rsid w:val="00C23F44"/>
    <w:rsid w:val="00C240D2"/>
    <w:rsid w:val="00C241C5"/>
    <w:rsid w:val="00C24368"/>
    <w:rsid w:val="00C2442D"/>
    <w:rsid w:val="00C24886"/>
    <w:rsid w:val="00C24A19"/>
    <w:rsid w:val="00C24A20"/>
    <w:rsid w:val="00C24D83"/>
    <w:rsid w:val="00C25361"/>
    <w:rsid w:val="00C25770"/>
    <w:rsid w:val="00C25931"/>
    <w:rsid w:val="00C25C60"/>
    <w:rsid w:val="00C2636E"/>
    <w:rsid w:val="00C268C6"/>
    <w:rsid w:val="00C26A2F"/>
    <w:rsid w:val="00C270A5"/>
    <w:rsid w:val="00C274F3"/>
    <w:rsid w:val="00C276CA"/>
    <w:rsid w:val="00C27871"/>
    <w:rsid w:val="00C27EAE"/>
    <w:rsid w:val="00C27F83"/>
    <w:rsid w:val="00C3074B"/>
    <w:rsid w:val="00C30757"/>
    <w:rsid w:val="00C30904"/>
    <w:rsid w:val="00C30957"/>
    <w:rsid w:val="00C30D5A"/>
    <w:rsid w:val="00C3188D"/>
    <w:rsid w:val="00C318A2"/>
    <w:rsid w:val="00C318AF"/>
    <w:rsid w:val="00C31A94"/>
    <w:rsid w:val="00C321FC"/>
    <w:rsid w:val="00C324F0"/>
    <w:rsid w:val="00C3267E"/>
    <w:rsid w:val="00C327BC"/>
    <w:rsid w:val="00C32B6C"/>
    <w:rsid w:val="00C32D84"/>
    <w:rsid w:val="00C32E23"/>
    <w:rsid w:val="00C3327C"/>
    <w:rsid w:val="00C33498"/>
    <w:rsid w:val="00C336EC"/>
    <w:rsid w:val="00C3385B"/>
    <w:rsid w:val="00C33BE1"/>
    <w:rsid w:val="00C34193"/>
    <w:rsid w:val="00C342E8"/>
    <w:rsid w:val="00C34B20"/>
    <w:rsid w:val="00C35323"/>
    <w:rsid w:val="00C354FC"/>
    <w:rsid w:val="00C35747"/>
    <w:rsid w:val="00C35780"/>
    <w:rsid w:val="00C358CC"/>
    <w:rsid w:val="00C35A2D"/>
    <w:rsid w:val="00C35CE5"/>
    <w:rsid w:val="00C3607D"/>
    <w:rsid w:val="00C36157"/>
    <w:rsid w:val="00C361B5"/>
    <w:rsid w:val="00C36394"/>
    <w:rsid w:val="00C3671C"/>
    <w:rsid w:val="00C368B2"/>
    <w:rsid w:val="00C369C5"/>
    <w:rsid w:val="00C36C40"/>
    <w:rsid w:val="00C36E59"/>
    <w:rsid w:val="00C36FB7"/>
    <w:rsid w:val="00C37102"/>
    <w:rsid w:val="00C378BB"/>
    <w:rsid w:val="00C37A49"/>
    <w:rsid w:val="00C37C66"/>
    <w:rsid w:val="00C4004B"/>
    <w:rsid w:val="00C400D6"/>
    <w:rsid w:val="00C40326"/>
    <w:rsid w:val="00C40584"/>
    <w:rsid w:val="00C40C65"/>
    <w:rsid w:val="00C40D7A"/>
    <w:rsid w:val="00C411C6"/>
    <w:rsid w:val="00C411E8"/>
    <w:rsid w:val="00C41B47"/>
    <w:rsid w:val="00C42009"/>
    <w:rsid w:val="00C42028"/>
    <w:rsid w:val="00C42089"/>
    <w:rsid w:val="00C4208C"/>
    <w:rsid w:val="00C42278"/>
    <w:rsid w:val="00C4227F"/>
    <w:rsid w:val="00C425B1"/>
    <w:rsid w:val="00C435A8"/>
    <w:rsid w:val="00C43733"/>
    <w:rsid w:val="00C43770"/>
    <w:rsid w:val="00C43996"/>
    <w:rsid w:val="00C43D1B"/>
    <w:rsid w:val="00C43DB2"/>
    <w:rsid w:val="00C43F3C"/>
    <w:rsid w:val="00C448AE"/>
    <w:rsid w:val="00C44997"/>
    <w:rsid w:val="00C44AD1"/>
    <w:rsid w:val="00C44B2F"/>
    <w:rsid w:val="00C44B92"/>
    <w:rsid w:val="00C44D9B"/>
    <w:rsid w:val="00C44E74"/>
    <w:rsid w:val="00C44FF2"/>
    <w:rsid w:val="00C4508E"/>
    <w:rsid w:val="00C45CAE"/>
    <w:rsid w:val="00C45F1A"/>
    <w:rsid w:val="00C45FCA"/>
    <w:rsid w:val="00C46097"/>
    <w:rsid w:val="00C4632E"/>
    <w:rsid w:val="00C46358"/>
    <w:rsid w:val="00C46905"/>
    <w:rsid w:val="00C46E0F"/>
    <w:rsid w:val="00C46FC4"/>
    <w:rsid w:val="00C47598"/>
    <w:rsid w:val="00C4786D"/>
    <w:rsid w:val="00C47A35"/>
    <w:rsid w:val="00C47CB1"/>
    <w:rsid w:val="00C47D8F"/>
    <w:rsid w:val="00C47DE2"/>
    <w:rsid w:val="00C503D7"/>
    <w:rsid w:val="00C50543"/>
    <w:rsid w:val="00C505BA"/>
    <w:rsid w:val="00C508DA"/>
    <w:rsid w:val="00C50ADB"/>
    <w:rsid w:val="00C50B3A"/>
    <w:rsid w:val="00C51470"/>
    <w:rsid w:val="00C5157D"/>
    <w:rsid w:val="00C519DA"/>
    <w:rsid w:val="00C51A3B"/>
    <w:rsid w:val="00C51BEA"/>
    <w:rsid w:val="00C51C54"/>
    <w:rsid w:val="00C522FC"/>
    <w:rsid w:val="00C5236A"/>
    <w:rsid w:val="00C5257B"/>
    <w:rsid w:val="00C52CEE"/>
    <w:rsid w:val="00C530B7"/>
    <w:rsid w:val="00C5356A"/>
    <w:rsid w:val="00C53C97"/>
    <w:rsid w:val="00C54490"/>
    <w:rsid w:val="00C5472F"/>
    <w:rsid w:val="00C54D41"/>
    <w:rsid w:val="00C5514C"/>
    <w:rsid w:val="00C55988"/>
    <w:rsid w:val="00C5632C"/>
    <w:rsid w:val="00C56443"/>
    <w:rsid w:val="00C56DA3"/>
    <w:rsid w:val="00C56DA7"/>
    <w:rsid w:val="00C56EA1"/>
    <w:rsid w:val="00C5733B"/>
    <w:rsid w:val="00C575A5"/>
    <w:rsid w:val="00C57721"/>
    <w:rsid w:val="00C57A60"/>
    <w:rsid w:val="00C57C31"/>
    <w:rsid w:val="00C57D85"/>
    <w:rsid w:val="00C602E7"/>
    <w:rsid w:val="00C603F9"/>
    <w:rsid w:val="00C608DB"/>
    <w:rsid w:val="00C60AE1"/>
    <w:rsid w:val="00C60B88"/>
    <w:rsid w:val="00C61102"/>
    <w:rsid w:val="00C616FD"/>
    <w:rsid w:val="00C620C3"/>
    <w:rsid w:val="00C6241B"/>
    <w:rsid w:val="00C624A9"/>
    <w:rsid w:val="00C62B22"/>
    <w:rsid w:val="00C62C3F"/>
    <w:rsid w:val="00C62DFF"/>
    <w:rsid w:val="00C63304"/>
    <w:rsid w:val="00C63305"/>
    <w:rsid w:val="00C635F9"/>
    <w:rsid w:val="00C63926"/>
    <w:rsid w:val="00C63BC0"/>
    <w:rsid w:val="00C63D7F"/>
    <w:rsid w:val="00C63FCC"/>
    <w:rsid w:val="00C63FEC"/>
    <w:rsid w:val="00C6410E"/>
    <w:rsid w:val="00C644DE"/>
    <w:rsid w:val="00C646D9"/>
    <w:rsid w:val="00C64AEF"/>
    <w:rsid w:val="00C64C69"/>
    <w:rsid w:val="00C64D09"/>
    <w:rsid w:val="00C65951"/>
    <w:rsid w:val="00C6597D"/>
    <w:rsid w:val="00C65A73"/>
    <w:rsid w:val="00C65AE0"/>
    <w:rsid w:val="00C65E33"/>
    <w:rsid w:val="00C661CD"/>
    <w:rsid w:val="00C66203"/>
    <w:rsid w:val="00C66409"/>
    <w:rsid w:val="00C66523"/>
    <w:rsid w:val="00C66925"/>
    <w:rsid w:val="00C66FFA"/>
    <w:rsid w:val="00C671E2"/>
    <w:rsid w:val="00C67745"/>
    <w:rsid w:val="00C6779C"/>
    <w:rsid w:val="00C67881"/>
    <w:rsid w:val="00C67ADB"/>
    <w:rsid w:val="00C67BA4"/>
    <w:rsid w:val="00C67C07"/>
    <w:rsid w:val="00C67EC4"/>
    <w:rsid w:val="00C700B4"/>
    <w:rsid w:val="00C703AA"/>
    <w:rsid w:val="00C70412"/>
    <w:rsid w:val="00C7112E"/>
    <w:rsid w:val="00C71A7E"/>
    <w:rsid w:val="00C71C06"/>
    <w:rsid w:val="00C7254D"/>
    <w:rsid w:val="00C7268E"/>
    <w:rsid w:val="00C72A44"/>
    <w:rsid w:val="00C72A72"/>
    <w:rsid w:val="00C72B54"/>
    <w:rsid w:val="00C72CA9"/>
    <w:rsid w:val="00C72CCE"/>
    <w:rsid w:val="00C72F5F"/>
    <w:rsid w:val="00C73184"/>
    <w:rsid w:val="00C7332A"/>
    <w:rsid w:val="00C733D9"/>
    <w:rsid w:val="00C73401"/>
    <w:rsid w:val="00C7346A"/>
    <w:rsid w:val="00C73543"/>
    <w:rsid w:val="00C736A6"/>
    <w:rsid w:val="00C73906"/>
    <w:rsid w:val="00C73BEB"/>
    <w:rsid w:val="00C73DFE"/>
    <w:rsid w:val="00C73E4B"/>
    <w:rsid w:val="00C73F09"/>
    <w:rsid w:val="00C744F3"/>
    <w:rsid w:val="00C74825"/>
    <w:rsid w:val="00C74AA4"/>
    <w:rsid w:val="00C7524C"/>
    <w:rsid w:val="00C76508"/>
    <w:rsid w:val="00C765DF"/>
    <w:rsid w:val="00C766FC"/>
    <w:rsid w:val="00C76735"/>
    <w:rsid w:val="00C76B4B"/>
    <w:rsid w:val="00C76BCA"/>
    <w:rsid w:val="00C76D6D"/>
    <w:rsid w:val="00C76F59"/>
    <w:rsid w:val="00C773AF"/>
    <w:rsid w:val="00C775FD"/>
    <w:rsid w:val="00C776FD"/>
    <w:rsid w:val="00C8020F"/>
    <w:rsid w:val="00C804E2"/>
    <w:rsid w:val="00C80562"/>
    <w:rsid w:val="00C808E2"/>
    <w:rsid w:val="00C80B8B"/>
    <w:rsid w:val="00C81705"/>
    <w:rsid w:val="00C81842"/>
    <w:rsid w:val="00C81CF0"/>
    <w:rsid w:val="00C82240"/>
    <w:rsid w:val="00C8225E"/>
    <w:rsid w:val="00C82B49"/>
    <w:rsid w:val="00C82BD2"/>
    <w:rsid w:val="00C82D8D"/>
    <w:rsid w:val="00C836FC"/>
    <w:rsid w:val="00C8376C"/>
    <w:rsid w:val="00C83948"/>
    <w:rsid w:val="00C83AF5"/>
    <w:rsid w:val="00C83C4A"/>
    <w:rsid w:val="00C83E7A"/>
    <w:rsid w:val="00C83FC0"/>
    <w:rsid w:val="00C84351"/>
    <w:rsid w:val="00C844D7"/>
    <w:rsid w:val="00C848BA"/>
    <w:rsid w:val="00C84F98"/>
    <w:rsid w:val="00C852CD"/>
    <w:rsid w:val="00C856EC"/>
    <w:rsid w:val="00C85810"/>
    <w:rsid w:val="00C85969"/>
    <w:rsid w:val="00C85CA7"/>
    <w:rsid w:val="00C85E14"/>
    <w:rsid w:val="00C8627D"/>
    <w:rsid w:val="00C865E4"/>
    <w:rsid w:val="00C86643"/>
    <w:rsid w:val="00C86A07"/>
    <w:rsid w:val="00C86B6F"/>
    <w:rsid w:val="00C86BB4"/>
    <w:rsid w:val="00C8799A"/>
    <w:rsid w:val="00C900E3"/>
    <w:rsid w:val="00C9029B"/>
    <w:rsid w:val="00C903B9"/>
    <w:rsid w:val="00C909E3"/>
    <w:rsid w:val="00C90CD8"/>
    <w:rsid w:val="00C90DC8"/>
    <w:rsid w:val="00C90DD2"/>
    <w:rsid w:val="00C91C46"/>
    <w:rsid w:val="00C92418"/>
    <w:rsid w:val="00C9269F"/>
    <w:rsid w:val="00C93087"/>
    <w:rsid w:val="00C93512"/>
    <w:rsid w:val="00C935FF"/>
    <w:rsid w:val="00C93944"/>
    <w:rsid w:val="00C93964"/>
    <w:rsid w:val="00C93BBF"/>
    <w:rsid w:val="00C94149"/>
    <w:rsid w:val="00C9424C"/>
    <w:rsid w:val="00C944E6"/>
    <w:rsid w:val="00C945FB"/>
    <w:rsid w:val="00C94660"/>
    <w:rsid w:val="00C94796"/>
    <w:rsid w:val="00C94C8D"/>
    <w:rsid w:val="00C94D1F"/>
    <w:rsid w:val="00C9516A"/>
    <w:rsid w:val="00C9545B"/>
    <w:rsid w:val="00C955D7"/>
    <w:rsid w:val="00C95D0E"/>
    <w:rsid w:val="00C95F4E"/>
    <w:rsid w:val="00C964A6"/>
    <w:rsid w:val="00C96502"/>
    <w:rsid w:val="00C965F0"/>
    <w:rsid w:val="00C9681F"/>
    <w:rsid w:val="00C96C61"/>
    <w:rsid w:val="00C96D5B"/>
    <w:rsid w:val="00C971AB"/>
    <w:rsid w:val="00C9755E"/>
    <w:rsid w:val="00C97617"/>
    <w:rsid w:val="00C97D7C"/>
    <w:rsid w:val="00C97DCE"/>
    <w:rsid w:val="00C97E18"/>
    <w:rsid w:val="00CA00A8"/>
    <w:rsid w:val="00CA0274"/>
    <w:rsid w:val="00CA043B"/>
    <w:rsid w:val="00CA0503"/>
    <w:rsid w:val="00CA062B"/>
    <w:rsid w:val="00CA0CAC"/>
    <w:rsid w:val="00CA0CF1"/>
    <w:rsid w:val="00CA0CFC"/>
    <w:rsid w:val="00CA121B"/>
    <w:rsid w:val="00CA1283"/>
    <w:rsid w:val="00CA1510"/>
    <w:rsid w:val="00CA19A4"/>
    <w:rsid w:val="00CA1ACA"/>
    <w:rsid w:val="00CA1D40"/>
    <w:rsid w:val="00CA1E6F"/>
    <w:rsid w:val="00CA1EDA"/>
    <w:rsid w:val="00CA2076"/>
    <w:rsid w:val="00CA2D72"/>
    <w:rsid w:val="00CA2D77"/>
    <w:rsid w:val="00CA2E6A"/>
    <w:rsid w:val="00CA301A"/>
    <w:rsid w:val="00CA31EF"/>
    <w:rsid w:val="00CA3374"/>
    <w:rsid w:val="00CA3771"/>
    <w:rsid w:val="00CA3981"/>
    <w:rsid w:val="00CA3BE4"/>
    <w:rsid w:val="00CA429C"/>
    <w:rsid w:val="00CA461D"/>
    <w:rsid w:val="00CA46A4"/>
    <w:rsid w:val="00CA487F"/>
    <w:rsid w:val="00CA4B8E"/>
    <w:rsid w:val="00CA4CB1"/>
    <w:rsid w:val="00CA4EB4"/>
    <w:rsid w:val="00CA5644"/>
    <w:rsid w:val="00CA5A78"/>
    <w:rsid w:val="00CA5B84"/>
    <w:rsid w:val="00CA5F9E"/>
    <w:rsid w:val="00CA5FEC"/>
    <w:rsid w:val="00CA62AE"/>
    <w:rsid w:val="00CA6830"/>
    <w:rsid w:val="00CA68B3"/>
    <w:rsid w:val="00CA68D4"/>
    <w:rsid w:val="00CA698A"/>
    <w:rsid w:val="00CA698E"/>
    <w:rsid w:val="00CA7404"/>
    <w:rsid w:val="00CA75EB"/>
    <w:rsid w:val="00CA7645"/>
    <w:rsid w:val="00CA776F"/>
    <w:rsid w:val="00CA7775"/>
    <w:rsid w:val="00CA7CF2"/>
    <w:rsid w:val="00CB0479"/>
    <w:rsid w:val="00CB0A16"/>
    <w:rsid w:val="00CB0A84"/>
    <w:rsid w:val="00CB0F0C"/>
    <w:rsid w:val="00CB10F5"/>
    <w:rsid w:val="00CB1696"/>
    <w:rsid w:val="00CB1C09"/>
    <w:rsid w:val="00CB1DCD"/>
    <w:rsid w:val="00CB1E3C"/>
    <w:rsid w:val="00CB2363"/>
    <w:rsid w:val="00CB2434"/>
    <w:rsid w:val="00CB2469"/>
    <w:rsid w:val="00CB2774"/>
    <w:rsid w:val="00CB2A32"/>
    <w:rsid w:val="00CB2A50"/>
    <w:rsid w:val="00CB2E1D"/>
    <w:rsid w:val="00CB2F05"/>
    <w:rsid w:val="00CB2FC2"/>
    <w:rsid w:val="00CB30CA"/>
    <w:rsid w:val="00CB3118"/>
    <w:rsid w:val="00CB3172"/>
    <w:rsid w:val="00CB4022"/>
    <w:rsid w:val="00CB4562"/>
    <w:rsid w:val="00CB471F"/>
    <w:rsid w:val="00CB47F9"/>
    <w:rsid w:val="00CB4FA0"/>
    <w:rsid w:val="00CB5679"/>
    <w:rsid w:val="00CB5713"/>
    <w:rsid w:val="00CB5AAB"/>
    <w:rsid w:val="00CB6792"/>
    <w:rsid w:val="00CB68A2"/>
    <w:rsid w:val="00CB6E4F"/>
    <w:rsid w:val="00CB7040"/>
    <w:rsid w:val="00CB70E1"/>
    <w:rsid w:val="00CB72B4"/>
    <w:rsid w:val="00CB731B"/>
    <w:rsid w:val="00CB73E5"/>
    <w:rsid w:val="00CB7F3B"/>
    <w:rsid w:val="00CC01EB"/>
    <w:rsid w:val="00CC0A7F"/>
    <w:rsid w:val="00CC0FCF"/>
    <w:rsid w:val="00CC10DE"/>
    <w:rsid w:val="00CC1147"/>
    <w:rsid w:val="00CC150E"/>
    <w:rsid w:val="00CC1768"/>
    <w:rsid w:val="00CC18AD"/>
    <w:rsid w:val="00CC1F89"/>
    <w:rsid w:val="00CC2314"/>
    <w:rsid w:val="00CC23A6"/>
    <w:rsid w:val="00CC2408"/>
    <w:rsid w:val="00CC258C"/>
    <w:rsid w:val="00CC25FD"/>
    <w:rsid w:val="00CC2CA2"/>
    <w:rsid w:val="00CC327F"/>
    <w:rsid w:val="00CC333C"/>
    <w:rsid w:val="00CC34CB"/>
    <w:rsid w:val="00CC385A"/>
    <w:rsid w:val="00CC3A15"/>
    <w:rsid w:val="00CC3EF1"/>
    <w:rsid w:val="00CC474A"/>
    <w:rsid w:val="00CC47D7"/>
    <w:rsid w:val="00CC4905"/>
    <w:rsid w:val="00CC49B9"/>
    <w:rsid w:val="00CC4C03"/>
    <w:rsid w:val="00CC60F5"/>
    <w:rsid w:val="00CC6145"/>
    <w:rsid w:val="00CC61AA"/>
    <w:rsid w:val="00CC6515"/>
    <w:rsid w:val="00CC6C49"/>
    <w:rsid w:val="00CC6E85"/>
    <w:rsid w:val="00CC71A0"/>
    <w:rsid w:val="00CC7238"/>
    <w:rsid w:val="00CC75C2"/>
    <w:rsid w:val="00CC778A"/>
    <w:rsid w:val="00CC7E8F"/>
    <w:rsid w:val="00CC7F04"/>
    <w:rsid w:val="00CC7F41"/>
    <w:rsid w:val="00CD000D"/>
    <w:rsid w:val="00CD016C"/>
    <w:rsid w:val="00CD0246"/>
    <w:rsid w:val="00CD0253"/>
    <w:rsid w:val="00CD0842"/>
    <w:rsid w:val="00CD08DE"/>
    <w:rsid w:val="00CD1074"/>
    <w:rsid w:val="00CD14F0"/>
    <w:rsid w:val="00CD157B"/>
    <w:rsid w:val="00CD173D"/>
    <w:rsid w:val="00CD1A0D"/>
    <w:rsid w:val="00CD23D6"/>
    <w:rsid w:val="00CD2656"/>
    <w:rsid w:val="00CD2E0A"/>
    <w:rsid w:val="00CD3078"/>
    <w:rsid w:val="00CD3318"/>
    <w:rsid w:val="00CD365A"/>
    <w:rsid w:val="00CD3A18"/>
    <w:rsid w:val="00CD3B31"/>
    <w:rsid w:val="00CD3F18"/>
    <w:rsid w:val="00CD3FFB"/>
    <w:rsid w:val="00CD43B1"/>
    <w:rsid w:val="00CD45E3"/>
    <w:rsid w:val="00CD483F"/>
    <w:rsid w:val="00CD48E4"/>
    <w:rsid w:val="00CD49CC"/>
    <w:rsid w:val="00CD4A1D"/>
    <w:rsid w:val="00CD4B8D"/>
    <w:rsid w:val="00CD4FBF"/>
    <w:rsid w:val="00CD55A2"/>
    <w:rsid w:val="00CD55AF"/>
    <w:rsid w:val="00CD5857"/>
    <w:rsid w:val="00CD58E5"/>
    <w:rsid w:val="00CD5B2D"/>
    <w:rsid w:val="00CD5E1F"/>
    <w:rsid w:val="00CD5FFD"/>
    <w:rsid w:val="00CD6874"/>
    <w:rsid w:val="00CD688F"/>
    <w:rsid w:val="00CD6E3B"/>
    <w:rsid w:val="00CD7002"/>
    <w:rsid w:val="00CD7104"/>
    <w:rsid w:val="00CD72EA"/>
    <w:rsid w:val="00CD73A3"/>
    <w:rsid w:val="00CD73BC"/>
    <w:rsid w:val="00CD7FB3"/>
    <w:rsid w:val="00CE0055"/>
    <w:rsid w:val="00CE00EB"/>
    <w:rsid w:val="00CE02A8"/>
    <w:rsid w:val="00CE02E6"/>
    <w:rsid w:val="00CE088E"/>
    <w:rsid w:val="00CE0912"/>
    <w:rsid w:val="00CE0B32"/>
    <w:rsid w:val="00CE0C8D"/>
    <w:rsid w:val="00CE1043"/>
    <w:rsid w:val="00CE14DF"/>
    <w:rsid w:val="00CE1570"/>
    <w:rsid w:val="00CE1B40"/>
    <w:rsid w:val="00CE1CE6"/>
    <w:rsid w:val="00CE1DEC"/>
    <w:rsid w:val="00CE1F54"/>
    <w:rsid w:val="00CE22BC"/>
    <w:rsid w:val="00CE25E7"/>
    <w:rsid w:val="00CE270A"/>
    <w:rsid w:val="00CE29BD"/>
    <w:rsid w:val="00CE2B49"/>
    <w:rsid w:val="00CE2BED"/>
    <w:rsid w:val="00CE2E1B"/>
    <w:rsid w:val="00CE301A"/>
    <w:rsid w:val="00CE31E5"/>
    <w:rsid w:val="00CE3234"/>
    <w:rsid w:val="00CE3428"/>
    <w:rsid w:val="00CE3564"/>
    <w:rsid w:val="00CE37F8"/>
    <w:rsid w:val="00CE39A7"/>
    <w:rsid w:val="00CE4204"/>
    <w:rsid w:val="00CE42F6"/>
    <w:rsid w:val="00CE48FB"/>
    <w:rsid w:val="00CE4E97"/>
    <w:rsid w:val="00CE5085"/>
    <w:rsid w:val="00CE5186"/>
    <w:rsid w:val="00CE53AD"/>
    <w:rsid w:val="00CE5760"/>
    <w:rsid w:val="00CE5A59"/>
    <w:rsid w:val="00CE60F0"/>
    <w:rsid w:val="00CE616B"/>
    <w:rsid w:val="00CE629E"/>
    <w:rsid w:val="00CE62B8"/>
    <w:rsid w:val="00CE63A8"/>
    <w:rsid w:val="00CE6528"/>
    <w:rsid w:val="00CE6B16"/>
    <w:rsid w:val="00CE6BB0"/>
    <w:rsid w:val="00CE6F27"/>
    <w:rsid w:val="00CE6F96"/>
    <w:rsid w:val="00CE7672"/>
    <w:rsid w:val="00CE7687"/>
    <w:rsid w:val="00CE76B5"/>
    <w:rsid w:val="00CE79FE"/>
    <w:rsid w:val="00CE7A31"/>
    <w:rsid w:val="00CE7DD6"/>
    <w:rsid w:val="00CE7E16"/>
    <w:rsid w:val="00CF010F"/>
    <w:rsid w:val="00CF0423"/>
    <w:rsid w:val="00CF072B"/>
    <w:rsid w:val="00CF08F6"/>
    <w:rsid w:val="00CF0ADD"/>
    <w:rsid w:val="00CF0AFE"/>
    <w:rsid w:val="00CF0D20"/>
    <w:rsid w:val="00CF19EB"/>
    <w:rsid w:val="00CF19EE"/>
    <w:rsid w:val="00CF2753"/>
    <w:rsid w:val="00CF28EE"/>
    <w:rsid w:val="00CF2CAC"/>
    <w:rsid w:val="00CF2FA8"/>
    <w:rsid w:val="00CF3159"/>
    <w:rsid w:val="00CF3885"/>
    <w:rsid w:val="00CF3B92"/>
    <w:rsid w:val="00CF402D"/>
    <w:rsid w:val="00CF431B"/>
    <w:rsid w:val="00CF4333"/>
    <w:rsid w:val="00CF5577"/>
    <w:rsid w:val="00CF5BE3"/>
    <w:rsid w:val="00CF6150"/>
    <w:rsid w:val="00CF620E"/>
    <w:rsid w:val="00CF62A8"/>
    <w:rsid w:val="00CF6CD1"/>
    <w:rsid w:val="00CF6DDA"/>
    <w:rsid w:val="00CF6DF4"/>
    <w:rsid w:val="00CF6EA7"/>
    <w:rsid w:val="00CF706A"/>
    <w:rsid w:val="00CF7684"/>
    <w:rsid w:val="00CF7A07"/>
    <w:rsid w:val="00CF7AF7"/>
    <w:rsid w:val="00D00171"/>
    <w:rsid w:val="00D0063E"/>
    <w:rsid w:val="00D00680"/>
    <w:rsid w:val="00D00A23"/>
    <w:rsid w:val="00D00AB2"/>
    <w:rsid w:val="00D011FE"/>
    <w:rsid w:val="00D016AB"/>
    <w:rsid w:val="00D019FA"/>
    <w:rsid w:val="00D01CCF"/>
    <w:rsid w:val="00D0212E"/>
    <w:rsid w:val="00D0214A"/>
    <w:rsid w:val="00D026CD"/>
    <w:rsid w:val="00D029FE"/>
    <w:rsid w:val="00D02A25"/>
    <w:rsid w:val="00D03363"/>
    <w:rsid w:val="00D041D8"/>
    <w:rsid w:val="00D0442E"/>
    <w:rsid w:val="00D0455A"/>
    <w:rsid w:val="00D04C15"/>
    <w:rsid w:val="00D04F7B"/>
    <w:rsid w:val="00D0512C"/>
    <w:rsid w:val="00D053C2"/>
    <w:rsid w:val="00D05FA5"/>
    <w:rsid w:val="00D06211"/>
    <w:rsid w:val="00D0690A"/>
    <w:rsid w:val="00D069A9"/>
    <w:rsid w:val="00D06E9F"/>
    <w:rsid w:val="00D06FFF"/>
    <w:rsid w:val="00D07871"/>
    <w:rsid w:val="00D07B7D"/>
    <w:rsid w:val="00D07D7B"/>
    <w:rsid w:val="00D07F74"/>
    <w:rsid w:val="00D105FD"/>
    <w:rsid w:val="00D10C29"/>
    <w:rsid w:val="00D10DD2"/>
    <w:rsid w:val="00D113E7"/>
    <w:rsid w:val="00D116BB"/>
    <w:rsid w:val="00D116F0"/>
    <w:rsid w:val="00D11724"/>
    <w:rsid w:val="00D119B8"/>
    <w:rsid w:val="00D11A72"/>
    <w:rsid w:val="00D11B26"/>
    <w:rsid w:val="00D11B66"/>
    <w:rsid w:val="00D122BD"/>
    <w:rsid w:val="00D123EA"/>
    <w:rsid w:val="00D124C5"/>
    <w:rsid w:val="00D126F2"/>
    <w:rsid w:val="00D12A77"/>
    <w:rsid w:val="00D12C8C"/>
    <w:rsid w:val="00D12E24"/>
    <w:rsid w:val="00D134C5"/>
    <w:rsid w:val="00D135C9"/>
    <w:rsid w:val="00D13CD4"/>
    <w:rsid w:val="00D14332"/>
    <w:rsid w:val="00D144C6"/>
    <w:rsid w:val="00D1455C"/>
    <w:rsid w:val="00D14C3A"/>
    <w:rsid w:val="00D14D0D"/>
    <w:rsid w:val="00D15178"/>
    <w:rsid w:val="00D151AE"/>
    <w:rsid w:val="00D15979"/>
    <w:rsid w:val="00D159A3"/>
    <w:rsid w:val="00D15B0C"/>
    <w:rsid w:val="00D15F88"/>
    <w:rsid w:val="00D167E6"/>
    <w:rsid w:val="00D16C97"/>
    <w:rsid w:val="00D16F9B"/>
    <w:rsid w:val="00D174D0"/>
    <w:rsid w:val="00D17611"/>
    <w:rsid w:val="00D17A0C"/>
    <w:rsid w:val="00D17E0F"/>
    <w:rsid w:val="00D17E1D"/>
    <w:rsid w:val="00D17E36"/>
    <w:rsid w:val="00D203EE"/>
    <w:rsid w:val="00D20AA8"/>
    <w:rsid w:val="00D211A0"/>
    <w:rsid w:val="00D21366"/>
    <w:rsid w:val="00D21A5A"/>
    <w:rsid w:val="00D21ADF"/>
    <w:rsid w:val="00D21E2C"/>
    <w:rsid w:val="00D21F33"/>
    <w:rsid w:val="00D22039"/>
    <w:rsid w:val="00D22381"/>
    <w:rsid w:val="00D22762"/>
    <w:rsid w:val="00D22863"/>
    <w:rsid w:val="00D22A36"/>
    <w:rsid w:val="00D22D74"/>
    <w:rsid w:val="00D231EA"/>
    <w:rsid w:val="00D23502"/>
    <w:rsid w:val="00D23769"/>
    <w:rsid w:val="00D239B8"/>
    <w:rsid w:val="00D23D32"/>
    <w:rsid w:val="00D23D51"/>
    <w:rsid w:val="00D23FA1"/>
    <w:rsid w:val="00D24778"/>
    <w:rsid w:val="00D25409"/>
    <w:rsid w:val="00D259F3"/>
    <w:rsid w:val="00D25ADF"/>
    <w:rsid w:val="00D25BE6"/>
    <w:rsid w:val="00D25C2E"/>
    <w:rsid w:val="00D25FFA"/>
    <w:rsid w:val="00D264A4"/>
    <w:rsid w:val="00D268E0"/>
    <w:rsid w:val="00D26CEC"/>
    <w:rsid w:val="00D26E87"/>
    <w:rsid w:val="00D27086"/>
    <w:rsid w:val="00D274D5"/>
    <w:rsid w:val="00D274E2"/>
    <w:rsid w:val="00D27609"/>
    <w:rsid w:val="00D279F9"/>
    <w:rsid w:val="00D27BB8"/>
    <w:rsid w:val="00D27CDB"/>
    <w:rsid w:val="00D27D1C"/>
    <w:rsid w:val="00D27E92"/>
    <w:rsid w:val="00D30112"/>
    <w:rsid w:val="00D3018C"/>
    <w:rsid w:val="00D30458"/>
    <w:rsid w:val="00D30B67"/>
    <w:rsid w:val="00D30D2F"/>
    <w:rsid w:val="00D30E04"/>
    <w:rsid w:val="00D31138"/>
    <w:rsid w:val="00D31529"/>
    <w:rsid w:val="00D3190D"/>
    <w:rsid w:val="00D31C33"/>
    <w:rsid w:val="00D32416"/>
    <w:rsid w:val="00D326A2"/>
    <w:rsid w:val="00D32B9F"/>
    <w:rsid w:val="00D3345B"/>
    <w:rsid w:val="00D33974"/>
    <w:rsid w:val="00D33BA6"/>
    <w:rsid w:val="00D34629"/>
    <w:rsid w:val="00D346EB"/>
    <w:rsid w:val="00D34B45"/>
    <w:rsid w:val="00D35190"/>
    <w:rsid w:val="00D35A16"/>
    <w:rsid w:val="00D35DEF"/>
    <w:rsid w:val="00D36000"/>
    <w:rsid w:val="00D362D1"/>
    <w:rsid w:val="00D3648B"/>
    <w:rsid w:val="00D36D7D"/>
    <w:rsid w:val="00D36FEC"/>
    <w:rsid w:val="00D3723B"/>
    <w:rsid w:val="00D377B1"/>
    <w:rsid w:val="00D37996"/>
    <w:rsid w:val="00D37C81"/>
    <w:rsid w:val="00D37DF7"/>
    <w:rsid w:val="00D405B2"/>
    <w:rsid w:val="00D40BBB"/>
    <w:rsid w:val="00D4101C"/>
    <w:rsid w:val="00D411AB"/>
    <w:rsid w:val="00D41778"/>
    <w:rsid w:val="00D41B32"/>
    <w:rsid w:val="00D41BD7"/>
    <w:rsid w:val="00D41E32"/>
    <w:rsid w:val="00D42078"/>
    <w:rsid w:val="00D42CC1"/>
    <w:rsid w:val="00D42D59"/>
    <w:rsid w:val="00D42F6C"/>
    <w:rsid w:val="00D43663"/>
    <w:rsid w:val="00D43A1F"/>
    <w:rsid w:val="00D44755"/>
    <w:rsid w:val="00D4477C"/>
    <w:rsid w:val="00D44AA2"/>
    <w:rsid w:val="00D45524"/>
    <w:rsid w:val="00D45EDA"/>
    <w:rsid w:val="00D46126"/>
    <w:rsid w:val="00D461B7"/>
    <w:rsid w:val="00D46750"/>
    <w:rsid w:val="00D4788B"/>
    <w:rsid w:val="00D47CB3"/>
    <w:rsid w:val="00D47F43"/>
    <w:rsid w:val="00D47FC6"/>
    <w:rsid w:val="00D5004E"/>
    <w:rsid w:val="00D506A4"/>
    <w:rsid w:val="00D50D8F"/>
    <w:rsid w:val="00D50DFF"/>
    <w:rsid w:val="00D50F88"/>
    <w:rsid w:val="00D512A4"/>
    <w:rsid w:val="00D5135C"/>
    <w:rsid w:val="00D5138A"/>
    <w:rsid w:val="00D517A9"/>
    <w:rsid w:val="00D5195A"/>
    <w:rsid w:val="00D51A5D"/>
    <w:rsid w:val="00D51A7A"/>
    <w:rsid w:val="00D51B6D"/>
    <w:rsid w:val="00D51C63"/>
    <w:rsid w:val="00D521C2"/>
    <w:rsid w:val="00D52785"/>
    <w:rsid w:val="00D52B04"/>
    <w:rsid w:val="00D53401"/>
    <w:rsid w:val="00D5370C"/>
    <w:rsid w:val="00D537D1"/>
    <w:rsid w:val="00D539EF"/>
    <w:rsid w:val="00D53A72"/>
    <w:rsid w:val="00D54038"/>
    <w:rsid w:val="00D54213"/>
    <w:rsid w:val="00D542E7"/>
    <w:rsid w:val="00D544E4"/>
    <w:rsid w:val="00D5490B"/>
    <w:rsid w:val="00D54F96"/>
    <w:rsid w:val="00D54FF3"/>
    <w:rsid w:val="00D5509A"/>
    <w:rsid w:val="00D550A4"/>
    <w:rsid w:val="00D5556F"/>
    <w:rsid w:val="00D55656"/>
    <w:rsid w:val="00D55A61"/>
    <w:rsid w:val="00D55E63"/>
    <w:rsid w:val="00D5610F"/>
    <w:rsid w:val="00D5676F"/>
    <w:rsid w:val="00D567D7"/>
    <w:rsid w:val="00D569BD"/>
    <w:rsid w:val="00D56AE7"/>
    <w:rsid w:val="00D57027"/>
    <w:rsid w:val="00D573B0"/>
    <w:rsid w:val="00D57521"/>
    <w:rsid w:val="00D576B6"/>
    <w:rsid w:val="00D578DF"/>
    <w:rsid w:val="00D5792F"/>
    <w:rsid w:val="00D57967"/>
    <w:rsid w:val="00D579E1"/>
    <w:rsid w:val="00D600EC"/>
    <w:rsid w:val="00D60147"/>
    <w:rsid w:val="00D6036C"/>
    <w:rsid w:val="00D60747"/>
    <w:rsid w:val="00D60CB8"/>
    <w:rsid w:val="00D60DEF"/>
    <w:rsid w:val="00D6110E"/>
    <w:rsid w:val="00D61D9D"/>
    <w:rsid w:val="00D61E8B"/>
    <w:rsid w:val="00D6217D"/>
    <w:rsid w:val="00D6231B"/>
    <w:rsid w:val="00D62439"/>
    <w:rsid w:val="00D62C17"/>
    <w:rsid w:val="00D62DFA"/>
    <w:rsid w:val="00D62FE3"/>
    <w:rsid w:val="00D63ACC"/>
    <w:rsid w:val="00D63D29"/>
    <w:rsid w:val="00D63EDB"/>
    <w:rsid w:val="00D6519E"/>
    <w:rsid w:val="00D65C79"/>
    <w:rsid w:val="00D6601C"/>
    <w:rsid w:val="00D66421"/>
    <w:rsid w:val="00D66949"/>
    <w:rsid w:val="00D674AD"/>
    <w:rsid w:val="00D67A38"/>
    <w:rsid w:val="00D67A60"/>
    <w:rsid w:val="00D67A77"/>
    <w:rsid w:val="00D67E77"/>
    <w:rsid w:val="00D70016"/>
    <w:rsid w:val="00D70178"/>
    <w:rsid w:val="00D70194"/>
    <w:rsid w:val="00D701CE"/>
    <w:rsid w:val="00D701D4"/>
    <w:rsid w:val="00D701D7"/>
    <w:rsid w:val="00D704D7"/>
    <w:rsid w:val="00D7069F"/>
    <w:rsid w:val="00D7083D"/>
    <w:rsid w:val="00D708A9"/>
    <w:rsid w:val="00D7100B"/>
    <w:rsid w:val="00D71188"/>
    <w:rsid w:val="00D7121B"/>
    <w:rsid w:val="00D71336"/>
    <w:rsid w:val="00D713A4"/>
    <w:rsid w:val="00D71461"/>
    <w:rsid w:val="00D71471"/>
    <w:rsid w:val="00D71B67"/>
    <w:rsid w:val="00D71BF6"/>
    <w:rsid w:val="00D71C56"/>
    <w:rsid w:val="00D71F09"/>
    <w:rsid w:val="00D72368"/>
    <w:rsid w:val="00D72BE6"/>
    <w:rsid w:val="00D72F25"/>
    <w:rsid w:val="00D73B2C"/>
    <w:rsid w:val="00D73C72"/>
    <w:rsid w:val="00D73DDB"/>
    <w:rsid w:val="00D7429D"/>
    <w:rsid w:val="00D745D7"/>
    <w:rsid w:val="00D75080"/>
    <w:rsid w:val="00D7519D"/>
    <w:rsid w:val="00D75281"/>
    <w:rsid w:val="00D75378"/>
    <w:rsid w:val="00D75A53"/>
    <w:rsid w:val="00D75B25"/>
    <w:rsid w:val="00D75DC9"/>
    <w:rsid w:val="00D76004"/>
    <w:rsid w:val="00D760B7"/>
    <w:rsid w:val="00D763AA"/>
    <w:rsid w:val="00D7657C"/>
    <w:rsid w:val="00D765FD"/>
    <w:rsid w:val="00D76616"/>
    <w:rsid w:val="00D76BAD"/>
    <w:rsid w:val="00D76C97"/>
    <w:rsid w:val="00D76D95"/>
    <w:rsid w:val="00D76E8B"/>
    <w:rsid w:val="00D7706C"/>
    <w:rsid w:val="00D77433"/>
    <w:rsid w:val="00D779A5"/>
    <w:rsid w:val="00D77DAD"/>
    <w:rsid w:val="00D77F24"/>
    <w:rsid w:val="00D80C6B"/>
    <w:rsid w:val="00D80CCC"/>
    <w:rsid w:val="00D80F0E"/>
    <w:rsid w:val="00D810BB"/>
    <w:rsid w:val="00D812DC"/>
    <w:rsid w:val="00D81524"/>
    <w:rsid w:val="00D81801"/>
    <w:rsid w:val="00D81807"/>
    <w:rsid w:val="00D81ADA"/>
    <w:rsid w:val="00D81FBB"/>
    <w:rsid w:val="00D8205D"/>
    <w:rsid w:val="00D8222E"/>
    <w:rsid w:val="00D82A69"/>
    <w:rsid w:val="00D8352F"/>
    <w:rsid w:val="00D836E9"/>
    <w:rsid w:val="00D83760"/>
    <w:rsid w:val="00D8395B"/>
    <w:rsid w:val="00D83D93"/>
    <w:rsid w:val="00D83FBF"/>
    <w:rsid w:val="00D844C1"/>
    <w:rsid w:val="00D8456E"/>
    <w:rsid w:val="00D8462F"/>
    <w:rsid w:val="00D846FB"/>
    <w:rsid w:val="00D849D6"/>
    <w:rsid w:val="00D84E58"/>
    <w:rsid w:val="00D85504"/>
    <w:rsid w:val="00D8567A"/>
    <w:rsid w:val="00D86512"/>
    <w:rsid w:val="00D86695"/>
    <w:rsid w:val="00D867A8"/>
    <w:rsid w:val="00D86A06"/>
    <w:rsid w:val="00D86ABB"/>
    <w:rsid w:val="00D86AD8"/>
    <w:rsid w:val="00D87080"/>
    <w:rsid w:val="00D87115"/>
    <w:rsid w:val="00D8714F"/>
    <w:rsid w:val="00D8715C"/>
    <w:rsid w:val="00D8744F"/>
    <w:rsid w:val="00D879C1"/>
    <w:rsid w:val="00D87B29"/>
    <w:rsid w:val="00D87D0E"/>
    <w:rsid w:val="00D87D72"/>
    <w:rsid w:val="00D9035B"/>
    <w:rsid w:val="00D90444"/>
    <w:rsid w:val="00D90A77"/>
    <w:rsid w:val="00D90BA1"/>
    <w:rsid w:val="00D91492"/>
    <w:rsid w:val="00D9177C"/>
    <w:rsid w:val="00D917C8"/>
    <w:rsid w:val="00D91911"/>
    <w:rsid w:val="00D91A0A"/>
    <w:rsid w:val="00D91A82"/>
    <w:rsid w:val="00D91B5D"/>
    <w:rsid w:val="00D91B8A"/>
    <w:rsid w:val="00D91CB8"/>
    <w:rsid w:val="00D92EED"/>
    <w:rsid w:val="00D92F25"/>
    <w:rsid w:val="00D932E6"/>
    <w:rsid w:val="00D9376B"/>
    <w:rsid w:val="00D93878"/>
    <w:rsid w:val="00D93E53"/>
    <w:rsid w:val="00D9449B"/>
    <w:rsid w:val="00D94A33"/>
    <w:rsid w:val="00D94AD1"/>
    <w:rsid w:val="00D94B35"/>
    <w:rsid w:val="00D95A14"/>
    <w:rsid w:val="00D95E5C"/>
    <w:rsid w:val="00D96232"/>
    <w:rsid w:val="00D96787"/>
    <w:rsid w:val="00D967A5"/>
    <w:rsid w:val="00D96B99"/>
    <w:rsid w:val="00D96D89"/>
    <w:rsid w:val="00D9732F"/>
    <w:rsid w:val="00D97CB3"/>
    <w:rsid w:val="00D97F7F"/>
    <w:rsid w:val="00DA00C4"/>
    <w:rsid w:val="00DA00E5"/>
    <w:rsid w:val="00DA032B"/>
    <w:rsid w:val="00DA037D"/>
    <w:rsid w:val="00DA0430"/>
    <w:rsid w:val="00DA0735"/>
    <w:rsid w:val="00DA114E"/>
    <w:rsid w:val="00DA1306"/>
    <w:rsid w:val="00DA1461"/>
    <w:rsid w:val="00DA182E"/>
    <w:rsid w:val="00DA1E23"/>
    <w:rsid w:val="00DA31BB"/>
    <w:rsid w:val="00DA32AF"/>
    <w:rsid w:val="00DA33EF"/>
    <w:rsid w:val="00DA35AD"/>
    <w:rsid w:val="00DA374B"/>
    <w:rsid w:val="00DA3A26"/>
    <w:rsid w:val="00DA3EAD"/>
    <w:rsid w:val="00DA3EC2"/>
    <w:rsid w:val="00DA4370"/>
    <w:rsid w:val="00DA4479"/>
    <w:rsid w:val="00DA4694"/>
    <w:rsid w:val="00DA477A"/>
    <w:rsid w:val="00DA4820"/>
    <w:rsid w:val="00DA4973"/>
    <w:rsid w:val="00DA4F32"/>
    <w:rsid w:val="00DA5172"/>
    <w:rsid w:val="00DA5259"/>
    <w:rsid w:val="00DA545B"/>
    <w:rsid w:val="00DA585B"/>
    <w:rsid w:val="00DA5A3E"/>
    <w:rsid w:val="00DA5E69"/>
    <w:rsid w:val="00DA67B4"/>
    <w:rsid w:val="00DA68A5"/>
    <w:rsid w:val="00DA6B61"/>
    <w:rsid w:val="00DA6CF4"/>
    <w:rsid w:val="00DA70E8"/>
    <w:rsid w:val="00DA73AF"/>
    <w:rsid w:val="00DA7CFE"/>
    <w:rsid w:val="00DA7EE5"/>
    <w:rsid w:val="00DB0056"/>
    <w:rsid w:val="00DB016D"/>
    <w:rsid w:val="00DB0236"/>
    <w:rsid w:val="00DB09C0"/>
    <w:rsid w:val="00DB0DD9"/>
    <w:rsid w:val="00DB10A8"/>
    <w:rsid w:val="00DB111B"/>
    <w:rsid w:val="00DB11DF"/>
    <w:rsid w:val="00DB1431"/>
    <w:rsid w:val="00DB19CC"/>
    <w:rsid w:val="00DB1E5D"/>
    <w:rsid w:val="00DB25E3"/>
    <w:rsid w:val="00DB2C19"/>
    <w:rsid w:val="00DB30F4"/>
    <w:rsid w:val="00DB31E4"/>
    <w:rsid w:val="00DB37A3"/>
    <w:rsid w:val="00DB3A12"/>
    <w:rsid w:val="00DB3C55"/>
    <w:rsid w:val="00DB3D95"/>
    <w:rsid w:val="00DB3D9F"/>
    <w:rsid w:val="00DB436C"/>
    <w:rsid w:val="00DB4863"/>
    <w:rsid w:val="00DB49CD"/>
    <w:rsid w:val="00DB4EF9"/>
    <w:rsid w:val="00DB5435"/>
    <w:rsid w:val="00DB5698"/>
    <w:rsid w:val="00DB575F"/>
    <w:rsid w:val="00DB59FC"/>
    <w:rsid w:val="00DB5F7B"/>
    <w:rsid w:val="00DB63F0"/>
    <w:rsid w:val="00DB66AC"/>
    <w:rsid w:val="00DB6947"/>
    <w:rsid w:val="00DB6B48"/>
    <w:rsid w:val="00DB6D8A"/>
    <w:rsid w:val="00DB6E07"/>
    <w:rsid w:val="00DB7131"/>
    <w:rsid w:val="00DB7344"/>
    <w:rsid w:val="00DB73D7"/>
    <w:rsid w:val="00DB761A"/>
    <w:rsid w:val="00DB768C"/>
    <w:rsid w:val="00DB7748"/>
    <w:rsid w:val="00DB77CD"/>
    <w:rsid w:val="00DB7916"/>
    <w:rsid w:val="00DB7E20"/>
    <w:rsid w:val="00DB7E8D"/>
    <w:rsid w:val="00DB7ED2"/>
    <w:rsid w:val="00DB7FA2"/>
    <w:rsid w:val="00DC0050"/>
    <w:rsid w:val="00DC04B5"/>
    <w:rsid w:val="00DC08BF"/>
    <w:rsid w:val="00DC08D5"/>
    <w:rsid w:val="00DC0D2B"/>
    <w:rsid w:val="00DC0EA9"/>
    <w:rsid w:val="00DC1061"/>
    <w:rsid w:val="00DC10C3"/>
    <w:rsid w:val="00DC10F2"/>
    <w:rsid w:val="00DC1326"/>
    <w:rsid w:val="00DC143B"/>
    <w:rsid w:val="00DC1926"/>
    <w:rsid w:val="00DC1C01"/>
    <w:rsid w:val="00DC1E36"/>
    <w:rsid w:val="00DC2244"/>
    <w:rsid w:val="00DC22A2"/>
    <w:rsid w:val="00DC2860"/>
    <w:rsid w:val="00DC2886"/>
    <w:rsid w:val="00DC28B0"/>
    <w:rsid w:val="00DC2B13"/>
    <w:rsid w:val="00DC2C91"/>
    <w:rsid w:val="00DC390F"/>
    <w:rsid w:val="00DC3A85"/>
    <w:rsid w:val="00DC3C5E"/>
    <w:rsid w:val="00DC3E4A"/>
    <w:rsid w:val="00DC4CD9"/>
    <w:rsid w:val="00DC56E3"/>
    <w:rsid w:val="00DC5DB6"/>
    <w:rsid w:val="00DC5EC0"/>
    <w:rsid w:val="00DC6192"/>
    <w:rsid w:val="00DC6EC3"/>
    <w:rsid w:val="00DC737F"/>
    <w:rsid w:val="00DC77BD"/>
    <w:rsid w:val="00DC7ADB"/>
    <w:rsid w:val="00DC7B45"/>
    <w:rsid w:val="00DC7B88"/>
    <w:rsid w:val="00DC7C54"/>
    <w:rsid w:val="00DC7F49"/>
    <w:rsid w:val="00DD0179"/>
    <w:rsid w:val="00DD05D4"/>
    <w:rsid w:val="00DD09EB"/>
    <w:rsid w:val="00DD0BEA"/>
    <w:rsid w:val="00DD0C04"/>
    <w:rsid w:val="00DD0CED"/>
    <w:rsid w:val="00DD15F1"/>
    <w:rsid w:val="00DD1A9E"/>
    <w:rsid w:val="00DD2301"/>
    <w:rsid w:val="00DD2520"/>
    <w:rsid w:val="00DD28FB"/>
    <w:rsid w:val="00DD30CB"/>
    <w:rsid w:val="00DD323E"/>
    <w:rsid w:val="00DD32CC"/>
    <w:rsid w:val="00DD357B"/>
    <w:rsid w:val="00DD3791"/>
    <w:rsid w:val="00DD3A1E"/>
    <w:rsid w:val="00DD3AFE"/>
    <w:rsid w:val="00DD3D22"/>
    <w:rsid w:val="00DD3E41"/>
    <w:rsid w:val="00DD417C"/>
    <w:rsid w:val="00DD426D"/>
    <w:rsid w:val="00DD436B"/>
    <w:rsid w:val="00DD4752"/>
    <w:rsid w:val="00DD47E4"/>
    <w:rsid w:val="00DD488F"/>
    <w:rsid w:val="00DD4AFB"/>
    <w:rsid w:val="00DD4D46"/>
    <w:rsid w:val="00DD4DAF"/>
    <w:rsid w:val="00DD50A3"/>
    <w:rsid w:val="00DD5130"/>
    <w:rsid w:val="00DD5349"/>
    <w:rsid w:val="00DD5420"/>
    <w:rsid w:val="00DD5595"/>
    <w:rsid w:val="00DD56DD"/>
    <w:rsid w:val="00DD584B"/>
    <w:rsid w:val="00DD5928"/>
    <w:rsid w:val="00DD5948"/>
    <w:rsid w:val="00DD6030"/>
    <w:rsid w:val="00DD616C"/>
    <w:rsid w:val="00DD6294"/>
    <w:rsid w:val="00DD67E5"/>
    <w:rsid w:val="00DD6A57"/>
    <w:rsid w:val="00DD6DAA"/>
    <w:rsid w:val="00DD6DE4"/>
    <w:rsid w:val="00DD7848"/>
    <w:rsid w:val="00DD7EAF"/>
    <w:rsid w:val="00DE01F6"/>
    <w:rsid w:val="00DE0520"/>
    <w:rsid w:val="00DE0857"/>
    <w:rsid w:val="00DE0CD5"/>
    <w:rsid w:val="00DE0FBE"/>
    <w:rsid w:val="00DE1031"/>
    <w:rsid w:val="00DE13A3"/>
    <w:rsid w:val="00DE1B18"/>
    <w:rsid w:val="00DE1BF6"/>
    <w:rsid w:val="00DE1D5F"/>
    <w:rsid w:val="00DE1E8F"/>
    <w:rsid w:val="00DE1FD6"/>
    <w:rsid w:val="00DE1FDE"/>
    <w:rsid w:val="00DE20F1"/>
    <w:rsid w:val="00DE21F5"/>
    <w:rsid w:val="00DE2411"/>
    <w:rsid w:val="00DE2445"/>
    <w:rsid w:val="00DE2792"/>
    <w:rsid w:val="00DE2C16"/>
    <w:rsid w:val="00DE2EB4"/>
    <w:rsid w:val="00DE34E7"/>
    <w:rsid w:val="00DE357C"/>
    <w:rsid w:val="00DE375E"/>
    <w:rsid w:val="00DE38E9"/>
    <w:rsid w:val="00DE390B"/>
    <w:rsid w:val="00DE3A21"/>
    <w:rsid w:val="00DE3A6C"/>
    <w:rsid w:val="00DE3CE5"/>
    <w:rsid w:val="00DE3DDD"/>
    <w:rsid w:val="00DE4063"/>
    <w:rsid w:val="00DE4144"/>
    <w:rsid w:val="00DE42F3"/>
    <w:rsid w:val="00DE472C"/>
    <w:rsid w:val="00DE4778"/>
    <w:rsid w:val="00DE4B1A"/>
    <w:rsid w:val="00DE56AD"/>
    <w:rsid w:val="00DE56E8"/>
    <w:rsid w:val="00DE5851"/>
    <w:rsid w:val="00DE5853"/>
    <w:rsid w:val="00DE5A62"/>
    <w:rsid w:val="00DE6788"/>
    <w:rsid w:val="00DE686E"/>
    <w:rsid w:val="00DE6EB9"/>
    <w:rsid w:val="00DE722E"/>
    <w:rsid w:val="00DE76A7"/>
    <w:rsid w:val="00DE78CE"/>
    <w:rsid w:val="00DE7B6E"/>
    <w:rsid w:val="00DE7CCD"/>
    <w:rsid w:val="00DF021A"/>
    <w:rsid w:val="00DF027A"/>
    <w:rsid w:val="00DF02D6"/>
    <w:rsid w:val="00DF074F"/>
    <w:rsid w:val="00DF0B23"/>
    <w:rsid w:val="00DF0BD6"/>
    <w:rsid w:val="00DF0D67"/>
    <w:rsid w:val="00DF0EA2"/>
    <w:rsid w:val="00DF0ED5"/>
    <w:rsid w:val="00DF0ED7"/>
    <w:rsid w:val="00DF123F"/>
    <w:rsid w:val="00DF12B3"/>
    <w:rsid w:val="00DF17D8"/>
    <w:rsid w:val="00DF1A16"/>
    <w:rsid w:val="00DF1C08"/>
    <w:rsid w:val="00DF1CF9"/>
    <w:rsid w:val="00DF201F"/>
    <w:rsid w:val="00DF21F4"/>
    <w:rsid w:val="00DF2409"/>
    <w:rsid w:val="00DF2583"/>
    <w:rsid w:val="00DF26B1"/>
    <w:rsid w:val="00DF2865"/>
    <w:rsid w:val="00DF2CE5"/>
    <w:rsid w:val="00DF2E7F"/>
    <w:rsid w:val="00DF3158"/>
    <w:rsid w:val="00DF3219"/>
    <w:rsid w:val="00DF3814"/>
    <w:rsid w:val="00DF3BF6"/>
    <w:rsid w:val="00DF3DA5"/>
    <w:rsid w:val="00DF43D4"/>
    <w:rsid w:val="00DF4400"/>
    <w:rsid w:val="00DF480A"/>
    <w:rsid w:val="00DF4AC4"/>
    <w:rsid w:val="00DF4CAF"/>
    <w:rsid w:val="00DF4FB9"/>
    <w:rsid w:val="00DF52AB"/>
    <w:rsid w:val="00DF52D1"/>
    <w:rsid w:val="00DF56A1"/>
    <w:rsid w:val="00DF5789"/>
    <w:rsid w:val="00DF5984"/>
    <w:rsid w:val="00DF5A45"/>
    <w:rsid w:val="00DF6037"/>
    <w:rsid w:val="00DF630F"/>
    <w:rsid w:val="00DF663B"/>
    <w:rsid w:val="00DF6AC9"/>
    <w:rsid w:val="00DF6BBE"/>
    <w:rsid w:val="00DF6E21"/>
    <w:rsid w:val="00DF70FF"/>
    <w:rsid w:val="00DF71D8"/>
    <w:rsid w:val="00DF7366"/>
    <w:rsid w:val="00E006FB"/>
    <w:rsid w:val="00E00719"/>
    <w:rsid w:val="00E0085F"/>
    <w:rsid w:val="00E00B43"/>
    <w:rsid w:val="00E0109D"/>
    <w:rsid w:val="00E0188B"/>
    <w:rsid w:val="00E0196D"/>
    <w:rsid w:val="00E01CA7"/>
    <w:rsid w:val="00E01D99"/>
    <w:rsid w:val="00E01DFE"/>
    <w:rsid w:val="00E020CB"/>
    <w:rsid w:val="00E02CDD"/>
    <w:rsid w:val="00E02D07"/>
    <w:rsid w:val="00E02E95"/>
    <w:rsid w:val="00E02F1B"/>
    <w:rsid w:val="00E03326"/>
    <w:rsid w:val="00E033BA"/>
    <w:rsid w:val="00E03504"/>
    <w:rsid w:val="00E03692"/>
    <w:rsid w:val="00E037B3"/>
    <w:rsid w:val="00E037C1"/>
    <w:rsid w:val="00E0382F"/>
    <w:rsid w:val="00E03846"/>
    <w:rsid w:val="00E03980"/>
    <w:rsid w:val="00E03DA9"/>
    <w:rsid w:val="00E041EC"/>
    <w:rsid w:val="00E047AD"/>
    <w:rsid w:val="00E0489F"/>
    <w:rsid w:val="00E058EE"/>
    <w:rsid w:val="00E05B26"/>
    <w:rsid w:val="00E05C35"/>
    <w:rsid w:val="00E05F83"/>
    <w:rsid w:val="00E06676"/>
    <w:rsid w:val="00E0669F"/>
    <w:rsid w:val="00E066D2"/>
    <w:rsid w:val="00E066F5"/>
    <w:rsid w:val="00E06A0D"/>
    <w:rsid w:val="00E07009"/>
    <w:rsid w:val="00E0716E"/>
    <w:rsid w:val="00E073BA"/>
    <w:rsid w:val="00E075DE"/>
    <w:rsid w:val="00E0775F"/>
    <w:rsid w:val="00E07AA3"/>
    <w:rsid w:val="00E07AB5"/>
    <w:rsid w:val="00E07DCD"/>
    <w:rsid w:val="00E10A5A"/>
    <w:rsid w:val="00E10E1B"/>
    <w:rsid w:val="00E10EC8"/>
    <w:rsid w:val="00E1117B"/>
    <w:rsid w:val="00E1135E"/>
    <w:rsid w:val="00E1171C"/>
    <w:rsid w:val="00E11D68"/>
    <w:rsid w:val="00E11DB0"/>
    <w:rsid w:val="00E11E45"/>
    <w:rsid w:val="00E120FC"/>
    <w:rsid w:val="00E1213E"/>
    <w:rsid w:val="00E1219F"/>
    <w:rsid w:val="00E1228B"/>
    <w:rsid w:val="00E12742"/>
    <w:rsid w:val="00E12A7B"/>
    <w:rsid w:val="00E12CBB"/>
    <w:rsid w:val="00E12D6C"/>
    <w:rsid w:val="00E12EDF"/>
    <w:rsid w:val="00E13408"/>
    <w:rsid w:val="00E1363C"/>
    <w:rsid w:val="00E1448C"/>
    <w:rsid w:val="00E14B7B"/>
    <w:rsid w:val="00E14CA0"/>
    <w:rsid w:val="00E14D04"/>
    <w:rsid w:val="00E14D30"/>
    <w:rsid w:val="00E14DD1"/>
    <w:rsid w:val="00E15B76"/>
    <w:rsid w:val="00E15DA7"/>
    <w:rsid w:val="00E16431"/>
    <w:rsid w:val="00E16805"/>
    <w:rsid w:val="00E16910"/>
    <w:rsid w:val="00E1695A"/>
    <w:rsid w:val="00E16B28"/>
    <w:rsid w:val="00E16CA5"/>
    <w:rsid w:val="00E16D2F"/>
    <w:rsid w:val="00E171C1"/>
    <w:rsid w:val="00E17961"/>
    <w:rsid w:val="00E17B40"/>
    <w:rsid w:val="00E17D3A"/>
    <w:rsid w:val="00E17D6E"/>
    <w:rsid w:val="00E17F71"/>
    <w:rsid w:val="00E2094D"/>
    <w:rsid w:val="00E20DD3"/>
    <w:rsid w:val="00E2102D"/>
    <w:rsid w:val="00E21224"/>
    <w:rsid w:val="00E2148C"/>
    <w:rsid w:val="00E21834"/>
    <w:rsid w:val="00E21A10"/>
    <w:rsid w:val="00E21BFF"/>
    <w:rsid w:val="00E21C86"/>
    <w:rsid w:val="00E21CE8"/>
    <w:rsid w:val="00E21EAD"/>
    <w:rsid w:val="00E21F8A"/>
    <w:rsid w:val="00E223B3"/>
    <w:rsid w:val="00E22541"/>
    <w:rsid w:val="00E22D6F"/>
    <w:rsid w:val="00E22E87"/>
    <w:rsid w:val="00E2360B"/>
    <w:rsid w:val="00E23C52"/>
    <w:rsid w:val="00E23C67"/>
    <w:rsid w:val="00E23CEF"/>
    <w:rsid w:val="00E23D0D"/>
    <w:rsid w:val="00E23FAE"/>
    <w:rsid w:val="00E24064"/>
    <w:rsid w:val="00E245C3"/>
    <w:rsid w:val="00E246BA"/>
    <w:rsid w:val="00E247DE"/>
    <w:rsid w:val="00E24BC4"/>
    <w:rsid w:val="00E24D7A"/>
    <w:rsid w:val="00E24F76"/>
    <w:rsid w:val="00E2631F"/>
    <w:rsid w:val="00E263EE"/>
    <w:rsid w:val="00E2648C"/>
    <w:rsid w:val="00E2675C"/>
    <w:rsid w:val="00E26A6B"/>
    <w:rsid w:val="00E26D12"/>
    <w:rsid w:val="00E26F6B"/>
    <w:rsid w:val="00E273C1"/>
    <w:rsid w:val="00E275B2"/>
    <w:rsid w:val="00E27665"/>
    <w:rsid w:val="00E278AC"/>
    <w:rsid w:val="00E27BEE"/>
    <w:rsid w:val="00E27CED"/>
    <w:rsid w:val="00E301CA"/>
    <w:rsid w:val="00E301F3"/>
    <w:rsid w:val="00E3052B"/>
    <w:rsid w:val="00E30EEA"/>
    <w:rsid w:val="00E31471"/>
    <w:rsid w:val="00E316BA"/>
    <w:rsid w:val="00E31710"/>
    <w:rsid w:val="00E31859"/>
    <w:rsid w:val="00E31F3E"/>
    <w:rsid w:val="00E32188"/>
    <w:rsid w:val="00E328AB"/>
    <w:rsid w:val="00E328D8"/>
    <w:rsid w:val="00E32B5E"/>
    <w:rsid w:val="00E32CE2"/>
    <w:rsid w:val="00E32CE6"/>
    <w:rsid w:val="00E32D37"/>
    <w:rsid w:val="00E32F10"/>
    <w:rsid w:val="00E33316"/>
    <w:rsid w:val="00E33B59"/>
    <w:rsid w:val="00E33C12"/>
    <w:rsid w:val="00E33F65"/>
    <w:rsid w:val="00E340C1"/>
    <w:rsid w:val="00E34142"/>
    <w:rsid w:val="00E3441A"/>
    <w:rsid w:val="00E34583"/>
    <w:rsid w:val="00E3460C"/>
    <w:rsid w:val="00E3489A"/>
    <w:rsid w:val="00E3495E"/>
    <w:rsid w:val="00E349E8"/>
    <w:rsid w:val="00E34C62"/>
    <w:rsid w:val="00E34E32"/>
    <w:rsid w:val="00E359B8"/>
    <w:rsid w:val="00E35C41"/>
    <w:rsid w:val="00E35CB7"/>
    <w:rsid w:val="00E35F92"/>
    <w:rsid w:val="00E3617F"/>
    <w:rsid w:val="00E3638F"/>
    <w:rsid w:val="00E368F9"/>
    <w:rsid w:val="00E36CE6"/>
    <w:rsid w:val="00E37094"/>
    <w:rsid w:val="00E37667"/>
    <w:rsid w:val="00E37DF4"/>
    <w:rsid w:val="00E4024F"/>
    <w:rsid w:val="00E40398"/>
    <w:rsid w:val="00E406DA"/>
    <w:rsid w:val="00E40ADA"/>
    <w:rsid w:val="00E40B1E"/>
    <w:rsid w:val="00E415FC"/>
    <w:rsid w:val="00E4170E"/>
    <w:rsid w:val="00E41CB6"/>
    <w:rsid w:val="00E42315"/>
    <w:rsid w:val="00E4246E"/>
    <w:rsid w:val="00E43398"/>
    <w:rsid w:val="00E43AA3"/>
    <w:rsid w:val="00E43EB0"/>
    <w:rsid w:val="00E43FB8"/>
    <w:rsid w:val="00E44214"/>
    <w:rsid w:val="00E44A2D"/>
    <w:rsid w:val="00E44A83"/>
    <w:rsid w:val="00E44BFF"/>
    <w:rsid w:val="00E44C59"/>
    <w:rsid w:val="00E453AF"/>
    <w:rsid w:val="00E45478"/>
    <w:rsid w:val="00E4549D"/>
    <w:rsid w:val="00E45BF2"/>
    <w:rsid w:val="00E45DEA"/>
    <w:rsid w:val="00E4677E"/>
    <w:rsid w:val="00E46935"/>
    <w:rsid w:val="00E46AA1"/>
    <w:rsid w:val="00E471D6"/>
    <w:rsid w:val="00E471FF"/>
    <w:rsid w:val="00E47684"/>
    <w:rsid w:val="00E47A76"/>
    <w:rsid w:val="00E500ED"/>
    <w:rsid w:val="00E50366"/>
    <w:rsid w:val="00E50757"/>
    <w:rsid w:val="00E50C4C"/>
    <w:rsid w:val="00E51829"/>
    <w:rsid w:val="00E51A57"/>
    <w:rsid w:val="00E52AE1"/>
    <w:rsid w:val="00E52D7D"/>
    <w:rsid w:val="00E52E0B"/>
    <w:rsid w:val="00E535AA"/>
    <w:rsid w:val="00E53651"/>
    <w:rsid w:val="00E5382B"/>
    <w:rsid w:val="00E53DCD"/>
    <w:rsid w:val="00E54066"/>
    <w:rsid w:val="00E540C1"/>
    <w:rsid w:val="00E54291"/>
    <w:rsid w:val="00E54585"/>
    <w:rsid w:val="00E5459C"/>
    <w:rsid w:val="00E545DA"/>
    <w:rsid w:val="00E5475E"/>
    <w:rsid w:val="00E549C2"/>
    <w:rsid w:val="00E54AB5"/>
    <w:rsid w:val="00E55266"/>
    <w:rsid w:val="00E55537"/>
    <w:rsid w:val="00E557B5"/>
    <w:rsid w:val="00E55814"/>
    <w:rsid w:val="00E55E1B"/>
    <w:rsid w:val="00E55FB3"/>
    <w:rsid w:val="00E56BD8"/>
    <w:rsid w:val="00E56F3C"/>
    <w:rsid w:val="00E574B1"/>
    <w:rsid w:val="00E57AB4"/>
    <w:rsid w:val="00E57B6A"/>
    <w:rsid w:val="00E57D28"/>
    <w:rsid w:val="00E600B9"/>
    <w:rsid w:val="00E602BA"/>
    <w:rsid w:val="00E60952"/>
    <w:rsid w:val="00E60A3B"/>
    <w:rsid w:val="00E614A2"/>
    <w:rsid w:val="00E61819"/>
    <w:rsid w:val="00E61A81"/>
    <w:rsid w:val="00E61E23"/>
    <w:rsid w:val="00E61EA3"/>
    <w:rsid w:val="00E620A6"/>
    <w:rsid w:val="00E6210D"/>
    <w:rsid w:val="00E62171"/>
    <w:rsid w:val="00E62545"/>
    <w:rsid w:val="00E62656"/>
    <w:rsid w:val="00E62768"/>
    <w:rsid w:val="00E62781"/>
    <w:rsid w:val="00E62E62"/>
    <w:rsid w:val="00E62F0B"/>
    <w:rsid w:val="00E635B9"/>
    <w:rsid w:val="00E6448D"/>
    <w:rsid w:val="00E644E9"/>
    <w:rsid w:val="00E6462C"/>
    <w:rsid w:val="00E64745"/>
    <w:rsid w:val="00E64781"/>
    <w:rsid w:val="00E64A14"/>
    <w:rsid w:val="00E64ED7"/>
    <w:rsid w:val="00E6593A"/>
    <w:rsid w:val="00E65BCA"/>
    <w:rsid w:val="00E65F73"/>
    <w:rsid w:val="00E65F80"/>
    <w:rsid w:val="00E660E4"/>
    <w:rsid w:val="00E66309"/>
    <w:rsid w:val="00E66365"/>
    <w:rsid w:val="00E664B9"/>
    <w:rsid w:val="00E66A92"/>
    <w:rsid w:val="00E66FF1"/>
    <w:rsid w:val="00E672A9"/>
    <w:rsid w:val="00E672DE"/>
    <w:rsid w:val="00E67380"/>
    <w:rsid w:val="00E67F46"/>
    <w:rsid w:val="00E70029"/>
    <w:rsid w:val="00E700B0"/>
    <w:rsid w:val="00E700C2"/>
    <w:rsid w:val="00E71702"/>
    <w:rsid w:val="00E7174F"/>
    <w:rsid w:val="00E718FA"/>
    <w:rsid w:val="00E719D3"/>
    <w:rsid w:val="00E71AE3"/>
    <w:rsid w:val="00E720FE"/>
    <w:rsid w:val="00E7210E"/>
    <w:rsid w:val="00E72339"/>
    <w:rsid w:val="00E72A3A"/>
    <w:rsid w:val="00E72A86"/>
    <w:rsid w:val="00E72C29"/>
    <w:rsid w:val="00E72D83"/>
    <w:rsid w:val="00E72DAB"/>
    <w:rsid w:val="00E73270"/>
    <w:rsid w:val="00E73583"/>
    <w:rsid w:val="00E73A50"/>
    <w:rsid w:val="00E73E05"/>
    <w:rsid w:val="00E740F1"/>
    <w:rsid w:val="00E7442B"/>
    <w:rsid w:val="00E748F5"/>
    <w:rsid w:val="00E74BD9"/>
    <w:rsid w:val="00E74CD1"/>
    <w:rsid w:val="00E74DB2"/>
    <w:rsid w:val="00E74EE7"/>
    <w:rsid w:val="00E75023"/>
    <w:rsid w:val="00E75233"/>
    <w:rsid w:val="00E75236"/>
    <w:rsid w:val="00E757D1"/>
    <w:rsid w:val="00E75D1A"/>
    <w:rsid w:val="00E764CF"/>
    <w:rsid w:val="00E76782"/>
    <w:rsid w:val="00E76956"/>
    <w:rsid w:val="00E76A83"/>
    <w:rsid w:val="00E76AE4"/>
    <w:rsid w:val="00E76B6E"/>
    <w:rsid w:val="00E76DB9"/>
    <w:rsid w:val="00E77030"/>
    <w:rsid w:val="00E7723B"/>
    <w:rsid w:val="00E773C5"/>
    <w:rsid w:val="00E776A1"/>
    <w:rsid w:val="00E77744"/>
    <w:rsid w:val="00E777AD"/>
    <w:rsid w:val="00E777D8"/>
    <w:rsid w:val="00E779CB"/>
    <w:rsid w:val="00E80036"/>
    <w:rsid w:val="00E800DF"/>
    <w:rsid w:val="00E808CB"/>
    <w:rsid w:val="00E80B80"/>
    <w:rsid w:val="00E81445"/>
    <w:rsid w:val="00E814BC"/>
    <w:rsid w:val="00E81603"/>
    <w:rsid w:val="00E81756"/>
    <w:rsid w:val="00E818D6"/>
    <w:rsid w:val="00E81A4E"/>
    <w:rsid w:val="00E81A79"/>
    <w:rsid w:val="00E81FF0"/>
    <w:rsid w:val="00E82C70"/>
    <w:rsid w:val="00E82DC8"/>
    <w:rsid w:val="00E8320F"/>
    <w:rsid w:val="00E83541"/>
    <w:rsid w:val="00E8398D"/>
    <w:rsid w:val="00E83C2D"/>
    <w:rsid w:val="00E83D1B"/>
    <w:rsid w:val="00E84AB4"/>
    <w:rsid w:val="00E84B48"/>
    <w:rsid w:val="00E84CC9"/>
    <w:rsid w:val="00E84EBF"/>
    <w:rsid w:val="00E85268"/>
    <w:rsid w:val="00E85432"/>
    <w:rsid w:val="00E8590A"/>
    <w:rsid w:val="00E85931"/>
    <w:rsid w:val="00E85A29"/>
    <w:rsid w:val="00E85BD3"/>
    <w:rsid w:val="00E85F38"/>
    <w:rsid w:val="00E86062"/>
    <w:rsid w:val="00E861A8"/>
    <w:rsid w:val="00E8664F"/>
    <w:rsid w:val="00E86835"/>
    <w:rsid w:val="00E86E71"/>
    <w:rsid w:val="00E86ED2"/>
    <w:rsid w:val="00E87080"/>
    <w:rsid w:val="00E871DB"/>
    <w:rsid w:val="00E87629"/>
    <w:rsid w:val="00E87846"/>
    <w:rsid w:val="00E87853"/>
    <w:rsid w:val="00E90075"/>
    <w:rsid w:val="00E90423"/>
    <w:rsid w:val="00E9047F"/>
    <w:rsid w:val="00E90630"/>
    <w:rsid w:val="00E90AA3"/>
    <w:rsid w:val="00E90C12"/>
    <w:rsid w:val="00E90F1F"/>
    <w:rsid w:val="00E91621"/>
    <w:rsid w:val="00E9187D"/>
    <w:rsid w:val="00E91C47"/>
    <w:rsid w:val="00E91D47"/>
    <w:rsid w:val="00E91FEE"/>
    <w:rsid w:val="00E92935"/>
    <w:rsid w:val="00E93810"/>
    <w:rsid w:val="00E93E04"/>
    <w:rsid w:val="00E94121"/>
    <w:rsid w:val="00E9426C"/>
    <w:rsid w:val="00E94784"/>
    <w:rsid w:val="00E949D3"/>
    <w:rsid w:val="00E94A10"/>
    <w:rsid w:val="00E94AB0"/>
    <w:rsid w:val="00E957FC"/>
    <w:rsid w:val="00E95D01"/>
    <w:rsid w:val="00E95F11"/>
    <w:rsid w:val="00E95F82"/>
    <w:rsid w:val="00E96141"/>
    <w:rsid w:val="00E96473"/>
    <w:rsid w:val="00E96829"/>
    <w:rsid w:val="00E9686D"/>
    <w:rsid w:val="00E96A85"/>
    <w:rsid w:val="00E96BA9"/>
    <w:rsid w:val="00E96D0C"/>
    <w:rsid w:val="00E97172"/>
    <w:rsid w:val="00E9720F"/>
    <w:rsid w:val="00E974DB"/>
    <w:rsid w:val="00E9757C"/>
    <w:rsid w:val="00E9760E"/>
    <w:rsid w:val="00E97928"/>
    <w:rsid w:val="00E979A4"/>
    <w:rsid w:val="00E97A5E"/>
    <w:rsid w:val="00EA0071"/>
    <w:rsid w:val="00EA084B"/>
    <w:rsid w:val="00EA0D57"/>
    <w:rsid w:val="00EA0E45"/>
    <w:rsid w:val="00EA15DF"/>
    <w:rsid w:val="00EA1EAD"/>
    <w:rsid w:val="00EA205B"/>
    <w:rsid w:val="00EA2279"/>
    <w:rsid w:val="00EA2E86"/>
    <w:rsid w:val="00EA3628"/>
    <w:rsid w:val="00EA36AF"/>
    <w:rsid w:val="00EA36D3"/>
    <w:rsid w:val="00EA3702"/>
    <w:rsid w:val="00EA38FA"/>
    <w:rsid w:val="00EA3A96"/>
    <w:rsid w:val="00EA3C89"/>
    <w:rsid w:val="00EA3E9B"/>
    <w:rsid w:val="00EA446D"/>
    <w:rsid w:val="00EA460C"/>
    <w:rsid w:val="00EA4907"/>
    <w:rsid w:val="00EA4974"/>
    <w:rsid w:val="00EA4A2E"/>
    <w:rsid w:val="00EA4BB4"/>
    <w:rsid w:val="00EA4BCD"/>
    <w:rsid w:val="00EA4CE0"/>
    <w:rsid w:val="00EA4EE3"/>
    <w:rsid w:val="00EA52B7"/>
    <w:rsid w:val="00EA5618"/>
    <w:rsid w:val="00EA5AC7"/>
    <w:rsid w:val="00EA6303"/>
    <w:rsid w:val="00EA63E7"/>
    <w:rsid w:val="00EA66CA"/>
    <w:rsid w:val="00EA6795"/>
    <w:rsid w:val="00EA67FD"/>
    <w:rsid w:val="00EA6872"/>
    <w:rsid w:val="00EA69A8"/>
    <w:rsid w:val="00EA6B29"/>
    <w:rsid w:val="00EA6B90"/>
    <w:rsid w:val="00EA6DE9"/>
    <w:rsid w:val="00EA6EA1"/>
    <w:rsid w:val="00EA740F"/>
    <w:rsid w:val="00EA7587"/>
    <w:rsid w:val="00EA7A0F"/>
    <w:rsid w:val="00EB0310"/>
    <w:rsid w:val="00EB04B5"/>
    <w:rsid w:val="00EB06AF"/>
    <w:rsid w:val="00EB07D3"/>
    <w:rsid w:val="00EB1023"/>
    <w:rsid w:val="00EB1073"/>
    <w:rsid w:val="00EB118A"/>
    <w:rsid w:val="00EB14B2"/>
    <w:rsid w:val="00EB17BD"/>
    <w:rsid w:val="00EB199B"/>
    <w:rsid w:val="00EB1BC0"/>
    <w:rsid w:val="00EB210B"/>
    <w:rsid w:val="00EB2248"/>
    <w:rsid w:val="00EB2453"/>
    <w:rsid w:val="00EB269D"/>
    <w:rsid w:val="00EB26A0"/>
    <w:rsid w:val="00EB2979"/>
    <w:rsid w:val="00EB2A4D"/>
    <w:rsid w:val="00EB3434"/>
    <w:rsid w:val="00EB36CB"/>
    <w:rsid w:val="00EB37B0"/>
    <w:rsid w:val="00EB39B4"/>
    <w:rsid w:val="00EB39F9"/>
    <w:rsid w:val="00EB3BCE"/>
    <w:rsid w:val="00EB3EE1"/>
    <w:rsid w:val="00EB3FD7"/>
    <w:rsid w:val="00EB47E5"/>
    <w:rsid w:val="00EB5877"/>
    <w:rsid w:val="00EB5A86"/>
    <w:rsid w:val="00EB5CAD"/>
    <w:rsid w:val="00EB61ED"/>
    <w:rsid w:val="00EB621E"/>
    <w:rsid w:val="00EB65A1"/>
    <w:rsid w:val="00EB6633"/>
    <w:rsid w:val="00EB684B"/>
    <w:rsid w:val="00EB6F79"/>
    <w:rsid w:val="00EB70AC"/>
    <w:rsid w:val="00EB730C"/>
    <w:rsid w:val="00EB7561"/>
    <w:rsid w:val="00EB7939"/>
    <w:rsid w:val="00EB7B45"/>
    <w:rsid w:val="00EB7C89"/>
    <w:rsid w:val="00EC01B1"/>
    <w:rsid w:val="00EC02CC"/>
    <w:rsid w:val="00EC0324"/>
    <w:rsid w:val="00EC03BF"/>
    <w:rsid w:val="00EC076C"/>
    <w:rsid w:val="00EC0DD2"/>
    <w:rsid w:val="00EC0E73"/>
    <w:rsid w:val="00EC13B2"/>
    <w:rsid w:val="00EC14B6"/>
    <w:rsid w:val="00EC1543"/>
    <w:rsid w:val="00EC1CA0"/>
    <w:rsid w:val="00EC23B5"/>
    <w:rsid w:val="00EC2BC2"/>
    <w:rsid w:val="00EC2C2F"/>
    <w:rsid w:val="00EC2CF2"/>
    <w:rsid w:val="00EC2D72"/>
    <w:rsid w:val="00EC2DE4"/>
    <w:rsid w:val="00EC3092"/>
    <w:rsid w:val="00EC3159"/>
    <w:rsid w:val="00EC323A"/>
    <w:rsid w:val="00EC34E3"/>
    <w:rsid w:val="00EC3700"/>
    <w:rsid w:val="00EC37CE"/>
    <w:rsid w:val="00EC3C14"/>
    <w:rsid w:val="00EC3D4A"/>
    <w:rsid w:val="00EC3FFF"/>
    <w:rsid w:val="00EC445B"/>
    <w:rsid w:val="00EC4820"/>
    <w:rsid w:val="00EC4CB5"/>
    <w:rsid w:val="00EC4E83"/>
    <w:rsid w:val="00EC4F05"/>
    <w:rsid w:val="00EC5062"/>
    <w:rsid w:val="00EC53F0"/>
    <w:rsid w:val="00EC581C"/>
    <w:rsid w:val="00EC5DD1"/>
    <w:rsid w:val="00EC6927"/>
    <w:rsid w:val="00EC70F7"/>
    <w:rsid w:val="00EC71C7"/>
    <w:rsid w:val="00EC7EB7"/>
    <w:rsid w:val="00EC7F4A"/>
    <w:rsid w:val="00ED0291"/>
    <w:rsid w:val="00ED0516"/>
    <w:rsid w:val="00ED053F"/>
    <w:rsid w:val="00ED0BC4"/>
    <w:rsid w:val="00ED163A"/>
    <w:rsid w:val="00ED198F"/>
    <w:rsid w:val="00ED1A2D"/>
    <w:rsid w:val="00ED1A3D"/>
    <w:rsid w:val="00ED1BFF"/>
    <w:rsid w:val="00ED241C"/>
    <w:rsid w:val="00ED26AE"/>
    <w:rsid w:val="00ED28D4"/>
    <w:rsid w:val="00ED296D"/>
    <w:rsid w:val="00ED2B38"/>
    <w:rsid w:val="00ED2B49"/>
    <w:rsid w:val="00ED2CDF"/>
    <w:rsid w:val="00ED2F2E"/>
    <w:rsid w:val="00ED3A50"/>
    <w:rsid w:val="00ED4090"/>
    <w:rsid w:val="00ED4348"/>
    <w:rsid w:val="00ED43DA"/>
    <w:rsid w:val="00ED44E1"/>
    <w:rsid w:val="00ED46D7"/>
    <w:rsid w:val="00ED4C1B"/>
    <w:rsid w:val="00ED4FAC"/>
    <w:rsid w:val="00ED529E"/>
    <w:rsid w:val="00ED542F"/>
    <w:rsid w:val="00ED557C"/>
    <w:rsid w:val="00ED60BB"/>
    <w:rsid w:val="00ED66C5"/>
    <w:rsid w:val="00ED687C"/>
    <w:rsid w:val="00ED68AC"/>
    <w:rsid w:val="00ED6A8D"/>
    <w:rsid w:val="00ED6B2E"/>
    <w:rsid w:val="00ED6EBD"/>
    <w:rsid w:val="00ED710B"/>
    <w:rsid w:val="00ED7133"/>
    <w:rsid w:val="00ED746B"/>
    <w:rsid w:val="00ED7515"/>
    <w:rsid w:val="00ED7788"/>
    <w:rsid w:val="00ED7AA4"/>
    <w:rsid w:val="00ED7BF0"/>
    <w:rsid w:val="00ED7ED0"/>
    <w:rsid w:val="00EE0007"/>
    <w:rsid w:val="00EE11F8"/>
    <w:rsid w:val="00EE14A7"/>
    <w:rsid w:val="00EE190E"/>
    <w:rsid w:val="00EE1BEB"/>
    <w:rsid w:val="00EE1DB9"/>
    <w:rsid w:val="00EE1E35"/>
    <w:rsid w:val="00EE2033"/>
    <w:rsid w:val="00EE25B9"/>
    <w:rsid w:val="00EE27E2"/>
    <w:rsid w:val="00EE2819"/>
    <w:rsid w:val="00EE2EC4"/>
    <w:rsid w:val="00EE309F"/>
    <w:rsid w:val="00EE3204"/>
    <w:rsid w:val="00EE38B4"/>
    <w:rsid w:val="00EE392A"/>
    <w:rsid w:val="00EE3A60"/>
    <w:rsid w:val="00EE3B06"/>
    <w:rsid w:val="00EE3B46"/>
    <w:rsid w:val="00EE3EC6"/>
    <w:rsid w:val="00EE3F23"/>
    <w:rsid w:val="00EE4BD4"/>
    <w:rsid w:val="00EE59ED"/>
    <w:rsid w:val="00EE6081"/>
    <w:rsid w:val="00EE60A1"/>
    <w:rsid w:val="00EE6168"/>
    <w:rsid w:val="00EE6853"/>
    <w:rsid w:val="00EE6C9F"/>
    <w:rsid w:val="00EE772B"/>
    <w:rsid w:val="00EE7E5F"/>
    <w:rsid w:val="00EE7FA6"/>
    <w:rsid w:val="00EF01F1"/>
    <w:rsid w:val="00EF0345"/>
    <w:rsid w:val="00EF04B9"/>
    <w:rsid w:val="00EF067D"/>
    <w:rsid w:val="00EF0CF9"/>
    <w:rsid w:val="00EF0FFB"/>
    <w:rsid w:val="00EF105D"/>
    <w:rsid w:val="00EF1537"/>
    <w:rsid w:val="00EF16C6"/>
    <w:rsid w:val="00EF19FD"/>
    <w:rsid w:val="00EF1A9B"/>
    <w:rsid w:val="00EF1CF5"/>
    <w:rsid w:val="00EF2262"/>
    <w:rsid w:val="00EF2380"/>
    <w:rsid w:val="00EF2440"/>
    <w:rsid w:val="00EF24AA"/>
    <w:rsid w:val="00EF24F5"/>
    <w:rsid w:val="00EF2565"/>
    <w:rsid w:val="00EF270D"/>
    <w:rsid w:val="00EF2765"/>
    <w:rsid w:val="00EF27D0"/>
    <w:rsid w:val="00EF28B1"/>
    <w:rsid w:val="00EF2DE8"/>
    <w:rsid w:val="00EF32CD"/>
    <w:rsid w:val="00EF32F6"/>
    <w:rsid w:val="00EF3456"/>
    <w:rsid w:val="00EF4226"/>
    <w:rsid w:val="00EF42A4"/>
    <w:rsid w:val="00EF4580"/>
    <w:rsid w:val="00EF488B"/>
    <w:rsid w:val="00EF490B"/>
    <w:rsid w:val="00EF4A0D"/>
    <w:rsid w:val="00EF4D4A"/>
    <w:rsid w:val="00EF4E98"/>
    <w:rsid w:val="00EF4EF1"/>
    <w:rsid w:val="00EF539F"/>
    <w:rsid w:val="00EF5925"/>
    <w:rsid w:val="00EF5D71"/>
    <w:rsid w:val="00EF662C"/>
    <w:rsid w:val="00EF6861"/>
    <w:rsid w:val="00EF6928"/>
    <w:rsid w:val="00EF69CD"/>
    <w:rsid w:val="00EF6DB5"/>
    <w:rsid w:val="00EF6FA9"/>
    <w:rsid w:val="00EF7405"/>
    <w:rsid w:val="00EF78EA"/>
    <w:rsid w:val="00EF7ED5"/>
    <w:rsid w:val="00F00112"/>
    <w:rsid w:val="00F010A4"/>
    <w:rsid w:val="00F016E4"/>
    <w:rsid w:val="00F017DC"/>
    <w:rsid w:val="00F01CB5"/>
    <w:rsid w:val="00F01E6C"/>
    <w:rsid w:val="00F02075"/>
    <w:rsid w:val="00F02159"/>
    <w:rsid w:val="00F031B6"/>
    <w:rsid w:val="00F03219"/>
    <w:rsid w:val="00F03702"/>
    <w:rsid w:val="00F03A67"/>
    <w:rsid w:val="00F03C06"/>
    <w:rsid w:val="00F03CE6"/>
    <w:rsid w:val="00F04097"/>
    <w:rsid w:val="00F045E2"/>
    <w:rsid w:val="00F04CAD"/>
    <w:rsid w:val="00F04EA7"/>
    <w:rsid w:val="00F051B0"/>
    <w:rsid w:val="00F051B6"/>
    <w:rsid w:val="00F05409"/>
    <w:rsid w:val="00F06034"/>
    <w:rsid w:val="00F06448"/>
    <w:rsid w:val="00F0689B"/>
    <w:rsid w:val="00F068E3"/>
    <w:rsid w:val="00F068FE"/>
    <w:rsid w:val="00F06B2F"/>
    <w:rsid w:val="00F06E52"/>
    <w:rsid w:val="00F06F62"/>
    <w:rsid w:val="00F077E9"/>
    <w:rsid w:val="00F078AE"/>
    <w:rsid w:val="00F07EC3"/>
    <w:rsid w:val="00F07FE8"/>
    <w:rsid w:val="00F100E0"/>
    <w:rsid w:val="00F10625"/>
    <w:rsid w:val="00F1079D"/>
    <w:rsid w:val="00F11081"/>
    <w:rsid w:val="00F11209"/>
    <w:rsid w:val="00F11547"/>
    <w:rsid w:val="00F1188F"/>
    <w:rsid w:val="00F11A95"/>
    <w:rsid w:val="00F11C15"/>
    <w:rsid w:val="00F11C39"/>
    <w:rsid w:val="00F11CEB"/>
    <w:rsid w:val="00F1248F"/>
    <w:rsid w:val="00F1264C"/>
    <w:rsid w:val="00F126D2"/>
    <w:rsid w:val="00F12C6A"/>
    <w:rsid w:val="00F12EF2"/>
    <w:rsid w:val="00F130A4"/>
    <w:rsid w:val="00F13263"/>
    <w:rsid w:val="00F13573"/>
    <w:rsid w:val="00F1398B"/>
    <w:rsid w:val="00F139E1"/>
    <w:rsid w:val="00F13A4A"/>
    <w:rsid w:val="00F13EA0"/>
    <w:rsid w:val="00F140E4"/>
    <w:rsid w:val="00F14107"/>
    <w:rsid w:val="00F14388"/>
    <w:rsid w:val="00F1457D"/>
    <w:rsid w:val="00F14673"/>
    <w:rsid w:val="00F1469A"/>
    <w:rsid w:val="00F1480E"/>
    <w:rsid w:val="00F149A3"/>
    <w:rsid w:val="00F1501B"/>
    <w:rsid w:val="00F15443"/>
    <w:rsid w:val="00F1550B"/>
    <w:rsid w:val="00F15856"/>
    <w:rsid w:val="00F15866"/>
    <w:rsid w:val="00F15BD1"/>
    <w:rsid w:val="00F1643A"/>
    <w:rsid w:val="00F16440"/>
    <w:rsid w:val="00F16469"/>
    <w:rsid w:val="00F16554"/>
    <w:rsid w:val="00F1677E"/>
    <w:rsid w:val="00F16AC1"/>
    <w:rsid w:val="00F16ED0"/>
    <w:rsid w:val="00F172BD"/>
    <w:rsid w:val="00F174DB"/>
    <w:rsid w:val="00F1767B"/>
    <w:rsid w:val="00F17B2F"/>
    <w:rsid w:val="00F17DEB"/>
    <w:rsid w:val="00F20583"/>
    <w:rsid w:val="00F20797"/>
    <w:rsid w:val="00F20976"/>
    <w:rsid w:val="00F20B59"/>
    <w:rsid w:val="00F20E6E"/>
    <w:rsid w:val="00F20E97"/>
    <w:rsid w:val="00F21185"/>
    <w:rsid w:val="00F211C1"/>
    <w:rsid w:val="00F21539"/>
    <w:rsid w:val="00F217CB"/>
    <w:rsid w:val="00F21874"/>
    <w:rsid w:val="00F2199E"/>
    <w:rsid w:val="00F21B43"/>
    <w:rsid w:val="00F21D1A"/>
    <w:rsid w:val="00F21E65"/>
    <w:rsid w:val="00F21EEB"/>
    <w:rsid w:val="00F22268"/>
    <w:rsid w:val="00F2231E"/>
    <w:rsid w:val="00F2259E"/>
    <w:rsid w:val="00F22877"/>
    <w:rsid w:val="00F23077"/>
    <w:rsid w:val="00F234F2"/>
    <w:rsid w:val="00F236E1"/>
    <w:rsid w:val="00F23B1B"/>
    <w:rsid w:val="00F23BD9"/>
    <w:rsid w:val="00F240CE"/>
    <w:rsid w:val="00F240F6"/>
    <w:rsid w:val="00F24486"/>
    <w:rsid w:val="00F24755"/>
    <w:rsid w:val="00F255AC"/>
    <w:rsid w:val="00F25875"/>
    <w:rsid w:val="00F25DBB"/>
    <w:rsid w:val="00F25E7A"/>
    <w:rsid w:val="00F25F15"/>
    <w:rsid w:val="00F25FDD"/>
    <w:rsid w:val="00F266D9"/>
    <w:rsid w:val="00F26877"/>
    <w:rsid w:val="00F268BA"/>
    <w:rsid w:val="00F26E93"/>
    <w:rsid w:val="00F26F42"/>
    <w:rsid w:val="00F272E0"/>
    <w:rsid w:val="00F273BB"/>
    <w:rsid w:val="00F275D4"/>
    <w:rsid w:val="00F30302"/>
    <w:rsid w:val="00F30562"/>
    <w:rsid w:val="00F30952"/>
    <w:rsid w:val="00F30CB3"/>
    <w:rsid w:val="00F30CBE"/>
    <w:rsid w:val="00F30F97"/>
    <w:rsid w:val="00F3163A"/>
    <w:rsid w:val="00F316E3"/>
    <w:rsid w:val="00F317C9"/>
    <w:rsid w:val="00F31A97"/>
    <w:rsid w:val="00F31BB5"/>
    <w:rsid w:val="00F31DDB"/>
    <w:rsid w:val="00F3200C"/>
    <w:rsid w:val="00F3204F"/>
    <w:rsid w:val="00F320EB"/>
    <w:rsid w:val="00F32125"/>
    <w:rsid w:val="00F321E3"/>
    <w:rsid w:val="00F323D2"/>
    <w:rsid w:val="00F32665"/>
    <w:rsid w:val="00F32E30"/>
    <w:rsid w:val="00F32EE7"/>
    <w:rsid w:val="00F330A5"/>
    <w:rsid w:val="00F3344A"/>
    <w:rsid w:val="00F3372C"/>
    <w:rsid w:val="00F33FEC"/>
    <w:rsid w:val="00F3411B"/>
    <w:rsid w:val="00F34636"/>
    <w:rsid w:val="00F35842"/>
    <w:rsid w:val="00F359EB"/>
    <w:rsid w:val="00F36501"/>
    <w:rsid w:val="00F36694"/>
    <w:rsid w:val="00F3684D"/>
    <w:rsid w:val="00F36943"/>
    <w:rsid w:val="00F36CD4"/>
    <w:rsid w:val="00F3703F"/>
    <w:rsid w:val="00F3767D"/>
    <w:rsid w:val="00F37743"/>
    <w:rsid w:val="00F37BA2"/>
    <w:rsid w:val="00F4012C"/>
    <w:rsid w:val="00F4063A"/>
    <w:rsid w:val="00F4093E"/>
    <w:rsid w:val="00F40A54"/>
    <w:rsid w:val="00F4170C"/>
    <w:rsid w:val="00F41879"/>
    <w:rsid w:val="00F41AD5"/>
    <w:rsid w:val="00F41CFF"/>
    <w:rsid w:val="00F41F8F"/>
    <w:rsid w:val="00F42129"/>
    <w:rsid w:val="00F42280"/>
    <w:rsid w:val="00F422EB"/>
    <w:rsid w:val="00F4243B"/>
    <w:rsid w:val="00F42646"/>
    <w:rsid w:val="00F42AC1"/>
    <w:rsid w:val="00F42EA6"/>
    <w:rsid w:val="00F42FD1"/>
    <w:rsid w:val="00F43598"/>
    <w:rsid w:val="00F43626"/>
    <w:rsid w:val="00F436D2"/>
    <w:rsid w:val="00F43757"/>
    <w:rsid w:val="00F43A0D"/>
    <w:rsid w:val="00F43BF4"/>
    <w:rsid w:val="00F43C6F"/>
    <w:rsid w:val="00F43DAD"/>
    <w:rsid w:val="00F44001"/>
    <w:rsid w:val="00F4413B"/>
    <w:rsid w:val="00F44464"/>
    <w:rsid w:val="00F44E67"/>
    <w:rsid w:val="00F45032"/>
    <w:rsid w:val="00F45722"/>
    <w:rsid w:val="00F45F56"/>
    <w:rsid w:val="00F4606E"/>
    <w:rsid w:val="00F461EB"/>
    <w:rsid w:val="00F4667C"/>
    <w:rsid w:val="00F46963"/>
    <w:rsid w:val="00F47047"/>
    <w:rsid w:val="00F4761B"/>
    <w:rsid w:val="00F4786F"/>
    <w:rsid w:val="00F4792C"/>
    <w:rsid w:val="00F47B34"/>
    <w:rsid w:val="00F47B98"/>
    <w:rsid w:val="00F47C30"/>
    <w:rsid w:val="00F47F9B"/>
    <w:rsid w:val="00F50392"/>
    <w:rsid w:val="00F5044B"/>
    <w:rsid w:val="00F50828"/>
    <w:rsid w:val="00F50906"/>
    <w:rsid w:val="00F50AA7"/>
    <w:rsid w:val="00F50C49"/>
    <w:rsid w:val="00F515AB"/>
    <w:rsid w:val="00F517D6"/>
    <w:rsid w:val="00F51F1A"/>
    <w:rsid w:val="00F51FF7"/>
    <w:rsid w:val="00F520A7"/>
    <w:rsid w:val="00F5211D"/>
    <w:rsid w:val="00F521F2"/>
    <w:rsid w:val="00F5288F"/>
    <w:rsid w:val="00F52C19"/>
    <w:rsid w:val="00F52CC2"/>
    <w:rsid w:val="00F53002"/>
    <w:rsid w:val="00F5365A"/>
    <w:rsid w:val="00F53743"/>
    <w:rsid w:val="00F53A09"/>
    <w:rsid w:val="00F53A33"/>
    <w:rsid w:val="00F53B8B"/>
    <w:rsid w:val="00F53C98"/>
    <w:rsid w:val="00F53FA4"/>
    <w:rsid w:val="00F54714"/>
    <w:rsid w:val="00F54BA2"/>
    <w:rsid w:val="00F54C9C"/>
    <w:rsid w:val="00F54F6E"/>
    <w:rsid w:val="00F554CF"/>
    <w:rsid w:val="00F558D4"/>
    <w:rsid w:val="00F55FFC"/>
    <w:rsid w:val="00F56108"/>
    <w:rsid w:val="00F5612C"/>
    <w:rsid w:val="00F569DE"/>
    <w:rsid w:val="00F56BF3"/>
    <w:rsid w:val="00F56F60"/>
    <w:rsid w:val="00F571C3"/>
    <w:rsid w:val="00F576B5"/>
    <w:rsid w:val="00F577C6"/>
    <w:rsid w:val="00F57800"/>
    <w:rsid w:val="00F57A4E"/>
    <w:rsid w:val="00F57D96"/>
    <w:rsid w:val="00F57F76"/>
    <w:rsid w:val="00F603F5"/>
    <w:rsid w:val="00F6083E"/>
    <w:rsid w:val="00F60B70"/>
    <w:rsid w:val="00F61372"/>
    <w:rsid w:val="00F616A6"/>
    <w:rsid w:val="00F6185D"/>
    <w:rsid w:val="00F61D18"/>
    <w:rsid w:val="00F61E8E"/>
    <w:rsid w:val="00F61FC9"/>
    <w:rsid w:val="00F62238"/>
    <w:rsid w:val="00F6223E"/>
    <w:rsid w:val="00F622FD"/>
    <w:rsid w:val="00F62391"/>
    <w:rsid w:val="00F62A2D"/>
    <w:rsid w:val="00F62AC7"/>
    <w:rsid w:val="00F63929"/>
    <w:rsid w:val="00F63A0E"/>
    <w:rsid w:val="00F63B07"/>
    <w:rsid w:val="00F63CED"/>
    <w:rsid w:val="00F63D62"/>
    <w:rsid w:val="00F6416D"/>
    <w:rsid w:val="00F641E6"/>
    <w:rsid w:val="00F642E8"/>
    <w:rsid w:val="00F64AD0"/>
    <w:rsid w:val="00F64B72"/>
    <w:rsid w:val="00F64FC3"/>
    <w:rsid w:val="00F64FE7"/>
    <w:rsid w:val="00F655DB"/>
    <w:rsid w:val="00F658DA"/>
    <w:rsid w:val="00F6592F"/>
    <w:rsid w:val="00F65A96"/>
    <w:rsid w:val="00F65B4B"/>
    <w:rsid w:val="00F65B8A"/>
    <w:rsid w:val="00F65E8C"/>
    <w:rsid w:val="00F663A0"/>
    <w:rsid w:val="00F66455"/>
    <w:rsid w:val="00F664AF"/>
    <w:rsid w:val="00F66F43"/>
    <w:rsid w:val="00F67765"/>
    <w:rsid w:val="00F678E8"/>
    <w:rsid w:val="00F706DC"/>
    <w:rsid w:val="00F70D4F"/>
    <w:rsid w:val="00F70F4A"/>
    <w:rsid w:val="00F70FD0"/>
    <w:rsid w:val="00F7113A"/>
    <w:rsid w:val="00F71278"/>
    <w:rsid w:val="00F712F4"/>
    <w:rsid w:val="00F7132A"/>
    <w:rsid w:val="00F71708"/>
    <w:rsid w:val="00F721EA"/>
    <w:rsid w:val="00F723C0"/>
    <w:rsid w:val="00F7257B"/>
    <w:rsid w:val="00F72B0E"/>
    <w:rsid w:val="00F72BF8"/>
    <w:rsid w:val="00F72D40"/>
    <w:rsid w:val="00F72D4F"/>
    <w:rsid w:val="00F72F42"/>
    <w:rsid w:val="00F731D2"/>
    <w:rsid w:val="00F735B5"/>
    <w:rsid w:val="00F73A5D"/>
    <w:rsid w:val="00F73AC5"/>
    <w:rsid w:val="00F73C9D"/>
    <w:rsid w:val="00F73E94"/>
    <w:rsid w:val="00F73F5D"/>
    <w:rsid w:val="00F74121"/>
    <w:rsid w:val="00F74296"/>
    <w:rsid w:val="00F747B6"/>
    <w:rsid w:val="00F747F7"/>
    <w:rsid w:val="00F74E7A"/>
    <w:rsid w:val="00F74FA0"/>
    <w:rsid w:val="00F750BF"/>
    <w:rsid w:val="00F75181"/>
    <w:rsid w:val="00F75320"/>
    <w:rsid w:val="00F753CF"/>
    <w:rsid w:val="00F757DD"/>
    <w:rsid w:val="00F75913"/>
    <w:rsid w:val="00F75E1F"/>
    <w:rsid w:val="00F76222"/>
    <w:rsid w:val="00F763D2"/>
    <w:rsid w:val="00F767F2"/>
    <w:rsid w:val="00F76D63"/>
    <w:rsid w:val="00F76EF1"/>
    <w:rsid w:val="00F77075"/>
    <w:rsid w:val="00F772BD"/>
    <w:rsid w:val="00F77566"/>
    <w:rsid w:val="00F77748"/>
    <w:rsid w:val="00F77E2A"/>
    <w:rsid w:val="00F80062"/>
    <w:rsid w:val="00F800C5"/>
    <w:rsid w:val="00F804B2"/>
    <w:rsid w:val="00F8050A"/>
    <w:rsid w:val="00F80C8A"/>
    <w:rsid w:val="00F81169"/>
    <w:rsid w:val="00F8119C"/>
    <w:rsid w:val="00F813AF"/>
    <w:rsid w:val="00F813E5"/>
    <w:rsid w:val="00F81CFA"/>
    <w:rsid w:val="00F82251"/>
    <w:rsid w:val="00F82403"/>
    <w:rsid w:val="00F82B0C"/>
    <w:rsid w:val="00F83339"/>
    <w:rsid w:val="00F83651"/>
    <w:rsid w:val="00F839FE"/>
    <w:rsid w:val="00F83D4F"/>
    <w:rsid w:val="00F8427A"/>
    <w:rsid w:val="00F84674"/>
    <w:rsid w:val="00F847FF"/>
    <w:rsid w:val="00F84A38"/>
    <w:rsid w:val="00F84A99"/>
    <w:rsid w:val="00F84CA9"/>
    <w:rsid w:val="00F84CDD"/>
    <w:rsid w:val="00F84E5D"/>
    <w:rsid w:val="00F85338"/>
    <w:rsid w:val="00F855E0"/>
    <w:rsid w:val="00F85A8A"/>
    <w:rsid w:val="00F85E5F"/>
    <w:rsid w:val="00F85FD0"/>
    <w:rsid w:val="00F86505"/>
    <w:rsid w:val="00F866D0"/>
    <w:rsid w:val="00F8681C"/>
    <w:rsid w:val="00F86C07"/>
    <w:rsid w:val="00F87A7C"/>
    <w:rsid w:val="00F87D2B"/>
    <w:rsid w:val="00F87D58"/>
    <w:rsid w:val="00F90500"/>
    <w:rsid w:val="00F909B8"/>
    <w:rsid w:val="00F90ACA"/>
    <w:rsid w:val="00F912CD"/>
    <w:rsid w:val="00F912FF"/>
    <w:rsid w:val="00F913F4"/>
    <w:rsid w:val="00F91578"/>
    <w:rsid w:val="00F919A5"/>
    <w:rsid w:val="00F91C99"/>
    <w:rsid w:val="00F91FBA"/>
    <w:rsid w:val="00F920DF"/>
    <w:rsid w:val="00F92166"/>
    <w:rsid w:val="00F9266C"/>
    <w:rsid w:val="00F92C5C"/>
    <w:rsid w:val="00F93175"/>
    <w:rsid w:val="00F937BA"/>
    <w:rsid w:val="00F94078"/>
    <w:rsid w:val="00F9431A"/>
    <w:rsid w:val="00F943C1"/>
    <w:rsid w:val="00F94493"/>
    <w:rsid w:val="00F94CF3"/>
    <w:rsid w:val="00F9509D"/>
    <w:rsid w:val="00F952D4"/>
    <w:rsid w:val="00F952DE"/>
    <w:rsid w:val="00F957C9"/>
    <w:rsid w:val="00F95A85"/>
    <w:rsid w:val="00F95E86"/>
    <w:rsid w:val="00F95F8D"/>
    <w:rsid w:val="00F96182"/>
    <w:rsid w:val="00F9639F"/>
    <w:rsid w:val="00F963DA"/>
    <w:rsid w:val="00F96403"/>
    <w:rsid w:val="00F9643D"/>
    <w:rsid w:val="00F967F7"/>
    <w:rsid w:val="00F96ACB"/>
    <w:rsid w:val="00F96C9A"/>
    <w:rsid w:val="00F972F3"/>
    <w:rsid w:val="00F9735E"/>
    <w:rsid w:val="00F973AF"/>
    <w:rsid w:val="00F973C6"/>
    <w:rsid w:val="00F97919"/>
    <w:rsid w:val="00F97C27"/>
    <w:rsid w:val="00FA09B0"/>
    <w:rsid w:val="00FA09B4"/>
    <w:rsid w:val="00FA0C7A"/>
    <w:rsid w:val="00FA106A"/>
    <w:rsid w:val="00FA1166"/>
    <w:rsid w:val="00FA1DCD"/>
    <w:rsid w:val="00FA2240"/>
    <w:rsid w:val="00FA27B3"/>
    <w:rsid w:val="00FA2FF6"/>
    <w:rsid w:val="00FA3120"/>
    <w:rsid w:val="00FA3396"/>
    <w:rsid w:val="00FA343C"/>
    <w:rsid w:val="00FA350E"/>
    <w:rsid w:val="00FA4023"/>
    <w:rsid w:val="00FA43A7"/>
    <w:rsid w:val="00FA44D9"/>
    <w:rsid w:val="00FA46C1"/>
    <w:rsid w:val="00FA49C3"/>
    <w:rsid w:val="00FA5B44"/>
    <w:rsid w:val="00FA623C"/>
    <w:rsid w:val="00FA68B5"/>
    <w:rsid w:val="00FA6B63"/>
    <w:rsid w:val="00FA6C5C"/>
    <w:rsid w:val="00FA6CF1"/>
    <w:rsid w:val="00FA75EF"/>
    <w:rsid w:val="00FA7753"/>
    <w:rsid w:val="00FA77BD"/>
    <w:rsid w:val="00FA7E3F"/>
    <w:rsid w:val="00FA7FCA"/>
    <w:rsid w:val="00FB01EC"/>
    <w:rsid w:val="00FB0985"/>
    <w:rsid w:val="00FB0AE6"/>
    <w:rsid w:val="00FB0CC7"/>
    <w:rsid w:val="00FB0CCE"/>
    <w:rsid w:val="00FB117B"/>
    <w:rsid w:val="00FB12A8"/>
    <w:rsid w:val="00FB14D4"/>
    <w:rsid w:val="00FB188E"/>
    <w:rsid w:val="00FB192B"/>
    <w:rsid w:val="00FB1935"/>
    <w:rsid w:val="00FB1A6B"/>
    <w:rsid w:val="00FB1D70"/>
    <w:rsid w:val="00FB20FB"/>
    <w:rsid w:val="00FB21C9"/>
    <w:rsid w:val="00FB240E"/>
    <w:rsid w:val="00FB246A"/>
    <w:rsid w:val="00FB280F"/>
    <w:rsid w:val="00FB2A0D"/>
    <w:rsid w:val="00FB2BE6"/>
    <w:rsid w:val="00FB2CA5"/>
    <w:rsid w:val="00FB2FF6"/>
    <w:rsid w:val="00FB3318"/>
    <w:rsid w:val="00FB3415"/>
    <w:rsid w:val="00FB35FD"/>
    <w:rsid w:val="00FB3A0C"/>
    <w:rsid w:val="00FB4253"/>
    <w:rsid w:val="00FB44B4"/>
    <w:rsid w:val="00FB463B"/>
    <w:rsid w:val="00FB4EAA"/>
    <w:rsid w:val="00FB4F9A"/>
    <w:rsid w:val="00FB529F"/>
    <w:rsid w:val="00FB5A06"/>
    <w:rsid w:val="00FB754F"/>
    <w:rsid w:val="00FB791F"/>
    <w:rsid w:val="00FB7943"/>
    <w:rsid w:val="00FB7C6D"/>
    <w:rsid w:val="00FB7F47"/>
    <w:rsid w:val="00FC04E5"/>
    <w:rsid w:val="00FC0734"/>
    <w:rsid w:val="00FC0957"/>
    <w:rsid w:val="00FC0FE0"/>
    <w:rsid w:val="00FC118B"/>
    <w:rsid w:val="00FC1B2C"/>
    <w:rsid w:val="00FC1CB7"/>
    <w:rsid w:val="00FC1FCE"/>
    <w:rsid w:val="00FC2034"/>
    <w:rsid w:val="00FC247E"/>
    <w:rsid w:val="00FC26AD"/>
    <w:rsid w:val="00FC2DF9"/>
    <w:rsid w:val="00FC2EF3"/>
    <w:rsid w:val="00FC317E"/>
    <w:rsid w:val="00FC328B"/>
    <w:rsid w:val="00FC3BF1"/>
    <w:rsid w:val="00FC3FA0"/>
    <w:rsid w:val="00FC43AF"/>
    <w:rsid w:val="00FC4717"/>
    <w:rsid w:val="00FC49E2"/>
    <w:rsid w:val="00FC4B61"/>
    <w:rsid w:val="00FC503A"/>
    <w:rsid w:val="00FC5254"/>
    <w:rsid w:val="00FC56FB"/>
    <w:rsid w:val="00FC58F4"/>
    <w:rsid w:val="00FC5A8E"/>
    <w:rsid w:val="00FC625A"/>
    <w:rsid w:val="00FC62C3"/>
    <w:rsid w:val="00FC6949"/>
    <w:rsid w:val="00FC6D9B"/>
    <w:rsid w:val="00FC72FD"/>
    <w:rsid w:val="00FC7517"/>
    <w:rsid w:val="00FC799F"/>
    <w:rsid w:val="00FC7DDE"/>
    <w:rsid w:val="00FD0020"/>
    <w:rsid w:val="00FD005B"/>
    <w:rsid w:val="00FD04EE"/>
    <w:rsid w:val="00FD0DC4"/>
    <w:rsid w:val="00FD11D9"/>
    <w:rsid w:val="00FD11F8"/>
    <w:rsid w:val="00FD1438"/>
    <w:rsid w:val="00FD1613"/>
    <w:rsid w:val="00FD1638"/>
    <w:rsid w:val="00FD1ECC"/>
    <w:rsid w:val="00FD1F92"/>
    <w:rsid w:val="00FD2086"/>
    <w:rsid w:val="00FD2291"/>
    <w:rsid w:val="00FD251B"/>
    <w:rsid w:val="00FD2722"/>
    <w:rsid w:val="00FD272A"/>
    <w:rsid w:val="00FD36F8"/>
    <w:rsid w:val="00FD3A2A"/>
    <w:rsid w:val="00FD3C05"/>
    <w:rsid w:val="00FD3FB9"/>
    <w:rsid w:val="00FD4326"/>
    <w:rsid w:val="00FD4BC6"/>
    <w:rsid w:val="00FD5061"/>
    <w:rsid w:val="00FD50F3"/>
    <w:rsid w:val="00FD5135"/>
    <w:rsid w:val="00FD568D"/>
    <w:rsid w:val="00FD59E3"/>
    <w:rsid w:val="00FD5C7D"/>
    <w:rsid w:val="00FD5FF7"/>
    <w:rsid w:val="00FD61CF"/>
    <w:rsid w:val="00FD63C4"/>
    <w:rsid w:val="00FD69F4"/>
    <w:rsid w:val="00FD6A99"/>
    <w:rsid w:val="00FD6AEA"/>
    <w:rsid w:val="00FD6F47"/>
    <w:rsid w:val="00FD6FB2"/>
    <w:rsid w:val="00FD7C2E"/>
    <w:rsid w:val="00FD7D5C"/>
    <w:rsid w:val="00FD7DB4"/>
    <w:rsid w:val="00FD7EB6"/>
    <w:rsid w:val="00FE0963"/>
    <w:rsid w:val="00FE098C"/>
    <w:rsid w:val="00FE0AF5"/>
    <w:rsid w:val="00FE0CB9"/>
    <w:rsid w:val="00FE0D21"/>
    <w:rsid w:val="00FE10A9"/>
    <w:rsid w:val="00FE1199"/>
    <w:rsid w:val="00FE1425"/>
    <w:rsid w:val="00FE14ED"/>
    <w:rsid w:val="00FE162B"/>
    <w:rsid w:val="00FE18D8"/>
    <w:rsid w:val="00FE1E72"/>
    <w:rsid w:val="00FE21C9"/>
    <w:rsid w:val="00FE21E9"/>
    <w:rsid w:val="00FE2966"/>
    <w:rsid w:val="00FE2D16"/>
    <w:rsid w:val="00FE31B2"/>
    <w:rsid w:val="00FE3716"/>
    <w:rsid w:val="00FE37B3"/>
    <w:rsid w:val="00FE3C02"/>
    <w:rsid w:val="00FE3D19"/>
    <w:rsid w:val="00FE3DAA"/>
    <w:rsid w:val="00FE3E0F"/>
    <w:rsid w:val="00FE40EE"/>
    <w:rsid w:val="00FE4192"/>
    <w:rsid w:val="00FE4D74"/>
    <w:rsid w:val="00FE4EBE"/>
    <w:rsid w:val="00FE559F"/>
    <w:rsid w:val="00FE5675"/>
    <w:rsid w:val="00FE5DDE"/>
    <w:rsid w:val="00FE6127"/>
    <w:rsid w:val="00FE6281"/>
    <w:rsid w:val="00FE667E"/>
    <w:rsid w:val="00FE6865"/>
    <w:rsid w:val="00FE6B45"/>
    <w:rsid w:val="00FE6BDE"/>
    <w:rsid w:val="00FE6F3C"/>
    <w:rsid w:val="00FE7473"/>
    <w:rsid w:val="00FE74AB"/>
    <w:rsid w:val="00FE766E"/>
    <w:rsid w:val="00FE771D"/>
    <w:rsid w:val="00FE7783"/>
    <w:rsid w:val="00FE790B"/>
    <w:rsid w:val="00FE7AF1"/>
    <w:rsid w:val="00FF0007"/>
    <w:rsid w:val="00FF03A2"/>
    <w:rsid w:val="00FF0A01"/>
    <w:rsid w:val="00FF0CD1"/>
    <w:rsid w:val="00FF161B"/>
    <w:rsid w:val="00FF1653"/>
    <w:rsid w:val="00FF176C"/>
    <w:rsid w:val="00FF1812"/>
    <w:rsid w:val="00FF231D"/>
    <w:rsid w:val="00FF28FE"/>
    <w:rsid w:val="00FF2BC0"/>
    <w:rsid w:val="00FF2CBA"/>
    <w:rsid w:val="00FF2F39"/>
    <w:rsid w:val="00FF32A9"/>
    <w:rsid w:val="00FF33A2"/>
    <w:rsid w:val="00FF33A9"/>
    <w:rsid w:val="00FF3582"/>
    <w:rsid w:val="00FF3907"/>
    <w:rsid w:val="00FF3BC9"/>
    <w:rsid w:val="00FF3CAC"/>
    <w:rsid w:val="00FF3FAC"/>
    <w:rsid w:val="00FF4016"/>
    <w:rsid w:val="00FF421B"/>
    <w:rsid w:val="00FF4368"/>
    <w:rsid w:val="00FF4478"/>
    <w:rsid w:val="00FF4508"/>
    <w:rsid w:val="00FF4F68"/>
    <w:rsid w:val="00FF503C"/>
    <w:rsid w:val="00FF5044"/>
    <w:rsid w:val="00FF52DE"/>
    <w:rsid w:val="00FF55D8"/>
    <w:rsid w:val="00FF565C"/>
    <w:rsid w:val="00FF5A1D"/>
    <w:rsid w:val="00FF5F0C"/>
    <w:rsid w:val="00FF6002"/>
    <w:rsid w:val="00FF601C"/>
    <w:rsid w:val="00FF6341"/>
    <w:rsid w:val="00FF64BE"/>
    <w:rsid w:val="00FF66D1"/>
    <w:rsid w:val="00FF68EF"/>
    <w:rsid w:val="00FF70B5"/>
    <w:rsid w:val="00FF7189"/>
    <w:rsid w:val="00FF7721"/>
    <w:rsid w:val="00FF7E98"/>
    <w:rsid w:val="00FF7F30"/>
    <w:rsid w:val="010415BB"/>
    <w:rsid w:val="011A11A4"/>
    <w:rsid w:val="0123584C"/>
    <w:rsid w:val="0135355E"/>
    <w:rsid w:val="01405559"/>
    <w:rsid w:val="014B5B44"/>
    <w:rsid w:val="0159126E"/>
    <w:rsid w:val="0182219D"/>
    <w:rsid w:val="018C5F7F"/>
    <w:rsid w:val="01BE4069"/>
    <w:rsid w:val="01BE5800"/>
    <w:rsid w:val="01D6494A"/>
    <w:rsid w:val="01E46F65"/>
    <w:rsid w:val="02305B7C"/>
    <w:rsid w:val="025907F3"/>
    <w:rsid w:val="02E536DD"/>
    <w:rsid w:val="02FC7879"/>
    <w:rsid w:val="030E7004"/>
    <w:rsid w:val="035E737B"/>
    <w:rsid w:val="037A0CC5"/>
    <w:rsid w:val="037D3DF5"/>
    <w:rsid w:val="03F06C42"/>
    <w:rsid w:val="041B3357"/>
    <w:rsid w:val="04787C5D"/>
    <w:rsid w:val="04C34346"/>
    <w:rsid w:val="04DD2880"/>
    <w:rsid w:val="04E30437"/>
    <w:rsid w:val="05465FD3"/>
    <w:rsid w:val="05D640FE"/>
    <w:rsid w:val="05F41FAA"/>
    <w:rsid w:val="05F45E3B"/>
    <w:rsid w:val="062E579C"/>
    <w:rsid w:val="062F07EF"/>
    <w:rsid w:val="063B78DC"/>
    <w:rsid w:val="068C5BB2"/>
    <w:rsid w:val="06971FEE"/>
    <w:rsid w:val="06BF1B73"/>
    <w:rsid w:val="06C123D8"/>
    <w:rsid w:val="06C615A8"/>
    <w:rsid w:val="07216909"/>
    <w:rsid w:val="075F2E64"/>
    <w:rsid w:val="076E0F6D"/>
    <w:rsid w:val="07865624"/>
    <w:rsid w:val="07A8116C"/>
    <w:rsid w:val="07BD6B04"/>
    <w:rsid w:val="07CD48FD"/>
    <w:rsid w:val="07E84F31"/>
    <w:rsid w:val="083772CA"/>
    <w:rsid w:val="0839529D"/>
    <w:rsid w:val="084A0D04"/>
    <w:rsid w:val="08846562"/>
    <w:rsid w:val="08CA13FE"/>
    <w:rsid w:val="092D4D1C"/>
    <w:rsid w:val="09974C33"/>
    <w:rsid w:val="099C09E4"/>
    <w:rsid w:val="09B82947"/>
    <w:rsid w:val="0A8C5FC6"/>
    <w:rsid w:val="0B0F6D53"/>
    <w:rsid w:val="0B9176F8"/>
    <w:rsid w:val="0BE4744A"/>
    <w:rsid w:val="0BF958C7"/>
    <w:rsid w:val="0C1F4324"/>
    <w:rsid w:val="0C2561A2"/>
    <w:rsid w:val="0C3F3332"/>
    <w:rsid w:val="0C5A09A9"/>
    <w:rsid w:val="0CD43E9E"/>
    <w:rsid w:val="0CDB719E"/>
    <w:rsid w:val="0D56019D"/>
    <w:rsid w:val="0D5A7752"/>
    <w:rsid w:val="0E0812B7"/>
    <w:rsid w:val="0E407559"/>
    <w:rsid w:val="0E6F0323"/>
    <w:rsid w:val="0EAB6A73"/>
    <w:rsid w:val="0EBB37EE"/>
    <w:rsid w:val="0F4D0707"/>
    <w:rsid w:val="0F824086"/>
    <w:rsid w:val="0FBA2A45"/>
    <w:rsid w:val="0FC41654"/>
    <w:rsid w:val="0FDE7285"/>
    <w:rsid w:val="100D1EFF"/>
    <w:rsid w:val="1042721E"/>
    <w:rsid w:val="104C05B8"/>
    <w:rsid w:val="1147532F"/>
    <w:rsid w:val="118C2ED5"/>
    <w:rsid w:val="11B176E2"/>
    <w:rsid w:val="11B83D31"/>
    <w:rsid w:val="11D07A25"/>
    <w:rsid w:val="126F5DEF"/>
    <w:rsid w:val="12795B29"/>
    <w:rsid w:val="127E53C9"/>
    <w:rsid w:val="12C82F5F"/>
    <w:rsid w:val="12F62B63"/>
    <w:rsid w:val="131D00A3"/>
    <w:rsid w:val="13696837"/>
    <w:rsid w:val="13AA30FE"/>
    <w:rsid w:val="13B31AEC"/>
    <w:rsid w:val="13FE3FBA"/>
    <w:rsid w:val="140E1568"/>
    <w:rsid w:val="142217CF"/>
    <w:rsid w:val="14226EFE"/>
    <w:rsid w:val="14404369"/>
    <w:rsid w:val="14C9345F"/>
    <w:rsid w:val="155A344E"/>
    <w:rsid w:val="15693957"/>
    <w:rsid w:val="15724254"/>
    <w:rsid w:val="161C2C4B"/>
    <w:rsid w:val="173E69E9"/>
    <w:rsid w:val="175D349E"/>
    <w:rsid w:val="175D674F"/>
    <w:rsid w:val="17861C35"/>
    <w:rsid w:val="179055A0"/>
    <w:rsid w:val="17B53534"/>
    <w:rsid w:val="17CD2550"/>
    <w:rsid w:val="1805209F"/>
    <w:rsid w:val="180602BA"/>
    <w:rsid w:val="18114189"/>
    <w:rsid w:val="18A46E1B"/>
    <w:rsid w:val="18C85B11"/>
    <w:rsid w:val="18F06F2D"/>
    <w:rsid w:val="19117739"/>
    <w:rsid w:val="19403824"/>
    <w:rsid w:val="19AD7F51"/>
    <w:rsid w:val="1A9E3747"/>
    <w:rsid w:val="1B505274"/>
    <w:rsid w:val="1BA50D14"/>
    <w:rsid w:val="1BA677E7"/>
    <w:rsid w:val="1C05769F"/>
    <w:rsid w:val="1C157D87"/>
    <w:rsid w:val="1C352CA3"/>
    <w:rsid w:val="1C4164D9"/>
    <w:rsid w:val="1C625D30"/>
    <w:rsid w:val="1C7671E3"/>
    <w:rsid w:val="1C777601"/>
    <w:rsid w:val="1C795BE8"/>
    <w:rsid w:val="1C7B6556"/>
    <w:rsid w:val="1C8A493E"/>
    <w:rsid w:val="1CCB6998"/>
    <w:rsid w:val="1CD6623F"/>
    <w:rsid w:val="1CF90898"/>
    <w:rsid w:val="1CFA0FE7"/>
    <w:rsid w:val="1CFA589A"/>
    <w:rsid w:val="1D4824C2"/>
    <w:rsid w:val="1D802A0E"/>
    <w:rsid w:val="1D8C69C4"/>
    <w:rsid w:val="1E1C7C6C"/>
    <w:rsid w:val="1E652BA8"/>
    <w:rsid w:val="1E786F00"/>
    <w:rsid w:val="1E7C1E81"/>
    <w:rsid w:val="1EBE6692"/>
    <w:rsid w:val="1ED57D2E"/>
    <w:rsid w:val="1EE26B01"/>
    <w:rsid w:val="1EF607BA"/>
    <w:rsid w:val="1F147CCD"/>
    <w:rsid w:val="1F1F65F5"/>
    <w:rsid w:val="1F227F17"/>
    <w:rsid w:val="1F343C02"/>
    <w:rsid w:val="1F401CAC"/>
    <w:rsid w:val="1FAC7E53"/>
    <w:rsid w:val="200008B3"/>
    <w:rsid w:val="20517FE3"/>
    <w:rsid w:val="20597707"/>
    <w:rsid w:val="20BA5CCC"/>
    <w:rsid w:val="20CE2C18"/>
    <w:rsid w:val="20DB1848"/>
    <w:rsid w:val="212159CA"/>
    <w:rsid w:val="21577705"/>
    <w:rsid w:val="217C1DAF"/>
    <w:rsid w:val="217F3CB2"/>
    <w:rsid w:val="218220DE"/>
    <w:rsid w:val="21F4671D"/>
    <w:rsid w:val="21FE096D"/>
    <w:rsid w:val="222C76C6"/>
    <w:rsid w:val="22466CF3"/>
    <w:rsid w:val="2253067F"/>
    <w:rsid w:val="227C38B3"/>
    <w:rsid w:val="22A344E7"/>
    <w:rsid w:val="22C9107A"/>
    <w:rsid w:val="22DE3197"/>
    <w:rsid w:val="22F10EAE"/>
    <w:rsid w:val="23003277"/>
    <w:rsid w:val="23052DD1"/>
    <w:rsid w:val="230E0741"/>
    <w:rsid w:val="239273F0"/>
    <w:rsid w:val="239F6B5C"/>
    <w:rsid w:val="23B459CF"/>
    <w:rsid w:val="23CB5BA3"/>
    <w:rsid w:val="23DF233A"/>
    <w:rsid w:val="23F63E16"/>
    <w:rsid w:val="24327310"/>
    <w:rsid w:val="243A32C2"/>
    <w:rsid w:val="243F71F1"/>
    <w:rsid w:val="24603224"/>
    <w:rsid w:val="25093A3B"/>
    <w:rsid w:val="25236D0D"/>
    <w:rsid w:val="252F645D"/>
    <w:rsid w:val="25352649"/>
    <w:rsid w:val="254338F2"/>
    <w:rsid w:val="255E2F6B"/>
    <w:rsid w:val="258858A9"/>
    <w:rsid w:val="25E21C3F"/>
    <w:rsid w:val="25F4209D"/>
    <w:rsid w:val="25F64D5E"/>
    <w:rsid w:val="26757E2C"/>
    <w:rsid w:val="26790701"/>
    <w:rsid w:val="267970AE"/>
    <w:rsid w:val="273508EE"/>
    <w:rsid w:val="27483692"/>
    <w:rsid w:val="276F6E45"/>
    <w:rsid w:val="278066D7"/>
    <w:rsid w:val="27827B0F"/>
    <w:rsid w:val="27886287"/>
    <w:rsid w:val="279458B3"/>
    <w:rsid w:val="279F712B"/>
    <w:rsid w:val="27A651C9"/>
    <w:rsid w:val="27F53526"/>
    <w:rsid w:val="27F613F5"/>
    <w:rsid w:val="27FA5E76"/>
    <w:rsid w:val="28510862"/>
    <w:rsid w:val="28690FE5"/>
    <w:rsid w:val="2874680A"/>
    <w:rsid w:val="288E2BD2"/>
    <w:rsid w:val="289C674A"/>
    <w:rsid w:val="28DC50AB"/>
    <w:rsid w:val="28E55271"/>
    <w:rsid w:val="28E7739E"/>
    <w:rsid w:val="2923374B"/>
    <w:rsid w:val="293253E8"/>
    <w:rsid w:val="29AD443F"/>
    <w:rsid w:val="29BD796F"/>
    <w:rsid w:val="2A253F15"/>
    <w:rsid w:val="2A7F1337"/>
    <w:rsid w:val="2A8220BE"/>
    <w:rsid w:val="2AAC3644"/>
    <w:rsid w:val="2B8073C2"/>
    <w:rsid w:val="2B8946FF"/>
    <w:rsid w:val="2C0A4741"/>
    <w:rsid w:val="2C804AD2"/>
    <w:rsid w:val="2CF12331"/>
    <w:rsid w:val="2CF86E08"/>
    <w:rsid w:val="2D30283F"/>
    <w:rsid w:val="2D37238E"/>
    <w:rsid w:val="2D480265"/>
    <w:rsid w:val="2D55232A"/>
    <w:rsid w:val="2D9B15EF"/>
    <w:rsid w:val="2DAE77E6"/>
    <w:rsid w:val="2DB61F8F"/>
    <w:rsid w:val="2E0B6E95"/>
    <w:rsid w:val="2E304308"/>
    <w:rsid w:val="2E336D9D"/>
    <w:rsid w:val="2E5674BC"/>
    <w:rsid w:val="2E79695D"/>
    <w:rsid w:val="2EB26D79"/>
    <w:rsid w:val="2F16026E"/>
    <w:rsid w:val="2F7145F4"/>
    <w:rsid w:val="2F9E6EAD"/>
    <w:rsid w:val="30183F1E"/>
    <w:rsid w:val="301C1F55"/>
    <w:rsid w:val="303436A9"/>
    <w:rsid w:val="30580298"/>
    <w:rsid w:val="30646F90"/>
    <w:rsid w:val="30C73317"/>
    <w:rsid w:val="30CB0402"/>
    <w:rsid w:val="310955F2"/>
    <w:rsid w:val="31197E88"/>
    <w:rsid w:val="311A3CC6"/>
    <w:rsid w:val="31FB7C56"/>
    <w:rsid w:val="321E42BD"/>
    <w:rsid w:val="324D2681"/>
    <w:rsid w:val="33A81F62"/>
    <w:rsid w:val="34457450"/>
    <w:rsid w:val="34BC749F"/>
    <w:rsid w:val="34BD2C73"/>
    <w:rsid w:val="350E185E"/>
    <w:rsid w:val="35373F98"/>
    <w:rsid w:val="355F370C"/>
    <w:rsid w:val="35871ED9"/>
    <w:rsid w:val="36246068"/>
    <w:rsid w:val="363B7932"/>
    <w:rsid w:val="365C615D"/>
    <w:rsid w:val="366560C9"/>
    <w:rsid w:val="3692068D"/>
    <w:rsid w:val="36D15C2A"/>
    <w:rsid w:val="36F24681"/>
    <w:rsid w:val="36FA4BBC"/>
    <w:rsid w:val="371D61FE"/>
    <w:rsid w:val="372D6F71"/>
    <w:rsid w:val="37320B19"/>
    <w:rsid w:val="374B5AC3"/>
    <w:rsid w:val="376C4B50"/>
    <w:rsid w:val="3779679F"/>
    <w:rsid w:val="37C8447C"/>
    <w:rsid w:val="38187E4F"/>
    <w:rsid w:val="3820445B"/>
    <w:rsid w:val="38210467"/>
    <w:rsid w:val="38401B73"/>
    <w:rsid w:val="384B1D2A"/>
    <w:rsid w:val="38614FFC"/>
    <w:rsid w:val="38D054B9"/>
    <w:rsid w:val="38D830D6"/>
    <w:rsid w:val="38F24247"/>
    <w:rsid w:val="3923212E"/>
    <w:rsid w:val="396C5657"/>
    <w:rsid w:val="39780BBB"/>
    <w:rsid w:val="399267A7"/>
    <w:rsid w:val="39A53B63"/>
    <w:rsid w:val="39C944DB"/>
    <w:rsid w:val="39D617F2"/>
    <w:rsid w:val="39E4292E"/>
    <w:rsid w:val="3A7F1329"/>
    <w:rsid w:val="3A9974DB"/>
    <w:rsid w:val="3AA163AA"/>
    <w:rsid w:val="3B4E6F37"/>
    <w:rsid w:val="3B731AB5"/>
    <w:rsid w:val="3B833738"/>
    <w:rsid w:val="3B874762"/>
    <w:rsid w:val="3C2527C5"/>
    <w:rsid w:val="3C84642E"/>
    <w:rsid w:val="3CDA396C"/>
    <w:rsid w:val="3CDE2C25"/>
    <w:rsid w:val="3D6F75C9"/>
    <w:rsid w:val="3DBD343E"/>
    <w:rsid w:val="3DC1599B"/>
    <w:rsid w:val="3DE90F01"/>
    <w:rsid w:val="3DFF703C"/>
    <w:rsid w:val="3E266E35"/>
    <w:rsid w:val="3E394051"/>
    <w:rsid w:val="3E612E6B"/>
    <w:rsid w:val="3EC11C25"/>
    <w:rsid w:val="3F4829A1"/>
    <w:rsid w:val="3F6D6EBE"/>
    <w:rsid w:val="3F7F04D5"/>
    <w:rsid w:val="3F854386"/>
    <w:rsid w:val="3F9A23F0"/>
    <w:rsid w:val="404C221E"/>
    <w:rsid w:val="40A005F0"/>
    <w:rsid w:val="40A50B35"/>
    <w:rsid w:val="40C80671"/>
    <w:rsid w:val="41784C41"/>
    <w:rsid w:val="417D76A0"/>
    <w:rsid w:val="417E1386"/>
    <w:rsid w:val="4190159F"/>
    <w:rsid w:val="41953229"/>
    <w:rsid w:val="41A203A0"/>
    <w:rsid w:val="421E225D"/>
    <w:rsid w:val="422B6BF4"/>
    <w:rsid w:val="42347713"/>
    <w:rsid w:val="4293220B"/>
    <w:rsid w:val="429D02B3"/>
    <w:rsid w:val="42A94EAA"/>
    <w:rsid w:val="42BE52AF"/>
    <w:rsid w:val="434155E3"/>
    <w:rsid w:val="435636B8"/>
    <w:rsid w:val="43563C6E"/>
    <w:rsid w:val="43B00A8F"/>
    <w:rsid w:val="4407668B"/>
    <w:rsid w:val="44533614"/>
    <w:rsid w:val="452545FE"/>
    <w:rsid w:val="45392515"/>
    <w:rsid w:val="453E1BA6"/>
    <w:rsid w:val="454B391C"/>
    <w:rsid w:val="45511B47"/>
    <w:rsid w:val="459557D9"/>
    <w:rsid w:val="459C0CF6"/>
    <w:rsid w:val="45A15DDB"/>
    <w:rsid w:val="45A3513D"/>
    <w:rsid w:val="45B22926"/>
    <w:rsid w:val="4681712C"/>
    <w:rsid w:val="468B6718"/>
    <w:rsid w:val="46F83AAC"/>
    <w:rsid w:val="473B23EB"/>
    <w:rsid w:val="476250CF"/>
    <w:rsid w:val="478675EA"/>
    <w:rsid w:val="47B32EAB"/>
    <w:rsid w:val="47C40E8C"/>
    <w:rsid w:val="483925C3"/>
    <w:rsid w:val="48B1218F"/>
    <w:rsid w:val="48B14AB0"/>
    <w:rsid w:val="48BB286C"/>
    <w:rsid w:val="48D6123C"/>
    <w:rsid w:val="49150F51"/>
    <w:rsid w:val="492D2388"/>
    <w:rsid w:val="49480BD4"/>
    <w:rsid w:val="496E11C3"/>
    <w:rsid w:val="498A2208"/>
    <w:rsid w:val="499F04DF"/>
    <w:rsid w:val="49CB3BFF"/>
    <w:rsid w:val="4A052F67"/>
    <w:rsid w:val="4A2B4010"/>
    <w:rsid w:val="4A563B0F"/>
    <w:rsid w:val="4AA4619B"/>
    <w:rsid w:val="4AAE7A16"/>
    <w:rsid w:val="4AC62161"/>
    <w:rsid w:val="4AEC1C73"/>
    <w:rsid w:val="4B2477C4"/>
    <w:rsid w:val="4B284D77"/>
    <w:rsid w:val="4BB0116C"/>
    <w:rsid w:val="4BCE5075"/>
    <w:rsid w:val="4BEC1507"/>
    <w:rsid w:val="4C463054"/>
    <w:rsid w:val="4C9857D9"/>
    <w:rsid w:val="4CD363C9"/>
    <w:rsid w:val="4CEA6032"/>
    <w:rsid w:val="4D1D3D44"/>
    <w:rsid w:val="4D425B8B"/>
    <w:rsid w:val="4D7F6702"/>
    <w:rsid w:val="4DD27ACF"/>
    <w:rsid w:val="4E0B7232"/>
    <w:rsid w:val="4E1A7ECD"/>
    <w:rsid w:val="4E6A1D33"/>
    <w:rsid w:val="4E7818B6"/>
    <w:rsid w:val="4E7D040D"/>
    <w:rsid w:val="4F123950"/>
    <w:rsid w:val="4F134C73"/>
    <w:rsid w:val="4F8778DD"/>
    <w:rsid w:val="500C081B"/>
    <w:rsid w:val="50221477"/>
    <w:rsid w:val="507519D9"/>
    <w:rsid w:val="50822A14"/>
    <w:rsid w:val="50EC442B"/>
    <w:rsid w:val="517C422B"/>
    <w:rsid w:val="51824CF6"/>
    <w:rsid w:val="51F324C4"/>
    <w:rsid w:val="52127D7D"/>
    <w:rsid w:val="5235306E"/>
    <w:rsid w:val="52412A63"/>
    <w:rsid w:val="525672F6"/>
    <w:rsid w:val="529E7E5B"/>
    <w:rsid w:val="533A1307"/>
    <w:rsid w:val="534179D1"/>
    <w:rsid w:val="53763D4D"/>
    <w:rsid w:val="53B31311"/>
    <w:rsid w:val="53B74B2E"/>
    <w:rsid w:val="54135280"/>
    <w:rsid w:val="541B6C3A"/>
    <w:rsid w:val="54501322"/>
    <w:rsid w:val="54AA3A44"/>
    <w:rsid w:val="54FE2E33"/>
    <w:rsid w:val="5526139C"/>
    <w:rsid w:val="552B2D26"/>
    <w:rsid w:val="554E1470"/>
    <w:rsid w:val="55986D51"/>
    <w:rsid w:val="55B02AD7"/>
    <w:rsid w:val="55D42624"/>
    <w:rsid w:val="55FD133D"/>
    <w:rsid w:val="56133CA0"/>
    <w:rsid w:val="56614179"/>
    <w:rsid w:val="56DD4ABD"/>
    <w:rsid w:val="5703231E"/>
    <w:rsid w:val="57116442"/>
    <w:rsid w:val="578D3493"/>
    <w:rsid w:val="584D20BC"/>
    <w:rsid w:val="586A7A45"/>
    <w:rsid w:val="588D4BFA"/>
    <w:rsid w:val="58914C8B"/>
    <w:rsid w:val="58D2797E"/>
    <w:rsid w:val="58E3423E"/>
    <w:rsid w:val="58F23ED5"/>
    <w:rsid w:val="59016040"/>
    <w:rsid w:val="5956205C"/>
    <w:rsid w:val="599637F4"/>
    <w:rsid w:val="599E6CB8"/>
    <w:rsid w:val="59E031E2"/>
    <w:rsid w:val="5A545E05"/>
    <w:rsid w:val="5A5B5FB9"/>
    <w:rsid w:val="5A6E5870"/>
    <w:rsid w:val="5A766AF8"/>
    <w:rsid w:val="5AA974E8"/>
    <w:rsid w:val="5AC21EA7"/>
    <w:rsid w:val="5AD0387F"/>
    <w:rsid w:val="5AE939D9"/>
    <w:rsid w:val="5B2E770A"/>
    <w:rsid w:val="5B8340E7"/>
    <w:rsid w:val="5B8D0599"/>
    <w:rsid w:val="5B924945"/>
    <w:rsid w:val="5B937814"/>
    <w:rsid w:val="5BA627EA"/>
    <w:rsid w:val="5BAA125C"/>
    <w:rsid w:val="5BB04C2C"/>
    <w:rsid w:val="5BBB7CD0"/>
    <w:rsid w:val="5C254E10"/>
    <w:rsid w:val="5C3E05DD"/>
    <w:rsid w:val="5C5F4CCA"/>
    <w:rsid w:val="5C6E79F1"/>
    <w:rsid w:val="5C8657B1"/>
    <w:rsid w:val="5CA73484"/>
    <w:rsid w:val="5CAB54B0"/>
    <w:rsid w:val="5CB66DDB"/>
    <w:rsid w:val="5CE5499C"/>
    <w:rsid w:val="5D77243C"/>
    <w:rsid w:val="5DCF1811"/>
    <w:rsid w:val="5DD60CDA"/>
    <w:rsid w:val="5E2F13E4"/>
    <w:rsid w:val="5EC546B7"/>
    <w:rsid w:val="5EE01513"/>
    <w:rsid w:val="5F0E37A5"/>
    <w:rsid w:val="5F486D35"/>
    <w:rsid w:val="5F515511"/>
    <w:rsid w:val="5F815B25"/>
    <w:rsid w:val="5FA9036D"/>
    <w:rsid w:val="5FB20CF3"/>
    <w:rsid w:val="5FE20A6A"/>
    <w:rsid w:val="5FE80DF1"/>
    <w:rsid w:val="5FED079B"/>
    <w:rsid w:val="60394F33"/>
    <w:rsid w:val="607754E4"/>
    <w:rsid w:val="607A028C"/>
    <w:rsid w:val="613F6527"/>
    <w:rsid w:val="616B154A"/>
    <w:rsid w:val="61834DEC"/>
    <w:rsid w:val="61870BA9"/>
    <w:rsid w:val="61904268"/>
    <w:rsid w:val="61922827"/>
    <w:rsid w:val="61985AAE"/>
    <w:rsid w:val="619B21A0"/>
    <w:rsid w:val="61A24375"/>
    <w:rsid w:val="61C86CA3"/>
    <w:rsid w:val="61C95215"/>
    <w:rsid w:val="61CF4043"/>
    <w:rsid w:val="620863D2"/>
    <w:rsid w:val="621060E9"/>
    <w:rsid w:val="62197E84"/>
    <w:rsid w:val="626058BD"/>
    <w:rsid w:val="62D70238"/>
    <w:rsid w:val="62E418BB"/>
    <w:rsid w:val="630014F2"/>
    <w:rsid w:val="634E5810"/>
    <w:rsid w:val="63520F1A"/>
    <w:rsid w:val="636310DD"/>
    <w:rsid w:val="63973714"/>
    <w:rsid w:val="63A81226"/>
    <w:rsid w:val="63C12695"/>
    <w:rsid w:val="63FC654F"/>
    <w:rsid w:val="642555D4"/>
    <w:rsid w:val="64CC2606"/>
    <w:rsid w:val="650A079C"/>
    <w:rsid w:val="651D1C32"/>
    <w:rsid w:val="653569B5"/>
    <w:rsid w:val="65E24C86"/>
    <w:rsid w:val="65E5355A"/>
    <w:rsid w:val="66FA60C7"/>
    <w:rsid w:val="673C65F0"/>
    <w:rsid w:val="674A3D4F"/>
    <w:rsid w:val="677D408C"/>
    <w:rsid w:val="679006E0"/>
    <w:rsid w:val="67C80B46"/>
    <w:rsid w:val="680E64F1"/>
    <w:rsid w:val="6864772D"/>
    <w:rsid w:val="68BC6A3B"/>
    <w:rsid w:val="69092D7D"/>
    <w:rsid w:val="69146C72"/>
    <w:rsid w:val="69290CE5"/>
    <w:rsid w:val="692E211D"/>
    <w:rsid w:val="69546355"/>
    <w:rsid w:val="69C53915"/>
    <w:rsid w:val="6A121AD7"/>
    <w:rsid w:val="6A3C248C"/>
    <w:rsid w:val="6ABA024E"/>
    <w:rsid w:val="6AD23B35"/>
    <w:rsid w:val="6AD84969"/>
    <w:rsid w:val="6BEA1734"/>
    <w:rsid w:val="6C2872FB"/>
    <w:rsid w:val="6C3226C6"/>
    <w:rsid w:val="6C545FF5"/>
    <w:rsid w:val="6C591BE2"/>
    <w:rsid w:val="6C97063E"/>
    <w:rsid w:val="6CF130BB"/>
    <w:rsid w:val="6D554232"/>
    <w:rsid w:val="6D592EA5"/>
    <w:rsid w:val="6E0A4A26"/>
    <w:rsid w:val="6E5A4385"/>
    <w:rsid w:val="6E5E1B6C"/>
    <w:rsid w:val="6EA106EA"/>
    <w:rsid w:val="6EED5F9B"/>
    <w:rsid w:val="6EEF71D1"/>
    <w:rsid w:val="6EF04F82"/>
    <w:rsid w:val="6F021A16"/>
    <w:rsid w:val="6F1817C4"/>
    <w:rsid w:val="6F1C43D6"/>
    <w:rsid w:val="6F1D40CE"/>
    <w:rsid w:val="6F422420"/>
    <w:rsid w:val="6F514777"/>
    <w:rsid w:val="6F77251F"/>
    <w:rsid w:val="6FC90A97"/>
    <w:rsid w:val="6FCE6181"/>
    <w:rsid w:val="704B5D09"/>
    <w:rsid w:val="7051517A"/>
    <w:rsid w:val="70976085"/>
    <w:rsid w:val="70A647A4"/>
    <w:rsid w:val="70B8395F"/>
    <w:rsid w:val="70D85BD1"/>
    <w:rsid w:val="715B338A"/>
    <w:rsid w:val="71695F18"/>
    <w:rsid w:val="716A7ADC"/>
    <w:rsid w:val="71DE2E53"/>
    <w:rsid w:val="721D27C5"/>
    <w:rsid w:val="721F39FF"/>
    <w:rsid w:val="729E121E"/>
    <w:rsid w:val="72E23A7A"/>
    <w:rsid w:val="72F6179B"/>
    <w:rsid w:val="733252F0"/>
    <w:rsid w:val="735B2E64"/>
    <w:rsid w:val="738003CA"/>
    <w:rsid w:val="7396120A"/>
    <w:rsid w:val="73C56EED"/>
    <w:rsid w:val="74180D50"/>
    <w:rsid w:val="741E3A74"/>
    <w:rsid w:val="74917CCB"/>
    <w:rsid w:val="74CC56DC"/>
    <w:rsid w:val="74E642D1"/>
    <w:rsid w:val="7516167C"/>
    <w:rsid w:val="756B0A4E"/>
    <w:rsid w:val="758D4AB4"/>
    <w:rsid w:val="758E30F3"/>
    <w:rsid w:val="75D12961"/>
    <w:rsid w:val="765941C5"/>
    <w:rsid w:val="76E859B6"/>
    <w:rsid w:val="771A165E"/>
    <w:rsid w:val="773B6CD4"/>
    <w:rsid w:val="77E302C4"/>
    <w:rsid w:val="77E30949"/>
    <w:rsid w:val="77E36DBE"/>
    <w:rsid w:val="77F16A53"/>
    <w:rsid w:val="783525A0"/>
    <w:rsid w:val="786F12BD"/>
    <w:rsid w:val="786F1AA9"/>
    <w:rsid w:val="7872551D"/>
    <w:rsid w:val="78B86EE8"/>
    <w:rsid w:val="78F45AE2"/>
    <w:rsid w:val="7920071D"/>
    <w:rsid w:val="794A7505"/>
    <w:rsid w:val="794B223C"/>
    <w:rsid w:val="79570BE0"/>
    <w:rsid w:val="79B56BC5"/>
    <w:rsid w:val="79C52BC7"/>
    <w:rsid w:val="79C747F6"/>
    <w:rsid w:val="7A2861E8"/>
    <w:rsid w:val="7A36659D"/>
    <w:rsid w:val="7A6027C1"/>
    <w:rsid w:val="7A835790"/>
    <w:rsid w:val="7A854A12"/>
    <w:rsid w:val="7B237820"/>
    <w:rsid w:val="7B690757"/>
    <w:rsid w:val="7B7B048A"/>
    <w:rsid w:val="7B974622"/>
    <w:rsid w:val="7C3C1587"/>
    <w:rsid w:val="7C6B3F7A"/>
    <w:rsid w:val="7C7C6FF4"/>
    <w:rsid w:val="7CA52AE4"/>
    <w:rsid w:val="7CC540AA"/>
    <w:rsid w:val="7CD04D2E"/>
    <w:rsid w:val="7CE3371D"/>
    <w:rsid w:val="7D3119EA"/>
    <w:rsid w:val="7D3D02D2"/>
    <w:rsid w:val="7D4E72F0"/>
    <w:rsid w:val="7D581DAF"/>
    <w:rsid w:val="7D860B69"/>
    <w:rsid w:val="7DA27F18"/>
    <w:rsid w:val="7DD15417"/>
    <w:rsid w:val="7DED1691"/>
    <w:rsid w:val="7E662EAD"/>
    <w:rsid w:val="7E9219F9"/>
    <w:rsid w:val="7EA85A3A"/>
    <w:rsid w:val="7EC14C30"/>
    <w:rsid w:val="7EF079BB"/>
    <w:rsid w:val="7EF87B3E"/>
    <w:rsid w:val="7F474277"/>
    <w:rsid w:val="7F52348C"/>
    <w:rsid w:val="7F924DA0"/>
    <w:rsid w:val="7FC5019C"/>
    <w:rsid w:val="7FC6022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60"/>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61"/>
    <w:qFormat/>
    <w:uiPriority w:val="0"/>
    <w:pPr>
      <w:keepNext/>
      <w:keepLines/>
      <w:spacing w:before="260" w:after="260" w:line="413" w:lineRule="auto"/>
      <w:outlineLvl w:val="2"/>
    </w:pPr>
    <w:rPr>
      <w:b/>
      <w:bCs/>
      <w:sz w:val="32"/>
      <w:szCs w:val="32"/>
    </w:rPr>
  </w:style>
  <w:style w:type="paragraph" w:styleId="5">
    <w:name w:val="heading 4"/>
    <w:basedOn w:val="1"/>
    <w:next w:val="1"/>
    <w:link w:val="62"/>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63"/>
    <w:qFormat/>
    <w:uiPriority w:val="0"/>
    <w:pPr>
      <w:keepNext/>
      <w:keepLines/>
      <w:spacing w:before="280" w:after="290" w:line="372" w:lineRule="auto"/>
      <w:outlineLvl w:val="4"/>
    </w:pPr>
    <w:rPr>
      <w:b/>
      <w:sz w:val="28"/>
    </w:rPr>
  </w:style>
  <w:style w:type="paragraph" w:styleId="7">
    <w:name w:val="heading 6"/>
    <w:basedOn w:val="1"/>
    <w:next w:val="8"/>
    <w:link w:val="64"/>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8"/>
    <w:link w:val="65"/>
    <w:qFormat/>
    <w:uiPriority w:val="0"/>
    <w:pPr>
      <w:keepNext/>
      <w:keepLines/>
      <w:spacing w:before="240" w:after="64" w:line="317" w:lineRule="auto"/>
      <w:outlineLvl w:val="6"/>
    </w:pPr>
    <w:rPr>
      <w:b/>
      <w:sz w:val="24"/>
    </w:rPr>
  </w:style>
  <w:style w:type="paragraph" w:styleId="10">
    <w:name w:val="heading 8"/>
    <w:basedOn w:val="1"/>
    <w:next w:val="8"/>
    <w:link w:val="66"/>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8"/>
    <w:link w:val="67"/>
    <w:qFormat/>
    <w:uiPriority w:val="0"/>
    <w:pPr>
      <w:keepNext/>
      <w:keepLines/>
      <w:spacing w:before="240" w:after="64" w:line="317" w:lineRule="auto"/>
      <w:outlineLvl w:val="8"/>
    </w:pPr>
    <w:rPr>
      <w:rFonts w:ascii="Arial" w:hAnsi="Arial" w:eastAsia="黑体"/>
    </w:rPr>
  </w:style>
  <w:style w:type="character" w:default="1" w:styleId="53">
    <w:name w:val="Default Paragraph Font"/>
    <w:unhideWhenUsed/>
    <w:qFormat/>
    <w:uiPriority w:val="1"/>
  </w:style>
  <w:style w:type="table" w:default="1" w:styleId="51">
    <w:name w:val="Normal Table"/>
    <w:unhideWhenUsed/>
    <w:qFormat/>
    <w:uiPriority w:val="99"/>
    <w:tblPr>
      <w:tblCellMar>
        <w:top w:w="0" w:type="dxa"/>
        <w:left w:w="108" w:type="dxa"/>
        <w:bottom w:w="0" w:type="dxa"/>
        <w:right w:w="108" w:type="dxa"/>
      </w:tblCellMar>
    </w:tblPr>
  </w:style>
  <w:style w:type="paragraph" w:styleId="8">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68"/>
    <w:qFormat/>
    <w:uiPriority w:val="0"/>
    <w:pPr>
      <w:shd w:val="clear" w:color="auto" w:fill="000080"/>
      <w:adjustRightInd w:val="0"/>
      <w:spacing w:line="312" w:lineRule="atLeast"/>
      <w:textAlignment w:val="baseline"/>
    </w:pPr>
    <w:rPr>
      <w:kern w:val="0"/>
      <w:szCs w:val="20"/>
    </w:rPr>
  </w:style>
  <w:style w:type="paragraph" w:styleId="17">
    <w:name w:val="annotation text"/>
    <w:basedOn w:val="1"/>
    <w:link w:val="69"/>
    <w:qFormat/>
    <w:uiPriority w:val="0"/>
    <w:pPr>
      <w:jc w:val="left"/>
    </w:pPr>
  </w:style>
  <w:style w:type="paragraph" w:styleId="18">
    <w:name w:val="Body Text 3"/>
    <w:basedOn w:val="1"/>
    <w:link w:val="70"/>
    <w:qFormat/>
    <w:uiPriority w:val="0"/>
    <w:pPr>
      <w:spacing w:line="500" w:lineRule="exact"/>
    </w:pPr>
    <w:rPr>
      <w:b/>
      <w:bCs/>
      <w:sz w:val="24"/>
    </w:rPr>
  </w:style>
  <w:style w:type="paragraph" w:styleId="19">
    <w:name w:val="Body Text"/>
    <w:basedOn w:val="1"/>
    <w:next w:val="1"/>
    <w:link w:val="71"/>
    <w:qFormat/>
    <w:uiPriority w:val="0"/>
    <w:pPr>
      <w:spacing w:line="380" w:lineRule="exact"/>
    </w:pPr>
    <w:rPr>
      <w:sz w:val="24"/>
    </w:rPr>
  </w:style>
  <w:style w:type="paragraph" w:styleId="20">
    <w:name w:val="Body Text Indent"/>
    <w:basedOn w:val="1"/>
    <w:next w:val="21"/>
    <w:link w:val="72"/>
    <w:qFormat/>
    <w:uiPriority w:val="0"/>
    <w:pPr>
      <w:ind w:firstLine="830" w:firstLineChars="352"/>
    </w:pPr>
    <w:rPr>
      <w:rFonts w:ascii="仿宋_GB2312" w:eastAsia="仿宋_GB2312"/>
      <w:sz w:val="32"/>
      <w:szCs w:val="20"/>
    </w:rPr>
  </w:style>
  <w:style w:type="paragraph" w:styleId="21">
    <w:name w:val="Body Text First Indent 2"/>
    <w:basedOn w:val="20"/>
    <w:next w:val="1"/>
    <w:link w:val="85"/>
    <w:qFormat/>
    <w:uiPriority w:val="0"/>
    <w:pPr>
      <w:spacing w:after="120"/>
      <w:ind w:left="420" w:leftChars="200" w:firstLine="420" w:firstLineChars="200"/>
    </w:pPr>
    <w:rPr>
      <w:rFonts w:ascii="Times New Roman" w:eastAsia="宋体"/>
      <w:sz w:val="21"/>
      <w:szCs w:val="24"/>
    </w:rPr>
  </w:style>
  <w:style w:type="paragraph" w:styleId="22">
    <w:name w:val="List Number 3"/>
    <w:basedOn w:val="1"/>
    <w:qFormat/>
    <w:uiPriority w:val="0"/>
    <w:pPr>
      <w:tabs>
        <w:tab w:val="left" w:pos="1200"/>
      </w:tabs>
      <w:ind w:left="1200" w:leftChars="400" w:hanging="360" w:hangingChars="20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6">
    <w:name w:val="toc 3"/>
    <w:basedOn w:val="1"/>
    <w:next w:val="1"/>
    <w:qFormat/>
    <w:uiPriority w:val="39"/>
    <w:pPr>
      <w:ind w:left="840" w:leftChars="400"/>
    </w:pPr>
  </w:style>
  <w:style w:type="paragraph" w:styleId="27">
    <w:name w:val="Plain Text"/>
    <w:basedOn w:val="1"/>
    <w:next w:val="5"/>
    <w:link w:val="73"/>
    <w:qFormat/>
    <w:uiPriority w:val="0"/>
    <w:rPr>
      <w:rFonts w:ascii="宋体" w:hAnsi="Courier New" w:cs="Courier New"/>
      <w:szCs w:val="21"/>
    </w:rPr>
  </w:style>
  <w:style w:type="paragraph" w:styleId="28">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9">
    <w:name w:val="Date"/>
    <w:basedOn w:val="1"/>
    <w:next w:val="1"/>
    <w:link w:val="74"/>
    <w:qFormat/>
    <w:uiPriority w:val="0"/>
    <w:pPr>
      <w:ind w:left="100" w:leftChars="2500"/>
    </w:pPr>
    <w:rPr>
      <w:rFonts w:ascii="宋体" w:hAnsi="Courier New"/>
      <w:szCs w:val="21"/>
    </w:rPr>
  </w:style>
  <w:style w:type="paragraph" w:styleId="30">
    <w:name w:val="Body Text Indent 2"/>
    <w:basedOn w:val="1"/>
    <w:link w:val="75"/>
    <w:qFormat/>
    <w:uiPriority w:val="0"/>
    <w:pPr>
      <w:ind w:firstLine="630"/>
    </w:pPr>
    <w:rPr>
      <w:sz w:val="32"/>
      <w:szCs w:val="20"/>
    </w:rPr>
  </w:style>
  <w:style w:type="paragraph" w:styleId="31">
    <w:name w:val="Balloon Text"/>
    <w:basedOn w:val="1"/>
    <w:link w:val="76"/>
    <w:qFormat/>
    <w:uiPriority w:val="0"/>
    <w:rPr>
      <w:sz w:val="18"/>
      <w:szCs w:val="18"/>
    </w:rPr>
  </w:style>
  <w:style w:type="paragraph" w:styleId="32">
    <w:name w:val="footer"/>
    <w:basedOn w:val="1"/>
    <w:link w:val="77"/>
    <w:qFormat/>
    <w:uiPriority w:val="0"/>
    <w:pPr>
      <w:tabs>
        <w:tab w:val="center" w:pos="4153"/>
        <w:tab w:val="right" w:pos="8306"/>
      </w:tabs>
      <w:snapToGrid w:val="0"/>
      <w:jc w:val="left"/>
    </w:pPr>
    <w:rPr>
      <w:sz w:val="18"/>
      <w:szCs w:val="18"/>
    </w:rPr>
  </w:style>
  <w:style w:type="paragraph" w:styleId="33">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8">
    <w:name w:val="List 5"/>
    <w:basedOn w:val="1"/>
    <w:qFormat/>
    <w:uiPriority w:val="0"/>
    <w:pPr>
      <w:ind w:left="2100" w:hanging="420"/>
    </w:pPr>
    <w:rPr>
      <w:szCs w:val="20"/>
    </w:rPr>
  </w:style>
  <w:style w:type="paragraph" w:styleId="39">
    <w:name w:val="Body Text Indent 3"/>
    <w:basedOn w:val="1"/>
    <w:link w:val="79"/>
    <w:qFormat/>
    <w:uiPriority w:val="0"/>
    <w:pPr>
      <w:spacing w:after="120"/>
      <w:ind w:left="420" w:leftChars="200"/>
    </w:pPr>
    <w:rPr>
      <w:sz w:val="16"/>
      <w:szCs w:val="16"/>
    </w:rPr>
  </w:style>
  <w:style w:type="paragraph" w:styleId="40">
    <w:name w:val="toc 2"/>
    <w:basedOn w:val="1"/>
    <w:next w:val="1"/>
    <w:qFormat/>
    <w:uiPriority w:val="39"/>
    <w:pPr>
      <w:ind w:left="420" w:leftChars="200"/>
    </w:pPr>
  </w:style>
  <w:style w:type="paragraph" w:styleId="41">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2">
    <w:name w:val="Body Text 2"/>
    <w:basedOn w:val="1"/>
    <w:link w:val="80"/>
    <w:qFormat/>
    <w:uiPriority w:val="0"/>
    <w:pPr>
      <w:spacing w:after="120" w:line="480" w:lineRule="auto"/>
    </w:pPr>
  </w:style>
  <w:style w:type="paragraph" w:styleId="43">
    <w:name w:val="List 4"/>
    <w:basedOn w:val="1"/>
    <w:qFormat/>
    <w:uiPriority w:val="0"/>
    <w:pPr>
      <w:ind w:left="100" w:leftChars="600" w:hanging="200" w:hangingChars="200"/>
    </w:pPr>
  </w:style>
  <w:style w:type="paragraph" w:styleId="44">
    <w:name w:val="List Continue 2"/>
    <w:basedOn w:val="1"/>
    <w:qFormat/>
    <w:uiPriority w:val="0"/>
    <w:pPr>
      <w:spacing w:after="120"/>
      <w:ind w:left="840" w:leftChars="400"/>
    </w:pPr>
  </w:style>
  <w:style w:type="paragraph" w:styleId="45">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6">
    <w:name w:val="Normal (Web)"/>
    <w:basedOn w:val="1"/>
    <w:qFormat/>
    <w:uiPriority w:val="0"/>
    <w:pPr>
      <w:widowControl/>
      <w:spacing w:before="100" w:beforeAutospacing="1" w:after="100" w:afterAutospacing="1"/>
      <w:jc w:val="left"/>
    </w:pPr>
    <w:rPr>
      <w:rFonts w:ascii="宋体" w:hAnsi="宋体"/>
      <w:kern w:val="0"/>
      <w:sz w:val="24"/>
    </w:rPr>
  </w:style>
  <w:style w:type="paragraph" w:styleId="47">
    <w:name w:val="index 1"/>
    <w:basedOn w:val="1"/>
    <w:next w:val="1"/>
    <w:qFormat/>
    <w:uiPriority w:val="0"/>
    <w:pPr>
      <w:spacing w:line="400" w:lineRule="exact"/>
      <w:ind w:firstLine="420" w:firstLineChars="200"/>
    </w:pPr>
    <w:rPr>
      <w:rFonts w:ascii="宋体" w:hAnsi="Courier New"/>
      <w:b/>
      <w:szCs w:val="20"/>
    </w:rPr>
  </w:style>
  <w:style w:type="paragraph" w:styleId="48">
    <w:name w:val="Title"/>
    <w:basedOn w:val="1"/>
    <w:link w:val="82"/>
    <w:qFormat/>
    <w:uiPriority w:val="0"/>
    <w:pPr>
      <w:jc w:val="center"/>
    </w:pPr>
    <w:rPr>
      <w:sz w:val="30"/>
    </w:rPr>
  </w:style>
  <w:style w:type="paragraph" w:styleId="49">
    <w:name w:val="annotation subject"/>
    <w:basedOn w:val="17"/>
    <w:next w:val="17"/>
    <w:link w:val="83"/>
    <w:qFormat/>
    <w:uiPriority w:val="0"/>
    <w:rPr>
      <w:b/>
      <w:bCs/>
    </w:rPr>
  </w:style>
  <w:style w:type="paragraph" w:styleId="50">
    <w:name w:val="Body Text First Indent"/>
    <w:basedOn w:val="19"/>
    <w:link w:val="84"/>
    <w:qFormat/>
    <w:uiPriority w:val="0"/>
    <w:pPr>
      <w:spacing w:after="120" w:line="240" w:lineRule="auto"/>
      <w:ind w:firstLine="420" w:firstLineChars="100"/>
    </w:pPr>
    <w:rPr>
      <w:sz w:val="21"/>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basedOn w:val="53"/>
    <w:qFormat/>
    <w:uiPriority w:val="0"/>
    <w:rPr>
      <w:b/>
      <w:bCs/>
    </w:rPr>
  </w:style>
  <w:style w:type="character" w:styleId="55">
    <w:name w:val="page number"/>
    <w:qFormat/>
    <w:uiPriority w:val="0"/>
  </w:style>
  <w:style w:type="character" w:styleId="56">
    <w:name w:val="FollowedHyperlink"/>
    <w:qFormat/>
    <w:uiPriority w:val="99"/>
    <w:rPr>
      <w:color w:val="800080"/>
      <w:u w:val="single"/>
    </w:rPr>
  </w:style>
  <w:style w:type="character" w:styleId="57">
    <w:name w:val="Hyperlink"/>
    <w:qFormat/>
    <w:uiPriority w:val="99"/>
    <w:rPr>
      <w:color w:val="0000FF"/>
      <w:u w:val="single"/>
    </w:rPr>
  </w:style>
  <w:style w:type="character" w:styleId="58">
    <w:name w:val="annotation reference"/>
    <w:basedOn w:val="53"/>
    <w:qFormat/>
    <w:uiPriority w:val="0"/>
    <w:rPr>
      <w:sz w:val="21"/>
      <w:szCs w:val="21"/>
    </w:rPr>
  </w:style>
  <w:style w:type="character" w:customStyle="1" w:styleId="59">
    <w:name w:val="标题 1 字符1"/>
    <w:link w:val="2"/>
    <w:qFormat/>
    <w:uiPriority w:val="9"/>
    <w:rPr>
      <w:rFonts w:eastAsia="宋体"/>
      <w:b/>
      <w:bCs/>
      <w:kern w:val="44"/>
      <w:sz w:val="44"/>
      <w:szCs w:val="44"/>
      <w:lang w:val="en-US" w:eastAsia="zh-CN" w:bidi="ar-SA"/>
    </w:rPr>
  </w:style>
  <w:style w:type="character" w:customStyle="1" w:styleId="60">
    <w:name w:val="标题 2 字符1"/>
    <w:link w:val="3"/>
    <w:qFormat/>
    <w:uiPriority w:val="0"/>
    <w:rPr>
      <w:rFonts w:ascii="Arial" w:hAnsi="Arial" w:eastAsia="黑体"/>
      <w:b/>
      <w:bCs/>
      <w:kern w:val="2"/>
      <w:sz w:val="32"/>
      <w:szCs w:val="32"/>
    </w:rPr>
  </w:style>
  <w:style w:type="character" w:customStyle="1" w:styleId="61">
    <w:name w:val="标题 3 字符1"/>
    <w:link w:val="4"/>
    <w:qFormat/>
    <w:uiPriority w:val="0"/>
    <w:rPr>
      <w:b/>
      <w:bCs/>
      <w:kern w:val="2"/>
      <w:sz w:val="32"/>
      <w:szCs w:val="32"/>
    </w:rPr>
  </w:style>
  <w:style w:type="character" w:customStyle="1" w:styleId="62">
    <w:name w:val="标题 4 字符1"/>
    <w:link w:val="5"/>
    <w:qFormat/>
    <w:uiPriority w:val="0"/>
    <w:rPr>
      <w:rFonts w:ascii="Arial" w:hAnsi="Arial" w:eastAsia="黑体"/>
      <w:sz w:val="28"/>
    </w:rPr>
  </w:style>
  <w:style w:type="character" w:customStyle="1" w:styleId="63">
    <w:name w:val="标题 5 字符1"/>
    <w:link w:val="6"/>
    <w:qFormat/>
    <w:uiPriority w:val="0"/>
    <w:rPr>
      <w:b/>
      <w:kern w:val="2"/>
      <w:sz w:val="28"/>
      <w:szCs w:val="24"/>
    </w:rPr>
  </w:style>
  <w:style w:type="character" w:customStyle="1" w:styleId="64">
    <w:name w:val="标题 6 字符1"/>
    <w:link w:val="7"/>
    <w:qFormat/>
    <w:uiPriority w:val="0"/>
    <w:rPr>
      <w:rFonts w:ascii="Arial" w:hAnsi="Arial" w:eastAsia="黑体"/>
      <w:b/>
      <w:kern w:val="2"/>
      <w:sz w:val="24"/>
      <w:szCs w:val="24"/>
    </w:rPr>
  </w:style>
  <w:style w:type="character" w:customStyle="1" w:styleId="65">
    <w:name w:val="标题 7 字符1"/>
    <w:link w:val="9"/>
    <w:qFormat/>
    <w:uiPriority w:val="0"/>
    <w:rPr>
      <w:b/>
      <w:kern w:val="2"/>
      <w:sz w:val="24"/>
      <w:szCs w:val="24"/>
    </w:rPr>
  </w:style>
  <w:style w:type="character" w:customStyle="1" w:styleId="66">
    <w:name w:val="标题 8 字符1"/>
    <w:link w:val="10"/>
    <w:qFormat/>
    <w:uiPriority w:val="0"/>
    <w:rPr>
      <w:rFonts w:ascii="Arial" w:hAnsi="Arial" w:eastAsia="黑体"/>
      <w:kern w:val="2"/>
      <w:sz w:val="24"/>
      <w:szCs w:val="24"/>
    </w:rPr>
  </w:style>
  <w:style w:type="character" w:customStyle="1" w:styleId="67">
    <w:name w:val="标题 9 字符1"/>
    <w:link w:val="11"/>
    <w:qFormat/>
    <w:uiPriority w:val="0"/>
    <w:rPr>
      <w:rFonts w:ascii="Arial" w:hAnsi="Arial" w:eastAsia="黑体"/>
      <w:kern w:val="2"/>
      <w:sz w:val="21"/>
      <w:szCs w:val="24"/>
    </w:rPr>
  </w:style>
  <w:style w:type="character" w:customStyle="1" w:styleId="68">
    <w:name w:val="文档结构图 字符1"/>
    <w:link w:val="16"/>
    <w:qFormat/>
    <w:uiPriority w:val="0"/>
    <w:rPr>
      <w:sz w:val="21"/>
      <w:shd w:val="clear" w:color="auto" w:fill="000080"/>
    </w:rPr>
  </w:style>
  <w:style w:type="character" w:customStyle="1" w:styleId="69">
    <w:name w:val="批注文字 字符1"/>
    <w:link w:val="17"/>
    <w:qFormat/>
    <w:uiPriority w:val="0"/>
    <w:rPr>
      <w:kern w:val="2"/>
      <w:sz w:val="21"/>
      <w:szCs w:val="24"/>
    </w:rPr>
  </w:style>
  <w:style w:type="character" w:customStyle="1" w:styleId="70">
    <w:name w:val="正文文本 3 字符1"/>
    <w:link w:val="18"/>
    <w:qFormat/>
    <w:uiPriority w:val="0"/>
    <w:rPr>
      <w:b/>
      <w:bCs/>
      <w:kern w:val="2"/>
      <w:sz w:val="24"/>
      <w:szCs w:val="24"/>
    </w:rPr>
  </w:style>
  <w:style w:type="character" w:customStyle="1" w:styleId="71">
    <w:name w:val="正文文本 字符1"/>
    <w:link w:val="19"/>
    <w:qFormat/>
    <w:uiPriority w:val="99"/>
    <w:rPr>
      <w:kern w:val="2"/>
      <w:sz w:val="24"/>
      <w:szCs w:val="24"/>
    </w:rPr>
  </w:style>
  <w:style w:type="character" w:customStyle="1" w:styleId="72">
    <w:name w:val="正文文本缩进 字符1"/>
    <w:link w:val="20"/>
    <w:qFormat/>
    <w:uiPriority w:val="99"/>
    <w:rPr>
      <w:rFonts w:ascii="仿宋_GB2312" w:eastAsia="仿宋_GB2312"/>
      <w:kern w:val="2"/>
      <w:sz w:val="32"/>
    </w:rPr>
  </w:style>
  <w:style w:type="character" w:customStyle="1" w:styleId="73">
    <w:name w:val="纯文本 字符1"/>
    <w:link w:val="27"/>
    <w:qFormat/>
    <w:uiPriority w:val="99"/>
    <w:rPr>
      <w:rFonts w:ascii="宋体" w:hAnsi="Courier New" w:eastAsia="宋体" w:cs="Courier New"/>
      <w:kern w:val="2"/>
      <w:sz w:val="21"/>
      <w:szCs w:val="21"/>
      <w:lang w:val="en-US" w:eastAsia="zh-CN" w:bidi="ar-SA"/>
    </w:rPr>
  </w:style>
  <w:style w:type="character" w:customStyle="1" w:styleId="74">
    <w:name w:val="日期 字符1"/>
    <w:link w:val="29"/>
    <w:qFormat/>
    <w:uiPriority w:val="0"/>
    <w:rPr>
      <w:rFonts w:ascii="宋体" w:hAnsi="Courier New" w:cs="Courier New"/>
      <w:kern w:val="2"/>
      <w:sz w:val="21"/>
      <w:szCs w:val="21"/>
    </w:rPr>
  </w:style>
  <w:style w:type="character" w:customStyle="1" w:styleId="75">
    <w:name w:val="正文文本缩进 2 字符1"/>
    <w:link w:val="30"/>
    <w:qFormat/>
    <w:uiPriority w:val="0"/>
    <w:rPr>
      <w:kern w:val="2"/>
      <w:sz w:val="32"/>
    </w:rPr>
  </w:style>
  <w:style w:type="character" w:customStyle="1" w:styleId="76">
    <w:name w:val="批注框文本 字符1"/>
    <w:link w:val="31"/>
    <w:qFormat/>
    <w:uiPriority w:val="0"/>
    <w:rPr>
      <w:kern w:val="2"/>
      <w:sz w:val="18"/>
      <w:szCs w:val="18"/>
    </w:rPr>
  </w:style>
  <w:style w:type="character" w:customStyle="1" w:styleId="77">
    <w:name w:val="页脚 字符1"/>
    <w:link w:val="32"/>
    <w:qFormat/>
    <w:uiPriority w:val="0"/>
    <w:rPr>
      <w:kern w:val="2"/>
      <w:sz w:val="18"/>
      <w:szCs w:val="18"/>
    </w:rPr>
  </w:style>
  <w:style w:type="character" w:customStyle="1" w:styleId="78">
    <w:name w:val="页眉 字符1"/>
    <w:link w:val="33"/>
    <w:qFormat/>
    <w:uiPriority w:val="99"/>
    <w:rPr>
      <w:kern w:val="2"/>
      <w:sz w:val="18"/>
      <w:szCs w:val="18"/>
    </w:rPr>
  </w:style>
  <w:style w:type="character" w:customStyle="1" w:styleId="79">
    <w:name w:val="正文文本缩进 3 字符1"/>
    <w:link w:val="39"/>
    <w:qFormat/>
    <w:uiPriority w:val="0"/>
    <w:rPr>
      <w:kern w:val="2"/>
      <w:sz w:val="16"/>
      <w:szCs w:val="16"/>
    </w:rPr>
  </w:style>
  <w:style w:type="character" w:customStyle="1" w:styleId="80">
    <w:name w:val="正文文本 2 字符1"/>
    <w:link w:val="42"/>
    <w:qFormat/>
    <w:uiPriority w:val="0"/>
    <w:rPr>
      <w:kern w:val="2"/>
      <w:sz w:val="21"/>
      <w:szCs w:val="24"/>
    </w:rPr>
  </w:style>
  <w:style w:type="character" w:customStyle="1" w:styleId="81">
    <w:name w:val="HTML 预设格式 字符1"/>
    <w:link w:val="45"/>
    <w:qFormat/>
    <w:uiPriority w:val="0"/>
    <w:rPr>
      <w:rFonts w:ascii="黑体" w:hAnsi="Courier New" w:eastAsia="黑体" w:cs="Courier New"/>
    </w:rPr>
  </w:style>
  <w:style w:type="character" w:customStyle="1" w:styleId="82">
    <w:name w:val="标题 字符1"/>
    <w:link w:val="48"/>
    <w:qFormat/>
    <w:uiPriority w:val="0"/>
    <w:rPr>
      <w:kern w:val="2"/>
      <w:sz w:val="30"/>
      <w:szCs w:val="24"/>
    </w:rPr>
  </w:style>
  <w:style w:type="character" w:customStyle="1" w:styleId="83">
    <w:name w:val="批注主题 字符1"/>
    <w:link w:val="49"/>
    <w:qFormat/>
    <w:uiPriority w:val="0"/>
    <w:rPr>
      <w:b/>
      <w:bCs/>
      <w:kern w:val="2"/>
      <w:sz w:val="21"/>
      <w:szCs w:val="24"/>
    </w:rPr>
  </w:style>
  <w:style w:type="character" w:customStyle="1" w:styleId="84">
    <w:name w:val="正文文本首行缩进 字符1"/>
    <w:link w:val="50"/>
    <w:qFormat/>
    <w:uiPriority w:val="0"/>
    <w:rPr>
      <w:kern w:val="2"/>
      <w:sz w:val="21"/>
      <w:szCs w:val="24"/>
    </w:rPr>
  </w:style>
  <w:style w:type="character" w:customStyle="1" w:styleId="85">
    <w:name w:val="正文文本首行缩进 2 字符1"/>
    <w:link w:val="21"/>
    <w:qFormat/>
    <w:uiPriority w:val="0"/>
    <w:rPr>
      <w:kern w:val="2"/>
      <w:sz w:val="21"/>
      <w:szCs w:val="24"/>
    </w:rPr>
  </w:style>
  <w:style w:type="character" w:customStyle="1" w:styleId="86">
    <w:name w:val="标题 4 字符"/>
    <w:semiHidden/>
    <w:qFormat/>
    <w:uiPriority w:val="9"/>
    <w:rPr>
      <w:rFonts w:ascii="等线 Light" w:hAnsi="等线 Light" w:eastAsia="等线 Light" w:cs="Times New Roman"/>
      <w:b/>
      <w:bCs/>
      <w:kern w:val="2"/>
      <w:sz w:val="28"/>
      <w:szCs w:val="28"/>
    </w:rPr>
  </w:style>
  <w:style w:type="character" w:customStyle="1" w:styleId="87">
    <w:name w:val="HTML 预设格式 字符"/>
    <w:semiHidden/>
    <w:qFormat/>
    <w:uiPriority w:val="99"/>
    <w:rPr>
      <w:rFonts w:ascii="Courier New" w:hAnsi="Courier New" w:cs="Courier New"/>
      <w:kern w:val="2"/>
    </w:rPr>
  </w:style>
  <w:style w:type="character" w:customStyle="1" w:styleId="88">
    <w:name w:val="graytext1"/>
    <w:qFormat/>
    <w:uiPriority w:val="0"/>
    <w:rPr>
      <w:color w:val="666666"/>
    </w:rPr>
  </w:style>
  <w:style w:type="character" w:customStyle="1" w:styleId="89">
    <w:name w:val="标题 6 字符"/>
    <w:semiHidden/>
    <w:qFormat/>
    <w:uiPriority w:val="9"/>
    <w:rPr>
      <w:rFonts w:ascii="等线 Light" w:hAnsi="等线 Light" w:eastAsia="等线 Light" w:cs="Times New Roman"/>
      <w:b/>
      <w:bCs/>
      <w:kern w:val="2"/>
      <w:sz w:val="24"/>
      <w:szCs w:val="24"/>
    </w:rPr>
  </w:style>
  <w:style w:type="character" w:customStyle="1" w:styleId="90">
    <w:name w:val="white"/>
    <w:qFormat/>
    <w:uiPriority w:val="0"/>
  </w:style>
  <w:style w:type="character" w:customStyle="1" w:styleId="91">
    <w:name w:val="text11"/>
    <w:qFormat/>
    <w:uiPriority w:val="0"/>
    <w:rPr>
      <w:rFonts w:hint="default" w:ascii="Verdana" w:hAnsi="Verdana"/>
      <w:color w:val="4E4E4E"/>
      <w:sz w:val="18"/>
      <w:szCs w:val="18"/>
    </w:rPr>
  </w:style>
  <w:style w:type="character" w:customStyle="1" w:styleId="92">
    <w:name w:val="gray12"/>
    <w:qFormat/>
    <w:uiPriority w:val="0"/>
  </w:style>
  <w:style w:type="character" w:customStyle="1" w:styleId="93">
    <w:name w:val="font01"/>
    <w:qFormat/>
    <w:uiPriority w:val="0"/>
    <w:rPr>
      <w:rFonts w:hint="eastAsia" w:ascii="宋体" w:hAnsi="宋体" w:eastAsia="宋体"/>
      <w:color w:val="000000"/>
      <w:sz w:val="22"/>
      <w:szCs w:val="22"/>
      <w:u w:val="none"/>
    </w:rPr>
  </w:style>
  <w:style w:type="character" w:customStyle="1" w:styleId="94">
    <w:name w:val="mark8"/>
    <w:qFormat/>
    <w:uiPriority w:val="0"/>
    <w:rPr>
      <w:b/>
      <w:bCs/>
      <w:sz w:val="21"/>
      <w:szCs w:val="21"/>
    </w:rPr>
  </w:style>
  <w:style w:type="character" w:customStyle="1" w:styleId="95">
    <w:name w:val="纯文本 Char1"/>
    <w:qFormat/>
    <w:uiPriority w:val="0"/>
    <w:rPr>
      <w:rFonts w:ascii="宋体" w:hAnsi="Courier New" w:eastAsia="宋体" w:cs="Courier New"/>
      <w:kern w:val="2"/>
      <w:sz w:val="21"/>
      <w:szCs w:val="21"/>
      <w:lang w:val="en-US" w:eastAsia="zh-CN" w:bidi="ar-SA"/>
    </w:rPr>
  </w:style>
  <w:style w:type="character" w:customStyle="1" w:styleId="96">
    <w:name w:val="short_text1"/>
    <w:qFormat/>
    <w:uiPriority w:val="0"/>
    <w:rPr>
      <w:sz w:val="26"/>
    </w:rPr>
  </w:style>
  <w:style w:type="character" w:customStyle="1" w:styleId="97">
    <w:name w:val="1ji Char"/>
    <w:link w:val="98"/>
    <w:qFormat/>
    <w:uiPriority w:val="0"/>
    <w:rPr>
      <w:rFonts w:ascii="宋体" w:hAnsi="宋体" w:eastAsia="宋体"/>
      <w:b/>
      <w:bCs/>
      <w:kern w:val="44"/>
      <w:sz w:val="36"/>
      <w:szCs w:val="44"/>
      <w:lang w:val="en-US" w:eastAsia="zh-CN" w:bidi="ar-SA"/>
    </w:rPr>
  </w:style>
  <w:style w:type="paragraph" w:customStyle="1" w:styleId="98">
    <w:name w:val="1ji"/>
    <w:basedOn w:val="2"/>
    <w:link w:val="97"/>
    <w:qFormat/>
    <w:uiPriority w:val="0"/>
    <w:pPr>
      <w:keepLines w:val="0"/>
      <w:widowControl/>
      <w:spacing w:before="0" w:after="0" w:line="240" w:lineRule="auto"/>
      <w:jc w:val="center"/>
    </w:pPr>
    <w:rPr>
      <w:rFonts w:ascii="宋体" w:hAnsi="宋体"/>
      <w:sz w:val="36"/>
    </w:rPr>
  </w:style>
  <w:style w:type="character" w:customStyle="1" w:styleId="99">
    <w:name w:val="标题 7 字符"/>
    <w:semiHidden/>
    <w:qFormat/>
    <w:uiPriority w:val="9"/>
    <w:rPr>
      <w:b/>
      <w:bCs/>
      <w:kern w:val="2"/>
      <w:sz w:val="24"/>
      <w:szCs w:val="24"/>
    </w:rPr>
  </w:style>
  <w:style w:type="character" w:customStyle="1" w:styleId="100">
    <w:name w:val="批注主题 字符"/>
    <w:qFormat/>
    <w:uiPriority w:val="0"/>
    <w:rPr>
      <w:b/>
      <w:bCs/>
      <w:kern w:val="2"/>
      <w:sz w:val="21"/>
      <w:szCs w:val="24"/>
    </w:rPr>
  </w:style>
  <w:style w:type="character" w:customStyle="1" w:styleId="101">
    <w:name w:val="正文文本首行缩进 字符"/>
    <w:semiHidden/>
    <w:qFormat/>
    <w:uiPriority w:val="99"/>
  </w:style>
  <w:style w:type="character" w:customStyle="1" w:styleId="102">
    <w:name w:val="f151"/>
    <w:qFormat/>
    <w:uiPriority w:val="0"/>
    <w:rPr>
      <w:sz w:val="23"/>
      <w:szCs w:val="23"/>
    </w:rPr>
  </w:style>
  <w:style w:type="character" w:customStyle="1" w:styleId="103">
    <w:name w:val="标题 5 字符"/>
    <w:semiHidden/>
    <w:qFormat/>
    <w:uiPriority w:val="9"/>
    <w:rPr>
      <w:b/>
      <w:bCs/>
      <w:kern w:val="2"/>
      <w:sz w:val="28"/>
      <w:szCs w:val="28"/>
    </w:rPr>
  </w:style>
  <w:style w:type="character" w:customStyle="1" w:styleId="104">
    <w:name w:val="content2"/>
    <w:qFormat/>
    <w:uiPriority w:val="0"/>
  </w:style>
  <w:style w:type="character" w:customStyle="1" w:styleId="105">
    <w:name w:val="062"/>
    <w:qFormat/>
    <w:uiPriority w:val="0"/>
    <w:rPr>
      <w:rFonts w:ascii="宋体" w:hAnsi="宋体"/>
      <w:b/>
      <w:bCs/>
      <w:sz w:val="32"/>
    </w:rPr>
  </w:style>
  <w:style w:type="character" w:customStyle="1" w:styleId="106">
    <w:name w:val="正文文本缩进 字符"/>
    <w:semiHidden/>
    <w:qFormat/>
    <w:uiPriority w:val="99"/>
    <w:rPr>
      <w:kern w:val="2"/>
      <w:sz w:val="21"/>
      <w:szCs w:val="24"/>
    </w:rPr>
  </w:style>
  <w:style w:type="character" w:customStyle="1" w:styleId="107">
    <w:name w:val="small"/>
    <w:qFormat/>
    <w:uiPriority w:val="0"/>
  </w:style>
  <w:style w:type="character" w:customStyle="1" w:styleId="108">
    <w:name w:val="页眉 字符"/>
    <w:semiHidden/>
    <w:qFormat/>
    <w:uiPriority w:val="99"/>
    <w:rPr>
      <w:kern w:val="2"/>
      <w:sz w:val="18"/>
      <w:szCs w:val="18"/>
    </w:rPr>
  </w:style>
  <w:style w:type="character" w:customStyle="1" w:styleId="109">
    <w:name w:val="标题 字符"/>
    <w:qFormat/>
    <w:uiPriority w:val="10"/>
    <w:rPr>
      <w:rFonts w:ascii="等线 Light" w:hAnsi="等线 Light" w:eastAsia="等线 Light" w:cs="Times New Roman"/>
      <w:b/>
      <w:bCs/>
      <w:kern w:val="2"/>
      <w:sz w:val="32"/>
      <w:szCs w:val="32"/>
    </w:rPr>
  </w:style>
  <w:style w:type="character" w:customStyle="1" w:styleId="110">
    <w:name w:val="批注文字 字符"/>
    <w:qFormat/>
    <w:uiPriority w:val="0"/>
    <w:rPr>
      <w:kern w:val="2"/>
      <w:sz w:val="21"/>
      <w:szCs w:val="24"/>
    </w:rPr>
  </w:style>
  <w:style w:type="character" w:customStyle="1" w:styleId="111">
    <w:name w:val="标题 2 字符"/>
    <w:semiHidden/>
    <w:qFormat/>
    <w:uiPriority w:val="9"/>
    <w:rPr>
      <w:rFonts w:ascii="等线 Light" w:hAnsi="等线 Light" w:eastAsia="等线 Light" w:cs="Times New Roman"/>
      <w:b/>
      <w:bCs/>
      <w:kern w:val="2"/>
      <w:sz w:val="32"/>
      <w:szCs w:val="32"/>
    </w:rPr>
  </w:style>
  <w:style w:type="character" w:customStyle="1" w:styleId="112">
    <w:name w:val="文档结构图 字符"/>
    <w:semiHidden/>
    <w:qFormat/>
    <w:uiPriority w:val="99"/>
    <w:rPr>
      <w:rFonts w:ascii="Microsoft YaHei UI" w:eastAsia="Microsoft YaHei UI"/>
      <w:kern w:val="2"/>
      <w:sz w:val="18"/>
      <w:szCs w:val="18"/>
    </w:rPr>
  </w:style>
  <w:style w:type="character" w:customStyle="1" w:styleId="113">
    <w:name w:val="z-窗体顶端 字符1"/>
    <w:link w:val="114"/>
    <w:qFormat/>
    <w:uiPriority w:val="0"/>
    <w:rPr>
      <w:rFonts w:ascii="Arial"/>
      <w:vanish/>
      <w:kern w:val="2"/>
      <w:sz w:val="16"/>
      <w:szCs w:val="24"/>
    </w:rPr>
  </w:style>
  <w:style w:type="paragraph" w:customStyle="1" w:styleId="114">
    <w:name w:val="z-窗体顶端1"/>
    <w:basedOn w:val="1"/>
    <w:next w:val="1"/>
    <w:link w:val="113"/>
    <w:qFormat/>
    <w:uiPriority w:val="0"/>
    <w:pPr>
      <w:pBdr>
        <w:bottom w:val="single" w:color="auto" w:sz="6" w:space="1"/>
      </w:pBdr>
      <w:jc w:val="center"/>
    </w:pPr>
    <w:rPr>
      <w:rFonts w:ascii="Arial"/>
      <w:vanish/>
      <w:sz w:val="16"/>
    </w:rPr>
  </w:style>
  <w:style w:type="character" w:customStyle="1" w:styleId="115">
    <w:name w:val="highlight"/>
    <w:qFormat/>
    <w:uiPriority w:val="0"/>
  </w:style>
  <w:style w:type="character" w:customStyle="1" w:styleId="116">
    <w:name w:val="1051"/>
    <w:qFormat/>
    <w:uiPriority w:val="0"/>
    <w:rPr>
      <w:sz w:val="21"/>
      <w:szCs w:val="21"/>
    </w:rPr>
  </w:style>
  <w:style w:type="character" w:customStyle="1" w:styleId="117">
    <w:name w:val="批注框文本 字符"/>
    <w:semiHidden/>
    <w:qFormat/>
    <w:uiPriority w:val="99"/>
    <w:rPr>
      <w:kern w:val="2"/>
      <w:sz w:val="18"/>
      <w:szCs w:val="18"/>
    </w:rPr>
  </w:style>
  <w:style w:type="character" w:customStyle="1" w:styleId="118">
    <w:name w:val="style21"/>
    <w:qFormat/>
    <w:uiPriority w:val="0"/>
    <w:rPr>
      <w:sz w:val="17"/>
      <w:szCs w:val="17"/>
    </w:rPr>
  </w:style>
  <w:style w:type="character" w:customStyle="1" w:styleId="119">
    <w:name w:val="正文文本 3 字符"/>
    <w:semiHidden/>
    <w:qFormat/>
    <w:uiPriority w:val="99"/>
    <w:rPr>
      <w:kern w:val="2"/>
      <w:sz w:val="16"/>
      <w:szCs w:val="16"/>
    </w:rPr>
  </w:style>
  <w:style w:type="character" w:customStyle="1" w:styleId="120">
    <w:name w:val="unnamed3"/>
    <w:qFormat/>
    <w:uiPriority w:val="0"/>
  </w:style>
  <w:style w:type="character" w:customStyle="1" w:styleId="121">
    <w:name w:val="fd"/>
    <w:qFormat/>
    <w:uiPriority w:val="0"/>
  </w:style>
  <w:style w:type="character" w:customStyle="1" w:styleId="122">
    <w:name w:val="标题 9 字符"/>
    <w:semiHidden/>
    <w:qFormat/>
    <w:uiPriority w:val="9"/>
    <w:rPr>
      <w:rFonts w:ascii="等线 Light" w:hAnsi="等线 Light" w:eastAsia="等线 Light" w:cs="Times New Roman"/>
      <w:kern w:val="2"/>
      <w:sz w:val="21"/>
      <w:szCs w:val="21"/>
    </w:rPr>
  </w:style>
  <w:style w:type="character" w:customStyle="1" w:styleId="123">
    <w:name w:val="正文文本缩进 2 字符"/>
    <w:semiHidden/>
    <w:qFormat/>
    <w:uiPriority w:val="99"/>
    <w:rPr>
      <w:kern w:val="2"/>
      <w:sz w:val="21"/>
      <w:szCs w:val="24"/>
    </w:rPr>
  </w:style>
  <w:style w:type="character" w:customStyle="1" w:styleId="124">
    <w:name w:val="z-窗体顶端 字符"/>
    <w:semiHidden/>
    <w:qFormat/>
    <w:uiPriority w:val="99"/>
    <w:rPr>
      <w:rFonts w:ascii="Arial" w:hAnsi="Arial" w:cs="Arial"/>
      <w:vanish/>
      <w:kern w:val="2"/>
      <w:sz w:val="16"/>
      <w:szCs w:val="16"/>
    </w:rPr>
  </w:style>
  <w:style w:type="character" w:customStyle="1" w:styleId="125">
    <w:name w:val="case31"/>
    <w:qFormat/>
    <w:uiPriority w:val="0"/>
    <w:rPr>
      <w:rFonts w:hint="default"/>
      <w:sz w:val="21"/>
      <w:szCs w:val="21"/>
    </w:rPr>
  </w:style>
  <w:style w:type="character" w:customStyle="1" w:styleId="126">
    <w:name w:val="标题3 Char"/>
    <w:link w:val="127"/>
    <w:qFormat/>
    <w:uiPriority w:val="0"/>
    <w:rPr>
      <w:rFonts w:ascii="宋体" w:hAnsi="宋体"/>
      <w:b/>
      <w:bCs/>
      <w:kern w:val="44"/>
      <w:sz w:val="24"/>
      <w:szCs w:val="24"/>
    </w:rPr>
  </w:style>
  <w:style w:type="paragraph" w:customStyle="1" w:styleId="127">
    <w:name w:val="标题3"/>
    <w:basedOn w:val="2"/>
    <w:link w:val="126"/>
    <w:qFormat/>
    <w:uiPriority w:val="0"/>
    <w:pPr>
      <w:spacing w:before="0" w:beforeLines="50" w:after="0" w:afterLines="50" w:line="400" w:lineRule="exact"/>
    </w:pPr>
    <w:rPr>
      <w:rFonts w:ascii="宋体" w:hAnsi="宋体"/>
      <w:sz w:val="24"/>
      <w:szCs w:val="24"/>
    </w:rPr>
  </w:style>
  <w:style w:type="character" w:customStyle="1" w:styleId="128">
    <w:name w:val="标题 3 字符"/>
    <w:semiHidden/>
    <w:qFormat/>
    <w:uiPriority w:val="9"/>
    <w:rPr>
      <w:b/>
      <w:bCs/>
      <w:kern w:val="2"/>
      <w:sz w:val="32"/>
      <w:szCs w:val="32"/>
    </w:rPr>
  </w:style>
  <w:style w:type="character" w:customStyle="1" w:styleId="129">
    <w:name w:val="正文文本 2 字符"/>
    <w:semiHidden/>
    <w:qFormat/>
    <w:uiPriority w:val="99"/>
    <w:rPr>
      <w:kern w:val="2"/>
      <w:sz w:val="21"/>
      <w:szCs w:val="24"/>
    </w:rPr>
  </w:style>
  <w:style w:type="character" w:customStyle="1" w:styleId="130">
    <w:name w:val="标题 1 字符"/>
    <w:qFormat/>
    <w:uiPriority w:val="9"/>
    <w:rPr>
      <w:b/>
      <w:bCs/>
      <w:kern w:val="44"/>
      <w:sz w:val="44"/>
      <w:szCs w:val="44"/>
    </w:rPr>
  </w:style>
  <w:style w:type="character" w:customStyle="1" w:styleId="131">
    <w:name w:val="页脚 字符"/>
    <w:qFormat/>
    <w:uiPriority w:val="99"/>
    <w:rPr>
      <w:kern w:val="2"/>
      <w:sz w:val="18"/>
      <w:szCs w:val="18"/>
    </w:rPr>
  </w:style>
  <w:style w:type="character" w:customStyle="1" w:styleId="132">
    <w:name w:val="正文文本首行缩进 2 字符"/>
    <w:semiHidden/>
    <w:qFormat/>
    <w:uiPriority w:val="99"/>
  </w:style>
  <w:style w:type="character" w:customStyle="1" w:styleId="133">
    <w:name w:val="apple-converted-space"/>
    <w:qFormat/>
    <w:uiPriority w:val="0"/>
  </w:style>
  <w:style w:type="character" w:customStyle="1" w:styleId="134">
    <w:name w:val="日期 字符"/>
    <w:semiHidden/>
    <w:qFormat/>
    <w:uiPriority w:val="99"/>
    <w:rPr>
      <w:kern w:val="2"/>
      <w:sz w:val="21"/>
      <w:szCs w:val="24"/>
    </w:rPr>
  </w:style>
  <w:style w:type="character" w:customStyle="1" w:styleId="135">
    <w:name w:val="纯文本 字符"/>
    <w:qFormat/>
    <w:uiPriority w:val="99"/>
    <w:rPr>
      <w:rFonts w:ascii="等线" w:hAnsi="Courier New" w:eastAsia="等线" w:cs="Courier New"/>
      <w:kern w:val="2"/>
      <w:sz w:val="21"/>
      <w:szCs w:val="24"/>
    </w:rPr>
  </w:style>
  <w:style w:type="character" w:customStyle="1" w:styleId="136">
    <w:name w:val="style11"/>
    <w:qFormat/>
    <w:uiPriority w:val="0"/>
    <w:rPr>
      <w:rFonts w:hint="default" w:ascii="Arial" w:hAnsi="Arial" w:cs="Arial"/>
    </w:rPr>
  </w:style>
  <w:style w:type="character" w:customStyle="1" w:styleId="137">
    <w:name w:val="标题 8 字符"/>
    <w:semiHidden/>
    <w:qFormat/>
    <w:uiPriority w:val="9"/>
    <w:rPr>
      <w:rFonts w:ascii="等线 Light" w:hAnsi="等线 Light" w:eastAsia="等线 Light" w:cs="Times New Roman"/>
      <w:kern w:val="2"/>
      <w:sz w:val="24"/>
      <w:szCs w:val="24"/>
    </w:rPr>
  </w:style>
  <w:style w:type="character" w:customStyle="1" w:styleId="138">
    <w:name w:val="正文文本缩进 3 字符"/>
    <w:semiHidden/>
    <w:qFormat/>
    <w:uiPriority w:val="99"/>
    <w:rPr>
      <w:kern w:val="2"/>
      <w:sz w:val="16"/>
      <w:szCs w:val="16"/>
    </w:rPr>
  </w:style>
  <w:style w:type="character" w:customStyle="1" w:styleId="139">
    <w:name w:val="正文文本 字符"/>
    <w:semiHidden/>
    <w:qFormat/>
    <w:uiPriority w:val="99"/>
    <w:rPr>
      <w:kern w:val="2"/>
      <w:sz w:val="21"/>
      <w:szCs w:val="24"/>
    </w:rPr>
  </w:style>
  <w:style w:type="paragraph" w:customStyle="1" w:styleId="140">
    <w:name w:val="Char Char Char Char Char Char Char"/>
    <w:basedOn w:val="1"/>
    <w:qFormat/>
    <w:uiPriority w:val="0"/>
  </w:style>
  <w:style w:type="paragraph" w:customStyle="1" w:styleId="141">
    <w:name w:val="缺省文本"/>
    <w:basedOn w:val="1"/>
    <w:qFormat/>
    <w:uiPriority w:val="0"/>
    <w:pPr>
      <w:autoSpaceDE w:val="0"/>
      <w:autoSpaceDN w:val="0"/>
      <w:adjustRightInd w:val="0"/>
      <w:spacing w:line="360" w:lineRule="auto"/>
      <w:jc w:val="left"/>
    </w:pPr>
    <w:rPr>
      <w:kern w:val="0"/>
      <w:sz w:val="24"/>
      <w:szCs w:val="20"/>
    </w:rPr>
  </w:style>
  <w:style w:type="paragraph" w:customStyle="1" w:styleId="142">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43">
    <w:name w:val="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5">
    <w:name w:val="Char Char Char"/>
    <w:basedOn w:val="16"/>
    <w:qFormat/>
    <w:uiPriority w:val="0"/>
    <w:pPr>
      <w:adjustRightInd/>
      <w:spacing w:line="240" w:lineRule="auto"/>
      <w:textAlignment w:val="auto"/>
    </w:pPr>
    <w:rPr>
      <w:rFonts w:ascii="Tahoma" w:hAnsi="Tahoma"/>
      <w:kern w:val="2"/>
      <w:sz w:val="24"/>
      <w:szCs w:val="24"/>
    </w:rPr>
  </w:style>
  <w:style w:type="paragraph" w:customStyle="1" w:styleId="146">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47">
    <w:name w:val="_Style 109"/>
    <w:basedOn w:val="1"/>
    <w:next w:val="148"/>
    <w:qFormat/>
    <w:uiPriority w:val="34"/>
    <w:pPr>
      <w:ind w:firstLine="420" w:firstLineChars="200"/>
    </w:pPr>
    <w:rPr>
      <w:rFonts w:ascii="Calibri" w:hAnsi="Calibri"/>
      <w:szCs w:val="22"/>
    </w:rPr>
  </w:style>
  <w:style w:type="paragraph" w:styleId="148">
    <w:name w:val="List Paragraph"/>
    <w:basedOn w:val="1"/>
    <w:qFormat/>
    <w:uiPriority w:val="99"/>
    <w:pPr>
      <w:ind w:firstLine="420" w:firstLineChars="200"/>
    </w:pPr>
    <w:rPr>
      <w:rFonts w:ascii="Calibri" w:hAnsi="Calibri"/>
      <w:szCs w:val="22"/>
    </w:rPr>
  </w:style>
  <w:style w:type="paragraph" w:customStyle="1" w:styleId="149">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0">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51">
    <w:name w:val="2-2ji"/>
    <w:basedOn w:val="3"/>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52">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53">
    <w:name w:val="Char Char Char Char Char Char Char1"/>
    <w:basedOn w:val="1"/>
    <w:qFormat/>
    <w:uiPriority w:val="0"/>
  </w:style>
  <w:style w:type="paragraph" w:customStyle="1" w:styleId="15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55">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56">
    <w:name w:val="tgt1"/>
    <w:basedOn w:val="1"/>
    <w:qFormat/>
    <w:uiPriority w:val="0"/>
    <w:pPr>
      <w:widowControl/>
      <w:spacing w:after="150"/>
      <w:jc w:val="left"/>
    </w:pPr>
    <w:rPr>
      <w:rFonts w:ascii="宋体" w:hAnsi="宋体" w:cs="宋体"/>
      <w:kern w:val="0"/>
      <w:sz w:val="24"/>
    </w:rPr>
  </w:style>
  <w:style w:type="paragraph" w:customStyle="1" w:styleId="157">
    <w:name w:val="444"/>
    <w:basedOn w:val="1"/>
    <w:qFormat/>
    <w:uiPriority w:val="0"/>
    <w:pPr>
      <w:adjustRightInd w:val="0"/>
      <w:spacing w:line="312" w:lineRule="atLeast"/>
      <w:jc w:val="center"/>
      <w:textAlignment w:val="baseline"/>
    </w:pPr>
    <w:rPr>
      <w:b/>
      <w:kern w:val="0"/>
      <w:sz w:val="36"/>
      <w:szCs w:val="36"/>
    </w:rPr>
  </w:style>
  <w:style w:type="paragraph" w:customStyle="1" w:styleId="158">
    <w:name w:val="表格"/>
    <w:basedOn w:val="1"/>
    <w:qFormat/>
    <w:uiPriority w:val="0"/>
    <w:pPr>
      <w:spacing w:line="400" w:lineRule="exact"/>
    </w:pPr>
    <w:rPr>
      <w:sz w:val="24"/>
    </w:rPr>
  </w:style>
  <w:style w:type="paragraph" w:customStyle="1" w:styleId="159">
    <w:name w:val="F2"/>
    <w:basedOn w:val="1"/>
    <w:qFormat/>
    <w:uiPriority w:val="0"/>
    <w:pPr>
      <w:autoSpaceDE w:val="0"/>
      <w:autoSpaceDN w:val="0"/>
      <w:adjustRightInd w:val="0"/>
      <w:ind w:firstLine="601"/>
      <w:textAlignment w:val="baseline"/>
    </w:pPr>
    <w:rPr>
      <w:kern w:val="0"/>
      <w:sz w:val="24"/>
      <w:szCs w:val="20"/>
    </w:rPr>
  </w:style>
  <w:style w:type="paragraph" w:customStyle="1" w:styleId="160">
    <w:name w:val="2ji"/>
    <w:basedOn w:val="3"/>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61">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6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63">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164">
    <w:name w:val="次小点说明 Char"/>
    <w:basedOn w:val="8"/>
    <w:qFormat/>
    <w:uiPriority w:val="0"/>
    <w:pPr>
      <w:ind w:firstLine="0"/>
    </w:pPr>
    <w:rPr>
      <w:sz w:val="24"/>
      <w:szCs w:val="24"/>
    </w:rPr>
  </w:style>
  <w:style w:type="paragraph" w:customStyle="1" w:styleId="165">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6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67">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68">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69">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70">
    <w:name w:val="样式1"/>
    <w:basedOn w:val="1"/>
    <w:qFormat/>
    <w:uiPriority w:val="0"/>
    <w:pPr>
      <w:spacing w:before="120" w:after="120" w:line="300" w:lineRule="auto"/>
    </w:pPr>
    <w:rPr>
      <w:rFonts w:ascii="宋体" w:hAnsi="宋体"/>
      <w:b/>
      <w:sz w:val="24"/>
      <w:szCs w:val="20"/>
    </w:rPr>
  </w:style>
  <w:style w:type="paragraph" w:customStyle="1" w:styleId="171">
    <w:name w:val="Char Char Char Char Char Char Char Char Char Char Char Char Char1"/>
    <w:basedOn w:val="16"/>
    <w:qFormat/>
    <w:uiPriority w:val="0"/>
    <w:pPr>
      <w:adjustRightInd/>
      <w:spacing w:line="240" w:lineRule="auto"/>
      <w:textAlignment w:val="auto"/>
    </w:pPr>
    <w:rPr>
      <w:rFonts w:ascii="Tahoma" w:hAnsi="Tahoma"/>
      <w:kern w:val="2"/>
      <w:sz w:val="24"/>
      <w:szCs w:val="24"/>
    </w:rPr>
  </w:style>
  <w:style w:type="paragraph" w:customStyle="1" w:styleId="172">
    <w:name w:val="默认段落字体 Para Char"/>
    <w:basedOn w:val="1"/>
    <w:qFormat/>
    <w:uiPriority w:val="0"/>
    <w:pPr>
      <w:adjustRightInd w:val="0"/>
      <w:spacing w:line="360" w:lineRule="auto"/>
    </w:pPr>
    <w:rPr>
      <w:kern w:val="0"/>
      <w:sz w:val="24"/>
      <w:szCs w:val="20"/>
    </w:rPr>
  </w:style>
  <w:style w:type="paragraph" w:customStyle="1" w:styleId="173">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75">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76">
    <w:name w:val="Char4"/>
    <w:basedOn w:val="1"/>
    <w:qFormat/>
    <w:uiPriority w:val="0"/>
    <w:pPr>
      <w:tabs>
        <w:tab w:val="left" w:pos="360"/>
      </w:tabs>
      <w:ind w:left="252" w:hanging="252" w:hangingChars="140"/>
    </w:pPr>
    <w:rPr>
      <w:rFonts w:ascii="宋体"/>
      <w:sz w:val="18"/>
      <w:szCs w:val="18"/>
    </w:rPr>
  </w:style>
  <w:style w:type="paragraph" w:customStyle="1" w:styleId="177">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7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8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81">
    <w:name w:val="正文首行缩进两字符"/>
    <w:basedOn w:val="1"/>
    <w:qFormat/>
    <w:uiPriority w:val="0"/>
    <w:pPr>
      <w:spacing w:line="360" w:lineRule="auto"/>
      <w:ind w:firstLine="200" w:firstLineChars="200"/>
    </w:pPr>
  </w:style>
  <w:style w:type="paragraph" w:customStyle="1" w:styleId="182">
    <w:name w:val="正文段"/>
    <w:basedOn w:val="1"/>
    <w:qFormat/>
    <w:uiPriority w:val="0"/>
    <w:pPr>
      <w:widowControl/>
      <w:snapToGrid w:val="0"/>
      <w:spacing w:after="156" w:afterLines="50"/>
      <w:ind w:firstLine="200" w:firstLineChars="200"/>
    </w:pPr>
    <w:rPr>
      <w:kern w:val="0"/>
      <w:sz w:val="24"/>
      <w:szCs w:val="20"/>
    </w:rPr>
  </w:style>
  <w:style w:type="paragraph" w:customStyle="1" w:styleId="183">
    <w:name w:val="默认段落字体 Para Char Char Char Char Char Char Char Char Char1 Char Char Char Char"/>
    <w:basedOn w:val="1"/>
    <w:qFormat/>
    <w:uiPriority w:val="0"/>
    <w:rPr>
      <w:rFonts w:ascii="Tahoma" w:hAnsi="Tahoma"/>
      <w:sz w:val="24"/>
      <w:szCs w:val="20"/>
    </w:rPr>
  </w:style>
  <w:style w:type="paragraph" w:customStyle="1" w:styleId="184">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85">
    <w:name w:val="1"/>
    <w:basedOn w:val="1"/>
    <w:next w:val="27"/>
    <w:qFormat/>
    <w:uiPriority w:val="0"/>
    <w:rPr>
      <w:rFonts w:ascii="宋体" w:hAnsi="Courier New"/>
      <w:szCs w:val="20"/>
    </w:rPr>
  </w:style>
  <w:style w:type="paragraph" w:customStyle="1" w:styleId="186">
    <w:name w:val="Char1"/>
    <w:basedOn w:val="1"/>
    <w:qFormat/>
    <w:uiPriority w:val="0"/>
    <w:rPr>
      <w:szCs w:val="21"/>
    </w:rPr>
  </w:style>
  <w:style w:type="paragraph" w:customStyle="1" w:styleId="187">
    <w:name w:val="五号正文（标准）"/>
    <w:basedOn w:val="1"/>
    <w:qFormat/>
    <w:uiPriority w:val="0"/>
    <w:pPr>
      <w:spacing w:line="360" w:lineRule="auto"/>
      <w:ind w:right="55" w:firstLine="560" w:firstLineChars="200"/>
    </w:pPr>
    <w:rPr>
      <w:rFonts w:eastAsia="仿宋_GB2312"/>
      <w:sz w:val="28"/>
      <w:szCs w:val="20"/>
    </w:rPr>
  </w:style>
  <w:style w:type="paragraph" w:customStyle="1" w:styleId="18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9">
    <w:name w:val="Char Char Char2"/>
    <w:basedOn w:val="1"/>
    <w:qFormat/>
    <w:uiPriority w:val="0"/>
    <w:rPr>
      <w:rFonts w:ascii="Tahoma" w:hAnsi="Tahoma"/>
      <w:sz w:val="24"/>
      <w:szCs w:val="20"/>
    </w:rPr>
  </w:style>
  <w:style w:type="paragraph" w:customStyle="1" w:styleId="19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91">
    <w:name w:val="List Paragraph1"/>
    <w:basedOn w:val="1"/>
    <w:qFormat/>
    <w:uiPriority w:val="0"/>
    <w:pPr>
      <w:ind w:firstLine="420" w:firstLineChars="200"/>
    </w:pPr>
    <w:rPr>
      <w:rFonts w:ascii="Calibri" w:hAnsi="Calibri"/>
      <w:szCs w:val="22"/>
    </w:rPr>
  </w:style>
  <w:style w:type="paragraph" w:customStyle="1" w:styleId="192">
    <w:name w:val="样式 首行缩进:  2 字符"/>
    <w:basedOn w:val="1"/>
    <w:qFormat/>
    <w:uiPriority w:val="0"/>
    <w:pPr>
      <w:spacing w:line="400" w:lineRule="exact"/>
      <w:ind w:firstLine="200" w:firstLineChars="200"/>
    </w:pPr>
    <w:rPr>
      <w:rFonts w:cs="宋体"/>
      <w:sz w:val="24"/>
    </w:rPr>
  </w:style>
  <w:style w:type="paragraph" w:customStyle="1" w:styleId="193">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94">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5">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96">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197">
    <w:name w:val="未处理的提及1"/>
    <w:unhideWhenUsed/>
    <w:qFormat/>
    <w:uiPriority w:val="99"/>
    <w:rPr>
      <w:color w:val="605E5C"/>
      <w:shd w:val="clear" w:color="auto" w:fill="E1DFDD"/>
    </w:rPr>
  </w:style>
  <w:style w:type="character" w:customStyle="1" w:styleId="198">
    <w:name w:val="批注文字 Char"/>
    <w:qFormat/>
    <w:uiPriority w:val="0"/>
    <w:rPr>
      <w:kern w:val="2"/>
      <w:sz w:val="21"/>
      <w:szCs w:val="24"/>
    </w:rPr>
  </w:style>
  <w:style w:type="character" w:styleId="199">
    <w:name w:val="Placeholder Text"/>
    <w:unhideWhenUsed/>
    <w:qFormat/>
    <w:uiPriority w:val="99"/>
    <w:rPr>
      <w:color w:val="808080"/>
    </w:rPr>
  </w:style>
  <w:style w:type="paragraph" w:customStyle="1" w:styleId="200">
    <w:name w:val="正文-2字符首行缩进"/>
    <w:basedOn w:val="1"/>
    <w:link w:val="201"/>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201">
    <w:name w:val="正文-2字符首行缩进 Char"/>
    <w:link w:val="200"/>
    <w:qFormat/>
    <w:uiPriority w:val="0"/>
    <w:rPr>
      <w:rFonts w:ascii="仿宋_GB2312" w:hAnsi="Calibri" w:eastAsia="仿宋_GB2312"/>
      <w:sz w:val="28"/>
      <w:szCs w:val="22"/>
    </w:rPr>
  </w:style>
  <w:style w:type="paragraph" w:customStyle="1" w:styleId="202">
    <w:name w:val="列出段落1"/>
    <w:basedOn w:val="1"/>
    <w:qFormat/>
    <w:uiPriority w:val="99"/>
    <w:pPr>
      <w:ind w:firstLine="420" w:firstLineChars="200"/>
    </w:pPr>
    <w:rPr>
      <w:rFonts w:ascii="等线" w:hAnsi="等线" w:eastAsia="等线" w:cs="Times New Roman"/>
    </w:rPr>
  </w:style>
  <w:style w:type="character" w:customStyle="1" w:styleId="203">
    <w:name w:val="未处理的提及2"/>
    <w:unhideWhenUsed/>
    <w:qFormat/>
    <w:uiPriority w:val="99"/>
    <w:rPr>
      <w:color w:val="605E5C"/>
      <w:shd w:val="clear" w:color="auto" w:fill="E1DFDD"/>
    </w:rPr>
  </w:style>
  <w:style w:type="character" w:customStyle="1" w:styleId="204">
    <w:name w:val="标题 2 Char"/>
    <w:qFormat/>
    <w:uiPriority w:val="0"/>
    <w:rPr>
      <w:rFonts w:ascii="Arial" w:hAnsi="Arial" w:eastAsia="黑体"/>
      <w:b/>
      <w:bCs/>
      <w:kern w:val="2"/>
      <w:sz w:val="32"/>
      <w:szCs w:val="32"/>
    </w:rPr>
  </w:style>
  <w:style w:type="character" w:customStyle="1" w:styleId="205">
    <w:name w:val="15"/>
    <w:qFormat/>
    <w:uiPriority w:val="0"/>
    <w:rPr>
      <w:rFonts w:hint="eastAsia" w:ascii="宋体" w:hAnsi="宋体" w:eastAsia="宋体"/>
      <w:color w:val="000000"/>
      <w:spacing w:val="0"/>
      <w:sz w:val="22"/>
      <w:szCs w:val="22"/>
    </w:rPr>
  </w:style>
  <w:style w:type="character" w:customStyle="1" w:styleId="206">
    <w:name w:val="批注文字 字符2"/>
    <w:qFormat/>
    <w:uiPriority w:val="0"/>
    <w:rPr>
      <w:kern w:val="2"/>
      <w:sz w:val="21"/>
      <w:szCs w:val="24"/>
    </w:rPr>
  </w:style>
  <w:style w:type="paragraph" w:customStyle="1" w:styleId="207">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208">
    <w:name w:val="Unresolved Mention"/>
    <w:unhideWhenUsed/>
    <w:qFormat/>
    <w:uiPriority w:val="99"/>
    <w:rPr>
      <w:color w:val="605E5C"/>
      <w:shd w:val="clear" w:color="auto" w:fill="E1DFDD"/>
    </w:rPr>
  </w:style>
  <w:style w:type="paragraph" w:customStyle="1" w:styleId="20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10">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11">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12">
    <w:name w:val="Table Text"/>
    <w:basedOn w:val="1"/>
    <w:semiHidden/>
    <w:qFormat/>
    <w:uiPriority w:val="0"/>
    <w:rPr>
      <w:rFonts w:ascii="宋体" w:hAnsi="宋体" w:eastAsia="宋体" w:cs="宋体"/>
      <w:sz w:val="18"/>
      <w:szCs w:val="18"/>
      <w:lang w:val="en-US" w:eastAsia="en-US" w:bidi="ar-SA"/>
    </w:rPr>
  </w:style>
  <w:style w:type="table" w:customStyle="1" w:styleId="213">
    <w:name w:val="Table Normal"/>
    <w:semiHidden/>
    <w:unhideWhenUsed/>
    <w:qFormat/>
    <w:uiPriority w:val="0"/>
    <w:tblPr>
      <w:tblCellMar>
        <w:top w:w="0" w:type="dxa"/>
        <w:left w:w="0" w:type="dxa"/>
        <w:bottom w:w="0" w:type="dxa"/>
        <w:right w:w="0" w:type="dxa"/>
      </w:tblCellMar>
    </w:tblPr>
  </w:style>
  <w:style w:type="character" w:customStyle="1" w:styleId="214">
    <w:name w:val="font11"/>
    <w:basedOn w:val="5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3.emf"/><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138</Pages>
  <Words>10246</Words>
  <Characters>11695</Characters>
  <Lines>668</Lines>
  <Paragraphs>188</Paragraphs>
  <TotalTime>56</TotalTime>
  <ScaleCrop>false</ScaleCrop>
  <LinksUpToDate>false</LinksUpToDate>
  <CharactersWithSpaces>11914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2023-12-25T01:44:00Z</dcterms:created>
  <dc:creator>微软用户</dc:creator>
  <cp:lastModifiedBy>admin</cp:lastModifiedBy>
  <cp:lastPrinted>2016-03-22T07:52:00Z</cp:lastPrinted>
  <dcterms:modified xsi:type="dcterms:W3CDTF">2026-05-26T05:45:22Z</dcterms:modified>
  <dc:title>桂财采〔2009〕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073A17E4B3D14FFA8D9EC2B4E1E0C8A9_13</vt:lpwstr>
  </property>
  <property fmtid="{D5CDD505-2E9C-101B-9397-08002B2CF9AE}" pid="14" name="KSOTemplateDocerSaveRecord">
    <vt:lpwstr>eyJoZGlkIjoiZWM0ZmFmOGM1ZjhhOTRkYmJiYzc0ZjczMDRmNjVmM2MiLCJ1c2VySWQiOiIzMTQ2MjU3MTIifQ==</vt:lpwstr>
  </property>
</Properties>
</file>