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172FC">
      <w:pPr>
        <w:ind w:left="-199" w:leftChars="-95" w:firstLine="0" w:firstLineChars="0"/>
        <w:jc w:val="center"/>
        <w:rPr>
          <w:rFonts w:hint="eastAsia" w:eastAsia="宋体"/>
          <w:b/>
          <w:sz w:val="48"/>
          <w:szCs w:val="48"/>
          <w:highlight w:val="none"/>
          <w:lang w:eastAsia="zh-CN"/>
        </w:rPr>
      </w:pPr>
      <w:r>
        <w:rPr>
          <w:rFonts w:hint="eastAsia" w:eastAsia="宋体"/>
          <w:b/>
          <w:sz w:val="48"/>
          <w:szCs w:val="48"/>
          <w:highlight w:val="none"/>
          <w:lang w:eastAsia="zh-CN"/>
        </w:rPr>
        <w:drawing>
          <wp:inline distT="0" distB="0" distL="114300" distR="114300">
            <wp:extent cx="6401435" cy="9053195"/>
            <wp:effectExtent l="0" t="0" r="18415" b="14605"/>
            <wp:docPr id="8" name="图片 8"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面_01"/>
                    <pic:cNvPicPr>
                      <a:picLocks noChangeAspect="1"/>
                    </pic:cNvPicPr>
                  </pic:nvPicPr>
                  <pic:blipFill>
                    <a:blip r:embed="rId27"/>
                    <a:stretch>
                      <a:fillRect/>
                    </a:stretch>
                  </pic:blipFill>
                  <pic:spPr>
                    <a:xfrm>
                      <a:off x="0" y="0"/>
                      <a:ext cx="6401435" cy="9053195"/>
                    </a:xfrm>
                    <a:prstGeom prst="rect">
                      <a:avLst/>
                    </a:prstGeom>
                  </pic:spPr>
                </pic:pic>
              </a:graphicData>
            </a:graphic>
          </wp:inline>
        </w:drawing>
      </w:r>
    </w:p>
    <w:p w14:paraId="1CC4EDFD">
      <w:pPr>
        <w:jc w:val="center"/>
        <w:rPr>
          <w:b/>
          <w:sz w:val="48"/>
          <w:szCs w:val="48"/>
        </w:rPr>
      </w:pPr>
    </w:p>
    <w:p w14:paraId="120A8B51">
      <w:pPr>
        <w:jc w:val="center"/>
        <w:rPr>
          <w:b/>
          <w:sz w:val="48"/>
          <w:szCs w:val="48"/>
        </w:rPr>
      </w:pPr>
      <w:r>
        <w:rPr>
          <w:rFonts w:hint="eastAsia"/>
          <w:b/>
          <w:sz w:val="48"/>
          <w:szCs w:val="48"/>
        </w:rPr>
        <w:t>目</w:t>
      </w:r>
      <w:r>
        <w:rPr>
          <w:b/>
          <w:sz w:val="48"/>
          <w:szCs w:val="48"/>
        </w:rPr>
        <w:t xml:space="preserve">     </w:t>
      </w:r>
      <w:r>
        <w:rPr>
          <w:rFonts w:hint="eastAsia"/>
          <w:b/>
          <w:sz w:val="48"/>
          <w:szCs w:val="48"/>
        </w:rPr>
        <w:t>录</w:t>
      </w:r>
    </w:p>
    <w:p w14:paraId="2F61B039">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_Toc3114 </w:instrText>
      </w:r>
      <w:r>
        <w:rPr>
          <w:rFonts w:hint="eastAsia" w:ascii="宋体" w:hAnsi="宋体" w:eastAsia="宋体" w:cs="宋体"/>
          <w:sz w:val="28"/>
          <w:szCs w:val="28"/>
        </w:rPr>
        <w:fldChar w:fldCharType="separate"/>
      </w:r>
      <w:r>
        <w:rPr>
          <w:rFonts w:hint="eastAsia" w:ascii="宋体" w:hAnsi="宋体" w:eastAsia="宋体" w:cs="宋体"/>
          <w:sz w:val="28"/>
          <w:szCs w:val="28"/>
        </w:rPr>
        <w:t>第一章  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_Toc3114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8FC4ED5">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_Toc285 </w:instrText>
      </w:r>
      <w:r>
        <w:rPr>
          <w:rFonts w:hint="eastAsia" w:ascii="宋体" w:hAnsi="宋体" w:eastAsia="宋体" w:cs="宋体"/>
          <w:sz w:val="28"/>
          <w:szCs w:val="28"/>
        </w:rPr>
        <w:fldChar w:fldCharType="separate"/>
      </w:r>
      <w:r>
        <w:rPr>
          <w:rFonts w:hint="eastAsia" w:ascii="宋体" w:hAnsi="宋体" w:eastAsia="宋体" w:cs="宋体"/>
          <w:sz w:val="28"/>
          <w:szCs w:val="28"/>
        </w:rPr>
        <w:t>第二章  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D72AB14">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_Toc16127 </w:instrText>
      </w:r>
      <w:r>
        <w:rPr>
          <w:rFonts w:hint="eastAsia" w:ascii="宋体" w:hAnsi="宋体" w:eastAsia="宋体" w:cs="宋体"/>
          <w:sz w:val="28"/>
          <w:szCs w:val="28"/>
        </w:rPr>
        <w:fldChar w:fldCharType="separate"/>
      </w:r>
      <w:r>
        <w:rPr>
          <w:rFonts w:hint="eastAsia" w:ascii="宋体" w:hAnsi="宋体" w:eastAsia="宋体" w:cs="宋体"/>
          <w:sz w:val="28"/>
          <w:szCs w:val="28"/>
        </w:rPr>
        <w:t>第三章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_Toc16127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DE06C8C">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_Toc18648 </w:instrText>
      </w:r>
      <w:r>
        <w:rPr>
          <w:rFonts w:hint="eastAsia" w:ascii="宋体" w:hAnsi="宋体" w:eastAsia="宋体" w:cs="宋体"/>
          <w:sz w:val="28"/>
          <w:szCs w:val="28"/>
        </w:rPr>
        <w:fldChar w:fldCharType="separate"/>
      </w:r>
      <w:r>
        <w:rPr>
          <w:rFonts w:hint="eastAsia" w:ascii="宋体" w:hAnsi="宋体" w:eastAsia="宋体" w:cs="宋体"/>
          <w:sz w:val="28"/>
          <w:szCs w:val="28"/>
        </w:rPr>
        <w:t>第四章  评标方法及评分标准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_Toc18648 \h </w:instrText>
      </w:r>
      <w:r>
        <w:rPr>
          <w:rFonts w:hint="eastAsia" w:ascii="宋体" w:hAnsi="宋体" w:eastAsia="宋体" w:cs="宋体"/>
          <w:sz w:val="28"/>
          <w:szCs w:val="28"/>
        </w:rPr>
        <w:fldChar w:fldCharType="separate"/>
      </w:r>
      <w:r>
        <w:rPr>
          <w:rFonts w:hint="eastAsia" w:ascii="宋体" w:hAnsi="宋体" w:eastAsia="宋体" w:cs="宋体"/>
          <w:sz w:val="28"/>
          <w:szCs w:val="28"/>
        </w:rPr>
        <w:t>36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506E4B2">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_Toc21439 </w:instrText>
      </w:r>
      <w:r>
        <w:rPr>
          <w:rFonts w:hint="eastAsia" w:ascii="宋体" w:hAnsi="宋体" w:eastAsia="宋体" w:cs="宋体"/>
          <w:sz w:val="28"/>
          <w:szCs w:val="28"/>
        </w:rPr>
        <w:fldChar w:fldCharType="separate"/>
      </w:r>
      <w:r>
        <w:rPr>
          <w:rFonts w:hint="eastAsia" w:ascii="宋体" w:hAnsi="宋体" w:eastAsia="宋体" w:cs="宋体"/>
          <w:sz w:val="28"/>
          <w:szCs w:val="28"/>
        </w:rPr>
        <w:t>第五章 拟签订的合同文本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_Toc21439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FD79E4">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_Toc8426 </w:instrText>
      </w:r>
      <w:r>
        <w:rPr>
          <w:rFonts w:hint="eastAsia" w:ascii="宋体" w:hAnsi="宋体" w:eastAsia="宋体" w:cs="宋体"/>
          <w:sz w:val="28"/>
          <w:szCs w:val="28"/>
        </w:rPr>
        <w:fldChar w:fldCharType="separate"/>
      </w:r>
      <w:r>
        <w:rPr>
          <w:rFonts w:hint="eastAsia" w:ascii="宋体" w:hAnsi="宋体" w:eastAsia="宋体" w:cs="宋体"/>
          <w:sz w:val="28"/>
          <w:szCs w:val="28"/>
        </w:rPr>
        <w:t>第六章 投标文件格式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_Toc8426 \h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AA992D2">
      <w:pPr>
        <w:pStyle w:val="24"/>
        <w:keepNext w:val="0"/>
        <w:keepLines w:val="0"/>
        <w:pageBreakBefore w:val="0"/>
        <w:widowControl w:val="0"/>
        <w:tabs>
          <w:tab w:val="right" w:leader="dot" w:pos="9638"/>
        </w:tabs>
        <w:kinsoku/>
        <w:wordWrap/>
        <w:overflowPunct/>
        <w:topLinePunct w:val="0"/>
        <w:autoSpaceDE/>
        <w:autoSpaceDN/>
        <w:bidi w:val="0"/>
        <w:adjustRightInd/>
        <w:snapToGrid/>
        <w:spacing w:before="0" w:after="0" w:line="480" w:lineRule="auto"/>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_Toc31289 </w:instrText>
      </w:r>
      <w:r>
        <w:rPr>
          <w:rFonts w:hint="eastAsia" w:ascii="宋体" w:hAnsi="宋体" w:eastAsia="宋体" w:cs="宋体"/>
          <w:sz w:val="28"/>
          <w:szCs w:val="28"/>
        </w:rPr>
        <w:fldChar w:fldCharType="separate"/>
      </w:r>
      <w:r>
        <w:rPr>
          <w:rFonts w:hint="eastAsia" w:ascii="宋体" w:hAnsi="宋体" w:eastAsia="宋体" w:cs="宋体"/>
          <w:sz w:val="28"/>
          <w:szCs w:val="28"/>
        </w:rPr>
        <w:t>第七章 质疑、投诉证明材料格式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_Toc31289 \h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1147321">
      <w:pPr>
        <w:keepNext w:val="0"/>
        <w:keepLines w:val="0"/>
        <w:pageBreakBefore w:val="0"/>
        <w:widowControl w:val="0"/>
        <w:kinsoku/>
        <w:wordWrap/>
        <w:overflowPunct/>
        <w:topLinePunct w:val="0"/>
        <w:autoSpaceDE/>
        <w:autoSpaceDN/>
        <w:bidi w:val="0"/>
        <w:adjustRightInd/>
        <w:snapToGrid/>
        <w:spacing w:line="480" w:lineRule="auto"/>
        <w:textAlignment w:val="auto"/>
      </w:pPr>
      <w:r>
        <w:rPr>
          <w:rFonts w:hint="eastAsia" w:ascii="宋体" w:hAnsi="宋体" w:eastAsia="宋体" w:cs="宋体"/>
          <w:sz w:val="28"/>
          <w:szCs w:val="28"/>
        </w:rPr>
        <w:fldChar w:fldCharType="end"/>
      </w:r>
    </w:p>
    <w:p w14:paraId="5AD105E5"/>
    <w:p w14:paraId="69547139">
      <w:pPr>
        <w:jc w:val="center"/>
        <w:outlineLvl w:val="0"/>
        <w:rPr>
          <w:b/>
          <w:sz w:val="36"/>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492C34EB">
      <w:pPr>
        <w:jc w:val="center"/>
        <w:outlineLvl w:val="0"/>
        <w:rPr>
          <w:rFonts w:hAnsi="宋体"/>
          <w:b/>
          <w:sz w:val="36"/>
          <w:szCs w:val="36"/>
        </w:rPr>
      </w:pPr>
      <w:bookmarkStart w:id="0" w:name="_Toc7388"/>
      <w:bookmarkStart w:id="1" w:name="_Toc3114"/>
      <w:r>
        <w:rPr>
          <w:rFonts w:hint="eastAsia"/>
          <w:b/>
          <w:sz w:val="36"/>
        </w:rPr>
        <w:t>第一章</w:t>
      </w:r>
      <w:r>
        <w:rPr>
          <w:b/>
          <w:sz w:val="36"/>
        </w:rPr>
        <w:t xml:space="preserve">  </w:t>
      </w:r>
      <w:r>
        <w:rPr>
          <w:rFonts w:hint="eastAsia"/>
          <w:b/>
          <w:sz w:val="36"/>
        </w:rPr>
        <w:t>招标公告</w:t>
      </w:r>
      <w:bookmarkEnd w:id="0"/>
      <w:bookmarkEnd w:id="1"/>
    </w:p>
    <w:p w14:paraId="6790A409">
      <w:pPr>
        <w:jc w:val="center"/>
        <w:rPr>
          <w:b/>
          <w:sz w:val="30"/>
          <w:szCs w:val="30"/>
          <w:highlight w:val="none"/>
        </w:rPr>
      </w:pPr>
      <w:r>
        <w:rPr>
          <w:rFonts w:hint="eastAsia" w:ascii="宋体" w:hAnsi="宋体" w:cs="宋体"/>
          <w:b/>
          <w:sz w:val="30"/>
          <w:szCs w:val="30"/>
        </w:rPr>
        <w:t>广西机电设备招标有限公司关于</w:t>
      </w:r>
      <w:r>
        <w:rPr>
          <w:rFonts w:hint="eastAsia" w:ascii="宋体" w:hAnsi="宋体" w:cs="宋体"/>
          <w:b/>
          <w:sz w:val="30"/>
          <w:szCs w:val="30"/>
          <w:lang w:eastAsia="zh-CN"/>
        </w:rPr>
        <w:t>《南宁市中心城区新城片区XC-01（桃源桥北）单元控制性详细规划及城市设计》修编</w:t>
      </w:r>
      <w:r>
        <w:rPr>
          <w:rFonts w:hint="eastAsia" w:ascii="宋体" w:hAnsi="宋体" w:cs="宋体"/>
          <w:b/>
          <w:color w:val="000000" w:themeColor="text1"/>
          <w:sz w:val="30"/>
          <w:szCs w:val="30"/>
          <w:highlight w:val="none"/>
          <w14:textFill>
            <w14:solidFill>
              <w14:schemeClr w14:val="tx1"/>
            </w14:solidFill>
          </w14:textFill>
        </w:rPr>
        <w:t>（项目编号：</w:t>
      </w:r>
      <w:r>
        <w:rPr>
          <w:rFonts w:hint="eastAsia" w:ascii="宋体" w:hAnsi="宋体" w:cs="宋体"/>
          <w:b/>
          <w:color w:val="000000" w:themeColor="text1"/>
          <w:sz w:val="30"/>
          <w:szCs w:val="30"/>
          <w:highlight w:val="none"/>
          <w:lang w:eastAsia="zh-CN"/>
          <w14:textFill>
            <w14:solidFill>
              <w14:schemeClr w14:val="tx1"/>
            </w14:solidFill>
          </w14:textFill>
        </w:rPr>
        <w:t>NNZC2026-G3-990323-JDZB</w:t>
      </w:r>
      <w:r>
        <w:rPr>
          <w:rFonts w:hint="eastAsia" w:ascii="宋体" w:hAnsi="宋体" w:cs="宋体"/>
          <w:b/>
          <w:color w:val="000000" w:themeColor="text1"/>
          <w:sz w:val="30"/>
          <w:szCs w:val="30"/>
          <w:highlight w:val="none"/>
          <w14:textFill>
            <w14:solidFill>
              <w14:schemeClr w14:val="tx1"/>
            </w14:solidFill>
          </w14:textFill>
        </w:rPr>
        <w:t>）</w:t>
      </w:r>
      <w:r>
        <w:rPr>
          <w:rFonts w:hint="eastAsia" w:ascii="宋体" w:hAnsi="宋体" w:cs="宋体"/>
          <w:b/>
          <w:sz w:val="30"/>
          <w:szCs w:val="30"/>
          <w:highlight w:val="none"/>
        </w:rPr>
        <w:t>公开招标公告</w:t>
      </w:r>
    </w:p>
    <w:p w14:paraId="27909C05">
      <w:pPr>
        <w:pBdr>
          <w:top w:val="single" w:color="auto" w:sz="4" w:space="1"/>
          <w:left w:val="single" w:color="auto" w:sz="4" w:space="4"/>
          <w:bottom w:val="single" w:color="auto" w:sz="4" w:space="1"/>
          <w:right w:val="single" w:color="auto" w:sz="4" w:space="4"/>
        </w:pBdr>
        <w:spacing w:line="400" w:lineRule="exact"/>
        <w:ind w:firstLine="420" w:firstLineChars="200"/>
        <w:rPr>
          <w:rFonts w:ascii="宋体" w:hAnsi="宋体" w:cs="宋体"/>
          <w:szCs w:val="21"/>
          <w:highlight w:val="none"/>
        </w:rPr>
      </w:pPr>
      <w:r>
        <w:rPr>
          <w:rFonts w:hint="eastAsia" w:ascii="宋体" w:hAnsi="宋体" w:cs="宋体"/>
          <w:szCs w:val="21"/>
          <w:highlight w:val="none"/>
        </w:rPr>
        <w:t>项目概况</w:t>
      </w:r>
    </w:p>
    <w:p w14:paraId="0C0EFCC4">
      <w:pPr>
        <w:pBdr>
          <w:top w:val="single" w:color="auto" w:sz="4" w:space="1"/>
          <w:left w:val="single" w:color="auto" w:sz="4" w:space="4"/>
          <w:bottom w:val="single" w:color="auto" w:sz="4" w:space="1"/>
          <w:right w:val="single" w:color="auto" w:sz="4" w:space="4"/>
        </w:pBdr>
        <w:spacing w:line="400" w:lineRule="exact"/>
        <w:ind w:firstLine="735" w:firstLineChars="350"/>
        <w:rPr>
          <w:rFonts w:ascii="宋体" w:hAnsi="宋体" w:cs="宋体"/>
          <w:szCs w:val="21"/>
          <w:highlight w:val="none"/>
          <w:u w:val="single"/>
        </w:rPr>
      </w:pPr>
      <w:r>
        <w:rPr>
          <w:rFonts w:hint="eastAsia" w:ascii="宋体" w:hAnsi="宋体" w:cs="宋体"/>
          <w:szCs w:val="21"/>
          <w:highlight w:val="none"/>
          <w:u w:val="single"/>
          <w:lang w:eastAsia="zh-CN"/>
        </w:rPr>
        <w:t>《南宁市中心城区新城片区XC-01（桃源桥北）单元控制性详细规划及城市设计》修编</w:t>
      </w:r>
      <w:r>
        <w:rPr>
          <w:rFonts w:hint="eastAsia" w:ascii="宋体" w:hAnsi="宋体" w:cs="宋体"/>
          <w:szCs w:val="21"/>
          <w:highlight w:val="none"/>
          <w:u w:val="none"/>
          <w:lang w:val="en-US" w:eastAsia="zh-CN"/>
        </w:rPr>
        <w:t>招标项目</w:t>
      </w:r>
      <w:r>
        <w:rPr>
          <w:rFonts w:hint="eastAsia" w:ascii="宋体" w:hAnsi="宋体" w:cs="宋体"/>
          <w:szCs w:val="21"/>
          <w:highlight w:val="none"/>
        </w:rPr>
        <w:t>的潜在投标人应在“广西政府采购云平台”（https://www.gcy.zfcg.gxzf.gov.cn/）获取（下载）招标文件，并</w:t>
      </w:r>
      <w:r>
        <w:rPr>
          <w:rFonts w:hint="eastAsia" w:ascii="宋体" w:hAnsi="宋体" w:cs="宋体"/>
          <w:color w:val="000000" w:themeColor="text1"/>
          <w:szCs w:val="21"/>
          <w:highlight w:val="none"/>
          <w14:textFill>
            <w14:solidFill>
              <w14:schemeClr w14:val="tx1"/>
            </w14:solidFill>
          </w14:textFill>
        </w:rPr>
        <w:t>于</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u w:val="single"/>
          <w14:textFill>
            <w14:solidFill>
              <w14:schemeClr w14:val="tx1"/>
            </w14:solidFill>
          </w14:textFill>
        </w:rPr>
        <w:t>日</w:t>
      </w:r>
      <w:r>
        <w:rPr>
          <w:rFonts w:hint="eastAsia" w:ascii="宋体" w:hAnsi="宋体" w:cs="宋体"/>
          <w:color w:val="000000" w:themeColor="text1"/>
          <w:szCs w:val="21"/>
          <w:highlight w:val="none"/>
          <w:u w:val="single"/>
          <w:lang w:val="en-US" w:eastAsia="zh-CN"/>
          <w14:textFill>
            <w14:solidFill>
              <w14:schemeClr w14:val="tx1"/>
            </w14:solidFill>
          </w14:textFill>
        </w:rPr>
        <w:t>0</w:t>
      </w:r>
      <w:r>
        <w:rPr>
          <w:rFonts w:hint="eastAsia" w:ascii="宋体" w:hAnsi="宋体" w:cs="宋体"/>
          <w:color w:val="000000" w:themeColor="text1"/>
          <w:szCs w:val="21"/>
          <w:highlight w:val="none"/>
          <w:u w:val="single"/>
          <w14:textFill>
            <w14:solidFill>
              <w14:schemeClr w14:val="tx1"/>
            </w14:solidFill>
          </w14:textFill>
        </w:rPr>
        <w:t>9</w:t>
      </w:r>
      <w:r>
        <w:rPr>
          <w:rFonts w:hint="eastAsia" w:ascii="宋体" w:hAnsi="宋体" w:cs="宋体"/>
          <w:bCs/>
          <w:color w:val="000000" w:themeColor="text1"/>
          <w:szCs w:val="21"/>
          <w:highlight w:val="none"/>
          <w:u w:val="single"/>
          <w:lang w:val="en-US" w:eastAsia="zh-CN"/>
          <w14:textFill>
            <w14:solidFill>
              <w14:schemeClr w14:val="tx1"/>
            </w14:solidFill>
          </w14:textFill>
        </w:rPr>
        <w:t>时</w:t>
      </w:r>
      <w:r>
        <w:rPr>
          <w:rFonts w:hint="eastAsia" w:ascii="宋体" w:hAnsi="宋体" w:cs="宋体"/>
          <w:bCs/>
          <w:color w:val="000000" w:themeColor="text1"/>
          <w:szCs w:val="21"/>
          <w:highlight w:val="none"/>
          <w:u w:val="single"/>
          <w14:textFill>
            <w14:solidFill>
              <w14:schemeClr w14:val="tx1"/>
            </w14:solidFill>
          </w14:textFill>
        </w:rPr>
        <w:t>30分00秒</w:t>
      </w:r>
      <w:r>
        <w:rPr>
          <w:rFonts w:hint="eastAsia" w:ascii="宋体" w:hAnsi="宋体" w:cs="宋体"/>
          <w:bCs/>
          <w:color w:val="000000" w:themeColor="text1"/>
          <w:szCs w:val="21"/>
          <w:highlight w:val="none"/>
          <w14:textFill>
            <w14:solidFill>
              <w14:schemeClr w14:val="tx1"/>
            </w14:solidFill>
          </w14:textFill>
        </w:rPr>
        <w:t>（北京时间）前</w:t>
      </w:r>
      <w:r>
        <w:rPr>
          <w:rFonts w:hint="eastAsia" w:ascii="宋体" w:hAnsi="宋体" w:cs="宋体"/>
          <w:color w:val="000000" w:themeColor="text1"/>
          <w:szCs w:val="21"/>
          <w:highlight w:val="none"/>
          <w14:textFill>
            <w14:solidFill>
              <w14:schemeClr w14:val="tx1"/>
            </w14:solidFill>
          </w14:textFill>
        </w:rPr>
        <w:t>递交（上传）投标文件。</w:t>
      </w:r>
    </w:p>
    <w:p w14:paraId="4C8BD43F">
      <w:pPr>
        <w:spacing w:line="400" w:lineRule="exact"/>
        <w:rPr>
          <w:rFonts w:ascii="黑体" w:hAnsi="黑体" w:eastAsia="黑体"/>
          <w:b/>
          <w:bCs/>
          <w:sz w:val="24"/>
          <w:highlight w:val="none"/>
        </w:rPr>
      </w:pPr>
      <w:r>
        <w:rPr>
          <w:rFonts w:hint="eastAsia" w:ascii="黑体" w:hAnsi="黑体" w:eastAsia="黑体"/>
          <w:b/>
          <w:bCs/>
          <w:sz w:val="24"/>
          <w:highlight w:val="none"/>
        </w:rPr>
        <w:t>一、项目基本情况</w:t>
      </w:r>
    </w:p>
    <w:p w14:paraId="55E52FA4">
      <w:pPr>
        <w:spacing w:line="40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1.项目编号：</w:t>
      </w:r>
      <w:r>
        <w:rPr>
          <w:rFonts w:hint="eastAsia" w:ascii="宋体" w:hAnsi="宋体"/>
          <w:color w:val="000000" w:themeColor="text1"/>
          <w:szCs w:val="21"/>
          <w:highlight w:val="none"/>
          <w:lang w:eastAsia="zh-CN"/>
          <w14:textFill>
            <w14:solidFill>
              <w14:schemeClr w14:val="tx1"/>
            </w14:solidFill>
          </w14:textFill>
        </w:rPr>
        <w:t>NNZC2026-G3-990323-JDZB</w:t>
      </w:r>
    </w:p>
    <w:p w14:paraId="6D4FC3F0">
      <w:pPr>
        <w:spacing w:line="400" w:lineRule="exact"/>
        <w:ind w:firstLine="420" w:firstLineChars="200"/>
        <w:rPr>
          <w:rFonts w:hint="eastAsia" w:ascii="宋体" w:hAnsi="宋体" w:eastAsia="宋体"/>
          <w:szCs w:val="21"/>
          <w:highlight w:val="none"/>
          <w:lang w:eastAsia="zh-CN"/>
        </w:rPr>
      </w:pPr>
      <w:r>
        <w:rPr>
          <w:rFonts w:hint="eastAsia" w:ascii="宋体" w:hAnsi="宋体"/>
          <w:szCs w:val="21"/>
          <w:highlight w:val="none"/>
        </w:rPr>
        <w:t>2.项目名称：</w:t>
      </w:r>
      <w:r>
        <w:rPr>
          <w:rFonts w:hint="eastAsia" w:ascii="宋体" w:hAnsi="宋体"/>
          <w:szCs w:val="21"/>
          <w:highlight w:val="none"/>
          <w:lang w:eastAsia="zh-CN"/>
        </w:rPr>
        <w:t>《南宁市中心城区新城片区XC-01（桃源桥北）单元控制性详细规划及城市设计》修编</w:t>
      </w:r>
    </w:p>
    <w:p w14:paraId="29643DE6">
      <w:pPr>
        <w:spacing w:line="400" w:lineRule="exact"/>
        <w:ind w:firstLine="420" w:firstLineChars="200"/>
        <w:rPr>
          <w:rFonts w:ascii="宋体" w:hAnsi="宋体"/>
          <w:szCs w:val="21"/>
        </w:rPr>
      </w:pPr>
      <w:r>
        <w:rPr>
          <w:rFonts w:hint="eastAsia" w:ascii="宋体" w:hAnsi="宋体"/>
          <w:szCs w:val="21"/>
        </w:rPr>
        <w:t>3.预算金额：515949.00元。</w:t>
      </w:r>
    </w:p>
    <w:p w14:paraId="203DCDE7">
      <w:pPr>
        <w:spacing w:line="400" w:lineRule="exact"/>
        <w:ind w:firstLine="420" w:firstLineChars="200"/>
        <w:rPr>
          <w:rStyle w:val="66"/>
        </w:rPr>
      </w:pPr>
      <w:r>
        <w:rPr>
          <w:rFonts w:hint="eastAsia" w:ascii="宋体" w:hAnsi="宋体"/>
          <w:szCs w:val="21"/>
        </w:rPr>
        <w:t>4.最高限价</w:t>
      </w:r>
      <w:bookmarkStart w:id="2" w:name="_Hlk66782034"/>
      <w:r>
        <w:rPr>
          <w:rFonts w:hint="eastAsia" w:ascii="宋体" w:hAnsi="宋体"/>
          <w:szCs w:val="21"/>
        </w:rPr>
        <w:t>（如有）</w:t>
      </w:r>
      <w:bookmarkEnd w:id="2"/>
      <w:r>
        <w:rPr>
          <w:rFonts w:hint="eastAsia" w:ascii="宋体" w:hAnsi="宋体"/>
          <w:szCs w:val="21"/>
        </w:rPr>
        <w:t>：515949.00元。</w:t>
      </w:r>
    </w:p>
    <w:p w14:paraId="719535FC">
      <w:pPr>
        <w:spacing w:line="400" w:lineRule="exact"/>
        <w:ind w:firstLine="420" w:firstLineChars="200"/>
        <w:rPr>
          <w:rFonts w:ascii="宋体" w:hAnsi="宋体"/>
          <w:szCs w:val="21"/>
        </w:rPr>
      </w:pPr>
      <w:r>
        <w:rPr>
          <w:rFonts w:hint="eastAsia" w:ascii="宋体" w:hAnsi="宋体"/>
          <w:szCs w:val="21"/>
        </w:rPr>
        <w:t>5.采购需求：</w:t>
      </w:r>
      <w:r>
        <w:rPr>
          <w:rFonts w:hint="eastAsia" w:ascii="宋体" w:hAnsi="宋体"/>
          <w:szCs w:val="21"/>
          <w:lang w:eastAsia="zh-CN"/>
        </w:rPr>
        <w:t>《南宁市中心城区新城片区XC-01（桃源桥北）单元控制性详细规划及城市设计》修编</w:t>
      </w:r>
      <w:r>
        <w:rPr>
          <w:rFonts w:hint="eastAsia" w:ascii="宋体" w:hAnsi="宋体" w:cs="宋体"/>
          <w:kern w:val="0"/>
          <w:szCs w:val="21"/>
          <w:lang w:val="en-US" w:eastAsia="zh-CN"/>
        </w:rPr>
        <w:t>1</w:t>
      </w:r>
      <w:r>
        <w:rPr>
          <w:rFonts w:hint="eastAsia" w:ascii="宋体" w:hAnsi="宋体" w:cs="宋体"/>
          <w:kern w:val="0"/>
          <w:szCs w:val="21"/>
        </w:rPr>
        <w:t>项。</w:t>
      </w:r>
      <w:r>
        <w:rPr>
          <w:rFonts w:hint="eastAsia" w:ascii="宋体" w:cs="宋体"/>
          <w:szCs w:val="21"/>
        </w:rPr>
        <w:t>如需进一步了解详细内容，详见招标文件。</w:t>
      </w:r>
    </w:p>
    <w:p w14:paraId="56074699">
      <w:pPr>
        <w:spacing w:line="400" w:lineRule="exact"/>
        <w:ind w:firstLine="420" w:firstLineChars="200"/>
        <w:rPr>
          <w:rFonts w:hint="eastAsia" w:ascii="宋体" w:hAnsi="宋体" w:eastAsia="宋体"/>
          <w:szCs w:val="21"/>
          <w:highlight w:val="none"/>
          <w:lang w:eastAsia="zh-CN"/>
        </w:rPr>
      </w:pPr>
      <w:r>
        <w:rPr>
          <w:rFonts w:hint="eastAsia" w:ascii="宋体" w:hAnsi="宋体"/>
          <w:szCs w:val="21"/>
        </w:rPr>
        <w:t>6.提交服务成果时间：签订合同后180个日历日内，获批复后提交所有最终成果</w:t>
      </w:r>
      <w:r>
        <w:rPr>
          <w:rFonts w:hint="eastAsia" w:ascii="宋体" w:hAnsi="宋体"/>
          <w:szCs w:val="21"/>
          <w:highlight w:val="none"/>
          <w:lang w:eastAsia="zh-CN"/>
        </w:rPr>
        <w:t>。</w:t>
      </w:r>
    </w:p>
    <w:p w14:paraId="57A7EC6D">
      <w:pPr>
        <w:spacing w:line="400" w:lineRule="exact"/>
        <w:ind w:firstLine="420" w:firstLineChars="200"/>
        <w:rPr>
          <w:rFonts w:ascii="宋体" w:hAnsi="宋体"/>
          <w:szCs w:val="21"/>
        </w:rPr>
      </w:pPr>
      <w:r>
        <w:rPr>
          <w:rFonts w:hint="eastAsia" w:ascii="宋体" w:hAnsi="宋体"/>
          <w:szCs w:val="21"/>
        </w:rPr>
        <w:t>7.本项目是否接受联合体投标：</w:t>
      </w:r>
      <w:r>
        <w:rPr>
          <w:rFonts w:hint="eastAsia" w:ascii="仿宋_GB2312" w:eastAsia="仿宋_GB2312" w:cs="仿宋_GB2312"/>
          <w:kern w:val="0"/>
          <w:sz w:val="24"/>
          <w:lang w:val="zh-CN"/>
        </w:rPr>
        <w:sym w:font="Wingdings 2" w:char="00A3"/>
      </w:r>
      <w:r>
        <w:rPr>
          <w:rFonts w:hint="eastAsia" w:ascii="宋体" w:hAnsi="宋体"/>
          <w:szCs w:val="21"/>
        </w:rPr>
        <w:t>是，</w:t>
      </w:r>
      <w:r>
        <w:rPr>
          <w:rFonts w:hint="eastAsia" w:ascii="仿宋_GB2312" w:eastAsia="仿宋_GB2312" w:cs="仿宋_GB2312"/>
          <w:kern w:val="0"/>
          <w:sz w:val="24"/>
          <w:lang w:val="zh-CN"/>
        </w:rPr>
        <w:sym w:font="Wingdings 2" w:char="0052"/>
      </w:r>
      <w:r>
        <w:rPr>
          <w:rFonts w:ascii="宋体" w:hAnsi="宋体"/>
          <w:szCs w:val="21"/>
        </w:rPr>
        <w:t>否</w:t>
      </w:r>
      <w:r>
        <w:rPr>
          <w:rFonts w:hint="eastAsia" w:ascii="宋体" w:hAnsi="宋体"/>
          <w:szCs w:val="21"/>
        </w:rPr>
        <w:t>。</w:t>
      </w:r>
    </w:p>
    <w:p w14:paraId="4D0EB0D6">
      <w:pPr>
        <w:spacing w:line="400" w:lineRule="exact"/>
        <w:rPr>
          <w:rFonts w:ascii="黑体" w:hAnsi="黑体" w:eastAsia="黑体"/>
          <w:b/>
          <w:bCs/>
          <w:sz w:val="24"/>
        </w:rPr>
      </w:pPr>
      <w:r>
        <w:rPr>
          <w:rFonts w:hint="eastAsia" w:ascii="黑体" w:hAnsi="黑体" w:eastAsia="黑体"/>
          <w:b/>
          <w:bCs/>
          <w:sz w:val="24"/>
        </w:rPr>
        <w:t>二、投标人的资格要求：</w:t>
      </w:r>
    </w:p>
    <w:p w14:paraId="06A57366">
      <w:pPr>
        <w:spacing w:line="360" w:lineRule="auto"/>
        <w:ind w:firstLine="420" w:firstLineChars="200"/>
        <w:rPr>
          <w:rFonts w:hint="eastAsia" w:ascii="宋体" w:hAnsi="宋体" w:eastAsia="宋体"/>
          <w:color w:val="000000"/>
          <w:szCs w:val="21"/>
        </w:rPr>
      </w:pPr>
      <w:r>
        <w:rPr>
          <w:rFonts w:hint="eastAsia" w:ascii="宋体" w:hAnsi="宋体" w:eastAsia="宋体"/>
          <w:color w:val="000000"/>
          <w:szCs w:val="21"/>
        </w:rPr>
        <w:t>1.满足《中华人民共和国政府采购法》第二十二条规定；</w:t>
      </w:r>
    </w:p>
    <w:p w14:paraId="1EE3AB40">
      <w:pPr>
        <w:spacing w:line="360" w:lineRule="auto"/>
        <w:ind w:firstLine="420" w:firstLineChars="200"/>
        <w:rPr>
          <w:rFonts w:hint="eastAsia" w:ascii="宋体" w:hAnsi="宋体" w:eastAsia="宋体"/>
          <w:color w:val="000000"/>
          <w:szCs w:val="21"/>
        </w:rPr>
      </w:pPr>
      <w:r>
        <w:rPr>
          <w:rFonts w:hint="eastAsia" w:ascii="宋体" w:hAnsi="宋体" w:eastAsia="宋体"/>
          <w:color w:val="000000"/>
          <w:szCs w:val="21"/>
        </w:rPr>
        <w:t>2.落实政府采购政策需满足的资格要求：</w:t>
      </w:r>
    </w:p>
    <w:p w14:paraId="4C958292">
      <w:pPr>
        <w:spacing w:line="360" w:lineRule="auto"/>
        <w:ind w:firstLine="420" w:firstLineChars="200"/>
        <w:rPr>
          <w:rFonts w:hint="eastAsia" w:ascii="宋体" w:hAnsi="宋体" w:eastAsia="宋体"/>
          <w:color w:val="000000"/>
          <w:szCs w:val="21"/>
        </w:rPr>
      </w:pPr>
      <w:r>
        <w:rPr>
          <w:rFonts w:hint="eastAsia" w:ascii="宋体" w:hAnsi="宋体" w:eastAsia="宋体"/>
          <w:color w:val="000000"/>
          <w:szCs w:val="21"/>
        </w:rPr>
        <w:t>□专门面向中小企业采购的项目（供应商应为中小微企业、监狱企业、残疾人福利性单位)</w:t>
      </w:r>
    </w:p>
    <w:p w14:paraId="29F8BD8C">
      <w:pPr>
        <w:spacing w:line="360" w:lineRule="auto"/>
        <w:ind w:firstLine="420" w:firstLineChars="200"/>
        <w:rPr>
          <w:rFonts w:hint="eastAsia" w:ascii="宋体" w:hAnsi="宋体" w:eastAsia="宋体"/>
          <w:color w:val="000000"/>
          <w:szCs w:val="21"/>
        </w:rPr>
      </w:pPr>
      <w:r>
        <w:rPr>
          <w:rFonts w:hint="eastAsia" w:ascii="MS Gothic" w:hAnsi="MS Gothic" w:eastAsia="MS Gothic" w:cs="MS Gothic"/>
          <w:color w:val="000000"/>
          <w:szCs w:val="21"/>
        </w:rPr>
        <w:t>☑</w:t>
      </w:r>
      <w:r>
        <w:rPr>
          <w:rFonts w:hint="eastAsia" w:ascii="宋体" w:hAnsi="宋体" w:eastAsia="宋体"/>
          <w:color w:val="000000"/>
          <w:szCs w:val="21"/>
        </w:rPr>
        <w:t>非专门面向中小企业采购的项目</w:t>
      </w:r>
    </w:p>
    <w:p w14:paraId="3A9AD99E">
      <w:pPr>
        <w:spacing w:line="360" w:lineRule="auto"/>
        <w:ind w:firstLine="420" w:firstLineChars="200"/>
        <w:rPr>
          <w:rFonts w:hint="eastAsia" w:ascii="宋体" w:hAnsi="宋体" w:eastAsia="宋体"/>
          <w:color w:val="000000"/>
          <w:szCs w:val="21"/>
        </w:rPr>
      </w:pPr>
      <w:r>
        <w:rPr>
          <w:rFonts w:hint="eastAsia" w:ascii="宋体" w:hAnsi="宋体" w:eastAsia="宋体"/>
          <w:color w:val="000000"/>
          <w:szCs w:val="21"/>
        </w:rPr>
        <w:t>3.本项目的特定资格要求：</w:t>
      </w:r>
    </w:p>
    <w:p w14:paraId="30C38D40">
      <w:pPr>
        <w:spacing w:line="360" w:lineRule="auto"/>
        <w:ind w:firstLine="420" w:firstLineChars="200"/>
        <w:rPr>
          <w:rFonts w:hint="eastAsia" w:ascii="宋体" w:hAnsi="宋体" w:eastAsia="宋体"/>
          <w:color w:val="000000"/>
          <w:szCs w:val="21"/>
          <w:lang w:eastAsia="zh-CN"/>
        </w:rPr>
      </w:pPr>
      <w:r>
        <w:rPr>
          <w:rFonts w:hint="eastAsia" w:ascii="宋体" w:hAnsi="宋体" w:eastAsia="宋体"/>
          <w:color w:val="000000"/>
          <w:szCs w:val="21"/>
        </w:rPr>
        <w:t>具有自然资源行政主管部门颁发有效的城乡规划（国土空间规划）编制乙级（或以上）资质。</w:t>
      </w:r>
    </w:p>
    <w:p w14:paraId="21890CE4">
      <w:pPr>
        <w:spacing w:line="360" w:lineRule="auto"/>
        <w:ind w:firstLine="420" w:firstLineChars="200"/>
        <w:rPr>
          <w:rFonts w:hint="eastAsia" w:ascii="宋体" w:hAnsi="宋体" w:eastAsia="宋体"/>
          <w:color w:val="000000"/>
          <w:szCs w:val="21"/>
        </w:rPr>
      </w:pPr>
      <w:r>
        <w:rPr>
          <w:rFonts w:hint="eastAsia" w:ascii="宋体" w:hAnsi="宋体" w:eastAsia="宋体"/>
          <w:color w:val="000000"/>
          <w:szCs w:val="21"/>
        </w:rPr>
        <w:t>4.本项目的特定条件：无</w:t>
      </w:r>
    </w:p>
    <w:p w14:paraId="69C636F6">
      <w:pPr>
        <w:snapToGrid w:val="0"/>
        <w:spacing w:line="360" w:lineRule="auto"/>
        <w:ind w:firstLine="420"/>
        <w:jc w:val="left"/>
        <w:rPr>
          <w:rFonts w:hint="eastAsia" w:ascii="宋体" w:hAnsi="宋体" w:eastAsia="宋体"/>
          <w:color w:val="000000"/>
          <w:szCs w:val="21"/>
        </w:rPr>
      </w:pPr>
      <w:r>
        <w:rPr>
          <w:rFonts w:hint="eastAsia" w:ascii="宋体" w:hAnsi="宋体" w:eastAsia="宋体"/>
          <w:color w:val="000000"/>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3A61EA2">
      <w:pPr>
        <w:spacing w:line="360" w:lineRule="auto"/>
        <w:ind w:firstLine="420" w:firstLineChars="200"/>
        <w:rPr>
          <w:rFonts w:ascii="宋体" w:hAnsi="宋体"/>
          <w:szCs w:val="21"/>
        </w:rPr>
      </w:pPr>
      <w:r>
        <w:rPr>
          <w:rFonts w:hint="eastAsia" w:ascii="宋体" w:hAnsi="宋体" w:eastAsia="宋体"/>
          <w:color w:val="000000"/>
          <w:szCs w:val="21"/>
        </w:rPr>
        <w:t>6.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038ED0D">
      <w:pPr>
        <w:spacing w:line="400" w:lineRule="exact"/>
        <w:rPr>
          <w:rFonts w:ascii="黑体" w:hAnsi="黑体" w:eastAsia="黑体"/>
          <w:b/>
          <w:bCs/>
          <w:sz w:val="24"/>
        </w:rPr>
      </w:pPr>
      <w:r>
        <w:rPr>
          <w:rFonts w:hint="eastAsia" w:ascii="黑体" w:hAnsi="黑体" w:eastAsia="黑体"/>
          <w:b/>
          <w:bCs/>
          <w:sz w:val="24"/>
        </w:rPr>
        <w:t>三、获取招标文件</w:t>
      </w:r>
    </w:p>
    <w:p w14:paraId="5B971C0C">
      <w:pPr>
        <w:snapToGrid w:val="0"/>
        <w:spacing w:line="400" w:lineRule="exact"/>
        <w:ind w:firstLine="472" w:firstLineChars="225"/>
        <w:rPr>
          <w:rFonts w:ascii="宋体" w:hAnsi="宋体"/>
          <w:szCs w:val="21"/>
        </w:rPr>
      </w:pPr>
      <w:r>
        <w:rPr>
          <w:rFonts w:hint="eastAsia" w:ascii="宋体" w:hAnsi="宋体"/>
          <w:szCs w:val="21"/>
        </w:rPr>
        <w:t>时间：自公告发布之日起至投标截止时间止。</w:t>
      </w:r>
    </w:p>
    <w:p w14:paraId="60EFF9FE">
      <w:pPr>
        <w:snapToGrid w:val="0"/>
        <w:spacing w:line="400" w:lineRule="exact"/>
        <w:ind w:firstLine="472" w:firstLineChars="225"/>
        <w:rPr>
          <w:rFonts w:ascii="黑体" w:hAnsi="黑体" w:eastAsia="黑体"/>
          <w:b/>
          <w:bCs/>
          <w:sz w:val="24"/>
        </w:rPr>
      </w:pPr>
      <w:r>
        <w:rPr>
          <w:rFonts w:hint="eastAsia" w:ascii="宋体" w:hAnsi="宋体"/>
          <w:szCs w:val="21"/>
        </w:rPr>
        <w:t>获取方式:网上下载。本项目不发放纸质文件，投标人可自行在本公告“六、其他补充事宜”中网上查询地址的信息公告处下载招标文件。电子投标文件制作需要基于“广西政府采购云平台”（https://www.gcy.zfcg.gxzf.gov.cn/）获取的招标文件编制，拟参与本项目的潜在投标人需使用账号登录或者使用CA登录“广西政府采购云平台”平台-进入“项目采购”应用，在获取招标文件菜单中选择项目，获取招标文件。</w:t>
      </w:r>
    </w:p>
    <w:p w14:paraId="16C82EA6">
      <w:pPr>
        <w:snapToGrid w:val="0"/>
        <w:spacing w:line="400" w:lineRule="exact"/>
        <w:ind w:firstLine="472" w:firstLineChars="225"/>
        <w:rPr>
          <w:rFonts w:ascii="宋体" w:hAnsi="宋体"/>
          <w:szCs w:val="21"/>
        </w:rPr>
      </w:pPr>
      <w:r>
        <w:rPr>
          <w:rFonts w:hint="eastAsia" w:ascii="宋体" w:hAnsi="宋体"/>
          <w:szCs w:val="21"/>
        </w:rPr>
        <w:t>售价：0元。</w:t>
      </w:r>
    </w:p>
    <w:p w14:paraId="31722D2E">
      <w:pPr>
        <w:spacing w:line="400" w:lineRule="exact"/>
        <w:rPr>
          <w:rFonts w:ascii="黑体" w:hAnsi="黑体" w:eastAsia="黑体"/>
          <w:b/>
          <w:bCs/>
          <w:sz w:val="24"/>
        </w:rPr>
      </w:pPr>
      <w:r>
        <w:rPr>
          <w:rFonts w:hint="eastAsia" w:ascii="黑体" w:hAnsi="黑体" w:eastAsia="黑体"/>
          <w:b/>
          <w:bCs/>
          <w:sz w:val="24"/>
        </w:rPr>
        <w:t>四、提交投标文件截止时间、开标时间和地点</w:t>
      </w:r>
    </w:p>
    <w:p w14:paraId="6016F41D">
      <w:pPr>
        <w:spacing w:line="400" w:lineRule="exact"/>
        <w:ind w:firstLine="420" w:firstLineChars="200"/>
        <w:rPr>
          <w:rFonts w:ascii="宋体" w:hAnsi="宋体" w:cs="宋体"/>
          <w:szCs w:val="21"/>
          <w:highlight w:val="yellow"/>
          <w:u w:val="single"/>
        </w:rPr>
      </w:pPr>
      <w:r>
        <w:rPr>
          <w:rFonts w:hint="eastAsia" w:ascii="宋体" w:hAnsi="宋体"/>
          <w:bCs/>
          <w:szCs w:val="21"/>
        </w:rPr>
        <w:t>1、提交投标文件截止时间和开标时</w:t>
      </w:r>
      <w:r>
        <w:rPr>
          <w:rFonts w:hint="eastAsia" w:ascii="宋体" w:hAnsi="宋体"/>
          <w:bCs/>
          <w:color w:val="000000" w:themeColor="text1"/>
          <w:szCs w:val="21"/>
          <w:highlight w:val="none"/>
          <w14:textFill>
            <w14:solidFill>
              <w14:schemeClr w14:val="tx1"/>
            </w14:solidFill>
          </w14:textFill>
        </w:rPr>
        <w:t>间：</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06</w:t>
      </w:r>
      <w:r>
        <w:rPr>
          <w:rFonts w:hint="eastAsia" w:ascii="宋体" w:hAnsi="宋体" w:cs="宋体"/>
          <w:color w:val="000000" w:themeColor="text1"/>
          <w:szCs w:val="21"/>
          <w:highlight w:val="none"/>
          <w:u w:val="singl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u w:val="single"/>
          <w14:textFill>
            <w14:solidFill>
              <w14:schemeClr w14:val="tx1"/>
            </w14:solidFill>
          </w14:textFill>
        </w:rPr>
        <w:t>日</w:t>
      </w:r>
      <w:r>
        <w:rPr>
          <w:rFonts w:hint="eastAsia" w:ascii="宋体" w:hAnsi="宋体" w:cs="宋体"/>
          <w:bCs/>
          <w:color w:val="000000" w:themeColor="text1"/>
          <w:szCs w:val="21"/>
          <w:highlight w:val="none"/>
          <w:u w:val="single"/>
          <w14:textFill>
            <w14:solidFill>
              <w14:schemeClr w14:val="tx1"/>
            </w14:solidFill>
          </w14:textFill>
        </w:rPr>
        <w:t>09 时30分</w:t>
      </w:r>
      <w:r>
        <w:rPr>
          <w:rFonts w:hint="eastAsia" w:ascii="宋体" w:hAnsi="宋体"/>
          <w:bCs/>
          <w:color w:val="000000" w:themeColor="text1"/>
          <w:szCs w:val="21"/>
          <w:highlight w:val="none"/>
          <w14:textFill>
            <w14:solidFill>
              <w14:schemeClr w14:val="tx1"/>
            </w14:solidFill>
          </w14:textFill>
        </w:rPr>
        <w:t>（北京时间）</w:t>
      </w:r>
    </w:p>
    <w:p w14:paraId="62BE157F">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、投标和开标地点：</w:t>
      </w:r>
    </w:p>
    <w:p w14:paraId="2DAD8454">
      <w:pPr>
        <w:widowControl/>
        <w:spacing w:line="470" w:lineRule="exact"/>
        <w:ind w:firstLine="420" w:firstLineChars="200"/>
        <w:jc w:val="left"/>
        <w:rPr>
          <w:rFonts w:ascii="宋体" w:hAnsi="宋体"/>
          <w:szCs w:val="21"/>
        </w:rPr>
      </w:pPr>
      <w:r>
        <w:rPr>
          <w:rFonts w:hint="eastAsia" w:ascii="宋体" w:hAnsi="宋体"/>
          <w:szCs w:val="21"/>
        </w:rPr>
        <w:t>（1）投标文件提交方式：本项目为南宁市全流程电子化项目，通过“广西政府采购云平台”（</w:t>
      </w:r>
      <w:r>
        <w:rPr>
          <w:rFonts w:hint="eastAsia" w:hAnsi="宋体"/>
          <w:szCs w:val="21"/>
        </w:rPr>
        <w:t>https://www.gcy.zfcg.gxzf.gov.cn/</w:t>
      </w:r>
      <w:r>
        <w:rPr>
          <w:rFonts w:hint="eastAsia" w:ascii="宋体" w:hAnsi="宋体"/>
          <w:szCs w:val="21"/>
        </w:rPr>
        <w:t>）实行在线电子投标，投标人应先安装“广西政府采购云平台电子交易客户端”（请自行前往“广西政府采购云平台”进行下载），并按照本项目招标文件和“广西政府采购云平台”的要求编制、加密后在投标截止时间前通过网络上传至南宁市本级“广西政府采购云平台”，</w:t>
      </w:r>
      <w:r>
        <w:rPr>
          <w:rFonts w:hint="eastAsia" w:ascii="宋体" w:hAnsi="宋体"/>
          <w:b/>
          <w:szCs w:val="21"/>
        </w:rPr>
        <w:t>投标人在“广西政府采购云平台”提交电子版投标文件时，请填写参加远程开标活动经办人联系方式，</w:t>
      </w:r>
      <w:r>
        <w:rPr>
          <w:rFonts w:hint="eastAsia" w:ascii="宋体" w:hAnsi="宋体"/>
          <w:szCs w:val="21"/>
        </w:rPr>
        <w:t>电子投标具体操作流程详见本公告附件3。</w:t>
      </w:r>
    </w:p>
    <w:p w14:paraId="09F1B42E">
      <w:pPr>
        <w:widowControl/>
        <w:spacing w:line="470" w:lineRule="exact"/>
        <w:ind w:firstLine="420" w:firstLineChars="200"/>
        <w:jc w:val="left"/>
        <w:rPr>
          <w:rFonts w:ascii="宋体" w:hAnsi="宋体"/>
          <w:szCs w:val="21"/>
        </w:rPr>
      </w:pPr>
      <w:r>
        <w:rPr>
          <w:rFonts w:hint="eastAsia" w:ascii="宋体" w:hAnsi="宋体"/>
          <w:szCs w:val="21"/>
        </w:rPr>
        <w:t>（2）未进行网上注册并办理数字证书（CA认证）的投标人将无法参与本项目政府采购活动，潜在投标人应当在投标截止时间前，完成电子交易平台上的CA数字证书办理（申领流程见本公告附件2）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17556E96">
      <w:pPr>
        <w:widowControl/>
        <w:spacing w:line="470" w:lineRule="exact"/>
        <w:ind w:firstLine="420" w:firstLineChars="200"/>
        <w:jc w:val="left"/>
        <w:rPr>
          <w:rFonts w:ascii="宋体" w:hAnsi="宋体"/>
          <w:szCs w:val="21"/>
        </w:rPr>
      </w:pPr>
      <w:r>
        <w:rPr>
          <w:rFonts w:hint="eastAsia" w:ascii="宋体" w:hAnsi="宋体"/>
          <w:szCs w:val="21"/>
        </w:rPr>
        <w:t>（3）为确保网上操作合法、有效和安全，请投标人确保在电子投标过程中能够对相关数据电文进行加密和使用电子签章，妥善保管C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24DF8C04">
      <w:pPr>
        <w:spacing w:line="470" w:lineRule="exact"/>
        <w:ind w:firstLine="420" w:firstLineChars="200"/>
        <w:rPr>
          <w:rFonts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7CB1F2F">
      <w:pPr>
        <w:widowControl/>
        <w:spacing w:line="470" w:lineRule="exact"/>
        <w:ind w:firstLine="420" w:firstLineChars="200"/>
        <w:jc w:val="left"/>
        <w:rPr>
          <w:rFonts w:ascii="宋体" w:hAnsi="宋体"/>
          <w:szCs w:val="21"/>
        </w:rPr>
      </w:pPr>
      <w:r>
        <w:rPr>
          <w:rFonts w:hint="eastAsia" w:ascii="宋体" w:hAnsi="宋体"/>
          <w:szCs w:val="21"/>
        </w:rPr>
        <w:t>（4）开标地点：</w:t>
      </w:r>
      <w:r>
        <w:rPr>
          <w:rFonts w:hint="eastAsia" w:ascii="宋体" w:hAnsi="宋体"/>
          <w:szCs w:val="21"/>
          <w:highlight w:val="none"/>
        </w:rPr>
        <w:t>本次</w:t>
      </w:r>
      <w:r>
        <w:rPr>
          <w:rFonts w:hint="eastAsia" w:ascii="宋体" w:hAnsi="宋体"/>
          <w:color w:val="000000" w:themeColor="text1"/>
          <w:szCs w:val="21"/>
          <w:highlight w:val="none"/>
          <w14:textFill>
            <w14:solidFill>
              <w14:schemeClr w14:val="tx1"/>
            </w14:solidFill>
          </w14:textFill>
        </w:rPr>
        <w:t>招标将</w:t>
      </w:r>
      <w:r>
        <w:rPr>
          <w:rFonts w:hint="eastAsia" w:ascii="宋体" w:hAnsi="宋体"/>
          <w:color w:val="000000" w:themeColor="text1"/>
          <w:szCs w:val="21"/>
          <w:highlight w:val="none"/>
          <w:u w:val="single"/>
          <w14:textFill>
            <w14:solidFill>
              <w14:schemeClr w14:val="tx1"/>
            </w14:solidFill>
          </w14:textFill>
        </w:rPr>
        <w:t>于</w:t>
      </w:r>
      <w:r>
        <w:rPr>
          <w:rFonts w:hint="eastAsia" w:ascii="宋体" w:hAnsi="宋体" w:cs="宋体"/>
          <w:color w:val="000000" w:themeColor="text1"/>
          <w:szCs w:val="21"/>
          <w:highlight w:val="none"/>
          <w:u w:val="single"/>
          <w14:textFill>
            <w14:solidFill>
              <w14:schemeClr w14:val="tx1"/>
            </w14:solidFill>
          </w14:textFill>
        </w:rPr>
        <w:t>202</w:t>
      </w:r>
      <w:r>
        <w:rPr>
          <w:rFonts w:hint="eastAsia" w:ascii="宋体" w:hAnsi="宋体" w:cs="宋体"/>
          <w:color w:val="000000" w:themeColor="text1"/>
          <w:szCs w:val="21"/>
          <w:highlight w:val="none"/>
          <w:u w:val="single"/>
          <w:lang w:val="en-US" w:eastAsia="zh-CN"/>
          <w14:textFill>
            <w14:solidFill>
              <w14:schemeClr w14:val="tx1"/>
            </w14:solidFill>
          </w14:textFill>
        </w:rPr>
        <w:t>6</w:t>
      </w:r>
      <w:r>
        <w:rPr>
          <w:rFonts w:hint="eastAsia" w:ascii="宋体" w:hAnsi="宋体" w:cs="宋体"/>
          <w:color w:val="000000" w:themeColor="text1"/>
          <w:szCs w:val="21"/>
          <w:highlight w:val="none"/>
          <w:u w:val="single"/>
          <w14:textFill>
            <w14:solidFill>
              <w14:schemeClr w14:val="tx1"/>
            </w14:solidFill>
          </w14:textFill>
        </w:rPr>
        <w:t>年</w:t>
      </w:r>
      <w:r>
        <w:rPr>
          <w:rFonts w:hint="eastAsia" w:ascii="宋体" w:hAnsi="宋体" w:cs="宋体"/>
          <w:color w:val="000000" w:themeColor="text1"/>
          <w:szCs w:val="21"/>
          <w:highlight w:val="none"/>
          <w:u w:val="single"/>
          <w:lang w:val="en-US" w:eastAsia="zh-CN"/>
          <w14:textFill>
            <w14:solidFill>
              <w14:schemeClr w14:val="tx1"/>
            </w14:solidFill>
          </w14:textFill>
        </w:rPr>
        <w:t>06</w:t>
      </w:r>
      <w:r>
        <w:rPr>
          <w:rFonts w:hint="eastAsia" w:ascii="宋体" w:hAnsi="宋体" w:cs="宋体"/>
          <w:color w:val="000000" w:themeColor="text1"/>
          <w:szCs w:val="21"/>
          <w:highlight w:val="none"/>
          <w:u w:val="single"/>
          <w14:textFill>
            <w14:solidFill>
              <w14:schemeClr w14:val="tx1"/>
            </w14:solidFill>
          </w14:textFill>
        </w:rPr>
        <w:t>月</w:t>
      </w:r>
      <w:r>
        <w:rPr>
          <w:rFonts w:hint="eastAsia" w:ascii="宋体" w:hAnsi="宋体" w:cs="宋体"/>
          <w:color w:val="000000" w:themeColor="text1"/>
          <w:szCs w:val="21"/>
          <w:highlight w:val="none"/>
          <w:u w:val="single"/>
          <w:lang w:val="en-US" w:eastAsia="zh-CN"/>
          <w14:textFill>
            <w14:solidFill>
              <w14:schemeClr w14:val="tx1"/>
            </w14:solidFill>
          </w14:textFill>
        </w:rPr>
        <w:t>11</w:t>
      </w:r>
      <w:r>
        <w:rPr>
          <w:rFonts w:hint="eastAsia" w:ascii="宋体" w:hAnsi="宋体" w:cs="宋体"/>
          <w:color w:val="000000" w:themeColor="text1"/>
          <w:szCs w:val="21"/>
          <w:highlight w:val="none"/>
          <w:u w:val="single"/>
          <w14:textFill>
            <w14:solidFill>
              <w14:schemeClr w14:val="tx1"/>
            </w14:solidFill>
          </w14:textFill>
        </w:rPr>
        <w:t>日</w:t>
      </w:r>
      <w:r>
        <w:rPr>
          <w:rFonts w:hint="eastAsia" w:ascii="宋体" w:hAnsi="宋体" w:cs="宋体"/>
          <w:bCs/>
          <w:color w:val="000000" w:themeColor="text1"/>
          <w:szCs w:val="21"/>
          <w:highlight w:val="none"/>
          <w:u w:val="single"/>
          <w14:textFill>
            <w14:solidFill>
              <w14:schemeClr w14:val="tx1"/>
            </w14:solidFill>
          </w14:textFill>
        </w:rPr>
        <w:t>09 时30分</w:t>
      </w:r>
      <w:r>
        <w:rPr>
          <w:rFonts w:hint="eastAsia" w:ascii="宋体" w:hAnsi="宋体"/>
          <w:color w:val="000000" w:themeColor="text1"/>
          <w:szCs w:val="21"/>
          <w:highlight w:val="none"/>
          <w14:textFill>
            <w14:solidFill>
              <w14:schemeClr w14:val="tx1"/>
            </w14:solidFill>
          </w14:textFill>
        </w:rPr>
        <w:t>在“广西</w:t>
      </w:r>
      <w:r>
        <w:rPr>
          <w:rFonts w:hint="eastAsia" w:ascii="宋体" w:hAnsi="宋体"/>
          <w:szCs w:val="21"/>
        </w:rPr>
        <w:t>政府采购云平台”电子开标大厅开标。</w:t>
      </w:r>
    </w:p>
    <w:p w14:paraId="0B804632">
      <w:pPr>
        <w:snapToGrid w:val="0"/>
        <w:spacing w:line="400" w:lineRule="exact"/>
        <w:ind w:firstLine="420" w:firstLineChars="200"/>
        <w:rPr>
          <w:rFonts w:ascii="宋体" w:hAnsi="宋体" w:cs="宋体"/>
          <w:kern w:val="0"/>
          <w:szCs w:val="21"/>
        </w:rPr>
      </w:pPr>
      <w:r>
        <w:rPr>
          <w:rFonts w:hint="eastAsia" w:ascii="宋体" w:hAnsi="宋体" w:cs="宋体"/>
          <w:kern w:val="0"/>
          <w:szCs w:val="21"/>
        </w:rPr>
        <w:t>（5）CA证书在线解密：投标人投标时，需携带制作投标文件时用来加密的有效数字证书（CA认证）登录“广西政府采购云平台”电子开标大厅现场按规定时间对加密的投标文件进行解密，否则后果自负。</w:t>
      </w:r>
    </w:p>
    <w:p w14:paraId="1E43FCEB">
      <w:pPr>
        <w:spacing w:line="400" w:lineRule="exact"/>
        <w:rPr>
          <w:rFonts w:ascii="黑体" w:hAnsi="黑体" w:eastAsia="黑体"/>
          <w:b/>
          <w:bCs/>
          <w:sz w:val="24"/>
        </w:rPr>
      </w:pPr>
      <w:r>
        <w:rPr>
          <w:rFonts w:hint="eastAsia" w:ascii="黑体" w:hAnsi="黑体" w:eastAsia="黑体"/>
          <w:b/>
          <w:bCs/>
          <w:sz w:val="24"/>
        </w:rPr>
        <w:t>五、公告期限</w:t>
      </w:r>
    </w:p>
    <w:p w14:paraId="60BF10D1">
      <w:pPr>
        <w:spacing w:line="400" w:lineRule="exact"/>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41D0BC6F">
      <w:pPr>
        <w:spacing w:line="400" w:lineRule="exact"/>
        <w:rPr>
          <w:rFonts w:ascii="黑体" w:hAnsi="黑体" w:eastAsia="黑体"/>
          <w:b/>
          <w:bCs/>
          <w:sz w:val="24"/>
        </w:rPr>
      </w:pPr>
      <w:r>
        <w:rPr>
          <w:rFonts w:hint="eastAsia" w:ascii="黑体" w:hAnsi="黑体" w:eastAsia="黑体"/>
          <w:b/>
          <w:bCs/>
          <w:sz w:val="24"/>
        </w:rPr>
        <w:t>六、其他补充事宜</w:t>
      </w:r>
    </w:p>
    <w:p w14:paraId="727F9A45">
      <w:pPr>
        <w:spacing w:line="400" w:lineRule="exact"/>
        <w:ind w:firstLine="315" w:firstLineChars="150"/>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6E25851C">
      <w:pPr>
        <w:spacing w:line="400" w:lineRule="exact"/>
        <w:ind w:firstLine="315" w:firstLineChars="150"/>
        <w:jc w:val="left"/>
        <w:rPr>
          <w:rFonts w:hint="eastAsia"/>
        </w:rPr>
      </w:pPr>
      <w:r>
        <w:rPr>
          <w:rFonts w:hint="eastAsia" w:ascii="宋体" w:hAnsi="宋体" w:cs="宋体"/>
          <w:kern w:val="0"/>
          <w:szCs w:val="21"/>
        </w:rPr>
        <w:t>2.采购意向公开链接</w:t>
      </w:r>
      <w:r>
        <w:rPr>
          <w:rFonts w:hint="eastAsia"/>
        </w:rPr>
        <w:t xml:space="preserve"> ：</w:t>
      </w:r>
    </w:p>
    <w:p w14:paraId="2C00363B">
      <w:pPr>
        <w:spacing w:line="400" w:lineRule="exact"/>
        <w:ind w:firstLine="315" w:firstLineChars="150"/>
        <w:jc w:val="left"/>
        <w:rPr>
          <w:rFonts w:hint="eastAsia"/>
        </w:rPr>
      </w:pPr>
      <w:r>
        <w:rPr>
          <w:rFonts w:hint="eastAsia"/>
        </w:rPr>
        <w:t>http://www.ccgp-guangxi.gov.cn/site/detail?parentId=66485&amp;articleId=iGkIQaYFYfBVdZVKETDyBA==</w:t>
      </w:r>
    </w:p>
    <w:p w14:paraId="6B347EAB">
      <w:pPr>
        <w:spacing w:line="400" w:lineRule="exact"/>
        <w:ind w:firstLine="315" w:firstLineChars="150"/>
        <w:rPr>
          <w:rFonts w:ascii="宋体" w:hAnsi="宋体" w:cs="宋体"/>
          <w:kern w:val="0"/>
          <w:szCs w:val="21"/>
        </w:rPr>
      </w:pPr>
      <w:r>
        <w:rPr>
          <w:rFonts w:ascii="宋体" w:hAnsi="宋体" w:cs="宋体"/>
          <w:kern w:val="0"/>
          <w:szCs w:val="21"/>
        </w:rPr>
        <w:t>3.</w:t>
      </w:r>
      <w:r>
        <w:rPr>
          <w:rFonts w:hint="eastAsia" w:ascii="宋体" w:hAnsi="宋体" w:cs="宋体"/>
          <w:kern w:val="0"/>
          <w:szCs w:val="21"/>
        </w:rPr>
        <w:t>网上查询地址</w:t>
      </w:r>
    </w:p>
    <w:p w14:paraId="3F3B948B">
      <w:pPr>
        <w:spacing w:line="470" w:lineRule="exact"/>
        <w:ind w:firstLine="315" w:firstLineChars="150"/>
        <w:rPr>
          <w:rFonts w:ascii="宋体" w:hAnsi="宋体" w:cs="宋体"/>
          <w:kern w:val="0"/>
          <w:szCs w:val="21"/>
        </w:rPr>
      </w:pPr>
      <w:r>
        <w:rPr>
          <w:rFonts w:hint="eastAsia" w:ascii="宋体" w:hAnsi="宋体" w:cs="宋体"/>
          <w:kern w:val="0"/>
          <w:szCs w:val="21"/>
        </w:rPr>
        <w:t xml:space="preserve">http://www.ccgp.gov.cn (中国政府采购网),http://zfcg.gxzf.gov.cn (广西政府采购网) , </w:t>
      </w:r>
      <w:r>
        <w:rPr>
          <w:rFonts w:ascii="宋体" w:hAnsi="宋体" w:cs="宋体"/>
          <w:kern w:val="0"/>
          <w:szCs w:val="21"/>
        </w:rPr>
        <w:t>http://ggzy.jgswj.gxzf.gov.cn/nnggzy/ (</w:t>
      </w:r>
      <w:r>
        <w:rPr>
          <w:rFonts w:hint="eastAsia" w:ascii="宋体" w:hAnsi="宋体" w:cs="宋体"/>
          <w:kern w:val="0"/>
          <w:szCs w:val="21"/>
        </w:rPr>
        <w:t>全国公共资源交易平台（广西·南宁）)</w:t>
      </w:r>
    </w:p>
    <w:p w14:paraId="078EADCE">
      <w:pPr>
        <w:spacing w:line="400" w:lineRule="exact"/>
        <w:ind w:firstLine="315" w:firstLineChars="150"/>
        <w:rPr>
          <w:rFonts w:ascii="宋体" w:hAnsi="宋体" w:cs="宋体"/>
          <w:kern w:val="0"/>
          <w:szCs w:val="21"/>
        </w:rPr>
      </w:pPr>
      <w:r>
        <w:rPr>
          <w:rFonts w:hint="eastAsia" w:ascii="宋体" w:hAnsi="宋体"/>
          <w:szCs w:val="21"/>
        </w:rPr>
        <w:t xml:space="preserve">4. </w:t>
      </w:r>
      <w:r>
        <w:rPr>
          <w:rFonts w:hint="eastAsia" w:ascii="宋体" w:hAnsi="宋体" w:cs="宋体"/>
          <w:kern w:val="0"/>
          <w:szCs w:val="21"/>
        </w:rPr>
        <w:t>本项目需要落实的政府采购政策：</w:t>
      </w:r>
      <w:bookmarkStart w:id="3" w:name="PO_3000001867_PM023"/>
    </w:p>
    <w:bookmarkEnd w:id="3"/>
    <w:p w14:paraId="0E89A0FD">
      <w:pPr>
        <w:spacing w:line="470" w:lineRule="exact"/>
        <w:ind w:firstLine="315" w:firstLineChars="150"/>
        <w:rPr>
          <w:rFonts w:ascii="宋体" w:hAnsi="宋体" w:cs="宋体"/>
          <w:kern w:val="0"/>
          <w:szCs w:val="21"/>
        </w:rPr>
      </w:pPr>
      <w:r>
        <w:rPr>
          <w:rFonts w:hint="eastAsia" w:ascii="宋体" w:hAnsi="宋体" w:cs="宋体"/>
          <w:kern w:val="0"/>
          <w:szCs w:val="21"/>
        </w:rPr>
        <w:t>（1）政府采购促进中小企业发展。</w:t>
      </w:r>
    </w:p>
    <w:p w14:paraId="601CB40E">
      <w:pPr>
        <w:spacing w:line="470" w:lineRule="exact"/>
        <w:ind w:firstLine="315" w:firstLineChars="150"/>
        <w:rPr>
          <w:rFonts w:ascii="宋体" w:hAnsi="宋体" w:cs="宋体"/>
          <w:kern w:val="0"/>
          <w:szCs w:val="21"/>
        </w:rPr>
      </w:pPr>
      <w:r>
        <w:rPr>
          <w:rFonts w:hint="eastAsia" w:ascii="宋体" w:hAnsi="宋体" w:cs="宋体"/>
          <w:kern w:val="0"/>
          <w:szCs w:val="21"/>
        </w:rPr>
        <w:t>（2）政府采购支持采用本国产品的政策。</w:t>
      </w:r>
    </w:p>
    <w:p w14:paraId="355CCCEA">
      <w:pPr>
        <w:spacing w:line="470" w:lineRule="exact"/>
        <w:ind w:firstLine="315" w:firstLineChars="150"/>
        <w:rPr>
          <w:rFonts w:ascii="宋体" w:hAnsi="宋体" w:cs="宋体"/>
          <w:kern w:val="0"/>
          <w:szCs w:val="21"/>
        </w:rPr>
      </w:pPr>
      <w:r>
        <w:rPr>
          <w:rFonts w:hint="eastAsia" w:ascii="宋体" w:hAnsi="宋体" w:cs="宋体"/>
          <w:kern w:val="0"/>
          <w:szCs w:val="21"/>
        </w:rPr>
        <w:t>（3）强制采购节能产品；优先采购节能产品、环境标志产品。</w:t>
      </w:r>
    </w:p>
    <w:p w14:paraId="3580BFB2">
      <w:pPr>
        <w:spacing w:line="470" w:lineRule="exact"/>
        <w:ind w:firstLine="315" w:firstLineChars="150"/>
        <w:rPr>
          <w:rFonts w:ascii="宋体" w:hAnsi="宋体" w:cs="宋体"/>
          <w:kern w:val="0"/>
          <w:szCs w:val="21"/>
        </w:rPr>
      </w:pPr>
      <w:r>
        <w:rPr>
          <w:rFonts w:hint="eastAsia" w:ascii="宋体" w:hAnsi="宋体" w:cs="宋体"/>
          <w:kern w:val="0"/>
          <w:szCs w:val="21"/>
        </w:rPr>
        <w:t>（4）政府采购促进残疾人就业政策。</w:t>
      </w:r>
    </w:p>
    <w:p w14:paraId="3C484A46">
      <w:pPr>
        <w:spacing w:line="470" w:lineRule="exact"/>
        <w:ind w:firstLine="315" w:firstLineChars="150"/>
        <w:rPr>
          <w:rFonts w:ascii="宋体" w:hAnsi="宋体" w:cs="宋体"/>
          <w:kern w:val="0"/>
          <w:szCs w:val="21"/>
        </w:rPr>
      </w:pPr>
      <w:r>
        <w:rPr>
          <w:rFonts w:hint="eastAsia" w:ascii="宋体" w:hAnsi="宋体" w:cs="宋体"/>
          <w:kern w:val="0"/>
          <w:szCs w:val="21"/>
        </w:rPr>
        <w:t>（5）政府采购支持监狱企业发展。</w:t>
      </w:r>
    </w:p>
    <w:p w14:paraId="591388E6">
      <w:pPr>
        <w:spacing w:line="400" w:lineRule="exact"/>
        <w:ind w:firstLine="315" w:firstLineChars="150"/>
      </w:pPr>
      <w:r>
        <w:rPr>
          <w:rFonts w:hint="eastAsia" w:ascii="宋体" w:hAnsi="宋体" w:cs="宋体"/>
          <w:kern w:val="0"/>
          <w:szCs w:val="21"/>
        </w:rPr>
        <w:t>（6）</w:t>
      </w:r>
      <w:r>
        <w:rPr>
          <w:rFonts w:hint="eastAsia"/>
        </w:rPr>
        <w:t>扶持不发达地区和少数民族地区政策</w:t>
      </w:r>
    </w:p>
    <w:p w14:paraId="580683CC">
      <w:pPr>
        <w:spacing w:line="400" w:lineRule="exact"/>
        <w:ind w:firstLine="315" w:firstLineChars="150"/>
        <w:rPr>
          <w:rFonts w:ascii="宋体" w:hAnsi="宋体" w:cs="宋体"/>
          <w:kern w:val="0"/>
          <w:szCs w:val="21"/>
        </w:rPr>
      </w:pPr>
      <w:r>
        <w:rPr>
          <w:rFonts w:ascii="宋体" w:hAnsi="宋体" w:cs="宋体"/>
          <w:kern w:val="0"/>
          <w:szCs w:val="21"/>
        </w:rPr>
        <w:t>5.</w:t>
      </w:r>
      <w:r>
        <w:rPr>
          <w:rFonts w:hint="eastAsia" w:ascii="宋体" w:hAnsi="宋体" w:cs="宋体"/>
          <w:kern w:val="0"/>
          <w:szCs w:val="21"/>
        </w:rPr>
        <w:t>投标人认为招标文件使自己的权益受到损害的，可以在知道或者应知其权益受到损害之日起7个工作日内，以书面形式向采购人、采购代理机构提出质疑。质疑投标人对采购人、采购代理机构的答复不满意或者采购人、采购代理机构未在规定的时间内作出答复的，可以在答复期满后十五个工作日内向同级政府采购监督管理部门投诉。</w:t>
      </w:r>
    </w:p>
    <w:p w14:paraId="777D1670">
      <w:pPr>
        <w:spacing w:line="400" w:lineRule="exact"/>
        <w:ind w:firstLine="315" w:firstLineChars="150"/>
        <w:rPr>
          <w:rFonts w:ascii="宋体" w:hAnsi="宋体" w:cs="宋体"/>
          <w:kern w:val="0"/>
          <w:szCs w:val="21"/>
        </w:rPr>
      </w:pPr>
      <w:r>
        <w:rPr>
          <w:rFonts w:ascii="宋体" w:hAnsi="宋体" w:cs="宋体"/>
          <w:kern w:val="0"/>
          <w:szCs w:val="21"/>
        </w:rPr>
        <w:t>6.</w:t>
      </w:r>
      <w:r>
        <w:rPr>
          <w:rFonts w:hint="eastAsia" w:ascii="宋体" w:hAnsi="宋体" w:cs="宋体"/>
          <w:kern w:val="0"/>
          <w:szCs w:val="21"/>
        </w:rPr>
        <w:t xml:space="preserve"> 若对项目采购电子交易系统操作有疑问，可登录“广西政府采购云平台”（https://www.gcy.zfcg.gxzf.gov.cn/），点击右侧咨询小采，获取采小蜜智能服务管家帮助，或拨打广西政府采购云平台服务热线95763获取热线服务帮助。</w:t>
      </w:r>
    </w:p>
    <w:p w14:paraId="067E8BC4">
      <w:pPr>
        <w:spacing w:line="380" w:lineRule="exact"/>
        <w:ind w:firstLine="315" w:firstLineChars="150"/>
      </w:pPr>
      <w:r>
        <w:rPr>
          <w:rFonts w:ascii="宋体" w:hAnsi="宋体" w:cs="宋体"/>
          <w:kern w:val="0"/>
          <w:szCs w:val="21"/>
          <w:highlight w:val="none"/>
        </w:rPr>
        <w:t>7.</w:t>
      </w:r>
      <w:r>
        <w:rPr>
          <w:rFonts w:hint="eastAsia"/>
          <w:highlight w:val="none"/>
        </w:rPr>
        <w:t>采购计划编号：</w:t>
      </w:r>
      <w:r>
        <w:rPr>
          <w:rFonts w:hint="eastAsia" w:ascii="宋体" w:hAnsi="宋体" w:cs="宋体"/>
          <w:kern w:val="0"/>
          <w:szCs w:val="21"/>
          <w:lang w:eastAsia="zh-CN"/>
        </w:rPr>
        <w:t>NNZC[2026]379号</w:t>
      </w:r>
    </w:p>
    <w:p w14:paraId="502E1BD8">
      <w:pPr>
        <w:spacing w:line="400" w:lineRule="exact"/>
        <w:rPr>
          <w:rFonts w:ascii="黑体" w:hAnsi="黑体" w:eastAsia="黑体"/>
          <w:b/>
          <w:bCs/>
          <w:sz w:val="24"/>
        </w:rPr>
      </w:pPr>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p>
    <w:p w14:paraId="73B0B12E">
      <w:pPr>
        <w:spacing w:line="400" w:lineRule="exact"/>
        <w:jc w:val="left"/>
        <w:rPr>
          <w:rFonts w:ascii="宋体" w:hAnsi="宋体"/>
          <w:szCs w:val="21"/>
        </w:rPr>
      </w:pPr>
      <w:r>
        <w:rPr>
          <w:rFonts w:hint="eastAsia" w:ascii="宋体" w:hAnsi="宋体" w:cs="宋体"/>
          <w:szCs w:val="21"/>
        </w:rPr>
        <w:t>　　　 1.采购人信息</w:t>
      </w:r>
    </w:p>
    <w:p w14:paraId="2B92A498">
      <w:pPr>
        <w:spacing w:line="400" w:lineRule="exact"/>
        <w:ind w:firstLine="735" w:firstLineChars="350"/>
        <w:rPr>
          <w:rFonts w:hint="eastAsia" w:ascii="宋体" w:hAnsi="宋体"/>
          <w:szCs w:val="21"/>
        </w:rPr>
      </w:pPr>
      <w:r>
        <w:rPr>
          <w:rFonts w:hint="eastAsia" w:ascii="宋体" w:hAnsi="宋体"/>
          <w:szCs w:val="21"/>
        </w:rPr>
        <w:t>名 称：</w:t>
      </w:r>
      <w:bookmarkStart w:id="4" w:name="PO_3000001866_PM026_1"/>
      <w:r>
        <w:rPr>
          <w:rFonts w:hint="eastAsia" w:ascii="宋体" w:hAnsi="宋体"/>
          <w:szCs w:val="21"/>
        </w:rPr>
        <w:t>南宁市自然资源局</w:t>
      </w:r>
      <w:bookmarkEnd w:id="4"/>
    </w:p>
    <w:p w14:paraId="42A5665B">
      <w:pPr>
        <w:spacing w:line="400" w:lineRule="exact"/>
        <w:ind w:firstLine="735" w:firstLineChars="350"/>
        <w:rPr>
          <w:rFonts w:hint="eastAsia" w:ascii="宋体" w:hAnsi="宋体"/>
          <w:szCs w:val="21"/>
        </w:rPr>
      </w:pPr>
      <w:r>
        <w:rPr>
          <w:rFonts w:hint="eastAsia" w:ascii="宋体" w:hAnsi="宋体"/>
          <w:szCs w:val="21"/>
        </w:rPr>
        <w:t>地址：</w:t>
      </w:r>
      <w:bookmarkStart w:id="5" w:name="PO_3000001866_PM030"/>
      <w:r>
        <w:rPr>
          <w:rFonts w:hint="eastAsia" w:ascii="宋体" w:hAnsi="宋体"/>
          <w:szCs w:val="21"/>
        </w:rPr>
        <w:t>南宁市锦春路3-1号</w:t>
      </w:r>
      <w:bookmarkEnd w:id="5"/>
    </w:p>
    <w:p w14:paraId="03738705">
      <w:pPr>
        <w:spacing w:line="400" w:lineRule="exact"/>
        <w:ind w:firstLine="735" w:firstLineChars="350"/>
        <w:rPr>
          <w:rFonts w:hint="eastAsia" w:ascii="宋体" w:hAnsi="宋体" w:eastAsia="宋体"/>
          <w:szCs w:val="21"/>
          <w:lang w:eastAsia="zh-CN"/>
        </w:rPr>
      </w:pPr>
      <w:r>
        <w:rPr>
          <w:rFonts w:hint="eastAsia" w:ascii="宋体" w:hAnsi="宋体"/>
          <w:szCs w:val="21"/>
        </w:rPr>
        <w:t>项目联系人：</w:t>
      </w:r>
      <w:r>
        <w:rPr>
          <w:rFonts w:hint="eastAsia" w:ascii="宋体" w:hAnsi="宋体"/>
          <w:szCs w:val="21"/>
          <w:lang w:eastAsia="zh-CN"/>
        </w:rPr>
        <w:t>盘工</w:t>
      </w:r>
    </w:p>
    <w:p w14:paraId="4682A9B8">
      <w:pPr>
        <w:spacing w:line="400" w:lineRule="exact"/>
        <w:ind w:firstLine="735" w:firstLineChars="350"/>
        <w:rPr>
          <w:rFonts w:hint="eastAsia" w:ascii="宋体" w:hAnsi="宋体" w:eastAsia="宋体"/>
          <w:szCs w:val="21"/>
          <w:lang w:val="en-US" w:eastAsia="zh-CN"/>
        </w:rPr>
      </w:pPr>
      <w:r>
        <w:rPr>
          <w:rFonts w:hint="eastAsia" w:ascii="宋体" w:hAnsi="宋体"/>
          <w:szCs w:val="21"/>
        </w:rPr>
        <w:t>联系电话：</w:t>
      </w:r>
      <w:bookmarkStart w:id="6" w:name="PO_3000001866_PM028"/>
      <w:r>
        <w:rPr>
          <w:rFonts w:hint="eastAsia" w:ascii="宋体" w:hAnsi="宋体"/>
          <w:szCs w:val="21"/>
        </w:rPr>
        <w:t>0771-</w:t>
      </w:r>
      <w:bookmarkEnd w:id="6"/>
      <w:r>
        <w:rPr>
          <w:rFonts w:hint="eastAsia" w:ascii="宋体" w:hAnsi="宋体"/>
          <w:szCs w:val="21"/>
          <w:lang w:eastAsia="zh-CN"/>
        </w:rPr>
        <w:t>5609132</w:t>
      </w:r>
    </w:p>
    <w:p w14:paraId="39151248">
      <w:pPr>
        <w:spacing w:line="400" w:lineRule="exact"/>
        <w:ind w:left="1041" w:leftChars="371" w:hanging="262" w:hangingChars="125"/>
        <w:jc w:val="left"/>
        <w:rPr>
          <w:rFonts w:ascii="宋体" w:hAnsi="宋体"/>
          <w:szCs w:val="21"/>
        </w:rPr>
      </w:pPr>
      <w:r>
        <w:rPr>
          <w:rFonts w:hint="eastAsia" w:ascii="宋体" w:hAnsi="宋体" w:cs="宋体"/>
          <w:szCs w:val="21"/>
        </w:rPr>
        <w:t>2.采购代理机构信息</w:t>
      </w:r>
    </w:p>
    <w:p w14:paraId="23A921ED">
      <w:pPr>
        <w:spacing w:line="400" w:lineRule="exact"/>
        <w:ind w:firstLine="735" w:firstLineChars="350"/>
        <w:rPr>
          <w:rFonts w:ascii="宋体" w:hAnsi="宋体"/>
          <w:szCs w:val="21"/>
          <w:u w:val="none"/>
        </w:rPr>
      </w:pPr>
      <w:r>
        <w:rPr>
          <w:rFonts w:hint="eastAsia" w:ascii="宋体" w:hAnsi="宋体"/>
          <w:szCs w:val="21"/>
          <w:u w:val="none"/>
        </w:rPr>
        <w:t>名 称：广西机电设备招标有限公司</w:t>
      </w:r>
    </w:p>
    <w:p w14:paraId="4AF783B5">
      <w:pPr>
        <w:spacing w:line="400" w:lineRule="exact"/>
        <w:ind w:firstLine="735" w:firstLineChars="350"/>
        <w:rPr>
          <w:rFonts w:ascii="宋体" w:hAnsi="宋体"/>
          <w:szCs w:val="21"/>
          <w:u w:val="none"/>
        </w:rPr>
      </w:pPr>
      <w:r>
        <w:rPr>
          <w:rFonts w:hint="eastAsia" w:ascii="宋体" w:hAnsi="宋体"/>
          <w:szCs w:val="21"/>
          <w:u w:val="none"/>
        </w:rPr>
        <w:t>地　址：广西南宁市金湖路63号金源CBD现代城7层</w:t>
      </w:r>
    </w:p>
    <w:p w14:paraId="0456F3A4">
      <w:pPr>
        <w:spacing w:line="400" w:lineRule="exact"/>
        <w:ind w:firstLine="735" w:firstLineChars="350"/>
        <w:rPr>
          <w:rFonts w:ascii="宋体" w:hAnsi="宋体"/>
          <w:szCs w:val="21"/>
          <w:u w:val="none"/>
        </w:rPr>
      </w:pPr>
      <w:r>
        <w:rPr>
          <w:rFonts w:hint="eastAsia" w:ascii="宋体" w:hAnsi="宋体"/>
          <w:szCs w:val="21"/>
          <w:u w:val="none"/>
        </w:rPr>
        <w:t>联系电话：</w:t>
      </w:r>
      <w:r>
        <w:rPr>
          <w:rFonts w:ascii="宋体" w:hAnsi="宋体"/>
          <w:szCs w:val="21"/>
          <w:u w:val="none"/>
        </w:rPr>
        <w:t>0771-2808981</w:t>
      </w:r>
    </w:p>
    <w:p w14:paraId="7C844964">
      <w:pPr>
        <w:spacing w:line="400" w:lineRule="exact"/>
        <w:ind w:firstLine="707" w:firstLineChars="337"/>
        <w:rPr>
          <w:rFonts w:ascii="宋体" w:hAnsi="宋体"/>
          <w:szCs w:val="21"/>
          <w:u w:val="none"/>
        </w:rPr>
      </w:pPr>
      <w:r>
        <w:rPr>
          <w:rFonts w:hint="eastAsia" w:ascii="宋体" w:hAnsi="宋体"/>
          <w:szCs w:val="21"/>
          <w:u w:val="none"/>
        </w:rPr>
        <w:t>3.项目联系方式</w:t>
      </w:r>
    </w:p>
    <w:p w14:paraId="35AC6967">
      <w:pPr>
        <w:spacing w:line="400" w:lineRule="exact"/>
        <w:ind w:firstLine="707" w:firstLineChars="337"/>
        <w:rPr>
          <w:rFonts w:hint="default" w:ascii="宋体" w:hAnsi="宋体" w:eastAsia="宋体"/>
          <w:szCs w:val="21"/>
          <w:u w:val="none"/>
          <w:lang w:val="en-US" w:eastAsia="zh-CN"/>
        </w:rPr>
      </w:pPr>
      <w:r>
        <w:rPr>
          <w:rFonts w:hint="eastAsia" w:ascii="宋体" w:hAnsi="宋体"/>
          <w:szCs w:val="21"/>
          <w:u w:val="none"/>
        </w:rPr>
        <w:t>项目联系人：</w:t>
      </w:r>
      <w:r>
        <w:rPr>
          <w:rFonts w:hint="eastAsia" w:ascii="宋体" w:hAnsi="宋体" w:cs="宋体"/>
          <w:szCs w:val="21"/>
          <w:u w:val="none"/>
        </w:rPr>
        <w:t>梁艳冰、谭玉华</w:t>
      </w:r>
      <w:r>
        <w:rPr>
          <w:rFonts w:hint="eastAsia" w:ascii="宋体" w:hAnsi="宋体" w:cs="宋体"/>
          <w:szCs w:val="21"/>
          <w:u w:val="none"/>
          <w:lang w:eastAsia="zh-CN"/>
        </w:rPr>
        <w:t>、</w:t>
      </w:r>
      <w:r>
        <w:rPr>
          <w:rFonts w:hint="eastAsia" w:ascii="宋体" w:hAnsi="宋体" w:cs="宋体"/>
          <w:szCs w:val="21"/>
          <w:u w:val="none"/>
          <w:lang w:val="en-US" w:eastAsia="zh-CN"/>
        </w:rPr>
        <w:t>黄晓蕾</w:t>
      </w:r>
    </w:p>
    <w:p w14:paraId="0B9C2527">
      <w:pPr>
        <w:spacing w:line="400" w:lineRule="exact"/>
        <w:ind w:firstLine="707" w:firstLineChars="337"/>
        <w:rPr>
          <w:rFonts w:ascii="宋体" w:hAnsi="宋体"/>
          <w:szCs w:val="21"/>
          <w:u w:val="single"/>
        </w:rPr>
      </w:pPr>
      <w:r>
        <w:rPr>
          <w:rFonts w:hint="eastAsia" w:ascii="宋体" w:hAnsi="宋体"/>
          <w:szCs w:val="21"/>
          <w:u w:val="none"/>
        </w:rPr>
        <w:t>电话：</w:t>
      </w:r>
      <w:r>
        <w:rPr>
          <w:rFonts w:ascii="宋体" w:hAnsi="宋体"/>
          <w:szCs w:val="21"/>
          <w:u w:val="none"/>
        </w:rPr>
        <w:t>0771-2808981</w:t>
      </w:r>
    </w:p>
    <w:p w14:paraId="2E192911">
      <w:pPr>
        <w:spacing w:line="470" w:lineRule="exact"/>
        <w:ind w:firstLine="420" w:firstLineChars="200"/>
        <w:rPr>
          <w:rFonts w:ascii="宋体" w:hAnsi="宋体"/>
          <w:szCs w:val="21"/>
        </w:rPr>
      </w:pPr>
      <w:r>
        <w:rPr>
          <w:rFonts w:hint="eastAsia" w:ascii="宋体" w:hAnsi="宋体"/>
          <w:szCs w:val="21"/>
        </w:rPr>
        <w:t>附件： 1.招标文件</w:t>
      </w:r>
    </w:p>
    <w:p w14:paraId="609DB8B8">
      <w:pPr>
        <w:spacing w:line="470" w:lineRule="exact"/>
        <w:ind w:firstLine="420" w:firstLineChars="200"/>
      </w:pPr>
      <w:r>
        <w:rPr>
          <w:rFonts w:hint="eastAsia" w:ascii="宋体" w:hAnsi="宋体"/>
          <w:szCs w:val="21"/>
        </w:rPr>
        <w:t xml:space="preserve">       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Fonts w:hint="eastAsia"/>
        </w:rPr>
        <w:t>http://www.ccgp-guangxi.gov.cn/OfficeService/DownloadArea/8354055.html?utm=a0003.39a112b4.cmp001.d0002.f0464b20ff2a11eb873141bf9e381949</w:t>
      </w:r>
      <w:r>
        <w:rPr>
          <w:rFonts w:hint="eastAsia"/>
        </w:rPr>
        <w:fldChar w:fldCharType="end"/>
      </w:r>
      <w:r>
        <w:rPr>
          <w:rFonts w:hint="eastAsia"/>
        </w:rPr>
        <w:t xml:space="preserve">（广西政府采购网）/网上申请方式见网址： </w:t>
      </w:r>
      <w:r>
        <w:fldChar w:fldCharType="begin"/>
      </w:r>
      <w:r>
        <w:instrText xml:space="preserve"> HYPERLINK "http://nncz.nanning.gov.cn/" </w:instrText>
      </w:r>
      <w:r>
        <w:fldChar w:fldCharType="separate"/>
      </w:r>
      <w:r>
        <w:rPr>
          <w:rFonts w:hint="eastAsia"/>
        </w:rPr>
        <w:t>http://nncz.nanning.gov.cn/</w:t>
      </w:r>
      <w:r>
        <w:rPr>
          <w:rFonts w:hint="eastAsia"/>
        </w:rPr>
        <w:fldChar w:fldCharType="end"/>
      </w:r>
      <w:r>
        <w:rPr>
          <w:rFonts w:hint="eastAsia"/>
        </w:rPr>
        <w:t>（南宁市财政局官网）-下载专区-南宁市广西政府采购云平台CA证书办理操作指南</w:t>
      </w:r>
      <w:r>
        <w:rPr>
          <w:rFonts w:hint="eastAsia" w:ascii="宋体" w:hAnsi="宋体"/>
          <w:szCs w:val="21"/>
        </w:rPr>
        <w:t>）</w:t>
      </w:r>
    </w:p>
    <w:p w14:paraId="1634FA54">
      <w:pPr>
        <w:spacing w:line="470" w:lineRule="exact"/>
        <w:ind w:firstLine="630" w:firstLineChars="300"/>
        <w:rPr>
          <w:rFonts w:ascii="宋体" w:hAnsi="宋体"/>
          <w:szCs w:val="21"/>
        </w:rPr>
      </w:pPr>
      <w:r>
        <w:rPr>
          <w:rFonts w:hint="eastAsia" w:ascii="宋体" w:hAnsi="宋体"/>
          <w:szCs w:val="21"/>
        </w:rPr>
        <w:t>3.电子投标文件制作与投送教程（在此网址下载：</w:t>
      </w:r>
      <w:r>
        <w:fldChar w:fldCharType="begin"/>
      </w:r>
      <w:r>
        <w:instrText xml:space="preserve"> HYPERLINK "http://nncz.nanning.gov.cn/" </w:instrText>
      </w:r>
      <w:r>
        <w:fldChar w:fldCharType="separate"/>
      </w:r>
      <w:r>
        <w:rPr>
          <w:rFonts w:hint="eastAsia"/>
        </w:rPr>
        <w:t>http://nncz.nanning.gov.cn/</w:t>
      </w:r>
      <w:r>
        <w:rPr>
          <w:rFonts w:hint="eastAsia"/>
        </w:rPr>
        <w:fldChar w:fldCharType="end"/>
      </w:r>
      <w:r>
        <w:rPr>
          <w:rFonts w:hint="eastAsia"/>
        </w:rPr>
        <w:t>（南宁市财政局官网）-下载专区</w:t>
      </w:r>
      <w:r>
        <w:rPr>
          <w:rFonts w:hint="eastAsia" w:ascii="宋体" w:hAnsi="宋体"/>
          <w:szCs w:val="21"/>
        </w:rPr>
        <w:t>）</w:t>
      </w:r>
    </w:p>
    <w:p w14:paraId="7C8DD1BD">
      <w:pPr>
        <w:spacing w:line="400" w:lineRule="exact"/>
        <w:rPr>
          <w:rFonts w:ascii="宋体" w:hAnsi="宋体"/>
          <w:szCs w:val="21"/>
        </w:rPr>
      </w:pPr>
    </w:p>
    <w:p w14:paraId="1079A505">
      <w:pPr>
        <w:spacing w:line="400" w:lineRule="exact"/>
        <w:jc w:val="right"/>
        <w:rPr>
          <w:rFonts w:ascii="Times New Roman" w:hAnsi="Times New Roman" w:cs="Times New Roman"/>
          <w:color w:val="000000" w:themeColor="text1"/>
          <w:szCs w:val="21"/>
          <w:u w:val="none"/>
          <w14:textFill>
            <w14:solidFill>
              <w14:schemeClr w14:val="tx1"/>
            </w14:solidFill>
          </w14:textFill>
        </w:rPr>
      </w:pPr>
      <w:r>
        <w:rPr>
          <w:rFonts w:hint="default" w:ascii="Times New Roman" w:hAnsi="Times New Roman" w:cs="Times New Roman"/>
          <w:color w:val="000000" w:themeColor="text1"/>
          <w:szCs w:val="21"/>
          <w:u w:val="none"/>
          <w14:textFill>
            <w14:solidFill>
              <w14:schemeClr w14:val="tx1"/>
            </w14:solidFill>
          </w14:textFill>
        </w:rPr>
        <w:t>广西机电设备招标有限公司</w:t>
      </w:r>
    </w:p>
    <w:p w14:paraId="5F42B72B">
      <w:pPr>
        <w:jc w:val="right"/>
        <w:outlineLvl w:val="9"/>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202</w:t>
      </w: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6</w:t>
      </w:r>
      <w:r>
        <w:rPr>
          <w:rFonts w:hint="default" w:ascii="Times New Roman" w:hAnsi="Times New Roman" w:cs="Times New Roman"/>
          <w:color w:val="000000" w:themeColor="text1"/>
          <w:szCs w:val="21"/>
          <w:highlight w:val="none"/>
          <w:u w:val="none"/>
          <w14:textFill>
            <w14:solidFill>
              <w14:schemeClr w14:val="tx1"/>
            </w14:solidFill>
          </w14:textFill>
        </w:rPr>
        <w:t>年</w:t>
      </w: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05</w:t>
      </w:r>
      <w:r>
        <w:rPr>
          <w:rFonts w:hint="default" w:ascii="Times New Roman" w:hAnsi="Times New Roman" w:cs="Times New Roman"/>
          <w:color w:val="000000" w:themeColor="text1"/>
          <w:szCs w:val="21"/>
          <w:highlight w:val="none"/>
          <w:u w:val="none"/>
          <w14:textFill>
            <w14:solidFill>
              <w14:schemeClr w14:val="tx1"/>
            </w14:solidFill>
          </w14:textFill>
        </w:rPr>
        <w:t>月</w:t>
      </w:r>
      <w:r>
        <w:rPr>
          <w:rFonts w:hint="eastAsia" w:ascii="Times New Roman" w:hAnsi="Times New Roman" w:cs="Times New Roman"/>
          <w:color w:val="000000" w:themeColor="text1"/>
          <w:szCs w:val="21"/>
          <w:highlight w:val="none"/>
          <w:u w:val="none"/>
          <w:lang w:val="en-US" w:eastAsia="zh-CN"/>
          <w14:textFill>
            <w14:solidFill>
              <w14:schemeClr w14:val="tx1"/>
            </w14:solidFill>
          </w14:textFill>
        </w:rPr>
        <w:t>21</w:t>
      </w:r>
      <w:r>
        <w:rPr>
          <w:rFonts w:hint="default" w:ascii="Times New Roman" w:hAnsi="Times New Roman" w:cs="Times New Roman"/>
          <w:color w:val="000000" w:themeColor="text1"/>
          <w:szCs w:val="21"/>
          <w:highlight w:val="none"/>
          <w:u w:val="none"/>
          <w14:textFill>
            <w14:solidFill>
              <w14:schemeClr w14:val="tx1"/>
            </w14:solidFill>
          </w14:textFill>
        </w:rPr>
        <w:t>日</w:t>
      </w:r>
    </w:p>
    <w:p w14:paraId="6FF95DA6">
      <w:pPr>
        <w:jc w:val="center"/>
        <w:outlineLvl w:val="0"/>
        <w:rPr>
          <w:b/>
          <w:sz w:val="36"/>
        </w:rPr>
      </w:pPr>
      <w:r>
        <w:rPr>
          <w:rFonts w:hint="eastAsia"/>
          <w:b/>
          <w:sz w:val="36"/>
          <w:highlight w:val="none"/>
          <w:u w:val="none"/>
        </w:rPr>
        <w:br w:type="page"/>
      </w:r>
      <w:bookmarkStart w:id="7" w:name="_Toc285"/>
      <w:bookmarkStart w:id="8" w:name="_Toc28057"/>
      <w:r>
        <w:rPr>
          <w:rFonts w:hint="eastAsia"/>
          <w:b/>
          <w:sz w:val="36"/>
        </w:rPr>
        <w:t>第二章</w:t>
      </w:r>
      <w:r>
        <w:rPr>
          <w:b/>
          <w:sz w:val="36"/>
        </w:rPr>
        <w:t xml:space="preserve">  </w:t>
      </w:r>
      <w:r>
        <w:rPr>
          <w:rFonts w:hint="eastAsia"/>
          <w:b/>
          <w:sz w:val="36"/>
        </w:rPr>
        <w:t>采购需求</w:t>
      </w:r>
      <w:bookmarkEnd w:id="7"/>
      <w:bookmarkEnd w:id="8"/>
    </w:p>
    <w:p w14:paraId="5DDB44E3">
      <w:pPr>
        <w:adjustRightInd w:val="0"/>
        <w:spacing w:line="340" w:lineRule="exact"/>
        <w:jc w:val="center"/>
        <w:rPr>
          <w:rFonts w:hAnsi="宋体"/>
          <w:b/>
          <w:szCs w:val="21"/>
        </w:rPr>
      </w:pPr>
    </w:p>
    <w:p w14:paraId="2A6118CC">
      <w:pPr>
        <w:adjustRightInd w:val="0"/>
        <w:spacing w:line="340" w:lineRule="exact"/>
        <w:rPr>
          <w:rFonts w:hAnsi="宋体"/>
          <w:b/>
          <w:szCs w:val="21"/>
        </w:rPr>
      </w:pPr>
      <w:r>
        <w:rPr>
          <w:rFonts w:hint="eastAsia" w:hAnsi="宋体"/>
          <w:b/>
          <w:szCs w:val="21"/>
        </w:rPr>
        <w:t>说明：</w:t>
      </w:r>
    </w:p>
    <w:p w14:paraId="41081656">
      <w:pPr>
        <w:spacing w:line="360" w:lineRule="auto"/>
        <w:ind w:firstLine="420" w:firstLineChars="200"/>
        <w:jc w:val="left"/>
        <w:rPr>
          <w:rFonts w:ascii="宋体" w:hAnsi="宋体" w:cs="宋体"/>
          <w:szCs w:val="21"/>
        </w:rPr>
      </w:pPr>
      <w:r>
        <w:t xml:space="preserve">1. </w:t>
      </w:r>
      <w:r>
        <w:rPr>
          <w:rFonts w:hint="eastAsia"/>
        </w:rPr>
        <w:t>为落实政府采购政策需满足的要求</w:t>
      </w:r>
    </w:p>
    <w:p w14:paraId="758F4313">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4DC978DF">
      <w:pPr>
        <w:spacing w:line="400" w:lineRule="exact"/>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电子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评标方法及评标标准”。</w:t>
      </w:r>
    </w:p>
    <w:p w14:paraId="1EDA6593">
      <w:pPr>
        <w:spacing w:line="400" w:lineRule="exact"/>
        <w:ind w:firstLine="424" w:firstLineChars="202"/>
        <w:jc w:val="left"/>
        <w:rPr>
          <w:rFonts w:ascii="宋体" w:hAnsi="宋体" w:cs="宋体"/>
          <w:szCs w:val="21"/>
        </w:rPr>
      </w:pPr>
      <w:r>
        <w:rPr>
          <w:rFonts w:hint="eastAsia" w:ascii="宋体" w:hAnsi="宋体" w:cs="宋体"/>
          <w:szCs w:val="21"/>
        </w:rPr>
        <w:t>（3）根据《关于调整网络安全专用产品安全管理有关事项的公告》（2023年1号）规定，本服务项目中伴随的货物包含《网络关键设备和网络安全专用产品目录》的网络安全专用产品，投标人在投标文件中应主动列明供货范围中属于网络安全专用产品的投标产品，并</w:t>
      </w:r>
      <w:r>
        <w:rPr>
          <w:rFonts w:hint="eastAsia" w:ascii="宋体" w:hAnsi="宋体" w:cs="宋体"/>
          <w:b/>
          <w:szCs w:val="21"/>
        </w:rPr>
        <w:t>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w:t>
      </w:r>
      <w:r>
        <w:rPr>
          <w:rFonts w:hint="eastAsia" w:ascii="宋体" w:hAnsi="宋体" w:cs="宋体"/>
          <w:szCs w:val="21"/>
        </w:rPr>
        <w:t>。如属于《网络关键设备和网络安全专用产品目录》中“二、网络安全专用产品”内“产品类别”中的所描述的产品，但不属于所列“产品描述”情形的，应提供相应的说明及证明材料。</w:t>
      </w:r>
    </w:p>
    <w:p w14:paraId="3FC733B4">
      <w:pPr>
        <w:spacing w:line="360" w:lineRule="auto"/>
        <w:ind w:firstLine="424" w:firstLineChars="202"/>
        <w:jc w:val="left"/>
        <w:rPr>
          <w:rFonts w:ascii="宋体" w:hAnsi="宋体" w:cs="宋体"/>
          <w:szCs w:val="21"/>
        </w:rPr>
      </w:pPr>
      <w:r>
        <w:rPr>
          <w:rFonts w:hint="eastAsia" w:ascii="宋体" w:hAnsi="宋体" w:cs="宋体"/>
          <w:szCs w:val="21"/>
        </w:rPr>
        <w:t>2.“实质性要求”是指招标文件中已经指明不满足则投标无效的条款，或者不能负偏离的条款，或者采购需求中带“▲”的条款。</w:t>
      </w:r>
    </w:p>
    <w:p w14:paraId="4278159E">
      <w:pPr>
        <w:spacing w:line="360" w:lineRule="auto"/>
        <w:ind w:firstLine="424" w:firstLineChars="202"/>
        <w:jc w:val="left"/>
        <w:rPr>
          <w:rFonts w:ascii="宋体" w:hAnsi="宋体" w:cs="宋体"/>
          <w:szCs w:val="21"/>
        </w:rPr>
      </w:pPr>
      <w:r>
        <w:rPr>
          <w:rFonts w:hint="eastAsia" w:ascii="宋体" w:hAnsi="宋体" w:cs="宋体"/>
          <w:szCs w:val="21"/>
        </w:rPr>
        <w:t>3.不需要投标人对采购需求响应为具体数值的，此采购需求的数值后将以◆号标注。</w:t>
      </w:r>
    </w:p>
    <w:p w14:paraId="6E00F8FD">
      <w:pPr>
        <w:spacing w:line="360" w:lineRule="auto"/>
        <w:ind w:firstLine="420" w:firstLineChars="200"/>
        <w:jc w:val="left"/>
      </w:pPr>
      <w:r>
        <w:rPr>
          <w:rFonts w:hint="eastAsia" w:ascii="宋体" w:hAnsi="宋体" w:cs="宋体"/>
          <w:szCs w:val="21"/>
        </w:rPr>
        <w:t>4.</w:t>
      </w:r>
      <w:r>
        <w:rPr>
          <w:rFonts w:hint="eastAsia"/>
        </w:rPr>
        <w:t>如投标人投标产品存在侵犯他人的知识产权或者专利成果行为的，应承担相应法律责任。</w:t>
      </w:r>
    </w:p>
    <w:p w14:paraId="75F814A6">
      <w:pPr>
        <w:spacing w:line="360" w:lineRule="auto"/>
        <w:ind w:firstLine="420" w:firstLineChars="200"/>
        <w:jc w:val="left"/>
      </w:pPr>
    </w:p>
    <w:p w14:paraId="3CC2BD9B">
      <w:pPr>
        <w:spacing w:line="360" w:lineRule="auto"/>
        <w:ind w:firstLine="420" w:firstLineChars="200"/>
        <w:jc w:val="left"/>
      </w:pPr>
      <w:r>
        <w:rPr>
          <w:rFonts w:hint="eastAsia"/>
        </w:rPr>
        <w:br w:type="page"/>
      </w:r>
    </w:p>
    <w:tbl>
      <w:tblPr>
        <w:tblStyle w:val="35"/>
        <w:tblW w:w="9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88"/>
        <w:gridCol w:w="768"/>
        <w:gridCol w:w="5426"/>
        <w:gridCol w:w="1317"/>
      </w:tblGrid>
      <w:tr w14:paraId="352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8" w:type="dxa"/>
            <w:noWrap w:val="0"/>
            <w:vAlign w:val="center"/>
          </w:tcPr>
          <w:p w14:paraId="4E8F25B5">
            <w:pPr>
              <w:spacing w:line="360" w:lineRule="exact"/>
              <w:rPr>
                <w:rFonts w:ascii="宋体" w:hAnsi="宋体" w:eastAsia="宋体"/>
                <w:color w:val="000000"/>
                <w:szCs w:val="21"/>
              </w:rPr>
            </w:pPr>
            <w:r>
              <w:rPr>
                <w:rFonts w:hint="eastAsia" w:ascii="宋体" w:hAnsi="宋体" w:eastAsia="宋体"/>
                <w:color w:val="000000"/>
                <w:szCs w:val="21"/>
              </w:rPr>
              <w:t>序号</w:t>
            </w:r>
          </w:p>
        </w:tc>
        <w:tc>
          <w:tcPr>
            <w:tcW w:w="1488" w:type="dxa"/>
            <w:noWrap w:val="0"/>
            <w:vAlign w:val="center"/>
          </w:tcPr>
          <w:p w14:paraId="5E42FCEE">
            <w:pPr>
              <w:spacing w:line="360" w:lineRule="exact"/>
              <w:rPr>
                <w:rFonts w:ascii="宋体" w:hAnsi="宋体" w:eastAsia="宋体"/>
                <w:color w:val="000000"/>
                <w:szCs w:val="21"/>
              </w:rPr>
            </w:pPr>
            <w:r>
              <w:rPr>
                <w:rFonts w:hint="eastAsia" w:ascii="宋体" w:hAnsi="宋体" w:eastAsia="宋体"/>
                <w:color w:val="000000"/>
                <w:szCs w:val="21"/>
              </w:rPr>
              <w:t>服务名称</w:t>
            </w:r>
          </w:p>
        </w:tc>
        <w:tc>
          <w:tcPr>
            <w:tcW w:w="768" w:type="dxa"/>
            <w:noWrap w:val="0"/>
            <w:vAlign w:val="center"/>
          </w:tcPr>
          <w:p w14:paraId="6D781B7D">
            <w:pPr>
              <w:spacing w:line="360" w:lineRule="exact"/>
              <w:rPr>
                <w:rFonts w:hint="eastAsia" w:ascii="宋体" w:hAnsi="宋体" w:eastAsia="宋体"/>
                <w:color w:val="000000"/>
                <w:szCs w:val="21"/>
              </w:rPr>
            </w:pPr>
            <w:r>
              <w:rPr>
                <w:rFonts w:hint="eastAsia" w:ascii="宋体" w:hAnsi="宋体" w:eastAsia="宋体"/>
                <w:color w:val="000000"/>
                <w:szCs w:val="21"/>
              </w:rPr>
              <w:t>数量</w:t>
            </w:r>
          </w:p>
        </w:tc>
        <w:tc>
          <w:tcPr>
            <w:tcW w:w="5426" w:type="dxa"/>
            <w:noWrap w:val="0"/>
            <w:vAlign w:val="center"/>
          </w:tcPr>
          <w:p w14:paraId="1BA5E444">
            <w:pPr>
              <w:spacing w:line="360" w:lineRule="exact"/>
              <w:ind w:firstLine="640"/>
              <w:jc w:val="center"/>
              <w:rPr>
                <w:rFonts w:hint="eastAsia" w:ascii="宋体" w:hAnsi="宋体" w:eastAsia="宋体"/>
                <w:color w:val="000000"/>
                <w:szCs w:val="21"/>
              </w:rPr>
            </w:pPr>
            <w:r>
              <w:rPr>
                <w:rFonts w:hint="eastAsia" w:ascii="宋体" w:hAnsi="宋体" w:cs="宋体"/>
                <w:szCs w:val="21"/>
              </w:rPr>
              <w:t>▲</w:t>
            </w:r>
            <w:r>
              <w:rPr>
                <w:rFonts w:hint="eastAsia" w:ascii="宋体" w:hAnsi="宋体" w:eastAsia="宋体"/>
                <w:color w:val="000000"/>
                <w:szCs w:val="21"/>
              </w:rPr>
              <w:t>服务内容及要求</w:t>
            </w:r>
          </w:p>
        </w:tc>
        <w:tc>
          <w:tcPr>
            <w:tcW w:w="1317" w:type="dxa"/>
            <w:noWrap w:val="0"/>
            <w:vAlign w:val="center"/>
          </w:tcPr>
          <w:p w14:paraId="75975210">
            <w:pPr>
              <w:spacing w:line="360" w:lineRule="exact"/>
              <w:jc w:val="center"/>
              <w:rPr>
                <w:rFonts w:hint="eastAsia" w:ascii="宋体" w:hAnsi="宋体" w:eastAsia="宋体"/>
                <w:color w:val="000000"/>
                <w:szCs w:val="21"/>
              </w:rPr>
            </w:pPr>
            <w:r>
              <w:rPr>
                <w:rFonts w:hint="eastAsia" w:ascii="宋体" w:hAnsi="宋体" w:eastAsia="宋体"/>
                <w:color w:val="000000"/>
                <w:szCs w:val="21"/>
              </w:rPr>
              <w:t>分项预算合价（元）</w:t>
            </w:r>
          </w:p>
        </w:tc>
      </w:tr>
      <w:tr w14:paraId="3DC5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48" w:type="dxa"/>
            <w:noWrap w:val="0"/>
            <w:vAlign w:val="center"/>
          </w:tcPr>
          <w:p w14:paraId="70F67325">
            <w:pPr>
              <w:spacing w:line="360" w:lineRule="exact"/>
              <w:ind w:firstLine="210" w:firstLineChars="100"/>
              <w:rPr>
                <w:rFonts w:ascii="宋体" w:hAnsi="宋体" w:eastAsia="宋体"/>
                <w:color w:val="000000"/>
                <w:szCs w:val="21"/>
              </w:rPr>
            </w:pPr>
            <w:r>
              <w:rPr>
                <w:rFonts w:hint="eastAsia" w:ascii="宋体" w:hAnsi="宋体" w:eastAsia="宋体"/>
                <w:color w:val="000000"/>
                <w:szCs w:val="21"/>
              </w:rPr>
              <w:t>1</w:t>
            </w:r>
          </w:p>
        </w:tc>
        <w:tc>
          <w:tcPr>
            <w:tcW w:w="1488" w:type="dxa"/>
            <w:noWrap w:val="0"/>
            <w:vAlign w:val="center"/>
          </w:tcPr>
          <w:p w14:paraId="3BEDC0D6">
            <w:pPr>
              <w:pStyle w:val="31"/>
              <w:keepNext w:val="0"/>
              <w:keepLines w:val="0"/>
              <w:widowControl/>
              <w:suppressLineNumbers w:val="0"/>
              <w:spacing w:before="0" w:beforeAutospacing="0" w:after="0" w:afterAutospacing="0" w:line="15" w:lineRule="atLeast"/>
              <w:ind w:left="0" w:right="0"/>
              <w:jc w:val="center"/>
            </w:pPr>
            <w:r>
              <w:rPr>
                <w:rFonts w:hint="eastAsia" w:ascii="宋体" w:hAnsi="宋体" w:eastAsia="宋体" w:cs="宋体"/>
                <w:b w:val="0"/>
                <w:bCs w:val="0"/>
                <w:i w:val="0"/>
                <w:iCs w:val="0"/>
                <w:color w:val="000000"/>
                <w:spacing w:val="0"/>
                <w:w w:val="100"/>
                <w:sz w:val="21"/>
                <w:szCs w:val="21"/>
                <w:vertAlign w:val="baseline"/>
              </w:rPr>
              <w:t>《南宁市中心城区新城片区XC-01（桃源桥北）单元控制性详细规划及城市设计》修编</w:t>
            </w:r>
          </w:p>
          <w:p w14:paraId="40C44DA9">
            <w:pPr>
              <w:spacing w:line="360" w:lineRule="exact"/>
              <w:rPr>
                <w:rFonts w:hint="eastAsia" w:ascii="宋体" w:hAnsi="宋体" w:eastAsia="宋体"/>
                <w:color w:val="000000"/>
                <w:szCs w:val="21"/>
                <w:lang w:eastAsia="zh-CN"/>
              </w:rPr>
            </w:pPr>
          </w:p>
        </w:tc>
        <w:tc>
          <w:tcPr>
            <w:tcW w:w="768" w:type="dxa"/>
            <w:noWrap w:val="0"/>
            <w:vAlign w:val="center"/>
          </w:tcPr>
          <w:p w14:paraId="540DDE78">
            <w:pPr>
              <w:spacing w:line="360" w:lineRule="exact"/>
              <w:rPr>
                <w:rFonts w:hint="eastAsia" w:ascii="宋体" w:hAnsi="宋体" w:eastAsia="宋体"/>
                <w:color w:val="000000"/>
                <w:szCs w:val="21"/>
              </w:rPr>
            </w:pPr>
            <w:r>
              <w:rPr>
                <w:rFonts w:hint="eastAsia" w:ascii="宋体" w:hAnsi="宋体" w:eastAsia="宋体"/>
                <w:color w:val="000000"/>
                <w:szCs w:val="21"/>
              </w:rPr>
              <w:t>1项</w:t>
            </w:r>
          </w:p>
        </w:tc>
        <w:tc>
          <w:tcPr>
            <w:tcW w:w="5426" w:type="dxa"/>
            <w:noWrap w:val="0"/>
            <w:vAlign w:val="top"/>
          </w:tcPr>
          <w:p w14:paraId="69B3BA13">
            <w:pPr>
              <w:snapToGrid w:val="0"/>
              <w:spacing w:line="360" w:lineRule="exact"/>
              <w:ind w:firstLine="422" w:firstLineChars="200"/>
              <w:rPr>
                <w:rFonts w:hint="eastAsia" w:ascii="宋体" w:hAnsi="宋体" w:eastAsia="宋体"/>
                <w:b/>
                <w:bCs/>
                <w:color w:val="000000"/>
                <w:szCs w:val="21"/>
              </w:rPr>
            </w:pPr>
            <w:r>
              <w:rPr>
                <w:rFonts w:hint="eastAsia" w:ascii="宋体" w:hAnsi="宋体" w:eastAsia="宋体"/>
                <w:b/>
                <w:bCs/>
                <w:color w:val="000000"/>
                <w:szCs w:val="21"/>
              </w:rPr>
              <w:t>一、项目背景</w:t>
            </w:r>
          </w:p>
          <w:p w14:paraId="05C115F7">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广西商务厅推进的桃源大院片区旧城改造项目，对桃源路—天桃路—教育路围合片区进行旧城改造。桃源大院片区旧城改造项目与原批复控规的用地、指标、交通等差异较大，为做好规划引领及空间要素保障,科学指导该区域用地开发建设，拟对现行《南宁市中心城区新城片区XC-01（桃源桥北）单元控制性详细规划及城市设计》进行规划修编工作。</w:t>
            </w:r>
          </w:p>
          <w:p w14:paraId="293C4C1A">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二、规划范围</w:t>
            </w:r>
          </w:p>
          <w:p w14:paraId="663253BA">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北侧以中山路、七星路为界，东侧以教育路、白沙大桥为界，南侧和西侧以邕江为界，最终单元范围以市人民政府批复的控规成果为准。</w:t>
            </w:r>
          </w:p>
          <w:p w14:paraId="1D1B719B">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三、规划必要性</w:t>
            </w:r>
            <w:r>
              <w:rPr>
                <w:rFonts w:ascii="宋体" w:hAnsi="宋体" w:cs="宋体"/>
                <w:b/>
                <w:color w:val="auto"/>
                <w:szCs w:val="21"/>
                <w:highlight w:val="none"/>
              </w:rPr>
              <w:t>及</w:t>
            </w:r>
            <w:r>
              <w:rPr>
                <w:rFonts w:hint="eastAsia" w:ascii="宋体" w:hAnsi="宋体" w:cs="宋体"/>
                <w:b/>
                <w:color w:val="auto"/>
                <w:szCs w:val="21"/>
                <w:highlight w:val="none"/>
              </w:rPr>
              <w:t>目的</w:t>
            </w:r>
          </w:p>
          <w:p w14:paraId="25FA25F5">
            <w:pPr>
              <w:snapToGrid w:val="0"/>
              <w:spacing w:line="360" w:lineRule="exact"/>
              <w:ind w:firstLine="420" w:firstLineChars="200"/>
              <w:rPr>
                <w:rFonts w:hint="eastAsia" w:ascii="宋体" w:hAnsi="宋体" w:eastAsia="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一</w:t>
            </w:r>
            <w:r>
              <w:rPr>
                <w:rFonts w:hint="eastAsia" w:ascii="宋体" w:hAnsi="宋体"/>
                <w:color w:val="000000"/>
                <w:szCs w:val="21"/>
                <w:lang w:eastAsia="zh-CN"/>
              </w:rPr>
              <w:t>）</w:t>
            </w:r>
            <w:r>
              <w:rPr>
                <w:rFonts w:hint="eastAsia" w:ascii="宋体" w:hAnsi="宋体" w:eastAsia="宋体"/>
                <w:color w:val="000000"/>
                <w:szCs w:val="21"/>
              </w:rPr>
              <w:t>更加科学合理的规范和引导城市土地利用和开发建设活动，完善规划实施管理机制。</w:t>
            </w:r>
          </w:p>
          <w:p w14:paraId="75B05589">
            <w:pPr>
              <w:snapToGrid w:val="0"/>
              <w:spacing w:line="360" w:lineRule="exact"/>
              <w:ind w:firstLine="420" w:firstLineChars="200"/>
              <w:rPr>
                <w:rFonts w:hint="eastAsia" w:ascii="宋体" w:hAnsi="宋体" w:eastAsia="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二</w:t>
            </w:r>
            <w:r>
              <w:rPr>
                <w:rFonts w:hint="eastAsia" w:ascii="宋体" w:hAnsi="宋体"/>
                <w:color w:val="000000"/>
                <w:szCs w:val="21"/>
                <w:lang w:eastAsia="zh-CN"/>
              </w:rPr>
              <w:t>）</w:t>
            </w:r>
            <w:r>
              <w:rPr>
                <w:rFonts w:hint="eastAsia" w:ascii="宋体" w:hAnsi="宋体" w:eastAsia="宋体"/>
                <w:color w:val="000000"/>
                <w:szCs w:val="21"/>
              </w:rPr>
              <w:t>落实上位规划要求，衔接相关专项规划内容，针对单元内商务厅桃源大院片区旧城改造等调整情况，依法依规编制能指导片区实际建设的控制性详细规划。</w:t>
            </w:r>
          </w:p>
          <w:p w14:paraId="7F21DEF5">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四、规划设计依据</w:t>
            </w:r>
          </w:p>
          <w:p w14:paraId="7BFF7DDD">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（一）法律、法规、条例、标准、规范</w:t>
            </w:r>
          </w:p>
          <w:p w14:paraId="4B91C296">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1</w:t>
            </w:r>
            <w:r>
              <w:rPr>
                <w:rFonts w:hint="eastAsia" w:ascii="宋体" w:hAnsi="宋体"/>
                <w:color w:val="000000"/>
                <w:szCs w:val="21"/>
                <w:lang w:val="en-US" w:eastAsia="zh-CN"/>
              </w:rPr>
              <w:t>.</w:t>
            </w:r>
            <w:r>
              <w:rPr>
                <w:rFonts w:hint="eastAsia" w:ascii="宋体" w:hAnsi="宋体" w:eastAsia="宋体"/>
                <w:color w:val="000000"/>
                <w:szCs w:val="21"/>
              </w:rPr>
              <w:t>《中华人民共和国城乡规划法》（2019年修订）；</w:t>
            </w:r>
          </w:p>
          <w:p w14:paraId="0990C995">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2</w:t>
            </w:r>
            <w:r>
              <w:rPr>
                <w:rFonts w:hint="eastAsia" w:ascii="宋体" w:hAnsi="宋体"/>
                <w:color w:val="000000"/>
                <w:szCs w:val="21"/>
                <w:lang w:val="en-US" w:eastAsia="zh-CN"/>
              </w:rPr>
              <w:t>.</w:t>
            </w:r>
            <w:r>
              <w:rPr>
                <w:rFonts w:hint="eastAsia" w:ascii="宋体" w:hAnsi="宋体" w:eastAsia="宋体"/>
                <w:color w:val="000000"/>
                <w:szCs w:val="21"/>
              </w:rPr>
              <w:t>《国土空间调查、规划和用途管制用地用海分类指南》（2023版）；</w:t>
            </w:r>
          </w:p>
          <w:p w14:paraId="2DF6A8EF">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3</w:t>
            </w:r>
            <w:r>
              <w:rPr>
                <w:rFonts w:hint="eastAsia" w:ascii="宋体" w:hAnsi="宋体"/>
                <w:color w:val="000000"/>
                <w:szCs w:val="21"/>
                <w:lang w:val="en-US" w:eastAsia="zh-CN"/>
              </w:rPr>
              <w:t>.</w:t>
            </w:r>
            <w:r>
              <w:rPr>
                <w:rFonts w:hint="eastAsia" w:ascii="宋体" w:hAnsi="宋体" w:eastAsia="宋体"/>
                <w:color w:val="000000"/>
                <w:szCs w:val="21"/>
              </w:rPr>
              <w:t>《城市规划编制办法》（2006）；</w:t>
            </w:r>
          </w:p>
          <w:p w14:paraId="22A26D0D">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4</w:t>
            </w:r>
            <w:r>
              <w:rPr>
                <w:rFonts w:hint="eastAsia" w:ascii="宋体" w:hAnsi="宋体"/>
                <w:color w:val="000000"/>
                <w:szCs w:val="21"/>
                <w:lang w:val="en-US" w:eastAsia="zh-CN"/>
              </w:rPr>
              <w:t>.</w:t>
            </w:r>
            <w:r>
              <w:rPr>
                <w:rFonts w:hint="eastAsia" w:ascii="宋体" w:hAnsi="宋体" w:eastAsia="宋体"/>
                <w:color w:val="000000"/>
                <w:szCs w:val="21"/>
              </w:rPr>
              <w:t>《城市居住区规划设计标准》（GB 50180-2018）</w:t>
            </w:r>
          </w:p>
          <w:p w14:paraId="6D989495">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5</w:t>
            </w:r>
            <w:r>
              <w:rPr>
                <w:rFonts w:hint="eastAsia" w:ascii="宋体" w:hAnsi="宋体"/>
                <w:color w:val="000000"/>
                <w:szCs w:val="21"/>
                <w:lang w:val="en-US" w:eastAsia="zh-CN"/>
              </w:rPr>
              <w:t>.</w:t>
            </w:r>
            <w:r>
              <w:rPr>
                <w:rFonts w:hint="eastAsia" w:ascii="宋体" w:hAnsi="宋体" w:eastAsia="宋体"/>
                <w:color w:val="000000"/>
                <w:szCs w:val="21"/>
              </w:rPr>
              <w:t>《广西壮族自治区实施〈中华人民共和国城乡规划法〉办法》（2010）；</w:t>
            </w:r>
          </w:p>
          <w:p w14:paraId="2DAAC7C4">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color w:val="000000"/>
                <w:szCs w:val="21"/>
                <w:lang w:val="en-US" w:eastAsia="zh-CN"/>
              </w:rPr>
              <w:t>.</w:t>
            </w:r>
            <w:r>
              <w:rPr>
                <w:rFonts w:hint="eastAsia" w:ascii="宋体" w:hAnsi="宋体" w:eastAsia="宋体"/>
                <w:color w:val="000000"/>
                <w:szCs w:val="21"/>
              </w:rPr>
              <w:t>《广西壮族自治区控制性详细规划管理办法（试行）》；</w:t>
            </w:r>
          </w:p>
          <w:p w14:paraId="55CAD8F9">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7</w:t>
            </w:r>
            <w:r>
              <w:rPr>
                <w:rFonts w:hint="eastAsia" w:ascii="宋体" w:hAnsi="宋体"/>
                <w:color w:val="000000"/>
                <w:szCs w:val="21"/>
                <w:lang w:val="en-US" w:eastAsia="zh-CN"/>
              </w:rPr>
              <w:t>.</w:t>
            </w:r>
            <w:r>
              <w:rPr>
                <w:rFonts w:hint="eastAsia" w:ascii="宋体" w:hAnsi="宋体" w:eastAsia="宋体"/>
                <w:color w:val="000000"/>
                <w:szCs w:val="21"/>
              </w:rPr>
              <w:t>《广西壮族自治区建设用地控制指标》（2021年修订）；</w:t>
            </w:r>
          </w:p>
          <w:p w14:paraId="7E55A44D">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8</w:t>
            </w:r>
            <w:r>
              <w:rPr>
                <w:rFonts w:hint="eastAsia" w:ascii="宋体" w:hAnsi="宋体"/>
                <w:color w:val="000000"/>
                <w:szCs w:val="21"/>
                <w:lang w:val="en-US" w:eastAsia="zh-CN"/>
              </w:rPr>
              <w:t>.</w:t>
            </w:r>
            <w:r>
              <w:rPr>
                <w:rFonts w:hint="eastAsia" w:ascii="宋体" w:hAnsi="宋体" w:eastAsia="宋体"/>
                <w:color w:val="000000"/>
                <w:szCs w:val="21"/>
              </w:rPr>
              <w:t>《南宁市中小学幼儿园用地保护条例》（2019）；</w:t>
            </w:r>
          </w:p>
          <w:p w14:paraId="54019A07">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9</w:t>
            </w:r>
            <w:r>
              <w:rPr>
                <w:rFonts w:hint="eastAsia" w:ascii="宋体" w:hAnsi="宋体"/>
                <w:color w:val="000000"/>
                <w:szCs w:val="21"/>
                <w:lang w:val="en-US" w:eastAsia="zh-CN"/>
              </w:rPr>
              <w:t>.</w:t>
            </w:r>
            <w:r>
              <w:rPr>
                <w:rFonts w:hint="eastAsia" w:ascii="宋体" w:hAnsi="宋体" w:eastAsia="宋体"/>
                <w:color w:val="000000"/>
                <w:szCs w:val="21"/>
              </w:rPr>
              <w:t>《南宁市城市规划管理技术规定》（2011）；</w:t>
            </w:r>
          </w:p>
          <w:p w14:paraId="4167AFAC">
            <w:pPr>
              <w:snapToGrid w:val="0"/>
              <w:spacing w:line="360" w:lineRule="exact"/>
              <w:ind w:firstLine="420" w:firstLineChars="200"/>
              <w:rPr>
                <w:rFonts w:hint="eastAsia" w:ascii="宋体" w:hAnsi="宋体"/>
                <w:color w:val="000000"/>
                <w:szCs w:val="21"/>
                <w:lang w:val="en-US" w:eastAsia="zh-CN"/>
              </w:rPr>
            </w:pPr>
            <w:r>
              <w:rPr>
                <w:rFonts w:hint="eastAsia" w:ascii="宋体" w:hAnsi="宋体"/>
                <w:color w:val="000000"/>
                <w:szCs w:val="21"/>
                <w:lang w:val="en-US" w:eastAsia="zh-CN"/>
              </w:rPr>
              <w:t>10.《住宅项目规范》GB 55038-2025；</w:t>
            </w:r>
          </w:p>
          <w:p w14:paraId="4F0329F7">
            <w:pPr>
              <w:snapToGrid w:val="0"/>
              <w:spacing w:line="360" w:lineRule="exact"/>
              <w:ind w:firstLine="420" w:firstLineChars="200"/>
              <w:rPr>
                <w:rFonts w:hint="eastAsia" w:ascii="宋体" w:hAnsi="宋体"/>
                <w:color w:val="000000"/>
                <w:szCs w:val="21"/>
                <w:lang w:val="en-US" w:eastAsia="zh-CN"/>
              </w:rPr>
            </w:pPr>
            <w:r>
              <w:rPr>
                <w:rFonts w:hint="eastAsia" w:ascii="宋体" w:hAnsi="宋体"/>
                <w:color w:val="000000"/>
                <w:szCs w:val="21"/>
                <w:lang w:val="en-US" w:eastAsia="zh-CN"/>
              </w:rPr>
              <w:t>11.《广西持续推进城市更新五年行动方案（2026—2030年）》；</w:t>
            </w:r>
          </w:p>
          <w:p w14:paraId="3E73DE79">
            <w:pPr>
              <w:snapToGrid w:val="0"/>
              <w:spacing w:line="360" w:lineRule="exact"/>
              <w:ind w:firstLine="420" w:firstLineChars="200"/>
              <w:rPr>
                <w:color w:val="auto"/>
                <w:highlight w:val="none"/>
              </w:rPr>
            </w:pPr>
            <w:r>
              <w:rPr>
                <w:rFonts w:hint="eastAsia" w:ascii="宋体" w:hAnsi="宋体" w:eastAsia="宋体"/>
                <w:color w:val="000000"/>
                <w:szCs w:val="21"/>
              </w:rPr>
              <w:t>1</w:t>
            </w:r>
            <w:r>
              <w:rPr>
                <w:rFonts w:hint="eastAsia" w:ascii="宋体" w:hAnsi="宋体"/>
                <w:color w:val="000000"/>
                <w:szCs w:val="21"/>
                <w:lang w:val="en-US" w:eastAsia="zh-CN"/>
              </w:rPr>
              <w:t>2.</w:t>
            </w:r>
            <w:r>
              <w:rPr>
                <w:rFonts w:hint="eastAsia" w:ascii="宋体" w:hAnsi="宋体" w:eastAsia="宋体"/>
                <w:color w:val="000000"/>
                <w:szCs w:val="21"/>
              </w:rPr>
              <w:t>国家、自治区和南宁市其他相关规范、技术规定和</w:t>
            </w:r>
            <w:r>
              <w:rPr>
                <w:rFonts w:hint="eastAsia"/>
                <w:color w:val="auto"/>
                <w:highlight w:val="none"/>
              </w:rPr>
              <w:t>文件要求。</w:t>
            </w:r>
          </w:p>
          <w:p w14:paraId="2610ABFE">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（二）上位及相关规划、政府文件等依据和参考资料</w:t>
            </w:r>
          </w:p>
          <w:p w14:paraId="7854B785">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1</w:t>
            </w:r>
            <w:r>
              <w:rPr>
                <w:rFonts w:hint="eastAsia" w:ascii="宋体" w:hAnsi="宋体"/>
                <w:color w:val="000000"/>
                <w:szCs w:val="21"/>
                <w:lang w:val="en-US" w:eastAsia="zh-CN"/>
              </w:rPr>
              <w:t>.</w:t>
            </w:r>
            <w:r>
              <w:rPr>
                <w:rFonts w:hint="eastAsia" w:ascii="宋体" w:hAnsi="宋体" w:eastAsia="宋体"/>
                <w:color w:val="000000"/>
                <w:szCs w:val="21"/>
              </w:rPr>
              <w:t>《南宁市国土空间总体规划（2021-2035）》；</w:t>
            </w:r>
          </w:p>
          <w:p w14:paraId="41B90525">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2</w:t>
            </w:r>
            <w:r>
              <w:rPr>
                <w:rFonts w:hint="eastAsia" w:ascii="宋体" w:hAnsi="宋体"/>
                <w:color w:val="000000"/>
                <w:szCs w:val="21"/>
                <w:lang w:val="en-US" w:eastAsia="zh-CN"/>
              </w:rPr>
              <w:t>.</w:t>
            </w:r>
            <w:r>
              <w:rPr>
                <w:rFonts w:hint="eastAsia" w:ascii="宋体" w:hAnsi="宋体" w:eastAsia="宋体"/>
                <w:color w:val="000000"/>
                <w:szCs w:val="21"/>
              </w:rPr>
              <w:t>《南宁市青秀区国土空间分区规划（2021-2035年)》（征求意见稿）；</w:t>
            </w:r>
          </w:p>
          <w:p w14:paraId="52FCA012">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3</w:t>
            </w:r>
            <w:r>
              <w:rPr>
                <w:rFonts w:hint="eastAsia" w:ascii="宋体" w:hAnsi="宋体"/>
                <w:color w:val="000000"/>
                <w:szCs w:val="21"/>
                <w:lang w:val="en-US" w:eastAsia="zh-CN"/>
              </w:rPr>
              <w:t>.</w:t>
            </w:r>
            <w:r>
              <w:rPr>
                <w:rFonts w:hint="eastAsia" w:ascii="宋体" w:hAnsi="宋体" w:eastAsia="宋体"/>
                <w:color w:val="000000"/>
                <w:szCs w:val="21"/>
              </w:rPr>
              <w:t>其他相关专项规划</w:t>
            </w:r>
          </w:p>
          <w:p w14:paraId="077906B6">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4</w:t>
            </w:r>
            <w:r>
              <w:rPr>
                <w:rFonts w:hint="eastAsia" w:ascii="宋体" w:hAnsi="宋体"/>
                <w:color w:val="000000"/>
                <w:szCs w:val="21"/>
                <w:lang w:val="en-US" w:eastAsia="zh-CN"/>
              </w:rPr>
              <w:t>.</w:t>
            </w:r>
            <w:r>
              <w:rPr>
                <w:rFonts w:hint="eastAsia" w:ascii="宋体" w:hAnsi="宋体" w:eastAsia="宋体"/>
                <w:color w:val="000000"/>
                <w:szCs w:val="21"/>
              </w:rPr>
              <w:t>规划区域现状及其他相关基础资料。</w:t>
            </w:r>
          </w:p>
          <w:p w14:paraId="3CBB6B72">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五、规划内容和深度要求</w:t>
            </w:r>
          </w:p>
          <w:p w14:paraId="6AD85EAA">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按照法律法规规定的规划编制内容和深度要求进行编制，并达到有关部门评审及报批的要求。</w:t>
            </w:r>
          </w:p>
          <w:p w14:paraId="15C70E6E">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六、成果要求</w:t>
            </w:r>
          </w:p>
          <w:p w14:paraId="0864D446">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（一）文本、说明书材料20份；简本20份。内容要求如下：</w:t>
            </w:r>
          </w:p>
          <w:p w14:paraId="72BE8EA2">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 xml:space="preserve">1.规划文本（含图则）、说明书（含技术指标、分期建设建议）； </w:t>
            </w:r>
          </w:p>
          <w:p w14:paraId="2325D8D0">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2</w:t>
            </w:r>
            <w:r>
              <w:rPr>
                <w:rFonts w:hint="eastAsia" w:ascii="宋体" w:hAnsi="宋体" w:eastAsia="宋体"/>
                <w:color w:val="000000"/>
                <w:szCs w:val="21"/>
                <w:lang w:val="en-US" w:eastAsia="zh-CN"/>
              </w:rPr>
              <w:t>.</w:t>
            </w:r>
            <w:r>
              <w:rPr>
                <w:rFonts w:hint="eastAsia" w:ascii="宋体" w:hAnsi="宋体" w:eastAsia="宋体"/>
                <w:color w:val="000000"/>
                <w:szCs w:val="21"/>
              </w:rPr>
              <w:t>缩图（设计图纸、分析图及重点地块控制图等）；</w:t>
            </w:r>
          </w:p>
          <w:p w14:paraId="5806A33D">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3</w:t>
            </w:r>
            <w:r>
              <w:rPr>
                <w:rFonts w:hint="eastAsia" w:ascii="宋体" w:hAnsi="宋体" w:eastAsia="宋体"/>
                <w:color w:val="000000"/>
                <w:szCs w:val="21"/>
                <w:lang w:val="en-US" w:eastAsia="zh-CN"/>
              </w:rPr>
              <w:t>.</w:t>
            </w:r>
            <w:r>
              <w:rPr>
                <w:rFonts w:hint="eastAsia" w:ascii="宋体" w:hAnsi="宋体" w:eastAsia="宋体"/>
                <w:color w:val="000000"/>
                <w:szCs w:val="21"/>
              </w:rPr>
              <w:t>简本主要供评审和上报政府使用，内容包括简单的说明和主要附图；</w:t>
            </w:r>
          </w:p>
          <w:p w14:paraId="4063013C">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（二）图纸成果（图纸比例以能表达设计意图为准）。</w:t>
            </w:r>
          </w:p>
          <w:p w14:paraId="0D8A5820">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（三）现状调研报告（附于说明书之后）。</w:t>
            </w:r>
          </w:p>
          <w:p w14:paraId="7F1B7D2D">
            <w:pPr>
              <w:snapToGrid w:val="0"/>
              <w:spacing w:line="360" w:lineRule="exact"/>
              <w:ind w:firstLine="420" w:firstLineChars="200"/>
              <w:rPr>
                <w:rFonts w:hint="eastAsia" w:ascii="宋体" w:hAnsi="宋体" w:eastAsia="宋体"/>
                <w:color w:val="000000"/>
                <w:szCs w:val="21"/>
              </w:rPr>
            </w:pPr>
            <w:r>
              <w:rPr>
                <w:rFonts w:hint="eastAsia" w:ascii="宋体" w:hAnsi="宋体" w:eastAsia="宋体"/>
                <w:color w:val="000000"/>
                <w:szCs w:val="21"/>
              </w:rPr>
              <w:t>（四）电子数据：提供含全部设计文件的光盘两套(平面图纸文件采用AUTOCAD2004以上版本，效果图文件采用JPG图形格式，说明文本采用MICROSFT  OFFICE97版本)，内容包括文本及其简本，全部dwg和jpg文件。</w:t>
            </w:r>
          </w:p>
          <w:p w14:paraId="523F51A5">
            <w:pPr>
              <w:spacing w:line="30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七、时间安排</w:t>
            </w:r>
          </w:p>
          <w:p w14:paraId="54A79AAB">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具体工作按以下四个阶段开展：</w:t>
            </w:r>
          </w:p>
          <w:p w14:paraId="6586A7DF">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（一）第一阶段——中期成果阶段 </w:t>
            </w:r>
          </w:p>
          <w:p w14:paraId="3C1E03C0">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从合同签订日起45日内，中标人详细踏勘现场，收集基础资料，形成初步方案，在初步方案基础上开展中期方案编制工作。形成中期成果，召开中期成果专家评审会。</w:t>
            </w:r>
          </w:p>
          <w:p w14:paraId="15512C61">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（二）第二阶段——成果草案阶段</w:t>
            </w:r>
          </w:p>
          <w:p w14:paraId="11AE6D92">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上述阶段后20日内，中标</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根据评审意见继续修改、深化规划设计方案，并提交成果，召开专家咨询会，将修改完善后成果草案进行公示（30日）。</w:t>
            </w:r>
          </w:p>
          <w:p w14:paraId="21924410">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（三）第三阶段——上报审批阶段</w:t>
            </w:r>
          </w:p>
          <w:p w14:paraId="038A787F">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上述阶段后15日内，成果草案公示后，中标</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根据公众意见处理情况修改完善方案，提交修改后的最终成果并报市政府审批。</w:t>
            </w:r>
          </w:p>
          <w:p w14:paraId="5820CC3D">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（四）第四阶段——成果数据归档阶段</w:t>
            </w:r>
          </w:p>
          <w:p w14:paraId="59C14258">
            <w:pPr>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上述阶段后10日内，中标</w:t>
            </w:r>
            <w:r>
              <w:rPr>
                <w:rFonts w:hint="eastAsia" w:ascii="宋体" w:hAnsi="宋体" w:cs="宋体"/>
                <w:color w:val="auto"/>
                <w:szCs w:val="21"/>
                <w:highlight w:val="none"/>
                <w:lang w:val="en-US" w:eastAsia="zh-CN"/>
              </w:rPr>
              <w:t>人</w:t>
            </w:r>
            <w:r>
              <w:rPr>
                <w:rFonts w:hint="eastAsia" w:ascii="宋体" w:hAnsi="宋体" w:cs="宋体"/>
                <w:color w:val="auto"/>
                <w:szCs w:val="21"/>
                <w:highlight w:val="none"/>
              </w:rPr>
              <w:t>将规划最终成果（成果文件及数据）及时归档。</w:t>
            </w:r>
          </w:p>
          <w:p w14:paraId="262AB19B">
            <w:pPr>
              <w:widowControl/>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八、</w:t>
            </w:r>
            <w:r>
              <w:rPr>
                <w:rFonts w:hint="eastAsia" w:ascii="Arial" w:hAnsi="Arial" w:cs="Arial"/>
                <w:b/>
                <w:bCs/>
                <w:color w:val="auto"/>
                <w:szCs w:val="21"/>
                <w:highlight w:val="none"/>
              </w:rPr>
              <w:t>附则</w:t>
            </w:r>
          </w:p>
          <w:p w14:paraId="4E521B59">
            <w:pPr>
              <w:widowControl/>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（一）南宁市自然资源局负责协助本项目</w:t>
            </w:r>
            <w:r>
              <w:rPr>
                <w:rFonts w:hint="eastAsia" w:ascii="宋体" w:hAnsi="宋体"/>
                <w:color w:val="auto"/>
                <w:highlight w:val="none"/>
              </w:rPr>
              <w:t>中标</w:t>
            </w:r>
            <w:r>
              <w:rPr>
                <w:rFonts w:hint="eastAsia" w:ascii="宋体" w:hAnsi="宋体"/>
                <w:color w:val="auto"/>
                <w:highlight w:val="none"/>
                <w:lang w:val="en-US" w:eastAsia="zh-CN"/>
              </w:rPr>
              <w:t>人</w:t>
            </w:r>
            <w:r>
              <w:rPr>
                <w:rFonts w:hint="eastAsia" w:ascii="宋体" w:hAnsi="宋体"/>
                <w:color w:val="auto"/>
                <w:szCs w:val="21"/>
                <w:highlight w:val="none"/>
              </w:rPr>
              <w:t>搜集基础资料及现场外业调查，负责与其他项目以及相关规划设计间的协调工作。</w:t>
            </w:r>
          </w:p>
          <w:p w14:paraId="33F68150">
            <w:pPr>
              <w:widowControl/>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（二）规划署名权归中标人所有，版权归南宁市自然资源局，南宁市自然资源局有权在规划审定后公开展示规划成果，并通过传播、媒介、专业杂志、书刊及其他形式介绍、展示、评价规划方案。</w:t>
            </w:r>
          </w:p>
          <w:p w14:paraId="08BC7035">
            <w:pPr>
              <w:widowControl/>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（三）规划方案批准实施前，任何单位和个人未经同意都无权以任何形式向社会公开展示设计成果。</w:t>
            </w:r>
          </w:p>
          <w:p w14:paraId="7717B8F4">
            <w:pPr>
              <w:widowControl/>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（四）</w:t>
            </w:r>
            <w:r>
              <w:rPr>
                <w:rFonts w:hint="eastAsia" w:ascii="宋体" w:hAnsi="宋体"/>
                <w:color w:val="auto"/>
                <w:highlight w:val="none"/>
              </w:rPr>
              <w:t>中标</w:t>
            </w:r>
            <w:r>
              <w:rPr>
                <w:rFonts w:hint="eastAsia" w:ascii="宋体" w:hAnsi="宋体"/>
                <w:color w:val="auto"/>
                <w:highlight w:val="none"/>
                <w:lang w:val="en-US" w:eastAsia="zh-CN"/>
              </w:rPr>
              <w:t>人</w:t>
            </w:r>
            <w:r>
              <w:rPr>
                <w:rFonts w:hint="eastAsia" w:ascii="宋体" w:hAnsi="宋体"/>
                <w:color w:val="auto"/>
                <w:szCs w:val="21"/>
                <w:highlight w:val="none"/>
              </w:rPr>
              <w:t>提交的规划设计成果有下列情形之一的视为违约，南宁市自然资源局有权对</w:t>
            </w:r>
            <w:r>
              <w:rPr>
                <w:rFonts w:hint="eastAsia" w:ascii="宋体" w:hAnsi="宋体"/>
                <w:color w:val="auto"/>
                <w:highlight w:val="none"/>
              </w:rPr>
              <w:t>中标</w:t>
            </w:r>
            <w:r>
              <w:rPr>
                <w:rFonts w:hint="eastAsia" w:ascii="宋体" w:hAnsi="宋体"/>
                <w:color w:val="auto"/>
                <w:highlight w:val="none"/>
                <w:lang w:val="en-US" w:eastAsia="zh-CN"/>
              </w:rPr>
              <w:t>人</w:t>
            </w:r>
            <w:r>
              <w:rPr>
                <w:rFonts w:hint="eastAsia" w:ascii="宋体" w:hAnsi="宋体"/>
                <w:color w:val="auto"/>
                <w:szCs w:val="21"/>
                <w:highlight w:val="none"/>
              </w:rPr>
              <w:t>做出处罚：1.提交的成果不符合本服务需求一览表规定内容的。2.提交的成果图纸和文字辨认不清，内容不全或粗制滥造的。3.未经南宁市自然资源局同意，逾期上报规划设计成果的。</w:t>
            </w:r>
          </w:p>
          <w:p w14:paraId="20CD9253">
            <w:pPr>
              <w:widowControl/>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（五）本服务需求一览表内容解释权归南宁市自然资源局所有。</w:t>
            </w:r>
          </w:p>
          <w:p w14:paraId="1E43380D">
            <w:pPr>
              <w:snapToGrid w:val="0"/>
              <w:spacing w:line="360" w:lineRule="exact"/>
              <w:ind w:firstLine="420" w:firstLineChars="200"/>
              <w:rPr>
                <w:rFonts w:hint="eastAsia" w:ascii="宋体" w:hAnsi="宋体" w:eastAsia="宋体"/>
                <w:color w:val="000000"/>
                <w:szCs w:val="21"/>
              </w:rPr>
            </w:pPr>
            <w:r>
              <w:rPr>
                <w:rFonts w:hint="eastAsia" w:ascii="宋体" w:hAnsi="宋体"/>
                <w:color w:val="auto"/>
                <w:szCs w:val="21"/>
                <w:highlight w:val="none"/>
              </w:rPr>
              <w:t>（注：由于不可抗拒原因导致工作后延的，具体工作进度由</w:t>
            </w:r>
            <w:r>
              <w:rPr>
                <w:rFonts w:hint="eastAsia" w:ascii="宋体" w:hAnsi="宋体"/>
                <w:color w:val="auto"/>
                <w:highlight w:val="none"/>
              </w:rPr>
              <w:t>中标</w:t>
            </w:r>
            <w:r>
              <w:rPr>
                <w:rFonts w:hint="eastAsia" w:ascii="宋体" w:hAnsi="宋体"/>
                <w:color w:val="auto"/>
                <w:highlight w:val="none"/>
                <w:lang w:val="en-US" w:eastAsia="zh-CN"/>
              </w:rPr>
              <w:t>人</w:t>
            </w:r>
            <w:r>
              <w:rPr>
                <w:rFonts w:hint="eastAsia" w:ascii="宋体" w:hAnsi="宋体"/>
                <w:color w:val="auto"/>
                <w:szCs w:val="21"/>
                <w:highlight w:val="none"/>
              </w:rPr>
              <w:t>与采购人协商确定）</w:t>
            </w:r>
          </w:p>
        </w:tc>
        <w:tc>
          <w:tcPr>
            <w:tcW w:w="1317" w:type="dxa"/>
            <w:noWrap w:val="0"/>
            <w:vAlign w:val="center"/>
          </w:tcPr>
          <w:p w14:paraId="1F9A5A45">
            <w:pPr>
              <w:spacing w:line="360" w:lineRule="exact"/>
              <w:contextualSpacing/>
              <w:rPr>
                <w:rFonts w:hint="eastAsia" w:ascii="宋体" w:hAnsi="宋体" w:eastAsia="宋体"/>
                <w:color w:val="000000"/>
                <w:szCs w:val="21"/>
                <w:lang w:eastAsia="zh-CN"/>
              </w:rPr>
            </w:pPr>
            <w:r>
              <w:rPr>
                <w:rFonts w:hint="eastAsia" w:ascii="宋体" w:hAnsi="宋体"/>
                <w:color w:val="000000"/>
                <w:szCs w:val="21"/>
                <w:lang w:eastAsia="zh-CN"/>
              </w:rPr>
              <w:t>515949.00</w:t>
            </w:r>
          </w:p>
        </w:tc>
      </w:tr>
      <w:tr w14:paraId="68A2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48" w:type="dxa"/>
            <w:noWrap w:val="0"/>
            <w:vAlign w:val="center"/>
          </w:tcPr>
          <w:p w14:paraId="583479C1">
            <w:pPr>
              <w:spacing w:line="360" w:lineRule="exact"/>
              <w:ind w:firstLine="640"/>
              <w:jc w:val="center"/>
              <w:rPr>
                <w:rFonts w:hint="eastAsia" w:ascii="宋体" w:hAnsi="宋体" w:eastAsia="宋体" w:cs="宋体"/>
                <w:color w:val="000000"/>
                <w:kern w:val="0"/>
                <w:szCs w:val="21"/>
              </w:rPr>
            </w:pPr>
            <w:r>
              <w:rPr>
                <w:rFonts w:hint="eastAsia" w:ascii="宋体" w:hAnsi="宋体" w:eastAsia="宋体"/>
                <w:color w:val="000000"/>
                <w:szCs w:val="21"/>
              </w:rPr>
              <w:t>商商务条款</w:t>
            </w:r>
          </w:p>
        </w:tc>
        <w:tc>
          <w:tcPr>
            <w:tcW w:w="8999" w:type="dxa"/>
            <w:gridSpan w:val="4"/>
            <w:noWrap w:val="0"/>
            <w:vAlign w:val="center"/>
          </w:tcPr>
          <w:p w14:paraId="60F1C910">
            <w:pPr>
              <w:spacing w:line="240" w:lineRule="auto"/>
              <w:rPr>
                <w:rFonts w:ascii="宋体" w:hAnsi="宋体" w:cs="宋体"/>
                <w:color w:val="auto"/>
                <w:szCs w:val="21"/>
                <w:highlight w:val="none"/>
              </w:rPr>
            </w:pPr>
            <w:r>
              <w:rPr>
                <w:rFonts w:hint="eastAsia" w:ascii="宋体" w:hAnsi="宋体" w:cs="宋体"/>
                <w:color w:val="auto"/>
                <w:szCs w:val="21"/>
                <w:highlight w:val="none"/>
              </w:rPr>
              <w:t>一、合同签订期：</w:t>
            </w:r>
            <w:r>
              <w:rPr>
                <w:rFonts w:hint="eastAsia" w:ascii="宋体" w:hAnsi="宋体"/>
                <w:color w:val="auto"/>
                <w:highlight w:val="none"/>
              </w:rPr>
              <w:t>自中标通知书发出之日起</w:t>
            </w:r>
            <w:r>
              <w:rPr>
                <w:rFonts w:ascii="宋体" w:hAnsi="宋体"/>
                <w:color w:val="auto"/>
                <w:highlight w:val="none"/>
                <w:u w:val="single"/>
              </w:rPr>
              <w:t>2</w:t>
            </w:r>
            <w:r>
              <w:rPr>
                <w:rFonts w:hint="eastAsia" w:ascii="宋体" w:hAnsi="宋体"/>
                <w:color w:val="auto"/>
                <w:highlight w:val="none"/>
                <w:u w:val="single"/>
              </w:rPr>
              <w:t>5</w:t>
            </w:r>
            <w:r>
              <w:rPr>
                <w:rFonts w:hint="eastAsia" w:ascii="宋体" w:hAnsi="宋体"/>
                <w:color w:val="auto"/>
                <w:highlight w:val="none"/>
              </w:rPr>
              <w:t>日内</w:t>
            </w:r>
            <w:r>
              <w:rPr>
                <w:rFonts w:hint="eastAsia" w:ascii="宋体" w:hAnsi="宋体" w:cs="宋体"/>
                <w:color w:val="auto"/>
                <w:szCs w:val="21"/>
                <w:highlight w:val="none"/>
              </w:rPr>
              <w:t>。</w:t>
            </w:r>
          </w:p>
          <w:p w14:paraId="4D11337F">
            <w:pPr>
              <w:widowControl/>
              <w:shd w:val="clear" w:color="auto" w:fill="FFFFFF"/>
              <w:spacing w:line="240" w:lineRule="auto"/>
              <w:rPr>
                <w:rFonts w:ascii="宋体" w:hAnsi="宋体"/>
                <w:color w:val="auto"/>
                <w:highlight w:val="none"/>
              </w:rPr>
            </w:pPr>
            <w:r>
              <w:rPr>
                <w:rFonts w:hint="eastAsia" w:ascii="宋体" w:hAnsi="宋体" w:cs="宋体"/>
                <w:color w:val="auto"/>
                <w:szCs w:val="21"/>
                <w:highlight w:val="none"/>
              </w:rPr>
              <w:t>▲</w:t>
            </w:r>
            <w:r>
              <w:rPr>
                <w:rFonts w:hint="eastAsia" w:ascii="宋体" w:hAnsi="宋体"/>
                <w:color w:val="auto"/>
                <w:highlight w:val="none"/>
              </w:rPr>
              <w:t>二、</w:t>
            </w:r>
            <w:r>
              <w:rPr>
                <w:rFonts w:hint="eastAsia" w:ascii="宋体" w:hAnsi="宋体"/>
                <w:bCs/>
                <w:color w:val="auto"/>
                <w:highlight w:val="none"/>
              </w:rPr>
              <w:t>提交服务成果时间：</w:t>
            </w:r>
            <w:r>
              <w:rPr>
                <w:rFonts w:hint="eastAsia" w:ascii="宋体" w:hAnsi="宋体"/>
                <w:color w:val="auto"/>
                <w:szCs w:val="21"/>
                <w:highlight w:val="none"/>
              </w:rPr>
              <w:t>签订合同后180个日历日内，获批复后提交所有最终成果。</w:t>
            </w:r>
          </w:p>
          <w:p w14:paraId="2FE7E253">
            <w:pPr>
              <w:widowControl/>
              <w:shd w:val="clear" w:color="auto" w:fill="FFFFFF"/>
              <w:spacing w:line="240" w:lineRule="auto"/>
              <w:rPr>
                <w:rFonts w:ascii="Arial" w:hAnsi="Arial" w:cs="Arial"/>
                <w:bCs/>
                <w:color w:val="auto"/>
                <w:szCs w:val="21"/>
                <w:highlight w:val="none"/>
              </w:rPr>
            </w:pPr>
            <w:r>
              <w:rPr>
                <w:rFonts w:hint="eastAsia" w:ascii="宋体" w:hAnsi="宋体"/>
                <w:color w:val="auto"/>
                <w:highlight w:val="none"/>
              </w:rPr>
              <w:t>三、</w:t>
            </w:r>
            <w:r>
              <w:rPr>
                <w:rFonts w:hint="eastAsia" w:ascii="宋体" w:hAnsi="宋体"/>
                <w:bCs/>
                <w:color w:val="auto"/>
                <w:highlight w:val="none"/>
              </w:rPr>
              <w:t>提交服务成果地点：</w:t>
            </w:r>
            <w:r>
              <w:rPr>
                <w:rFonts w:hint="eastAsia" w:ascii="Arial" w:hAnsi="Arial" w:cs="Arial"/>
                <w:bCs/>
                <w:color w:val="auto"/>
                <w:szCs w:val="21"/>
                <w:highlight w:val="none"/>
              </w:rPr>
              <w:t>南宁市自然资源局</w:t>
            </w:r>
          </w:p>
          <w:p w14:paraId="320DAF77">
            <w:pPr>
              <w:widowControl/>
              <w:shd w:val="clear" w:color="auto" w:fill="FFFFFF"/>
              <w:spacing w:line="240" w:lineRule="auto"/>
              <w:rPr>
                <w:rFonts w:ascii="宋体" w:hAnsi="宋体"/>
                <w:color w:val="auto"/>
                <w:highlight w:val="none"/>
              </w:rPr>
            </w:pPr>
            <w:r>
              <w:rPr>
                <w:rFonts w:hint="eastAsia" w:ascii="宋体" w:hAnsi="宋体"/>
                <w:color w:val="auto"/>
                <w:highlight w:val="none"/>
              </w:rPr>
              <w:t>四、售后服务要求：</w:t>
            </w:r>
          </w:p>
          <w:p w14:paraId="7972FD50">
            <w:pPr>
              <w:widowControl/>
              <w:shd w:val="clear" w:color="auto" w:fill="FFFFFF"/>
              <w:spacing w:line="240" w:lineRule="auto"/>
              <w:rPr>
                <w:rFonts w:ascii="宋体" w:hAnsi="宋体"/>
                <w:color w:val="auto"/>
                <w:highlight w:val="none"/>
              </w:rPr>
            </w:pPr>
            <w:r>
              <w:rPr>
                <w:rFonts w:hint="eastAsia" w:ascii="宋体" w:hAnsi="宋体" w:cs="宋体"/>
                <w:color w:val="auto"/>
                <w:szCs w:val="21"/>
                <w:highlight w:val="none"/>
              </w:rPr>
              <w:t>▲</w:t>
            </w:r>
            <w:r>
              <w:rPr>
                <w:rFonts w:hint="eastAsia" w:ascii="宋体" w:hAnsi="宋体"/>
                <w:color w:val="auto"/>
                <w:highlight w:val="none"/>
              </w:rPr>
              <w:t>（一）质量保证期</w:t>
            </w:r>
            <w:r>
              <w:rPr>
                <w:rFonts w:hint="eastAsia" w:ascii="宋体" w:hAnsi="宋体"/>
                <w:color w:val="auto"/>
                <w:highlight w:val="none"/>
                <w:u w:val="single"/>
              </w:rPr>
              <w:t xml:space="preserve"> 1 </w:t>
            </w:r>
            <w:r>
              <w:rPr>
                <w:rFonts w:hint="eastAsia" w:ascii="宋体" w:hAnsi="宋体"/>
                <w:color w:val="auto"/>
                <w:highlight w:val="none"/>
              </w:rPr>
              <w:t>年（自提交成果并验收合格之日起计）。</w:t>
            </w:r>
          </w:p>
          <w:p w14:paraId="322404CA">
            <w:pPr>
              <w:widowControl/>
              <w:shd w:val="clear" w:color="auto" w:fill="FFFFFF"/>
              <w:spacing w:line="240" w:lineRule="auto"/>
              <w:rPr>
                <w:rFonts w:ascii="宋体" w:hAnsi="宋体"/>
                <w:color w:val="auto"/>
                <w:highlight w:val="none"/>
              </w:rPr>
            </w:pPr>
            <w:r>
              <w:rPr>
                <w:rFonts w:hint="eastAsia" w:ascii="宋体" w:hAnsi="宋体"/>
                <w:color w:val="auto"/>
                <w:highlight w:val="none"/>
              </w:rPr>
              <w:t>（二）</w:t>
            </w:r>
            <w:r>
              <w:rPr>
                <w:rFonts w:hint="eastAsia" w:ascii="宋体" w:hAnsi="宋体"/>
                <w:color w:val="auto"/>
                <w:szCs w:val="21"/>
                <w:highlight w:val="none"/>
              </w:rPr>
              <w:t>处理问</w:t>
            </w:r>
            <w:r>
              <w:rPr>
                <w:rFonts w:hint="eastAsia" w:ascii="宋体" w:hAnsi="宋体"/>
                <w:color w:val="auto"/>
                <w:highlight w:val="none"/>
              </w:rPr>
              <w:t>题响应时间：接到采购人处理问题通知后</w:t>
            </w:r>
            <w:r>
              <w:rPr>
                <w:rFonts w:hint="eastAsia" w:ascii="宋体" w:hAnsi="宋体"/>
                <w:color w:val="auto"/>
                <w:highlight w:val="none"/>
                <w:u w:val="single"/>
              </w:rPr>
              <w:t>48</w:t>
            </w:r>
            <w:r>
              <w:rPr>
                <w:rFonts w:hint="eastAsia" w:ascii="宋体" w:hAnsi="宋体"/>
                <w:color w:val="auto"/>
                <w:highlight w:val="none"/>
              </w:rPr>
              <w:t>小时内到达采购人指定现场。</w:t>
            </w:r>
          </w:p>
          <w:p w14:paraId="23E0EBC7">
            <w:pPr>
              <w:widowControl/>
              <w:shd w:val="clear" w:color="auto" w:fill="FFFFFF"/>
              <w:spacing w:line="240" w:lineRule="auto"/>
              <w:rPr>
                <w:rFonts w:ascii="宋体" w:hAnsi="宋体"/>
                <w:color w:val="auto"/>
                <w:highlight w:val="none"/>
                <w:u w:val="single"/>
              </w:rPr>
            </w:pPr>
            <w:r>
              <w:rPr>
                <w:rFonts w:hint="eastAsia" w:ascii="宋体" w:hAnsi="宋体"/>
                <w:color w:val="auto"/>
                <w:highlight w:val="none"/>
              </w:rPr>
              <w:t>（三）其他：根据审查会、工作对接会、协调会、评审会等意见相应修改完善设计内容。</w:t>
            </w:r>
          </w:p>
          <w:p w14:paraId="0C808C51">
            <w:pPr>
              <w:spacing w:line="240" w:lineRule="auto"/>
              <w:rPr>
                <w:rFonts w:ascii="宋体" w:hAnsi="宋体"/>
                <w:color w:val="auto"/>
                <w:highlight w:val="none"/>
              </w:rPr>
            </w:pPr>
            <w:r>
              <w:rPr>
                <w:rFonts w:hint="eastAsia" w:ascii="宋体" w:hAnsi="宋体"/>
                <w:color w:val="auto"/>
                <w:highlight w:val="none"/>
              </w:rPr>
              <w:t>五、其他要求：</w:t>
            </w:r>
          </w:p>
          <w:p w14:paraId="5885A021">
            <w:pPr>
              <w:spacing w:line="240" w:lineRule="auto"/>
              <w:rPr>
                <w:rFonts w:ascii="宋体" w:hAnsi="宋体"/>
                <w:color w:val="auto"/>
                <w:highlight w:val="none"/>
              </w:rPr>
            </w:pPr>
            <w:r>
              <w:rPr>
                <w:rFonts w:hint="eastAsia" w:ascii="宋体" w:hAnsi="宋体" w:cs="宋体"/>
                <w:color w:val="auto"/>
                <w:szCs w:val="21"/>
                <w:highlight w:val="none"/>
              </w:rPr>
              <w:t>▲</w:t>
            </w:r>
            <w:r>
              <w:rPr>
                <w:rFonts w:hint="eastAsia" w:ascii="宋体" w:hAnsi="宋体"/>
                <w:color w:val="auto"/>
                <w:highlight w:val="none"/>
              </w:rPr>
              <w:t>（一）</w:t>
            </w:r>
            <w:r>
              <w:rPr>
                <w:rFonts w:hint="eastAsia" w:ascii="宋体" w:hAnsi="宋体"/>
                <w:color w:val="auto"/>
                <w:szCs w:val="21"/>
                <w:highlight w:val="none"/>
              </w:rPr>
              <w:t>报价必须含以下部分</w:t>
            </w:r>
            <w:r>
              <w:rPr>
                <w:rFonts w:hint="eastAsia" w:ascii="宋体" w:hAnsi="宋体"/>
                <w:color w:val="auto"/>
                <w:highlight w:val="none"/>
              </w:rPr>
              <w:t>，包括：</w:t>
            </w:r>
          </w:p>
          <w:p w14:paraId="5DCB92A8">
            <w:pPr>
              <w:spacing w:line="240" w:lineRule="auto"/>
              <w:rPr>
                <w:rFonts w:ascii="宋体" w:hAnsi="宋体"/>
                <w:color w:val="auto"/>
                <w:highlight w:val="none"/>
              </w:rPr>
            </w:pPr>
            <w:r>
              <w:rPr>
                <w:rFonts w:hint="eastAsia" w:ascii="宋体" w:hAnsi="宋体"/>
                <w:color w:val="auto"/>
                <w:szCs w:val="21"/>
                <w:highlight w:val="none"/>
              </w:rPr>
              <w:t>1．服务的价格</w:t>
            </w:r>
            <w:r>
              <w:rPr>
                <w:rFonts w:hint="eastAsia" w:ascii="宋体" w:hAnsi="宋体"/>
                <w:color w:val="auto"/>
                <w:highlight w:val="none"/>
              </w:rPr>
              <w:t>；</w:t>
            </w:r>
          </w:p>
          <w:p w14:paraId="5ADF7B28">
            <w:pPr>
              <w:spacing w:line="240" w:lineRule="auto"/>
              <w:ind w:firstLine="315" w:firstLineChars="150"/>
              <w:rPr>
                <w:rFonts w:ascii="宋体" w:hAnsi="宋体"/>
                <w:color w:val="auto"/>
                <w:szCs w:val="21"/>
                <w:highlight w:val="none"/>
              </w:rPr>
            </w:pPr>
            <w:r>
              <w:rPr>
                <w:rFonts w:hint="eastAsia" w:ascii="宋体" w:hAnsi="宋体"/>
                <w:color w:val="auto"/>
                <w:szCs w:val="21"/>
                <w:highlight w:val="none"/>
              </w:rPr>
              <w:t>①设计费：设计成本及现场调研、基础资料收集等相关费用；</w:t>
            </w:r>
          </w:p>
          <w:p w14:paraId="5597F612">
            <w:pPr>
              <w:spacing w:line="240" w:lineRule="auto"/>
              <w:ind w:firstLine="315" w:firstLineChars="150"/>
              <w:rPr>
                <w:rFonts w:ascii="宋体" w:hAnsi="宋体"/>
                <w:color w:val="auto"/>
                <w:szCs w:val="21"/>
                <w:highlight w:val="none"/>
              </w:rPr>
            </w:pPr>
            <w:r>
              <w:rPr>
                <w:rFonts w:hint="eastAsia" w:ascii="宋体" w:hAnsi="宋体"/>
                <w:color w:val="auto"/>
                <w:szCs w:val="21"/>
                <w:highlight w:val="none"/>
              </w:rPr>
              <w:t>②会务费：包含但不限于除南宁市城市规划委员会和专家咨询委员会之外所有会议的专家评审费、差旅费等。</w:t>
            </w:r>
          </w:p>
          <w:p w14:paraId="6C0F990A">
            <w:pPr>
              <w:spacing w:line="240" w:lineRule="auto"/>
              <w:ind w:firstLine="315" w:firstLineChars="150"/>
              <w:rPr>
                <w:rFonts w:ascii="宋体" w:hAnsi="宋体"/>
                <w:color w:val="auto"/>
                <w:szCs w:val="21"/>
                <w:highlight w:val="none"/>
              </w:rPr>
            </w:pPr>
            <w:r>
              <w:rPr>
                <w:rFonts w:hint="eastAsia" w:ascii="宋体" w:hAnsi="宋体"/>
                <w:color w:val="auto"/>
                <w:szCs w:val="21"/>
                <w:highlight w:val="none"/>
              </w:rPr>
              <w:t>③材料费：包含汇报材料及成果打印费用。</w:t>
            </w:r>
          </w:p>
          <w:p w14:paraId="72A41632">
            <w:pPr>
              <w:spacing w:line="240" w:lineRule="auto"/>
              <w:rPr>
                <w:rFonts w:ascii="宋体" w:hAnsi="宋体"/>
                <w:color w:val="auto"/>
                <w:highlight w:val="none"/>
              </w:rPr>
            </w:pPr>
            <w:r>
              <w:rPr>
                <w:rFonts w:hint="eastAsia" w:ascii="宋体" w:hAnsi="宋体"/>
                <w:color w:val="auto"/>
                <w:highlight w:val="none"/>
              </w:rPr>
              <w:t>2</w:t>
            </w:r>
            <w:r>
              <w:rPr>
                <w:rFonts w:hint="eastAsia" w:ascii="宋体" w:hAnsi="宋体"/>
                <w:color w:val="auto"/>
                <w:szCs w:val="21"/>
                <w:highlight w:val="none"/>
              </w:rPr>
              <w:t>．</w:t>
            </w:r>
            <w:r>
              <w:rPr>
                <w:rFonts w:hint="eastAsia" w:ascii="宋体" w:hAnsi="宋体"/>
                <w:color w:val="auto"/>
                <w:highlight w:val="none"/>
              </w:rPr>
              <w:t>必要的保险费用和各项税金；</w:t>
            </w:r>
          </w:p>
          <w:p w14:paraId="2D146816">
            <w:pPr>
              <w:tabs>
                <w:tab w:val="left" w:pos="3490"/>
                <w:tab w:val="left" w:pos="3670"/>
                <w:tab w:val="left" w:pos="3895"/>
              </w:tabs>
              <w:spacing w:line="240" w:lineRule="auto"/>
              <w:rPr>
                <w:rFonts w:ascii="宋体" w:hAnsi="宋体"/>
                <w:color w:val="auto"/>
                <w:highlight w:val="none"/>
              </w:rPr>
            </w:pPr>
            <w:r>
              <w:rPr>
                <w:rFonts w:hint="eastAsia" w:ascii="宋体" w:hAnsi="宋体"/>
                <w:color w:val="auto"/>
                <w:highlight w:val="none"/>
              </w:rPr>
              <w:t>3.其他：提供培训、技术支持、售后服务。</w:t>
            </w:r>
          </w:p>
          <w:p w14:paraId="42E9E9DD">
            <w:pPr>
              <w:tabs>
                <w:tab w:val="left" w:pos="3490"/>
                <w:tab w:val="left" w:pos="3670"/>
                <w:tab w:val="left" w:pos="3895"/>
              </w:tabs>
              <w:spacing w:line="240" w:lineRule="auto"/>
              <w:rPr>
                <w:rFonts w:ascii="宋体" w:hAnsi="宋体"/>
                <w:b/>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中标</w:t>
            </w:r>
            <w:r>
              <w:rPr>
                <w:rFonts w:hint="eastAsia" w:ascii="宋体" w:hAnsi="宋体"/>
                <w:color w:val="auto"/>
                <w:highlight w:val="none"/>
                <w:lang w:val="en-US" w:eastAsia="zh-CN"/>
              </w:rPr>
              <w:t>人</w:t>
            </w:r>
            <w:r>
              <w:rPr>
                <w:rFonts w:hint="eastAsia" w:ascii="宋体" w:hAnsi="宋体"/>
                <w:color w:val="auto"/>
                <w:highlight w:val="none"/>
              </w:rPr>
              <w:t>项目负责人必须保证每次亲自到场参加成果汇报。</w:t>
            </w:r>
          </w:p>
          <w:p w14:paraId="3D4643EF">
            <w:pPr>
              <w:tabs>
                <w:tab w:val="left" w:pos="3490"/>
                <w:tab w:val="left" w:pos="3670"/>
                <w:tab w:val="left" w:pos="3895"/>
              </w:tabs>
              <w:spacing w:line="240" w:lineRule="auto"/>
              <w:rPr>
                <w:rFonts w:ascii="宋体" w:hAnsi="宋体"/>
                <w:color w:val="auto"/>
                <w:szCs w:val="21"/>
                <w:highlight w:val="none"/>
                <w:u w:val="single"/>
              </w:rPr>
            </w:pPr>
            <w:r>
              <w:rPr>
                <w:rFonts w:hint="eastAsia" w:ascii="Arial" w:hAnsi="Arial" w:cs="Arial"/>
                <w:bCs/>
                <w:color w:val="auto"/>
                <w:szCs w:val="21"/>
                <w:highlight w:val="none"/>
              </w:rPr>
              <w:t>备注：因各阶段评审、报批或按照领导部门批示意见，需要修改成果方案或更新相关基础资料数据，所增加的工作量，委托单位不再追加服务费。</w:t>
            </w:r>
          </w:p>
          <w:p w14:paraId="15B07672">
            <w:pPr>
              <w:spacing w:line="240" w:lineRule="auto"/>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highlight w:val="none"/>
              </w:rPr>
              <w:t>（二）付款方式：</w:t>
            </w:r>
            <w:r>
              <w:rPr>
                <w:rFonts w:hint="eastAsia" w:ascii="宋体" w:hAnsi="宋体"/>
                <w:color w:val="auto"/>
                <w:szCs w:val="21"/>
                <w:highlight w:val="none"/>
              </w:rPr>
              <w:t>本项目无预付款，按项目进度分四次支付合同款，具体如下：</w:t>
            </w:r>
          </w:p>
          <w:p w14:paraId="6CD67B07">
            <w:pPr>
              <w:spacing w:line="240" w:lineRule="auto"/>
              <w:rPr>
                <w:rFonts w:ascii="宋体" w:hAnsi="宋体"/>
                <w:color w:val="auto"/>
                <w:szCs w:val="21"/>
                <w:highlight w:val="none"/>
              </w:rPr>
            </w:pPr>
            <w:r>
              <w:rPr>
                <w:rFonts w:hint="eastAsia" w:ascii="宋体" w:hAnsi="宋体"/>
                <w:color w:val="auto"/>
                <w:szCs w:val="21"/>
                <w:highlight w:val="none"/>
              </w:rPr>
              <w:t>第一次付款：提交规划中期成果，通过中期成果评审会审查，经采购人确认，付合同款的40%；</w:t>
            </w:r>
          </w:p>
          <w:p w14:paraId="15D26CBD">
            <w:pPr>
              <w:spacing w:line="240" w:lineRule="auto"/>
              <w:rPr>
                <w:rFonts w:ascii="宋体" w:hAnsi="宋体"/>
                <w:color w:val="auto"/>
                <w:szCs w:val="21"/>
                <w:highlight w:val="none"/>
              </w:rPr>
            </w:pPr>
            <w:r>
              <w:rPr>
                <w:rFonts w:hint="eastAsia" w:ascii="宋体" w:hAnsi="宋体"/>
                <w:color w:val="auto"/>
                <w:szCs w:val="21"/>
                <w:highlight w:val="none"/>
              </w:rPr>
              <w:t>第二次付款：提交规划成果，通过南宁市城市规划和自然资源专项委员会</w:t>
            </w:r>
            <w:r>
              <w:rPr>
                <w:rFonts w:hint="eastAsia" w:ascii="宋体" w:hAnsi="宋体"/>
                <w:color w:val="auto"/>
                <w:szCs w:val="21"/>
                <w:highlight w:val="none"/>
                <w:lang w:val="en-US" w:eastAsia="zh-CN"/>
              </w:rPr>
              <w:t>审查</w:t>
            </w:r>
            <w:r>
              <w:rPr>
                <w:rFonts w:hint="eastAsia" w:ascii="宋体" w:hAnsi="宋体"/>
                <w:color w:val="auto"/>
                <w:szCs w:val="21"/>
                <w:highlight w:val="none"/>
              </w:rPr>
              <w:t>，经采购人确认，付合同款的30%；</w:t>
            </w:r>
          </w:p>
          <w:p w14:paraId="5F1B7F24">
            <w:pPr>
              <w:spacing w:line="240" w:lineRule="auto"/>
              <w:rPr>
                <w:rFonts w:ascii="宋体" w:hAnsi="宋体"/>
                <w:color w:val="auto"/>
                <w:szCs w:val="21"/>
                <w:highlight w:val="none"/>
              </w:rPr>
            </w:pPr>
            <w:r>
              <w:rPr>
                <w:rFonts w:hint="eastAsia" w:ascii="宋体" w:hAnsi="宋体"/>
                <w:color w:val="auto"/>
                <w:szCs w:val="21"/>
                <w:highlight w:val="none"/>
              </w:rPr>
              <w:t>第三次付款：获得市人民政府批复并提交最终成果，经采购人确认，付合同款的</w:t>
            </w:r>
            <w:r>
              <w:rPr>
                <w:rFonts w:ascii="宋体" w:hAnsi="宋体"/>
                <w:color w:val="auto"/>
                <w:szCs w:val="21"/>
                <w:highlight w:val="none"/>
              </w:rPr>
              <w:t>2</w:t>
            </w:r>
            <w:r>
              <w:rPr>
                <w:rFonts w:hint="eastAsia" w:ascii="宋体" w:hAnsi="宋体"/>
                <w:color w:val="auto"/>
                <w:szCs w:val="21"/>
                <w:highlight w:val="none"/>
              </w:rPr>
              <w:t>0%。</w:t>
            </w:r>
          </w:p>
          <w:p w14:paraId="6A148D04">
            <w:pPr>
              <w:spacing w:line="240" w:lineRule="auto"/>
              <w:rPr>
                <w:rFonts w:ascii="宋体" w:hAnsi="宋体"/>
                <w:color w:val="auto"/>
                <w:szCs w:val="21"/>
                <w:highlight w:val="none"/>
              </w:rPr>
            </w:pPr>
            <w:r>
              <w:rPr>
                <w:rFonts w:hint="eastAsia" w:ascii="宋体" w:hAnsi="宋体"/>
                <w:color w:val="auto"/>
                <w:szCs w:val="21"/>
                <w:highlight w:val="none"/>
              </w:rPr>
              <w:t>第四次付款：规划成果使用中未发现有重大错误，获得市人民政府批复满1年后，经采购人确认，付合同款的10%。</w:t>
            </w:r>
          </w:p>
          <w:p w14:paraId="2AEEFBBF">
            <w:pPr>
              <w:spacing w:line="240" w:lineRule="auto"/>
              <w:rPr>
                <w:rFonts w:ascii="宋体" w:hAnsi="宋体"/>
                <w:color w:val="auto"/>
                <w:szCs w:val="21"/>
                <w:highlight w:val="none"/>
              </w:rPr>
            </w:pPr>
            <w:r>
              <w:rPr>
                <w:rFonts w:hint="eastAsia" w:ascii="宋体" w:hAnsi="宋体"/>
                <w:color w:val="auto"/>
                <w:szCs w:val="21"/>
                <w:highlight w:val="none"/>
              </w:rPr>
              <w:t>注：具体付费事宜，以最终合同确定为准。</w:t>
            </w:r>
          </w:p>
          <w:p w14:paraId="284DCA57">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w:t>
            </w:r>
            <w:r>
              <w:rPr>
                <w:rFonts w:hint="eastAsia" w:ascii="宋体" w:hAnsi="宋体"/>
                <w:color w:val="auto"/>
                <w:highlight w:val="none"/>
              </w:rPr>
              <w:t>（三）</w:t>
            </w:r>
            <w:r>
              <w:rPr>
                <w:rFonts w:hint="eastAsia" w:ascii="宋体" w:hAnsi="宋体"/>
                <w:color w:val="auto"/>
                <w:szCs w:val="21"/>
                <w:highlight w:val="none"/>
              </w:rPr>
              <w:t>保密要求：中标</w:t>
            </w:r>
            <w:r>
              <w:rPr>
                <w:rFonts w:hint="eastAsia" w:ascii="宋体" w:hAnsi="宋体"/>
                <w:color w:val="auto"/>
                <w:szCs w:val="21"/>
                <w:highlight w:val="none"/>
                <w:lang w:val="en-US" w:eastAsia="zh-CN"/>
              </w:rPr>
              <w:t>人</w:t>
            </w:r>
            <w:r>
              <w:rPr>
                <w:rFonts w:hint="eastAsia" w:ascii="宋体" w:hAnsi="宋体"/>
                <w:color w:val="auto"/>
                <w:szCs w:val="21"/>
                <w:highlight w:val="none"/>
              </w:rPr>
              <w:t>须严格遵守采购人保密制度要求，在项目开展过程中，对本项目所有项目信息以及接触到数据予以保密，未经采购人书面允许，不得以任何形式向第三方透露本项目的任何内容。</w:t>
            </w:r>
          </w:p>
        </w:tc>
      </w:tr>
      <w:tr w14:paraId="5C18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07BD63FD">
            <w:pPr>
              <w:spacing w:line="360" w:lineRule="exact"/>
              <w:jc w:val="center"/>
              <w:rPr>
                <w:rFonts w:hint="eastAsia" w:ascii="宋体" w:hAnsi="宋体" w:eastAsia="宋体"/>
                <w:color w:val="000000"/>
                <w:szCs w:val="21"/>
              </w:rPr>
            </w:pPr>
            <w:r>
              <w:rPr>
                <w:rFonts w:hint="eastAsia" w:ascii="宋体" w:hAnsi="宋体" w:eastAsia="宋体"/>
                <w:color w:val="000000"/>
                <w:szCs w:val="21"/>
              </w:rPr>
              <w:t>其他说明</w:t>
            </w:r>
          </w:p>
        </w:tc>
        <w:tc>
          <w:tcPr>
            <w:tcW w:w="8999" w:type="dxa"/>
            <w:gridSpan w:val="4"/>
            <w:tcBorders>
              <w:top w:val="single" w:color="auto" w:sz="4" w:space="0"/>
              <w:left w:val="single" w:color="auto" w:sz="4" w:space="0"/>
              <w:bottom w:val="single" w:color="auto" w:sz="4" w:space="0"/>
              <w:right w:val="single" w:color="auto" w:sz="4" w:space="0"/>
            </w:tcBorders>
            <w:noWrap w:val="0"/>
            <w:vAlign w:val="center"/>
          </w:tcPr>
          <w:p w14:paraId="17702249">
            <w:pPr>
              <w:widowControl/>
              <w:spacing w:line="360" w:lineRule="exact"/>
              <w:jc w:val="left"/>
              <w:rPr>
                <w:rFonts w:ascii="宋体" w:hAnsi="宋体" w:eastAsia="宋体"/>
                <w:b/>
                <w:bCs/>
                <w:color w:val="000000"/>
                <w:kern w:val="0"/>
                <w:szCs w:val="21"/>
              </w:rPr>
            </w:pPr>
            <w:r>
              <w:rPr>
                <w:rFonts w:hint="eastAsia" w:ascii="宋体" w:hAnsi="宋体"/>
                <w:b/>
                <w:bCs/>
                <w:color w:val="000000"/>
                <w:kern w:val="0"/>
                <w:szCs w:val="21"/>
                <w:lang w:val="en-US" w:eastAsia="zh-CN"/>
              </w:rPr>
              <w:t>一、</w:t>
            </w:r>
            <w:r>
              <w:rPr>
                <w:rFonts w:hint="eastAsia" w:ascii="宋体" w:hAnsi="宋体" w:eastAsia="宋体"/>
                <w:b/>
                <w:bCs/>
                <w:color w:val="000000"/>
                <w:kern w:val="0"/>
                <w:szCs w:val="21"/>
              </w:rPr>
              <w:t>本项目采购标的对应的中小企业划分标准所属行业：其它未列明行业。</w:t>
            </w:r>
          </w:p>
          <w:p w14:paraId="23FBBE7D">
            <w:pPr>
              <w:widowControl/>
              <w:spacing w:line="360" w:lineRule="exact"/>
              <w:jc w:val="left"/>
              <w:rPr>
                <w:rFonts w:hint="eastAsia" w:ascii="宋体" w:hAnsi="宋体" w:eastAsia="宋体"/>
                <w:color w:val="000000"/>
                <w:kern w:val="0"/>
                <w:szCs w:val="21"/>
              </w:rPr>
            </w:pPr>
            <w:r>
              <w:rPr>
                <w:rFonts w:hint="eastAsia" w:ascii="宋体" w:hAnsi="宋体"/>
                <w:color w:val="000000"/>
                <w:szCs w:val="21"/>
                <w:lang w:val="en-US" w:eastAsia="zh-CN"/>
              </w:rPr>
              <w:t>二</w:t>
            </w:r>
            <w:r>
              <w:rPr>
                <w:rFonts w:hint="eastAsia" w:ascii="宋体" w:hAnsi="宋体" w:eastAsia="宋体"/>
                <w:color w:val="000000"/>
                <w:szCs w:val="21"/>
              </w:rPr>
              <w:t>、</w:t>
            </w:r>
            <w:r>
              <w:rPr>
                <w:rFonts w:ascii="宋体" w:hAnsi="宋体" w:eastAsia="宋体"/>
                <w:color w:val="000000"/>
                <w:szCs w:val="21"/>
              </w:rPr>
              <w:t>本项目合同文本中的条款如与项目需求不一致的，以采购文件项目需求表、</w:t>
            </w:r>
            <w:r>
              <w:rPr>
                <w:rFonts w:hint="eastAsia" w:ascii="宋体" w:hAnsi="宋体"/>
                <w:color w:val="000000"/>
                <w:szCs w:val="21"/>
                <w:lang w:val="en-US" w:eastAsia="zh-CN"/>
              </w:rPr>
              <w:t>中标人</w:t>
            </w:r>
            <w:r>
              <w:rPr>
                <w:rFonts w:ascii="宋体" w:hAnsi="宋体" w:eastAsia="宋体"/>
                <w:color w:val="000000"/>
                <w:szCs w:val="21"/>
              </w:rPr>
              <w:t>响应条款为准。</w:t>
            </w:r>
          </w:p>
        </w:tc>
      </w:tr>
    </w:tbl>
    <w:p w14:paraId="4A88F344">
      <w:r>
        <w:br w:type="page"/>
      </w:r>
    </w:p>
    <w:p w14:paraId="05FD0F85">
      <w:pPr>
        <w:spacing w:line="420" w:lineRule="exact"/>
        <w:ind w:firstLine="640" w:firstLineChars="200"/>
        <w:rPr>
          <w:rFonts w:ascii="仿宋" w:hAnsi="仿宋" w:eastAsia="仿宋" w:cs="Arial Unicode MS"/>
          <w:sz w:val="17"/>
          <w:szCs w:val="17"/>
        </w:rPr>
      </w:pPr>
      <w:r>
        <w:rPr>
          <w:rFonts w:hint="eastAsia" w:ascii="仿宋" w:hAnsi="仿宋" w:eastAsia="仿宋" w:cs="宋体"/>
          <w:sz w:val="32"/>
          <w:szCs w:val="32"/>
        </w:rPr>
        <w:t>附件</w:t>
      </w:r>
      <w:r>
        <w:rPr>
          <w:rFonts w:hint="eastAsia" w:ascii="仿宋" w:hAnsi="仿宋" w:eastAsia="仿宋" w:cs="Arial Unicode MS"/>
          <w:sz w:val="32"/>
          <w:szCs w:val="32"/>
        </w:rPr>
        <w:t>1</w:t>
      </w:r>
      <w:r>
        <w:rPr>
          <w:rFonts w:hint="eastAsia" w:ascii="仿宋" w:hAnsi="仿宋" w:eastAsia="仿宋" w:cs="宋体"/>
          <w:sz w:val="32"/>
          <w:szCs w:val="32"/>
        </w:rPr>
        <w:t>：</w:t>
      </w:r>
    </w:p>
    <w:p w14:paraId="3C503C59">
      <w:pPr>
        <w:spacing w:line="528" w:lineRule="exact"/>
        <w:ind w:left="1871"/>
        <w:rPr>
          <w:rFonts w:ascii="仿宋" w:hAnsi="仿宋" w:eastAsia="仿宋" w:cs="Arial Unicode MS"/>
          <w:sz w:val="40"/>
          <w:szCs w:val="40"/>
        </w:rPr>
      </w:pPr>
      <w:r>
        <w:rPr>
          <w:rFonts w:hint="eastAsia" w:ascii="仿宋" w:hAnsi="仿宋" w:eastAsia="仿宋" w:cs="Arial Unicode MS"/>
          <w:sz w:val="40"/>
          <w:szCs w:val="40"/>
        </w:rPr>
        <w:t>节能产品政府采购品目清单</w:t>
      </w:r>
    </w:p>
    <w:tbl>
      <w:tblPr>
        <w:tblStyle w:val="35"/>
        <w:tblW w:w="9220" w:type="dxa"/>
        <w:tblInd w:w="93" w:type="dxa"/>
        <w:tblLayout w:type="fixed"/>
        <w:tblCellMar>
          <w:top w:w="0" w:type="dxa"/>
          <w:left w:w="108" w:type="dxa"/>
          <w:bottom w:w="0" w:type="dxa"/>
          <w:right w:w="108" w:type="dxa"/>
        </w:tblCellMar>
      </w:tblPr>
      <w:tblGrid>
        <w:gridCol w:w="641"/>
        <w:gridCol w:w="1116"/>
        <w:gridCol w:w="1516"/>
        <w:gridCol w:w="1612"/>
        <w:gridCol w:w="4335"/>
      </w:tblGrid>
      <w:tr w14:paraId="02A5E8A7">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tcPr>
          <w:p w14:paraId="2447462A">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14:paraId="0B973DFA">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14:paraId="610AFD76">
            <w:pPr>
              <w:widowControl/>
              <w:jc w:val="center"/>
              <w:rPr>
                <w:rFonts w:ascii="仿宋" w:hAnsi="仿宋" w:eastAsia="仿宋" w:cs="宋体"/>
                <w:b/>
                <w:bCs/>
                <w:kern w:val="0"/>
                <w:sz w:val="22"/>
                <w:szCs w:val="22"/>
              </w:rPr>
            </w:pPr>
            <w:r>
              <w:rPr>
                <w:rFonts w:hint="eastAsia" w:ascii="仿宋" w:hAnsi="仿宋" w:eastAsia="仿宋" w:cs="宋体"/>
                <w:b/>
                <w:bCs/>
                <w:kern w:val="0"/>
                <w:sz w:val="22"/>
                <w:szCs w:val="22"/>
              </w:rPr>
              <w:t>依据的标准</w:t>
            </w:r>
          </w:p>
        </w:tc>
      </w:tr>
      <w:tr w14:paraId="15EDB476">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30A053D3">
            <w:pPr>
              <w:widowControl/>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14:paraId="280DC6A7">
            <w:pPr>
              <w:widowControl/>
              <w:jc w:val="center"/>
              <w:rPr>
                <w:rFonts w:ascii="仿宋" w:hAnsi="仿宋" w:eastAsia="仿宋" w:cs="宋体"/>
                <w:kern w:val="0"/>
                <w:sz w:val="20"/>
                <w:szCs w:val="20"/>
              </w:rPr>
            </w:pPr>
            <w:r>
              <w:rPr>
                <w:rFonts w:hint="eastAsia" w:ascii="仿宋" w:hAnsi="仿宋" w:eastAsia="仿宋"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14:paraId="3EB0885C">
            <w:pPr>
              <w:widowControl/>
              <w:jc w:val="center"/>
              <w:rPr>
                <w:rFonts w:ascii="仿宋" w:hAnsi="仿宋" w:eastAsia="仿宋" w:cs="宋体"/>
                <w:kern w:val="0"/>
                <w:sz w:val="20"/>
                <w:szCs w:val="20"/>
              </w:rPr>
            </w:pPr>
            <w:r>
              <w:rPr>
                <w:rFonts w:hint="eastAsia" w:ascii="仿宋" w:hAnsi="仿宋" w:eastAsia="仿宋"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14:paraId="26583EA8">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4104BA4C">
            <w:pPr>
              <w:widowControl/>
              <w:jc w:val="left"/>
              <w:rPr>
                <w:rFonts w:ascii="仿宋" w:hAnsi="仿宋" w:eastAsia="仿宋" w:cs="宋体"/>
                <w:kern w:val="0"/>
                <w:sz w:val="20"/>
                <w:szCs w:val="20"/>
              </w:rPr>
            </w:pPr>
            <w:r>
              <w:rPr>
                <w:rFonts w:hint="eastAsia" w:ascii="仿宋" w:hAnsi="仿宋" w:eastAsia="仿宋" w:cs="宋体"/>
                <w:kern w:val="0"/>
                <w:sz w:val="20"/>
                <w:szCs w:val="20"/>
              </w:rPr>
              <w:t>《微型计算机能效限定值及能效等级》（GB28380）</w:t>
            </w:r>
          </w:p>
        </w:tc>
      </w:tr>
      <w:tr w14:paraId="0A8A429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647B0B79">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899D414">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29FA2146">
            <w:pPr>
              <w:widowControl/>
              <w:jc w:val="center"/>
              <w:rPr>
                <w:rFonts w:ascii="仿宋" w:hAnsi="仿宋" w:eastAsia="仿宋" w:cs="宋体"/>
                <w:kern w:val="0"/>
                <w:sz w:val="20"/>
                <w:szCs w:val="20"/>
              </w:rPr>
            </w:pPr>
            <w:r>
              <w:rPr>
                <w:rFonts w:hint="eastAsia" w:ascii="仿宋" w:hAnsi="仿宋" w:eastAsia="仿宋"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14:paraId="2BB67294">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35A9F4E1">
            <w:pPr>
              <w:widowControl/>
              <w:jc w:val="left"/>
              <w:rPr>
                <w:rFonts w:ascii="仿宋" w:hAnsi="仿宋" w:eastAsia="仿宋" w:cs="宋体"/>
                <w:kern w:val="0"/>
                <w:sz w:val="20"/>
                <w:szCs w:val="20"/>
              </w:rPr>
            </w:pPr>
            <w:r>
              <w:rPr>
                <w:rFonts w:hint="eastAsia" w:ascii="仿宋" w:hAnsi="仿宋" w:eastAsia="仿宋" w:cs="宋体"/>
                <w:kern w:val="0"/>
                <w:sz w:val="20"/>
                <w:szCs w:val="20"/>
              </w:rPr>
              <w:t>《微型计算机能效限定值及能效等级》（GB28380）</w:t>
            </w:r>
          </w:p>
        </w:tc>
      </w:tr>
      <w:tr w14:paraId="3CDC9E5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7C808164">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9511306">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646E9450">
            <w:pPr>
              <w:widowControl/>
              <w:jc w:val="center"/>
              <w:rPr>
                <w:rFonts w:ascii="仿宋" w:hAnsi="仿宋" w:eastAsia="仿宋" w:cs="宋体"/>
                <w:kern w:val="0"/>
                <w:sz w:val="20"/>
                <w:szCs w:val="20"/>
              </w:rPr>
            </w:pPr>
            <w:r>
              <w:rPr>
                <w:rFonts w:hint="eastAsia" w:ascii="仿宋" w:hAnsi="仿宋" w:eastAsia="仿宋"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14:paraId="6EB4DD94">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23A268A9">
            <w:pPr>
              <w:widowControl/>
              <w:jc w:val="left"/>
              <w:rPr>
                <w:rFonts w:ascii="仿宋" w:hAnsi="仿宋" w:eastAsia="仿宋" w:cs="宋体"/>
                <w:kern w:val="0"/>
                <w:sz w:val="20"/>
                <w:szCs w:val="20"/>
              </w:rPr>
            </w:pPr>
            <w:r>
              <w:rPr>
                <w:rFonts w:hint="eastAsia" w:ascii="仿宋" w:hAnsi="仿宋" w:eastAsia="仿宋" w:cs="宋体"/>
                <w:kern w:val="0"/>
                <w:sz w:val="20"/>
                <w:szCs w:val="20"/>
              </w:rPr>
              <w:t>《微型计算机能效限定值及能效等级》（GB28380）</w:t>
            </w:r>
          </w:p>
        </w:tc>
      </w:tr>
      <w:tr w14:paraId="10F7CDE4">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52A63685">
            <w:pPr>
              <w:widowControl/>
              <w:jc w:val="center"/>
              <w:rPr>
                <w:rFonts w:ascii="仿宋" w:hAnsi="仿宋" w:eastAsia="仿宋" w:cs="宋体"/>
                <w:kern w:val="0"/>
                <w:sz w:val="20"/>
                <w:szCs w:val="20"/>
              </w:rPr>
            </w:pPr>
            <w:r>
              <w:rPr>
                <w:rFonts w:hint="eastAsia" w:ascii="仿宋" w:hAnsi="仿宋" w:eastAsia="仿宋"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14:paraId="490FFAF9">
            <w:pPr>
              <w:widowControl/>
              <w:jc w:val="center"/>
              <w:rPr>
                <w:rFonts w:ascii="仿宋" w:hAnsi="仿宋" w:eastAsia="仿宋" w:cs="宋体"/>
                <w:kern w:val="0"/>
                <w:sz w:val="20"/>
                <w:szCs w:val="20"/>
              </w:rPr>
            </w:pPr>
            <w:r>
              <w:rPr>
                <w:rFonts w:hint="eastAsia" w:ascii="仿宋" w:hAnsi="仿宋" w:eastAsia="仿宋"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14:paraId="1FAC0EA4">
            <w:pPr>
              <w:widowControl/>
              <w:jc w:val="center"/>
              <w:rPr>
                <w:rFonts w:ascii="仿宋" w:hAnsi="仿宋" w:eastAsia="仿宋" w:cs="宋体"/>
                <w:kern w:val="0"/>
                <w:sz w:val="20"/>
                <w:szCs w:val="20"/>
              </w:rPr>
            </w:pPr>
            <w:r>
              <w:rPr>
                <w:rFonts w:hint="eastAsia" w:ascii="仿宋" w:hAnsi="仿宋" w:eastAsia="仿宋"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14:paraId="469EECF0">
            <w:pPr>
              <w:widowControl/>
              <w:jc w:val="center"/>
              <w:rPr>
                <w:rFonts w:ascii="仿宋" w:hAnsi="仿宋" w:eastAsia="仿宋" w:cs="宋体"/>
                <w:kern w:val="0"/>
                <w:sz w:val="20"/>
                <w:szCs w:val="20"/>
              </w:rPr>
            </w:pPr>
            <w:r>
              <w:rPr>
                <w:rFonts w:hint="eastAsia" w:ascii="仿宋" w:hAnsi="仿宋" w:eastAsia="仿宋"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14:paraId="5903B351">
            <w:pPr>
              <w:widowControl/>
              <w:jc w:val="left"/>
              <w:rPr>
                <w:rFonts w:ascii="仿宋" w:hAnsi="仿宋" w:eastAsia="仿宋" w:cs="宋体"/>
                <w:kern w:val="0"/>
                <w:sz w:val="20"/>
                <w:szCs w:val="20"/>
              </w:rPr>
            </w:pPr>
            <w:r>
              <w:rPr>
                <w:rFonts w:hint="eastAsia" w:ascii="仿宋" w:hAnsi="仿宋" w:eastAsia="仿宋" w:cs="宋体"/>
                <w:kern w:val="0"/>
                <w:sz w:val="20"/>
                <w:szCs w:val="20"/>
              </w:rPr>
              <w:t>《复印机、打印机和传真机能效限定值及能效等级》（GB21521）</w:t>
            </w:r>
          </w:p>
        </w:tc>
      </w:tr>
      <w:tr w14:paraId="61730876">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0924C169">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0D6EAF1">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2CE6BE6">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19A4A46A">
            <w:pPr>
              <w:widowControl/>
              <w:jc w:val="center"/>
              <w:rPr>
                <w:rFonts w:ascii="仿宋" w:hAnsi="仿宋" w:eastAsia="仿宋" w:cs="宋体"/>
                <w:kern w:val="0"/>
                <w:sz w:val="20"/>
                <w:szCs w:val="20"/>
              </w:rPr>
            </w:pPr>
            <w:r>
              <w:rPr>
                <w:rFonts w:hint="eastAsia" w:ascii="仿宋" w:hAnsi="仿宋" w:eastAsia="仿宋"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14:paraId="4AE32F48">
            <w:pPr>
              <w:widowControl/>
              <w:jc w:val="left"/>
              <w:rPr>
                <w:rFonts w:ascii="仿宋" w:hAnsi="仿宋" w:eastAsia="仿宋" w:cs="宋体"/>
                <w:kern w:val="0"/>
                <w:sz w:val="20"/>
                <w:szCs w:val="20"/>
              </w:rPr>
            </w:pPr>
            <w:r>
              <w:rPr>
                <w:rFonts w:hint="eastAsia" w:ascii="仿宋" w:hAnsi="仿宋" w:eastAsia="仿宋" w:cs="宋体"/>
                <w:kern w:val="0"/>
                <w:sz w:val="20"/>
                <w:szCs w:val="20"/>
              </w:rPr>
              <w:t>《复印机、打印机和传真机能效限定值及能效等级》（GB21521）</w:t>
            </w:r>
          </w:p>
        </w:tc>
      </w:tr>
      <w:tr w14:paraId="2AD6F27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0952B9BA">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747C322">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D074282">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2FBA3308">
            <w:pPr>
              <w:widowControl/>
              <w:jc w:val="center"/>
              <w:rPr>
                <w:rFonts w:ascii="仿宋" w:hAnsi="仿宋" w:eastAsia="仿宋" w:cs="宋体"/>
                <w:kern w:val="0"/>
                <w:sz w:val="20"/>
                <w:szCs w:val="20"/>
              </w:rPr>
            </w:pPr>
            <w:r>
              <w:rPr>
                <w:rFonts w:hint="eastAsia" w:ascii="仿宋" w:hAnsi="仿宋" w:eastAsia="仿宋"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14:paraId="62283F90">
            <w:pPr>
              <w:widowControl/>
              <w:jc w:val="left"/>
              <w:rPr>
                <w:rFonts w:ascii="仿宋" w:hAnsi="仿宋" w:eastAsia="仿宋" w:cs="宋体"/>
                <w:kern w:val="0"/>
                <w:sz w:val="20"/>
                <w:szCs w:val="20"/>
              </w:rPr>
            </w:pPr>
            <w:r>
              <w:rPr>
                <w:rFonts w:hint="eastAsia" w:ascii="仿宋" w:hAnsi="仿宋" w:eastAsia="仿宋" w:cs="宋体"/>
                <w:kern w:val="0"/>
                <w:sz w:val="20"/>
                <w:szCs w:val="20"/>
              </w:rPr>
              <w:t>《复印机、打印机和传真机能效限定值及能效等级》（GB21521）</w:t>
            </w:r>
          </w:p>
        </w:tc>
      </w:tr>
      <w:tr w14:paraId="719FB3D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630A0958">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A505C3E">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0019C8DA">
            <w:pPr>
              <w:widowControl/>
              <w:jc w:val="center"/>
              <w:rPr>
                <w:rFonts w:ascii="仿宋" w:hAnsi="仿宋" w:eastAsia="仿宋" w:cs="宋体"/>
                <w:kern w:val="0"/>
                <w:sz w:val="20"/>
                <w:szCs w:val="20"/>
              </w:rPr>
            </w:pPr>
            <w:r>
              <w:rPr>
                <w:rFonts w:hint="eastAsia" w:ascii="仿宋" w:hAnsi="仿宋" w:eastAsia="仿宋"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14:paraId="35683842">
            <w:pPr>
              <w:widowControl/>
              <w:jc w:val="center"/>
              <w:rPr>
                <w:rFonts w:ascii="仿宋" w:hAnsi="仿宋" w:eastAsia="仿宋" w:cs="宋体"/>
                <w:kern w:val="0"/>
                <w:sz w:val="20"/>
                <w:szCs w:val="20"/>
              </w:rPr>
            </w:pPr>
            <w:r>
              <w:rPr>
                <w:rFonts w:hint="eastAsia" w:ascii="仿宋" w:hAnsi="仿宋" w:eastAsia="仿宋" w:cs="宋体"/>
                <w:kern w:val="0"/>
                <w:sz w:val="20"/>
                <w:szCs w:val="20"/>
              </w:rPr>
              <w:t>★A0201060401液晶显示器</w:t>
            </w:r>
          </w:p>
        </w:tc>
        <w:tc>
          <w:tcPr>
            <w:tcW w:w="4335" w:type="dxa"/>
            <w:tcBorders>
              <w:top w:val="nil"/>
              <w:left w:val="nil"/>
              <w:bottom w:val="single" w:color="000000" w:sz="8" w:space="0"/>
              <w:right w:val="single" w:color="000000" w:sz="8" w:space="0"/>
            </w:tcBorders>
            <w:vAlign w:val="center"/>
          </w:tcPr>
          <w:p w14:paraId="426B2715">
            <w:pPr>
              <w:widowControl/>
              <w:jc w:val="left"/>
              <w:rPr>
                <w:rFonts w:ascii="仿宋" w:hAnsi="仿宋" w:eastAsia="仿宋" w:cs="宋体"/>
                <w:kern w:val="0"/>
                <w:sz w:val="20"/>
                <w:szCs w:val="20"/>
              </w:rPr>
            </w:pPr>
            <w:r>
              <w:rPr>
                <w:rFonts w:hint="eastAsia" w:ascii="仿宋" w:hAnsi="仿宋" w:eastAsia="仿宋" w:cs="宋体"/>
                <w:kern w:val="0"/>
                <w:sz w:val="20"/>
                <w:szCs w:val="20"/>
              </w:rPr>
              <w:t>《计算机显示器能效限定值及能效等级》（GB21520）</w:t>
            </w:r>
          </w:p>
        </w:tc>
      </w:tr>
      <w:tr w14:paraId="6DAAD5AC">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vAlign w:val="center"/>
          </w:tcPr>
          <w:p w14:paraId="640E0544">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B31FCDA">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17BADCD7">
            <w:pPr>
              <w:widowControl/>
              <w:jc w:val="center"/>
              <w:rPr>
                <w:rFonts w:ascii="仿宋" w:hAnsi="仿宋" w:eastAsia="仿宋" w:cs="宋体"/>
                <w:kern w:val="0"/>
                <w:sz w:val="20"/>
                <w:szCs w:val="20"/>
              </w:rPr>
            </w:pPr>
            <w:r>
              <w:rPr>
                <w:rFonts w:hint="eastAsia" w:ascii="仿宋" w:hAnsi="仿宋" w:eastAsia="仿宋"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14:paraId="29E73F0C">
            <w:pPr>
              <w:widowControl/>
              <w:jc w:val="center"/>
              <w:rPr>
                <w:rFonts w:ascii="仿宋" w:hAnsi="仿宋" w:eastAsia="仿宋" w:cs="宋体"/>
                <w:kern w:val="0"/>
                <w:sz w:val="20"/>
                <w:szCs w:val="20"/>
              </w:rPr>
            </w:pPr>
            <w:r>
              <w:rPr>
                <w:rFonts w:hint="eastAsia" w:ascii="仿宋" w:hAnsi="仿宋" w:eastAsia="仿宋"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14:paraId="0885F08E">
            <w:pPr>
              <w:widowControl/>
              <w:jc w:val="left"/>
              <w:rPr>
                <w:rFonts w:ascii="仿宋" w:hAnsi="仿宋" w:eastAsia="仿宋" w:cs="宋体"/>
                <w:kern w:val="0"/>
                <w:sz w:val="20"/>
                <w:szCs w:val="20"/>
              </w:rPr>
            </w:pPr>
            <w:r>
              <w:rPr>
                <w:rFonts w:hint="eastAsia" w:ascii="仿宋" w:hAnsi="仿宋" w:eastAsia="仿宋" w:cs="宋体"/>
                <w:kern w:val="0"/>
                <w:sz w:val="20"/>
                <w:szCs w:val="20"/>
              </w:rPr>
              <w:t>参照《复印机、打印机和传真机能效限定值及能效等级》（GB21521中打印速度为15页/分的针式打印机相关要求中打印速度为15页/分的针式打印机相关要求</w:t>
            </w:r>
          </w:p>
        </w:tc>
      </w:tr>
      <w:tr w14:paraId="02CAAD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E11804C">
            <w:pPr>
              <w:widowControl/>
              <w:jc w:val="center"/>
              <w:rPr>
                <w:rFonts w:ascii="仿宋" w:hAnsi="仿宋" w:eastAsia="仿宋" w:cs="宋体"/>
                <w:kern w:val="0"/>
                <w:sz w:val="20"/>
                <w:szCs w:val="20"/>
              </w:rPr>
            </w:pPr>
            <w:r>
              <w:rPr>
                <w:rFonts w:hint="eastAsia" w:ascii="仿宋" w:hAnsi="仿宋" w:eastAsia="仿宋" w:cs="宋体"/>
                <w:kern w:val="0"/>
                <w:sz w:val="20"/>
                <w:szCs w:val="20"/>
              </w:rPr>
              <w:t>3</w:t>
            </w:r>
          </w:p>
        </w:tc>
        <w:tc>
          <w:tcPr>
            <w:tcW w:w="1116" w:type="dxa"/>
            <w:tcBorders>
              <w:top w:val="nil"/>
              <w:left w:val="nil"/>
              <w:bottom w:val="single" w:color="000000" w:sz="8" w:space="0"/>
              <w:right w:val="single" w:color="000000" w:sz="8" w:space="0"/>
            </w:tcBorders>
            <w:vAlign w:val="center"/>
          </w:tcPr>
          <w:p w14:paraId="749D0209">
            <w:pPr>
              <w:widowControl/>
              <w:jc w:val="center"/>
              <w:rPr>
                <w:rFonts w:ascii="仿宋" w:hAnsi="仿宋" w:eastAsia="仿宋" w:cs="宋体"/>
                <w:kern w:val="0"/>
                <w:sz w:val="20"/>
                <w:szCs w:val="20"/>
              </w:rPr>
            </w:pPr>
            <w:r>
              <w:rPr>
                <w:rFonts w:hint="eastAsia" w:ascii="仿宋" w:hAnsi="仿宋" w:eastAsia="仿宋"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14:paraId="3DE7EC56">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693790FD">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4AFB0914">
            <w:pPr>
              <w:widowControl/>
              <w:jc w:val="left"/>
              <w:rPr>
                <w:rFonts w:ascii="仿宋" w:hAnsi="仿宋" w:eastAsia="仿宋" w:cs="宋体"/>
                <w:kern w:val="0"/>
                <w:sz w:val="20"/>
                <w:szCs w:val="20"/>
              </w:rPr>
            </w:pPr>
            <w:r>
              <w:rPr>
                <w:rFonts w:hint="eastAsia" w:ascii="仿宋" w:hAnsi="仿宋" w:eastAsia="仿宋" w:cs="宋体"/>
                <w:kern w:val="0"/>
                <w:sz w:val="20"/>
                <w:szCs w:val="20"/>
              </w:rPr>
              <w:t>《投影机能效限定值及能效等级》（GB32028）</w:t>
            </w:r>
          </w:p>
        </w:tc>
      </w:tr>
      <w:tr w14:paraId="2FCB9D2F">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0CA8F523">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1116" w:type="dxa"/>
            <w:tcBorders>
              <w:top w:val="nil"/>
              <w:left w:val="nil"/>
              <w:bottom w:val="single" w:color="000000" w:sz="8" w:space="0"/>
              <w:right w:val="single" w:color="000000" w:sz="8" w:space="0"/>
            </w:tcBorders>
            <w:vAlign w:val="center"/>
          </w:tcPr>
          <w:p w14:paraId="7DE08300">
            <w:pPr>
              <w:widowControl/>
              <w:jc w:val="center"/>
              <w:rPr>
                <w:rFonts w:ascii="仿宋" w:hAnsi="仿宋" w:eastAsia="仿宋" w:cs="宋体"/>
                <w:kern w:val="0"/>
                <w:sz w:val="20"/>
                <w:szCs w:val="20"/>
              </w:rPr>
            </w:pPr>
            <w:r>
              <w:rPr>
                <w:rFonts w:hint="eastAsia" w:ascii="仿宋" w:hAnsi="仿宋" w:eastAsia="仿宋"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14:paraId="368C42BA">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27D74DCE">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780E429">
            <w:pPr>
              <w:widowControl/>
              <w:jc w:val="left"/>
              <w:rPr>
                <w:rFonts w:ascii="仿宋" w:hAnsi="仿宋" w:eastAsia="仿宋" w:cs="宋体"/>
                <w:kern w:val="0"/>
                <w:sz w:val="20"/>
                <w:szCs w:val="20"/>
              </w:rPr>
            </w:pPr>
            <w:r>
              <w:rPr>
                <w:rFonts w:hint="eastAsia" w:ascii="仿宋" w:hAnsi="仿宋" w:eastAsia="仿宋" w:cs="宋体"/>
                <w:kern w:val="0"/>
                <w:sz w:val="20"/>
                <w:szCs w:val="20"/>
              </w:rPr>
              <w:t>《复印机、打印机和传真机能效限定值及能效等级》（GB21521）</w:t>
            </w:r>
          </w:p>
        </w:tc>
      </w:tr>
      <w:tr w14:paraId="13AFA6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4249332E">
            <w:pPr>
              <w:widowControl/>
              <w:jc w:val="center"/>
              <w:rPr>
                <w:rFonts w:ascii="仿宋" w:hAnsi="仿宋" w:eastAsia="仿宋" w:cs="宋体"/>
                <w:kern w:val="0"/>
                <w:sz w:val="20"/>
                <w:szCs w:val="20"/>
              </w:rPr>
            </w:pPr>
            <w:r>
              <w:rPr>
                <w:rFonts w:hint="eastAsia" w:ascii="仿宋" w:hAnsi="仿宋" w:eastAsia="仿宋" w:cs="宋体"/>
                <w:kern w:val="0"/>
                <w:sz w:val="20"/>
                <w:szCs w:val="20"/>
              </w:rPr>
              <w:t>5</w:t>
            </w:r>
          </w:p>
        </w:tc>
        <w:tc>
          <w:tcPr>
            <w:tcW w:w="1116" w:type="dxa"/>
            <w:tcBorders>
              <w:top w:val="nil"/>
              <w:left w:val="nil"/>
              <w:bottom w:val="single" w:color="000000" w:sz="8" w:space="0"/>
              <w:right w:val="single" w:color="000000" w:sz="8" w:space="0"/>
            </w:tcBorders>
            <w:vAlign w:val="center"/>
          </w:tcPr>
          <w:p w14:paraId="5DA7405F">
            <w:pPr>
              <w:widowControl/>
              <w:jc w:val="center"/>
              <w:rPr>
                <w:rFonts w:ascii="仿宋" w:hAnsi="仿宋" w:eastAsia="仿宋" w:cs="宋体"/>
                <w:kern w:val="0"/>
                <w:sz w:val="20"/>
                <w:szCs w:val="20"/>
              </w:rPr>
            </w:pPr>
            <w:r>
              <w:rPr>
                <w:rFonts w:hint="eastAsia" w:ascii="仿宋" w:hAnsi="仿宋" w:eastAsia="仿宋" w:cs="宋体"/>
                <w:kern w:val="0"/>
                <w:sz w:val="20"/>
                <w:szCs w:val="20"/>
              </w:rPr>
              <w:t>A020519泵</w:t>
            </w:r>
          </w:p>
        </w:tc>
        <w:tc>
          <w:tcPr>
            <w:tcW w:w="1516" w:type="dxa"/>
            <w:tcBorders>
              <w:top w:val="nil"/>
              <w:left w:val="nil"/>
              <w:bottom w:val="single" w:color="000000" w:sz="8" w:space="0"/>
              <w:right w:val="single" w:color="000000" w:sz="8" w:space="0"/>
            </w:tcBorders>
            <w:vAlign w:val="center"/>
          </w:tcPr>
          <w:p w14:paraId="1DA175C3">
            <w:pPr>
              <w:widowControl/>
              <w:jc w:val="center"/>
              <w:rPr>
                <w:rFonts w:ascii="仿宋" w:hAnsi="仿宋" w:eastAsia="仿宋" w:cs="宋体"/>
                <w:kern w:val="0"/>
                <w:sz w:val="20"/>
                <w:szCs w:val="20"/>
              </w:rPr>
            </w:pPr>
            <w:r>
              <w:rPr>
                <w:rFonts w:hint="eastAsia" w:ascii="仿宋" w:hAnsi="仿宋" w:eastAsia="仿宋"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14:paraId="76E47B53">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90DA426">
            <w:pPr>
              <w:widowControl/>
              <w:jc w:val="left"/>
              <w:rPr>
                <w:rFonts w:ascii="仿宋" w:hAnsi="仿宋" w:eastAsia="仿宋" w:cs="宋体"/>
                <w:kern w:val="0"/>
                <w:sz w:val="20"/>
                <w:szCs w:val="20"/>
              </w:rPr>
            </w:pPr>
            <w:r>
              <w:rPr>
                <w:rFonts w:hint="eastAsia" w:ascii="仿宋" w:hAnsi="仿宋" w:eastAsia="仿宋" w:cs="宋体"/>
                <w:kern w:val="0"/>
                <w:sz w:val="20"/>
                <w:szCs w:val="20"/>
              </w:rPr>
              <w:t>《清水离心泵能效限定值及节能评价值》（GB19762）</w:t>
            </w:r>
          </w:p>
        </w:tc>
      </w:tr>
      <w:tr w14:paraId="13D2CDD3">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vAlign w:val="center"/>
          </w:tcPr>
          <w:p w14:paraId="4CBF8093">
            <w:pPr>
              <w:widowControl/>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14:paraId="09A1797B">
            <w:pPr>
              <w:widowControl/>
              <w:jc w:val="center"/>
              <w:rPr>
                <w:rFonts w:ascii="仿宋" w:hAnsi="仿宋" w:eastAsia="仿宋" w:cs="宋体"/>
                <w:kern w:val="0"/>
                <w:sz w:val="20"/>
                <w:szCs w:val="20"/>
              </w:rPr>
            </w:pPr>
            <w:r>
              <w:rPr>
                <w:rFonts w:hint="eastAsia" w:ascii="仿宋" w:hAnsi="仿宋" w:eastAsia="仿宋"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14:paraId="6B2C61EC">
            <w:pPr>
              <w:widowControl/>
              <w:jc w:val="center"/>
              <w:rPr>
                <w:rFonts w:ascii="仿宋" w:hAnsi="仿宋" w:eastAsia="仿宋" w:cs="宋体"/>
                <w:kern w:val="0"/>
                <w:sz w:val="20"/>
                <w:szCs w:val="20"/>
              </w:rPr>
            </w:pPr>
            <w:r>
              <w:rPr>
                <w:rFonts w:hint="eastAsia" w:ascii="仿宋" w:hAnsi="仿宋" w:eastAsia="仿宋"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14:paraId="6A396F10">
            <w:pPr>
              <w:widowControl/>
              <w:jc w:val="center"/>
              <w:rPr>
                <w:rFonts w:ascii="仿宋" w:hAnsi="仿宋" w:eastAsia="仿宋" w:cs="宋体"/>
                <w:kern w:val="0"/>
                <w:sz w:val="20"/>
                <w:szCs w:val="20"/>
              </w:rPr>
            </w:pPr>
            <w:r>
              <w:rPr>
                <w:rFonts w:hint="eastAsia" w:ascii="仿宋" w:hAnsi="仿宋" w:eastAsia="仿宋" w:cs="宋体"/>
                <w:kern w:val="0"/>
                <w:sz w:val="20"/>
                <w:szCs w:val="20"/>
              </w:rPr>
              <w:t>冷水机组</w:t>
            </w:r>
          </w:p>
        </w:tc>
        <w:tc>
          <w:tcPr>
            <w:tcW w:w="4335" w:type="dxa"/>
            <w:tcBorders>
              <w:top w:val="nil"/>
              <w:left w:val="nil"/>
              <w:bottom w:val="single" w:color="000000" w:sz="8" w:space="0"/>
              <w:right w:val="single" w:color="000000" w:sz="8" w:space="0"/>
            </w:tcBorders>
            <w:vAlign w:val="center"/>
          </w:tcPr>
          <w:p w14:paraId="34390E53">
            <w:pPr>
              <w:widowControl/>
              <w:jc w:val="left"/>
              <w:rPr>
                <w:rFonts w:ascii="仿宋" w:hAnsi="仿宋" w:eastAsia="仿宋" w:cs="宋体"/>
                <w:kern w:val="0"/>
                <w:sz w:val="20"/>
                <w:szCs w:val="20"/>
              </w:rPr>
            </w:pPr>
            <w:r>
              <w:rPr>
                <w:rFonts w:hint="eastAsia" w:ascii="仿宋" w:hAnsi="仿宋" w:eastAsia="仿宋" w:cs="宋体"/>
                <w:kern w:val="0"/>
                <w:sz w:val="20"/>
                <w:szCs w:val="20"/>
              </w:rPr>
              <w:t>《冷水机组能效限定值及能效等级》（GB19577），《低环境温度空气源热泵（冷水）机组能效限定值及能效等级》（GB37480）</w:t>
            </w:r>
          </w:p>
        </w:tc>
      </w:tr>
      <w:tr w14:paraId="78B6BC47">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317B4976">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0C7DE8A">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1421D66D">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5D1216CD">
            <w:pPr>
              <w:widowControl/>
              <w:jc w:val="center"/>
              <w:rPr>
                <w:rFonts w:ascii="仿宋" w:hAnsi="仿宋" w:eastAsia="仿宋" w:cs="宋体"/>
                <w:kern w:val="0"/>
                <w:sz w:val="20"/>
                <w:szCs w:val="20"/>
              </w:rPr>
            </w:pPr>
            <w:r>
              <w:rPr>
                <w:rFonts w:hint="eastAsia" w:ascii="仿宋" w:hAnsi="仿宋" w:eastAsia="仿宋"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14:paraId="2D085B34">
            <w:pPr>
              <w:widowControl/>
              <w:jc w:val="left"/>
              <w:rPr>
                <w:rFonts w:ascii="仿宋" w:hAnsi="仿宋" w:eastAsia="仿宋" w:cs="宋体"/>
                <w:kern w:val="0"/>
                <w:sz w:val="20"/>
                <w:szCs w:val="20"/>
              </w:rPr>
            </w:pPr>
            <w:r>
              <w:rPr>
                <w:rFonts w:hint="eastAsia" w:ascii="仿宋" w:hAnsi="仿宋" w:eastAsia="仿宋" w:cs="宋体"/>
                <w:kern w:val="0"/>
                <w:sz w:val="20"/>
                <w:szCs w:val="20"/>
              </w:rPr>
              <w:t>《水（地）源热泵机组能效限定值及能效等级》（GB30721）</w:t>
            </w:r>
          </w:p>
        </w:tc>
      </w:tr>
      <w:tr w14:paraId="4F9DE8B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31CD3A60">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EEFAB8D">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46DA1E2B">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402B1DDD">
            <w:pPr>
              <w:widowControl/>
              <w:jc w:val="center"/>
              <w:rPr>
                <w:rFonts w:ascii="仿宋" w:hAnsi="仿宋" w:eastAsia="仿宋" w:cs="宋体"/>
                <w:kern w:val="0"/>
                <w:sz w:val="20"/>
                <w:szCs w:val="20"/>
              </w:rPr>
            </w:pPr>
            <w:r>
              <w:rPr>
                <w:rFonts w:hint="eastAsia" w:ascii="仿宋" w:hAnsi="仿宋" w:eastAsia="仿宋"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14:paraId="23E7B68F">
            <w:pPr>
              <w:widowControl/>
              <w:jc w:val="left"/>
              <w:rPr>
                <w:rFonts w:ascii="仿宋" w:hAnsi="仿宋" w:eastAsia="仿宋" w:cs="宋体"/>
                <w:kern w:val="0"/>
                <w:sz w:val="20"/>
                <w:szCs w:val="20"/>
              </w:rPr>
            </w:pPr>
            <w:r>
              <w:rPr>
                <w:rFonts w:hint="eastAsia" w:ascii="仿宋" w:hAnsi="仿宋" w:eastAsia="仿宋" w:cs="宋体"/>
                <w:kern w:val="0"/>
                <w:sz w:val="20"/>
                <w:szCs w:val="20"/>
              </w:rPr>
              <w:t>《溴化锂吸收式冷水机组能效限定值及能效等级》（GB29540）</w:t>
            </w:r>
          </w:p>
        </w:tc>
      </w:tr>
      <w:tr w14:paraId="6A717DA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244725CF">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1FDB31B">
            <w:pPr>
              <w:widowControl/>
              <w:jc w:val="left"/>
              <w:rPr>
                <w:rFonts w:ascii="仿宋" w:hAnsi="仿宋" w:eastAsia="仿宋"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664CC5DD">
            <w:pPr>
              <w:widowControl/>
              <w:jc w:val="center"/>
              <w:rPr>
                <w:rFonts w:ascii="仿宋" w:hAnsi="仿宋" w:eastAsia="仿宋" w:cs="宋体"/>
                <w:kern w:val="0"/>
                <w:sz w:val="20"/>
                <w:szCs w:val="20"/>
              </w:rPr>
            </w:pPr>
            <w:r>
              <w:rPr>
                <w:rFonts w:hint="eastAsia" w:ascii="仿宋" w:hAnsi="仿宋" w:eastAsia="仿宋"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14:paraId="659CA326">
            <w:pPr>
              <w:widowControl/>
              <w:jc w:val="center"/>
              <w:rPr>
                <w:rFonts w:ascii="仿宋" w:hAnsi="仿宋" w:eastAsia="仿宋" w:cs="宋体"/>
                <w:kern w:val="0"/>
                <w:sz w:val="20"/>
                <w:szCs w:val="20"/>
              </w:rPr>
            </w:pPr>
            <w:r>
              <w:rPr>
                <w:rFonts w:hint="eastAsia" w:ascii="仿宋" w:hAnsi="仿宋" w:eastAsia="仿宋"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14:paraId="330B3AC7">
            <w:pPr>
              <w:widowControl/>
              <w:jc w:val="left"/>
              <w:rPr>
                <w:rFonts w:ascii="仿宋" w:hAnsi="仿宋" w:eastAsia="仿宋" w:cs="宋体"/>
                <w:kern w:val="0"/>
                <w:sz w:val="20"/>
                <w:szCs w:val="20"/>
              </w:rPr>
            </w:pPr>
            <w:r>
              <w:rPr>
                <w:rFonts w:hint="eastAsia" w:ascii="仿宋" w:hAnsi="仿宋" w:eastAsia="仿宋" w:cs="宋体"/>
                <w:kern w:val="0"/>
                <w:sz w:val="20"/>
                <w:szCs w:val="20"/>
              </w:rPr>
              <w:t>《多联式空调（热泵）机组能效限定值及能源效率等级》（GB21454）</w:t>
            </w:r>
          </w:p>
        </w:tc>
      </w:tr>
      <w:tr w14:paraId="369992A7">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5DC5E3F9">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34D77837">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45DEC4F">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3B67E2F2">
            <w:pPr>
              <w:widowControl/>
              <w:jc w:val="center"/>
              <w:rPr>
                <w:rFonts w:ascii="仿宋" w:hAnsi="仿宋" w:eastAsia="仿宋" w:cs="宋体"/>
                <w:kern w:val="0"/>
                <w:sz w:val="20"/>
                <w:szCs w:val="20"/>
              </w:rPr>
            </w:pPr>
            <w:r>
              <w:rPr>
                <w:rFonts w:hint="eastAsia" w:ascii="仿宋" w:hAnsi="仿宋" w:eastAsia="仿宋"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14:paraId="45677FC3">
            <w:pPr>
              <w:widowControl/>
              <w:jc w:val="left"/>
              <w:rPr>
                <w:rFonts w:ascii="仿宋" w:hAnsi="仿宋" w:eastAsia="仿宋" w:cs="宋体"/>
                <w:kern w:val="0"/>
                <w:sz w:val="20"/>
                <w:szCs w:val="20"/>
              </w:rPr>
            </w:pPr>
            <w:r>
              <w:rPr>
                <w:rFonts w:hint="eastAsia" w:ascii="仿宋" w:hAnsi="仿宋" w:eastAsia="仿宋" w:cs="宋体"/>
                <w:kern w:val="0"/>
                <w:sz w:val="20"/>
                <w:szCs w:val="20"/>
              </w:rPr>
              <w:t>《单元式空气调节机能效限定值及能效等级》（GB19576）《风管送风式空调机组能效限定值及能效等级》（GB37479）</w:t>
            </w:r>
          </w:p>
        </w:tc>
      </w:tr>
      <w:tr w14:paraId="53E1ACB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49FA5786">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130AC56">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4F85E9DA">
            <w:pPr>
              <w:widowControl/>
              <w:jc w:val="center"/>
              <w:rPr>
                <w:rFonts w:ascii="仿宋" w:hAnsi="仿宋" w:eastAsia="仿宋" w:cs="宋体"/>
                <w:kern w:val="0"/>
                <w:sz w:val="20"/>
                <w:szCs w:val="20"/>
              </w:rPr>
            </w:pPr>
            <w:r>
              <w:rPr>
                <w:rFonts w:hint="eastAsia" w:ascii="仿宋" w:hAnsi="仿宋" w:eastAsia="仿宋"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14:paraId="0040841D">
            <w:pPr>
              <w:widowControl/>
              <w:jc w:val="center"/>
              <w:rPr>
                <w:rFonts w:ascii="仿宋" w:hAnsi="仿宋" w:eastAsia="仿宋" w:cs="宋体"/>
                <w:kern w:val="0"/>
                <w:sz w:val="20"/>
                <w:szCs w:val="20"/>
              </w:rPr>
            </w:pPr>
            <w:r>
              <w:rPr>
                <w:rFonts w:hint="eastAsia" w:ascii="仿宋" w:hAnsi="仿宋" w:eastAsia="仿宋" w:cs="宋体"/>
                <w:kern w:val="0"/>
                <w:sz w:val="20"/>
                <w:szCs w:val="20"/>
              </w:rPr>
              <w:t>机房空调</w:t>
            </w:r>
          </w:p>
        </w:tc>
        <w:tc>
          <w:tcPr>
            <w:tcW w:w="4335" w:type="dxa"/>
            <w:tcBorders>
              <w:top w:val="nil"/>
              <w:left w:val="nil"/>
              <w:bottom w:val="single" w:color="000000" w:sz="8" w:space="0"/>
              <w:right w:val="single" w:color="000000" w:sz="8" w:space="0"/>
            </w:tcBorders>
            <w:vAlign w:val="center"/>
          </w:tcPr>
          <w:p w14:paraId="1BAFCBA3">
            <w:pPr>
              <w:widowControl/>
              <w:jc w:val="left"/>
              <w:rPr>
                <w:rFonts w:ascii="仿宋" w:hAnsi="仿宋" w:eastAsia="仿宋" w:cs="宋体"/>
                <w:kern w:val="0"/>
                <w:sz w:val="20"/>
                <w:szCs w:val="20"/>
              </w:rPr>
            </w:pPr>
            <w:r>
              <w:rPr>
                <w:rFonts w:hint="eastAsia" w:ascii="仿宋" w:hAnsi="仿宋" w:eastAsia="仿宋" w:cs="宋体"/>
                <w:kern w:val="0"/>
                <w:sz w:val="20"/>
                <w:szCs w:val="20"/>
              </w:rPr>
              <w:t>《单元式空气调节机能效限定值及能效等级》（GB19576）</w:t>
            </w:r>
          </w:p>
        </w:tc>
      </w:tr>
      <w:tr w14:paraId="0B620F4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27E5B53B">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84EDA5B">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7A4BD337">
            <w:pPr>
              <w:widowControl/>
              <w:jc w:val="center"/>
              <w:rPr>
                <w:rFonts w:ascii="仿宋" w:hAnsi="仿宋" w:eastAsia="仿宋" w:cs="宋体"/>
                <w:kern w:val="0"/>
                <w:sz w:val="20"/>
                <w:szCs w:val="20"/>
              </w:rPr>
            </w:pPr>
            <w:r>
              <w:rPr>
                <w:rFonts w:hint="eastAsia" w:ascii="仿宋" w:hAnsi="仿宋" w:eastAsia="仿宋"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14:paraId="598262EF">
            <w:pPr>
              <w:widowControl/>
              <w:jc w:val="center"/>
              <w:rPr>
                <w:rFonts w:ascii="仿宋" w:hAnsi="仿宋" w:eastAsia="仿宋" w:cs="宋体"/>
                <w:kern w:val="0"/>
                <w:sz w:val="20"/>
                <w:szCs w:val="20"/>
              </w:rPr>
            </w:pPr>
            <w:r>
              <w:rPr>
                <w:rFonts w:hint="eastAsia" w:ascii="仿宋" w:hAnsi="仿宋" w:eastAsia="仿宋" w:cs="宋体"/>
                <w:kern w:val="0"/>
                <w:sz w:val="20"/>
                <w:szCs w:val="20"/>
              </w:rPr>
              <w:t>冷却塔</w:t>
            </w:r>
          </w:p>
        </w:tc>
        <w:tc>
          <w:tcPr>
            <w:tcW w:w="4335" w:type="dxa"/>
            <w:tcBorders>
              <w:top w:val="nil"/>
              <w:left w:val="nil"/>
              <w:bottom w:val="single" w:color="000000" w:sz="8" w:space="0"/>
              <w:right w:val="single" w:color="000000" w:sz="8" w:space="0"/>
            </w:tcBorders>
            <w:vAlign w:val="center"/>
          </w:tcPr>
          <w:p w14:paraId="4E41B3E8">
            <w:pPr>
              <w:widowControl/>
              <w:jc w:val="left"/>
              <w:rPr>
                <w:rFonts w:ascii="仿宋" w:hAnsi="仿宋" w:eastAsia="仿宋" w:cs="宋体"/>
                <w:kern w:val="0"/>
                <w:sz w:val="20"/>
                <w:szCs w:val="20"/>
              </w:rPr>
            </w:pPr>
            <w:r>
              <w:rPr>
                <w:rFonts w:hint="eastAsia" w:ascii="仿宋" w:hAnsi="仿宋" w:eastAsia="仿宋" w:cs="宋体"/>
                <w:kern w:val="0"/>
                <w:sz w:val="20"/>
                <w:szCs w:val="20"/>
              </w:rPr>
              <w:t>《机械通风冷却塔第1部分：中小型开式冷却塔》（GB/T7190.1）；《机械通风冷却塔第2部分：大型开式冷却塔》（GB/T7190.2）</w:t>
            </w:r>
          </w:p>
        </w:tc>
      </w:tr>
      <w:tr w14:paraId="0657A3B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0ED2CA01">
            <w:pPr>
              <w:widowControl/>
              <w:jc w:val="center"/>
              <w:rPr>
                <w:rFonts w:ascii="仿宋" w:hAnsi="仿宋" w:eastAsia="仿宋" w:cs="宋体"/>
                <w:kern w:val="0"/>
                <w:sz w:val="20"/>
                <w:szCs w:val="20"/>
              </w:rPr>
            </w:pPr>
            <w:r>
              <w:rPr>
                <w:rFonts w:hint="eastAsia" w:ascii="仿宋" w:hAnsi="仿宋" w:eastAsia="仿宋" w:cs="宋体"/>
                <w:kern w:val="0"/>
                <w:sz w:val="20"/>
                <w:szCs w:val="20"/>
              </w:rPr>
              <w:t>7</w:t>
            </w:r>
          </w:p>
        </w:tc>
        <w:tc>
          <w:tcPr>
            <w:tcW w:w="1116" w:type="dxa"/>
            <w:tcBorders>
              <w:top w:val="nil"/>
              <w:left w:val="nil"/>
              <w:bottom w:val="single" w:color="000000" w:sz="8" w:space="0"/>
              <w:right w:val="single" w:color="000000" w:sz="8" w:space="0"/>
            </w:tcBorders>
            <w:vAlign w:val="center"/>
          </w:tcPr>
          <w:p w14:paraId="5233344E">
            <w:pPr>
              <w:widowControl/>
              <w:jc w:val="center"/>
              <w:rPr>
                <w:rFonts w:ascii="仿宋" w:hAnsi="仿宋" w:eastAsia="仿宋" w:cs="宋体"/>
                <w:kern w:val="0"/>
                <w:sz w:val="20"/>
                <w:szCs w:val="20"/>
              </w:rPr>
            </w:pPr>
            <w:r>
              <w:rPr>
                <w:rFonts w:hint="eastAsia" w:ascii="仿宋" w:hAnsi="仿宋" w:eastAsia="仿宋" w:cs="宋体"/>
                <w:kern w:val="0"/>
                <w:sz w:val="20"/>
                <w:szCs w:val="20"/>
              </w:rPr>
              <w:t>A020601电机</w:t>
            </w:r>
          </w:p>
        </w:tc>
        <w:tc>
          <w:tcPr>
            <w:tcW w:w="1516" w:type="dxa"/>
            <w:tcBorders>
              <w:top w:val="nil"/>
              <w:left w:val="nil"/>
              <w:bottom w:val="single" w:color="000000" w:sz="8" w:space="0"/>
              <w:right w:val="single" w:color="000000" w:sz="8" w:space="0"/>
            </w:tcBorders>
            <w:vAlign w:val="center"/>
          </w:tcPr>
          <w:p w14:paraId="601D8DA4">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584A4CF1">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4E93F0FC">
            <w:pPr>
              <w:widowControl/>
              <w:jc w:val="left"/>
              <w:rPr>
                <w:rFonts w:ascii="仿宋" w:hAnsi="仿宋" w:eastAsia="仿宋" w:cs="宋体"/>
                <w:kern w:val="0"/>
                <w:sz w:val="20"/>
                <w:szCs w:val="20"/>
              </w:rPr>
            </w:pPr>
            <w:r>
              <w:rPr>
                <w:rFonts w:hint="eastAsia" w:ascii="仿宋" w:hAnsi="仿宋" w:eastAsia="仿宋" w:cs="宋体"/>
                <w:kern w:val="0"/>
                <w:sz w:val="20"/>
                <w:szCs w:val="20"/>
              </w:rPr>
              <w:t>《中小型三相异步电动机能效限定值及能效等级》（GB18613）</w:t>
            </w:r>
          </w:p>
        </w:tc>
      </w:tr>
      <w:tr w14:paraId="49C36FD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258C0198">
            <w:pPr>
              <w:widowControl/>
              <w:jc w:val="center"/>
              <w:rPr>
                <w:rFonts w:ascii="仿宋" w:hAnsi="仿宋" w:eastAsia="仿宋" w:cs="宋体"/>
                <w:kern w:val="0"/>
                <w:sz w:val="20"/>
                <w:szCs w:val="20"/>
              </w:rPr>
            </w:pPr>
            <w:r>
              <w:rPr>
                <w:rFonts w:hint="eastAsia" w:ascii="仿宋" w:hAnsi="仿宋" w:eastAsia="仿宋" w:cs="宋体"/>
                <w:kern w:val="0"/>
                <w:sz w:val="20"/>
                <w:szCs w:val="20"/>
              </w:rPr>
              <w:t>8</w:t>
            </w:r>
          </w:p>
        </w:tc>
        <w:tc>
          <w:tcPr>
            <w:tcW w:w="1116" w:type="dxa"/>
            <w:tcBorders>
              <w:top w:val="nil"/>
              <w:left w:val="nil"/>
              <w:bottom w:val="single" w:color="000000" w:sz="8" w:space="0"/>
              <w:right w:val="single" w:color="000000" w:sz="8" w:space="0"/>
            </w:tcBorders>
            <w:vAlign w:val="center"/>
          </w:tcPr>
          <w:p w14:paraId="3ABAE481">
            <w:pPr>
              <w:widowControl/>
              <w:jc w:val="center"/>
              <w:rPr>
                <w:rFonts w:ascii="仿宋" w:hAnsi="仿宋" w:eastAsia="仿宋" w:cs="宋体"/>
                <w:kern w:val="0"/>
                <w:sz w:val="20"/>
                <w:szCs w:val="20"/>
              </w:rPr>
            </w:pPr>
            <w:r>
              <w:rPr>
                <w:rFonts w:hint="eastAsia" w:ascii="仿宋" w:hAnsi="仿宋" w:eastAsia="仿宋"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14:paraId="1C50A201">
            <w:pPr>
              <w:widowControl/>
              <w:jc w:val="center"/>
              <w:rPr>
                <w:rFonts w:ascii="仿宋" w:hAnsi="仿宋" w:eastAsia="仿宋" w:cs="宋体"/>
                <w:kern w:val="0"/>
                <w:sz w:val="20"/>
                <w:szCs w:val="20"/>
              </w:rPr>
            </w:pPr>
            <w:r>
              <w:rPr>
                <w:rFonts w:hint="eastAsia" w:ascii="仿宋" w:hAnsi="仿宋" w:eastAsia="仿宋"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14:paraId="701F469D">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13018631">
            <w:pPr>
              <w:widowControl/>
              <w:jc w:val="left"/>
              <w:rPr>
                <w:rFonts w:ascii="仿宋" w:hAnsi="仿宋" w:eastAsia="仿宋" w:cs="宋体"/>
                <w:kern w:val="0"/>
                <w:sz w:val="20"/>
                <w:szCs w:val="20"/>
              </w:rPr>
            </w:pPr>
            <w:r>
              <w:rPr>
                <w:rFonts w:hint="eastAsia" w:ascii="仿宋" w:hAnsi="仿宋" w:eastAsia="仿宋" w:cs="宋体"/>
                <w:kern w:val="0"/>
                <w:sz w:val="20"/>
                <w:szCs w:val="20"/>
              </w:rPr>
              <w:t>《三相配电变压器能效限定值及能效等级》（GB20052）</w:t>
            </w:r>
          </w:p>
        </w:tc>
      </w:tr>
      <w:tr w14:paraId="7E1A6E8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B7C9283">
            <w:pPr>
              <w:widowControl/>
              <w:jc w:val="center"/>
              <w:rPr>
                <w:rFonts w:ascii="仿宋" w:hAnsi="仿宋" w:eastAsia="仿宋" w:cs="宋体"/>
                <w:kern w:val="0"/>
                <w:sz w:val="20"/>
                <w:szCs w:val="20"/>
              </w:rPr>
            </w:pPr>
            <w:r>
              <w:rPr>
                <w:rFonts w:hint="eastAsia" w:ascii="仿宋" w:hAnsi="仿宋" w:eastAsia="仿宋" w:cs="宋体"/>
                <w:kern w:val="0"/>
                <w:sz w:val="20"/>
                <w:szCs w:val="20"/>
              </w:rPr>
              <w:t>9</w:t>
            </w:r>
          </w:p>
        </w:tc>
        <w:tc>
          <w:tcPr>
            <w:tcW w:w="1116" w:type="dxa"/>
            <w:tcBorders>
              <w:top w:val="nil"/>
              <w:left w:val="nil"/>
              <w:bottom w:val="single" w:color="000000" w:sz="8" w:space="0"/>
              <w:right w:val="single" w:color="000000" w:sz="8" w:space="0"/>
            </w:tcBorders>
            <w:vAlign w:val="center"/>
          </w:tcPr>
          <w:p w14:paraId="5D872492">
            <w:pPr>
              <w:widowControl/>
              <w:jc w:val="center"/>
              <w:rPr>
                <w:rFonts w:ascii="仿宋" w:hAnsi="仿宋" w:eastAsia="仿宋" w:cs="宋体"/>
                <w:kern w:val="0"/>
                <w:sz w:val="20"/>
                <w:szCs w:val="20"/>
              </w:rPr>
            </w:pPr>
            <w:r>
              <w:rPr>
                <w:rFonts w:hint="eastAsia" w:ascii="仿宋" w:hAnsi="仿宋" w:eastAsia="仿宋"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14:paraId="47848399">
            <w:pPr>
              <w:widowControl/>
              <w:jc w:val="center"/>
              <w:rPr>
                <w:rFonts w:ascii="仿宋" w:hAnsi="仿宋" w:eastAsia="仿宋" w:cs="宋体"/>
                <w:kern w:val="0"/>
                <w:sz w:val="20"/>
                <w:szCs w:val="20"/>
              </w:rPr>
            </w:pPr>
            <w:r>
              <w:rPr>
                <w:rFonts w:hint="eastAsia" w:ascii="仿宋" w:hAnsi="仿宋" w:eastAsia="仿宋"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14:paraId="355FF331">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2F696CC9">
            <w:pPr>
              <w:widowControl/>
              <w:jc w:val="left"/>
              <w:rPr>
                <w:rFonts w:ascii="仿宋" w:hAnsi="仿宋" w:eastAsia="仿宋" w:cs="宋体"/>
                <w:kern w:val="0"/>
                <w:sz w:val="20"/>
                <w:szCs w:val="20"/>
              </w:rPr>
            </w:pPr>
            <w:r>
              <w:rPr>
                <w:rFonts w:hint="eastAsia" w:ascii="仿宋" w:hAnsi="仿宋" w:eastAsia="仿宋" w:cs="宋体"/>
                <w:kern w:val="0"/>
                <w:sz w:val="20"/>
                <w:szCs w:val="20"/>
              </w:rPr>
              <w:t>《管形荧光灯镇流器能效限定值及能效等级》（GB17896）</w:t>
            </w:r>
          </w:p>
        </w:tc>
      </w:tr>
      <w:tr w14:paraId="439C84A6">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3CE7C8B9">
            <w:pPr>
              <w:widowControl/>
              <w:jc w:val="center"/>
              <w:rPr>
                <w:rFonts w:ascii="仿宋" w:hAnsi="仿宋" w:eastAsia="仿宋" w:cs="宋体"/>
                <w:kern w:val="0"/>
                <w:sz w:val="20"/>
                <w:szCs w:val="20"/>
              </w:rPr>
            </w:pPr>
            <w:r>
              <w:rPr>
                <w:rFonts w:hint="eastAsia" w:ascii="仿宋" w:hAnsi="仿宋" w:eastAsia="仿宋"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14:paraId="60E08466">
            <w:pPr>
              <w:widowControl/>
              <w:jc w:val="center"/>
              <w:rPr>
                <w:rFonts w:ascii="仿宋" w:hAnsi="仿宋" w:eastAsia="仿宋" w:cs="宋体"/>
                <w:kern w:val="0"/>
                <w:sz w:val="20"/>
                <w:szCs w:val="20"/>
              </w:rPr>
            </w:pPr>
            <w:r>
              <w:rPr>
                <w:rFonts w:hint="eastAsia" w:ascii="仿宋" w:hAnsi="仿宋" w:eastAsia="仿宋"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14:paraId="7B74DD4B">
            <w:pPr>
              <w:widowControl/>
              <w:jc w:val="center"/>
              <w:rPr>
                <w:rFonts w:ascii="仿宋" w:hAnsi="仿宋" w:eastAsia="仿宋" w:cs="宋体"/>
                <w:kern w:val="0"/>
                <w:sz w:val="20"/>
                <w:szCs w:val="20"/>
              </w:rPr>
            </w:pPr>
            <w:r>
              <w:rPr>
                <w:rFonts w:hint="eastAsia" w:ascii="仿宋" w:hAnsi="仿宋" w:eastAsia="仿宋"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14:paraId="703D52AE">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02D844F6">
            <w:pPr>
              <w:widowControl/>
              <w:jc w:val="left"/>
              <w:rPr>
                <w:rFonts w:ascii="仿宋" w:hAnsi="仿宋" w:eastAsia="仿宋" w:cs="宋体"/>
                <w:kern w:val="0"/>
                <w:sz w:val="20"/>
                <w:szCs w:val="20"/>
              </w:rPr>
            </w:pPr>
            <w:r>
              <w:rPr>
                <w:rFonts w:hint="eastAsia" w:ascii="仿宋" w:hAnsi="仿宋" w:eastAsia="仿宋" w:cs="宋体"/>
                <w:kern w:val="0"/>
                <w:sz w:val="20"/>
                <w:szCs w:val="20"/>
              </w:rPr>
              <w:t>《家用电冰箱耗电量限定值及能效等级》（GB 12021.2）</w:t>
            </w:r>
          </w:p>
        </w:tc>
      </w:tr>
      <w:tr w14:paraId="0EB0EAEA">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vAlign w:val="center"/>
          </w:tcPr>
          <w:p w14:paraId="0D1B315D">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DEE8DB1">
            <w:pPr>
              <w:widowControl/>
              <w:jc w:val="left"/>
              <w:rPr>
                <w:rFonts w:ascii="仿宋" w:hAnsi="仿宋" w:eastAsia="仿宋"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6E24DECA">
            <w:pPr>
              <w:widowControl/>
              <w:jc w:val="center"/>
              <w:rPr>
                <w:rFonts w:ascii="仿宋" w:hAnsi="仿宋" w:eastAsia="仿宋" w:cs="宋体"/>
                <w:kern w:val="0"/>
                <w:sz w:val="20"/>
                <w:szCs w:val="20"/>
              </w:rPr>
            </w:pPr>
            <w:r>
              <w:rPr>
                <w:rFonts w:hint="eastAsia" w:ascii="仿宋" w:hAnsi="仿宋" w:eastAsia="仿宋"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14:paraId="2805DF4E">
            <w:pPr>
              <w:widowControl/>
              <w:jc w:val="center"/>
              <w:rPr>
                <w:rFonts w:ascii="仿宋" w:hAnsi="仿宋" w:eastAsia="仿宋" w:cs="宋体"/>
                <w:kern w:val="0"/>
                <w:sz w:val="20"/>
                <w:szCs w:val="20"/>
              </w:rPr>
            </w:pPr>
            <w:r>
              <w:rPr>
                <w:rFonts w:hint="eastAsia" w:ascii="仿宋" w:hAnsi="仿宋" w:eastAsia="仿宋"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14:paraId="2C17F9C1">
            <w:pPr>
              <w:widowControl/>
              <w:jc w:val="left"/>
              <w:rPr>
                <w:rFonts w:ascii="仿宋" w:hAnsi="仿宋" w:eastAsia="仿宋" w:cs="宋体"/>
                <w:kern w:val="0"/>
                <w:sz w:val="20"/>
                <w:szCs w:val="20"/>
              </w:rPr>
            </w:pPr>
            <w:r>
              <w:rPr>
                <w:rFonts w:hint="eastAsia" w:ascii="仿宋" w:hAnsi="仿宋" w:eastAsia="仿宋" w:cs="宋体"/>
                <w:kern w:val="0"/>
                <w:sz w:val="20"/>
                <w:szCs w:val="20"/>
              </w:rPr>
              <w:t>《转速可控型房间空气调节器能效限定值及能效等级》（GB21455-2013），待2019年修订发布后，按《房间空气调节器能效限定值及能效等级》（GB21455-2019实施。</w:t>
            </w:r>
          </w:p>
        </w:tc>
      </w:tr>
      <w:tr w14:paraId="00400021">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50054821">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080019B8">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672F5BB">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19B5DAF2">
            <w:pPr>
              <w:widowControl/>
              <w:jc w:val="center"/>
              <w:rPr>
                <w:rFonts w:ascii="仿宋" w:hAnsi="仿宋" w:eastAsia="仿宋" w:cs="宋体"/>
                <w:kern w:val="0"/>
                <w:sz w:val="20"/>
                <w:szCs w:val="20"/>
              </w:rPr>
            </w:pPr>
            <w:r>
              <w:rPr>
                <w:rFonts w:hint="eastAsia" w:ascii="仿宋" w:hAnsi="仿宋" w:eastAsia="仿宋"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14:paraId="559F7F61">
            <w:pPr>
              <w:widowControl/>
              <w:jc w:val="left"/>
              <w:rPr>
                <w:rFonts w:ascii="仿宋" w:hAnsi="仿宋" w:eastAsia="仿宋" w:cs="宋体"/>
                <w:kern w:val="0"/>
                <w:sz w:val="20"/>
                <w:szCs w:val="20"/>
              </w:rPr>
            </w:pPr>
            <w:r>
              <w:rPr>
                <w:rFonts w:hint="eastAsia" w:ascii="仿宋" w:hAnsi="仿宋" w:eastAsia="仿宋" w:cs="宋体"/>
                <w:kern w:val="0"/>
                <w:sz w:val="20"/>
                <w:szCs w:val="20"/>
              </w:rPr>
              <w:t>《多联式空调（热泵）机组能效限定值及能源效率等级》（GB21454）</w:t>
            </w:r>
          </w:p>
        </w:tc>
      </w:tr>
      <w:tr w14:paraId="7393CD20">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055CE5AE">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1296001">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13491EE">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5644112C">
            <w:pPr>
              <w:widowControl/>
              <w:jc w:val="center"/>
              <w:rPr>
                <w:rFonts w:ascii="仿宋" w:hAnsi="仿宋" w:eastAsia="仿宋" w:cs="宋体"/>
                <w:kern w:val="0"/>
                <w:sz w:val="20"/>
                <w:szCs w:val="20"/>
              </w:rPr>
            </w:pPr>
            <w:r>
              <w:rPr>
                <w:rFonts w:hint="eastAsia" w:ascii="仿宋" w:hAnsi="仿宋" w:eastAsia="仿宋"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14:paraId="27C8122C">
            <w:pPr>
              <w:widowControl/>
              <w:jc w:val="left"/>
              <w:rPr>
                <w:rFonts w:ascii="仿宋" w:hAnsi="仿宋" w:eastAsia="仿宋" w:cs="宋体"/>
                <w:kern w:val="0"/>
                <w:sz w:val="20"/>
                <w:szCs w:val="20"/>
              </w:rPr>
            </w:pPr>
            <w:r>
              <w:rPr>
                <w:rFonts w:hint="eastAsia" w:ascii="仿宋" w:hAnsi="仿宋" w:eastAsia="仿宋" w:cs="宋体"/>
                <w:kern w:val="0"/>
                <w:sz w:val="20"/>
                <w:szCs w:val="20"/>
              </w:rPr>
              <w:t>《单元式空气调节机能效限定值及能源效率等级》（GB19576）《风管送风式空调机组能效限定值及能效等级》（GB37479）</w:t>
            </w:r>
          </w:p>
        </w:tc>
      </w:tr>
      <w:tr w14:paraId="5DD4957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5711A98A">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34B2E6B">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3AB20B11">
            <w:pPr>
              <w:widowControl/>
              <w:jc w:val="center"/>
              <w:rPr>
                <w:rFonts w:ascii="仿宋" w:hAnsi="仿宋" w:eastAsia="仿宋" w:cs="宋体"/>
                <w:kern w:val="0"/>
                <w:sz w:val="20"/>
                <w:szCs w:val="20"/>
              </w:rPr>
            </w:pPr>
            <w:r>
              <w:rPr>
                <w:rFonts w:hint="eastAsia" w:ascii="仿宋" w:hAnsi="仿宋" w:eastAsia="仿宋"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14:paraId="065A6E53">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1888025">
            <w:pPr>
              <w:widowControl/>
              <w:jc w:val="left"/>
              <w:rPr>
                <w:rFonts w:ascii="仿宋" w:hAnsi="仿宋" w:eastAsia="仿宋" w:cs="宋体"/>
                <w:kern w:val="0"/>
                <w:sz w:val="20"/>
                <w:szCs w:val="20"/>
              </w:rPr>
            </w:pPr>
            <w:r>
              <w:rPr>
                <w:rFonts w:hint="eastAsia" w:ascii="仿宋" w:hAnsi="仿宋" w:eastAsia="仿宋" w:cs="宋体"/>
                <w:kern w:val="0"/>
                <w:sz w:val="20"/>
                <w:szCs w:val="20"/>
              </w:rPr>
              <w:t>《电动洗衣机能效水效限定值及等级》（GB12021.4）</w:t>
            </w:r>
          </w:p>
        </w:tc>
      </w:tr>
      <w:tr w14:paraId="0D5C6EF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04ACC96E">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68E7E281">
            <w:pPr>
              <w:widowControl/>
              <w:jc w:val="left"/>
              <w:rPr>
                <w:rFonts w:ascii="仿宋" w:hAnsi="仿宋" w:eastAsia="仿宋"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14:paraId="0AF5E7A9">
            <w:pPr>
              <w:widowControl/>
              <w:jc w:val="center"/>
              <w:rPr>
                <w:rFonts w:ascii="仿宋" w:hAnsi="仿宋" w:eastAsia="仿宋" w:cs="宋体"/>
                <w:kern w:val="0"/>
                <w:sz w:val="20"/>
                <w:szCs w:val="20"/>
              </w:rPr>
            </w:pPr>
            <w:r>
              <w:rPr>
                <w:rFonts w:hint="eastAsia" w:ascii="仿宋" w:hAnsi="仿宋" w:eastAsia="仿宋"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14:paraId="15116589">
            <w:pPr>
              <w:widowControl/>
              <w:jc w:val="center"/>
              <w:rPr>
                <w:rFonts w:ascii="仿宋" w:hAnsi="仿宋" w:eastAsia="仿宋" w:cs="宋体"/>
                <w:kern w:val="0"/>
                <w:sz w:val="20"/>
                <w:szCs w:val="20"/>
              </w:rPr>
            </w:pPr>
            <w:r>
              <w:rPr>
                <w:rFonts w:hint="eastAsia" w:ascii="仿宋" w:hAnsi="仿宋" w:eastAsia="仿宋" w:cs="宋体"/>
                <w:kern w:val="0"/>
                <w:sz w:val="20"/>
                <w:szCs w:val="20"/>
              </w:rPr>
              <w:t>★电热水器</w:t>
            </w:r>
          </w:p>
        </w:tc>
        <w:tc>
          <w:tcPr>
            <w:tcW w:w="4335" w:type="dxa"/>
            <w:tcBorders>
              <w:top w:val="nil"/>
              <w:left w:val="nil"/>
              <w:bottom w:val="single" w:color="000000" w:sz="8" w:space="0"/>
              <w:right w:val="single" w:color="000000" w:sz="8" w:space="0"/>
            </w:tcBorders>
            <w:vAlign w:val="center"/>
          </w:tcPr>
          <w:p w14:paraId="6F6F6810">
            <w:pPr>
              <w:widowControl/>
              <w:jc w:val="left"/>
              <w:rPr>
                <w:rFonts w:ascii="仿宋" w:hAnsi="仿宋" w:eastAsia="仿宋" w:cs="宋体"/>
                <w:kern w:val="0"/>
                <w:sz w:val="20"/>
                <w:szCs w:val="20"/>
              </w:rPr>
            </w:pPr>
            <w:r>
              <w:rPr>
                <w:rFonts w:hint="eastAsia" w:ascii="仿宋" w:hAnsi="仿宋" w:eastAsia="仿宋" w:cs="宋体"/>
                <w:kern w:val="0"/>
                <w:sz w:val="20"/>
                <w:szCs w:val="20"/>
              </w:rPr>
              <w:t>《储水式电热水器能效限定值及能效等级》（GB21519）</w:t>
            </w:r>
          </w:p>
        </w:tc>
      </w:tr>
      <w:tr w14:paraId="36B59FC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6C35FC44">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1DEF2A7E">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6222563E">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1AD74F23">
            <w:pPr>
              <w:widowControl/>
              <w:jc w:val="center"/>
              <w:rPr>
                <w:rFonts w:ascii="仿宋" w:hAnsi="仿宋" w:eastAsia="仿宋" w:cs="宋体"/>
                <w:kern w:val="0"/>
                <w:sz w:val="20"/>
                <w:szCs w:val="20"/>
              </w:rPr>
            </w:pPr>
            <w:r>
              <w:rPr>
                <w:rFonts w:hint="eastAsia" w:ascii="仿宋" w:hAnsi="仿宋" w:eastAsia="仿宋"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14:paraId="12BF8E75">
            <w:pPr>
              <w:widowControl/>
              <w:jc w:val="left"/>
              <w:rPr>
                <w:rFonts w:ascii="仿宋" w:hAnsi="仿宋" w:eastAsia="仿宋" w:cs="宋体"/>
                <w:kern w:val="0"/>
                <w:sz w:val="20"/>
                <w:szCs w:val="20"/>
              </w:rPr>
            </w:pPr>
            <w:r>
              <w:rPr>
                <w:rFonts w:hint="eastAsia" w:ascii="仿宋" w:hAnsi="仿宋" w:eastAsia="仿宋" w:cs="宋体"/>
                <w:kern w:val="0"/>
                <w:sz w:val="20"/>
                <w:szCs w:val="20"/>
              </w:rPr>
              <w:t>《家用燃气快速热水器和燃气采暖热水炉能效限定值及能效等级》（GB20665）</w:t>
            </w:r>
          </w:p>
        </w:tc>
      </w:tr>
      <w:tr w14:paraId="1306D43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D19A190">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2F364870">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5D083C3D">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5CC6E082">
            <w:pPr>
              <w:widowControl/>
              <w:jc w:val="center"/>
              <w:rPr>
                <w:rFonts w:ascii="仿宋" w:hAnsi="仿宋" w:eastAsia="仿宋" w:cs="宋体"/>
                <w:kern w:val="0"/>
                <w:sz w:val="20"/>
                <w:szCs w:val="20"/>
              </w:rPr>
            </w:pPr>
            <w:r>
              <w:rPr>
                <w:rFonts w:hint="eastAsia" w:ascii="仿宋" w:hAnsi="仿宋" w:eastAsia="仿宋"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14:paraId="7D740161">
            <w:pPr>
              <w:widowControl/>
              <w:jc w:val="left"/>
              <w:rPr>
                <w:rFonts w:ascii="仿宋" w:hAnsi="仿宋" w:eastAsia="仿宋" w:cs="宋体"/>
                <w:kern w:val="0"/>
                <w:sz w:val="20"/>
                <w:szCs w:val="20"/>
              </w:rPr>
            </w:pPr>
            <w:r>
              <w:rPr>
                <w:rFonts w:hint="eastAsia" w:ascii="仿宋" w:hAnsi="仿宋" w:eastAsia="仿宋" w:cs="宋体"/>
                <w:kern w:val="0"/>
                <w:sz w:val="20"/>
                <w:szCs w:val="20"/>
              </w:rPr>
              <w:t>《热泵热水机（器）能效限定值及能效等级》（GB29541）</w:t>
            </w:r>
          </w:p>
        </w:tc>
      </w:tr>
      <w:tr w14:paraId="5E0B13E9">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785631AB">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73B59386">
            <w:pPr>
              <w:widowControl/>
              <w:jc w:val="left"/>
              <w:rPr>
                <w:rFonts w:ascii="仿宋" w:hAnsi="仿宋" w:eastAsia="仿宋"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14:paraId="7744CD6F">
            <w:pPr>
              <w:widowControl/>
              <w:jc w:val="left"/>
              <w:rPr>
                <w:rFonts w:ascii="仿宋" w:hAnsi="仿宋" w:eastAsia="仿宋" w:cs="宋体"/>
                <w:kern w:val="0"/>
                <w:sz w:val="20"/>
                <w:szCs w:val="20"/>
              </w:rPr>
            </w:pPr>
          </w:p>
        </w:tc>
        <w:tc>
          <w:tcPr>
            <w:tcW w:w="1612" w:type="dxa"/>
            <w:tcBorders>
              <w:top w:val="nil"/>
              <w:left w:val="nil"/>
              <w:bottom w:val="single" w:color="000000" w:sz="8" w:space="0"/>
              <w:right w:val="single" w:color="000000" w:sz="8" w:space="0"/>
            </w:tcBorders>
            <w:vAlign w:val="center"/>
          </w:tcPr>
          <w:p w14:paraId="2E0FE2D0">
            <w:pPr>
              <w:widowControl/>
              <w:jc w:val="center"/>
              <w:rPr>
                <w:rFonts w:ascii="仿宋" w:hAnsi="仿宋" w:eastAsia="仿宋" w:cs="宋体"/>
                <w:kern w:val="0"/>
                <w:sz w:val="20"/>
                <w:szCs w:val="20"/>
              </w:rPr>
            </w:pPr>
            <w:r>
              <w:rPr>
                <w:rFonts w:hint="eastAsia" w:ascii="仿宋" w:hAnsi="仿宋" w:eastAsia="仿宋"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14:paraId="55BFB2C4">
            <w:pPr>
              <w:widowControl/>
              <w:jc w:val="left"/>
              <w:rPr>
                <w:rFonts w:ascii="仿宋" w:hAnsi="仿宋" w:eastAsia="仿宋" w:cs="宋体"/>
                <w:kern w:val="0"/>
                <w:sz w:val="20"/>
                <w:szCs w:val="20"/>
              </w:rPr>
            </w:pPr>
            <w:r>
              <w:rPr>
                <w:rFonts w:hint="eastAsia" w:ascii="仿宋" w:hAnsi="仿宋" w:eastAsia="仿宋" w:cs="宋体"/>
                <w:kern w:val="0"/>
                <w:sz w:val="20"/>
                <w:szCs w:val="20"/>
              </w:rPr>
              <w:t>《家用太阳能热水系统能效限定值及能效等级》（GB26969）</w:t>
            </w:r>
          </w:p>
        </w:tc>
      </w:tr>
      <w:tr w14:paraId="614319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vAlign w:val="center"/>
          </w:tcPr>
          <w:p w14:paraId="582138BF">
            <w:pPr>
              <w:widowControl/>
              <w:jc w:val="center"/>
              <w:rPr>
                <w:rFonts w:ascii="仿宋" w:hAnsi="仿宋" w:eastAsia="仿宋" w:cs="宋体"/>
                <w:kern w:val="0"/>
                <w:sz w:val="20"/>
                <w:szCs w:val="20"/>
              </w:rPr>
            </w:pPr>
            <w:r>
              <w:rPr>
                <w:rFonts w:hint="eastAsia" w:ascii="仿宋" w:hAnsi="仿宋" w:eastAsia="仿宋"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14:paraId="4575BAB5">
            <w:pPr>
              <w:widowControl/>
              <w:jc w:val="center"/>
              <w:rPr>
                <w:rFonts w:ascii="仿宋" w:hAnsi="仿宋" w:eastAsia="仿宋" w:cs="宋体"/>
                <w:kern w:val="0"/>
                <w:sz w:val="20"/>
                <w:szCs w:val="20"/>
              </w:rPr>
            </w:pPr>
            <w:r>
              <w:rPr>
                <w:rFonts w:hint="eastAsia" w:ascii="仿宋" w:hAnsi="仿宋" w:eastAsia="仿宋"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14:paraId="29CF5D29">
            <w:pPr>
              <w:widowControl/>
              <w:jc w:val="center"/>
              <w:rPr>
                <w:rFonts w:ascii="仿宋" w:hAnsi="仿宋" w:eastAsia="仿宋" w:cs="宋体"/>
                <w:kern w:val="0"/>
                <w:sz w:val="20"/>
                <w:szCs w:val="20"/>
              </w:rPr>
            </w:pPr>
            <w:r>
              <w:rPr>
                <w:rFonts w:hint="eastAsia" w:ascii="仿宋" w:hAnsi="仿宋" w:eastAsia="仿宋"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14:paraId="610161F5">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475F0AB0">
            <w:pPr>
              <w:widowControl/>
              <w:jc w:val="left"/>
              <w:rPr>
                <w:rFonts w:ascii="仿宋" w:hAnsi="仿宋" w:eastAsia="仿宋" w:cs="宋体"/>
                <w:kern w:val="0"/>
                <w:sz w:val="20"/>
                <w:szCs w:val="20"/>
              </w:rPr>
            </w:pPr>
            <w:r>
              <w:rPr>
                <w:rFonts w:hint="eastAsia" w:ascii="仿宋" w:hAnsi="仿宋" w:eastAsia="仿宋" w:cs="宋体"/>
                <w:kern w:val="0"/>
                <w:sz w:val="20"/>
                <w:szCs w:val="20"/>
              </w:rPr>
              <w:t>《普通照明用双端荧光灯能效限定值及能效等级》（GB19043）</w:t>
            </w:r>
          </w:p>
        </w:tc>
      </w:tr>
      <w:tr w14:paraId="2396D8B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585BACFC">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4F93D87">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30863DD8">
            <w:pPr>
              <w:widowControl/>
              <w:jc w:val="center"/>
              <w:rPr>
                <w:rFonts w:ascii="仿宋" w:hAnsi="仿宋" w:eastAsia="仿宋" w:cs="宋体"/>
                <w:kern w:val="0"/>
                <w:sz w:val="20"/>
                <w:szCs w:val="20"/>
              </w:rPr>
            </w:pPr>
            <w:r>
              <w:rPr>
                <w:rFonts w:hint="eastAsia" w:ascii="仿宋" w:hAnsi="仿宋" w:eastAsia="仿宋"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14:paraId="6ECEEAAB">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696167AE">
            <w:pPr>
              <w:widowControl/>
              <w:jc w:val="left"/>
              <w:rPr>
                <w:rFonts w:ascii="仿宋" w:hAnsi="仿宋" w:eastAsia="仿宋" w:cs="宋体"/>
                <w:kern w:val="0"/>
                <w:sz w:val="20"/>
                <w:szCs w:val="20"/>
              </w:rPr>
            </w:pPr>
            <w:r>
              <w:rPr>
                <w:rFonts w:hint="eastAsia" w:ascii="仿宋" w:hAnsi="仿宋" w:eastAsia="仿宋" w:cs="宋体"/>
                <w:kern w:val="0"/>
                <w:sz w:val="20"/>
                <w:szCs w:val="20"/>
              </w:rPr>
              <w:t>《道路和隧道照明用LED灯具能效限定值及能效等级》（GB37478）</w:t>
            </w:r>
          </w:p>
        </w:tc>
      </w:tr>
      <w:tr w14:paraId="5C791D2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ACF6301">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BC1DA47">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49796C20">
            <w:pPr>
              <w:widowControl/>
              <w:jc w:val="center"/>
              <w:rPr>
                <w:rFonts w:ascii="仿宋" w:hAnsi="仿宋" w:eastAsia="仿宋" w:cs="宋体"/>
                <w:kern w:val="0"/>
                <w:sz w:val="20"/>
                <w:szCs w:val="20"/>
              </w:rPr>
            </w:pPr>
            <w:r>
              <w:rPr>
                <w:rFonts w:hint="eastAsia" w:ascii="仿宋" w:hAnsi="仿宋" w:eastAsia="仿宋" w:cs="宋体"/>
                <w:kern w:val="0"/>
                <w:sz w:val="20"/>
                <w:szCs w:val="20"/>
              </w:rPr>
              <w:t>LED筒灯</w:t>
            </w:r>
          </w:p>
        </w:tc>
        <w:tc>
          <w:tcPr>
            <w:tcW w:w="1612" w:type="dxa"/>
            <w:tcBorders>
              <w:top w:val="nil"/>
              <w:left w:val="nil"/>
              <w:bottom w:val="single" w:color="000000" w:sz="8" w:space="0"/>
              <w:right w:val="single" w:color="000000" w:sz="8" w:space="0"/>
            </w:tcBorders>
            <w:vAlign w:val="center"/>
          </w:tcPr>
          <w:p w14:paraId="6B41CE4D">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30A7C9A5">
            <w:pPr>
              <w:widowControl/>
              <w:jc w:val="left"/>
              <w:rPr>
                <w:rFonts w:ascii="仿宋" w:hAnsi="仿宋" w:eastAsia="仿宋" w:cs="宋体"/>
                <w:kern w:val="0"/>
                <w:sz w:val="20"/>
                <w:szCs w:val="20"/>
              </w:rPr>
            </w:pPr>
            <w:r>
              <w:rPr>
                <w:rFonts w:hint="eastAsia" w:ascii="仿宋" w:hAnsi="仿宋" w:eastAsia="仿宋" w:cs="宋体"/>
                <w:kern w:val="0"/>
                <w:sz w:val="20"/>
                <w:szCs w:val="20"/>
              </w:rPr>
              <w:t>《室内照明用LED产品能效限定值及能效等级》（GB30255）</w:t>
            </w:r>
          </w:p>
        </w:tc>
      </w:tr>
      <w:tr w14:paraId="75E756D9">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vAlign w:val="center"/>
          </w:tcPr>
          <w:p w14:paraId="3F98525B">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D32B5AB">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2AA40D7E">
            <w:pPr>
              <w:widowControl/>
              <w:jc w:val="center"/>
              <w:rPr>
                <w:rFonts w:ascii="仿宋" w:hAnsi="仿宋" w:eastAsia="仿宋" w:cs="宋体"/>
                <w:kern w:val="0"/>
                <w:sz w:val="20"/>
                <w:szCs w:val="20"/>
              </w:rPr>
            </w:pPr>
            <w:r>
              <w:rPr>
                <w:rFonts w:hint="eastAsia" w:ascii="仿宋" w:hAnsi="仿宋" w:eastAsia="仿宋"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14:paraId="18A28019">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7AD7161D">
            <w:pPr>
              <w:widowControl/>
              <w:jc w:val="left"/>
              <w:rPr>
                <w:rFonts w:ascii="仿宋" w:hAnsi="仿宋" w:eastAsia="仿宋" w:cs="宋体"/>
                <w:kern w:val="0"/>
                <w:sz w:val="20"/>
                <w:szCs w:val="20"/>
              </w:rPr>
            </w:pPr>
            <w:r>
              <w:rPr>
                <w:rFonts w:hint="eastAsia" w:ascii="仿宋" w:hAnsi="仿宋" w:eastAsia="仿宋" w:cs="宋体"/>
                <w:kern w:val="0"/>
                <w:sz w:val="20"/>
                <w:szCs w:val="20"/>
              </w:rPr>
              <w:t>《室内照明用LED产品能效限定值及能效等级》（GB30255）</w:t>
            </w:r>
          </w:p>
        </w:tc>
      </w:tr>
      <w:tr w14:paraId="68E713FF">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vAlign w:val="center"/>
          </w:tcPr>
          <w:p w14:paraId="273B4F79">
            <w:pPr>
              <w:widowControl/>
              <w:jc w:val="center"/>
              <w:rPr>
                <w:rFonts w:ascii="仿宋" w:hAnsi="仿宋" w:eastAsia="仿宋" w:cs="宋体"/>
                <w:kern w:val="0"/>
                <w:sz w:val="20"/>
                <w:szCs w:val="20"/>
              </w:rPr>
            </w:pPr>
            <w:r>
              <w:rPr>
                <w:rFonts w:hint="eastAsia" w:ascii="仿宋" w:hAnsi="仿宋" w:eastAsia="仿宋" w:cs="宋体"/>
                <w:kern w:val="0"/>
                <w:sz w:val="20"/>
                <w:szCs w:val="20"/>
              </w:rPr>
              <w:t>12</w:t>
            </w:r>
          </w:p>
        </w:tc>
        <w:tc>
          <w:tcPr>
            <w:tcW w:w="1116" w:type="dxa"/>
            <w:tcBorders>
              <w:top w:val="nil"/>
              <w:left w:val="nil"/>
              <w:bottom w:val="single" w:color="000000" w:sz="8" w:space="0"/>
              <w:right w:val="single" w:color="000000" w:sz="8" w:space="0"/>
            </w:tcBorders>
            <w:vAlign w:val="center"/>
          </w:tcPr>
          <w:p w14:paraId="2C52BB27">
            <w:pPr>
              <w:widowControl/>
              <w:jc w:val="center"/>
              <w:rPr>
                <w:rFonts w:ascii="仿宋" w:hAnsi="仿宋" w:eastAsia="仿宋" w:cs="宋体"/>
                <w:kern w:val="0"/>
                <w:sz w:val="20"/>
                <w:szCs w:val="20"/>
              </w:rPr>
            </w:pPr>
            <w:r>
              <w:rPr>
                <w:rFonts w:hint="eastAsia" w:ascii="仿宋" w:hAnsi="仿宋" w:eastAsia="仿宋"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14:paraId="70FA19C6">
            <w:pPr>
              <w:widowControl/>
              <w:jc w:val="center"/>
              <w:rPr>
                <w:rFonts w:ascii="仿宋" w:hAnsi="仿宋" w:eastAsia="仿宋" w:cs="宋体"/>
                <w:kern w:val="0"/>
                <w:sz w:val="20"/>
                <w:szCs w:val="20"/>
              </w:rPr>
            </w:pPr>
            <w:r>
              <w:rPr>
                <w:rFonts w:hint="eastAsia" w:ascii="仿宋" w:hAnsi="仿宋" w:eastAsia="仿宋"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14:paraId="1D7A811D">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24078EE3">
            <w:pPr>
              <w:widowControl/>
              <w:jc w:val="left"/>
              <w:rPr>
                <w:rFonts w:ascii="仿宋" w:hAnsi="仿宋" w:eastAsia="仿宋" w:cs="宋体"/>
                <w:kern w:val="0"/>
                <w:sz w:val="20"/>
                <w:szCs w:val="20"/>
              </w:rPr>
            </w:pPr>
            <w:r>
              <w:rPr>
                <w:rFonts w:hint="eastAsia" w:ascii="仿宋" w:hAnsi="仿宋" w:eastAsia="仿宋" w:cs="宋体"/>
                <w:kern w:val="0"/>
                <w:sz w:val="20"/>
                <w:szCs w:val="20"/>
              </w:rPr>
              <w:t>《平板电视能效限定值及能效等级》（GB24850）</w:t>
            </w:r>
          </w:p>
        </w:tc>
      </w:tr>
      <w:tr w14:paraId="5A2FE4FC">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vAlign w:val="center"/>
          </w:tcPr>
          <w:p w14:paraId="21A46DEB">
            <w:pPr>
              <w:widowControl/>
              <w:jc w:val="center"/>
              <w:rPr>
                <w:rFonts w:ascii="仿宋" w:hAnsi="仿宋" w:eastAsia="仿宋" w:cs="宋体"/>
                <w:kern w:val="0"/>
                <w:sz w:val="20"/>
                <w:szCs w:val="20"/>
              </w:rPr>
            </w:pPr>
            <w:r>
              <w:rPr>
                <w:rFonts w:hint="eastAsia" w:ascii="仿宋" w:hAnsi="仿宋" w:eastAsia="仿宋" w:cs="宋体"/>
                <w:kern w:val="0"/>
                <w:sz w:val="20"/>
                <w:szCs w:val="20"/>
              </w:rPr>
              <w:t>13</w:t>
            </w:r>
          </w:p>
        </w:tc>
        <w:tc>
          <w:tcPr>
            <w:tcW w:w="1116" w:type="dxa"/>
            <w:tcBorders>
              <w:top w:val="nil"/>
              <w:left w:val="nil"/>
              <w:bottom w:val="single" w:color="000000" w:sz="8" w:space="0"/>
              <w:right w:val="single" w:color="000000" w:sz="8" w:space="0"/>
            </w:tcBorders>
            <w:vAlign w:val="center"/>
          </w:tcPr>
          <w:p w14:paraId="0A924865">
            <w:pPr>
              <w:widowControl/>
              <w:jc w:val="center"/>
              <w:rPr>
                <w:rFonts w:ascii="仿宋" w:hAnsi="仿宋" w:eastAsia="仿宋" w:cs="宋体"/>
                <w:kern w:val="0"/>
                <w:sz w:val="20"/>
                <w:szCs w:val="20"/>
              </w:rPr>
            </w:pPr>
            <w:r>
              <w:rPr>
                <w:rFonts w:hint="eastAsia" w:ascii="仿宋" w:hAnsi="仿宋" w:eastAsia="仿宋"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14:paraId="3050A456">
            <w:pPr>
              <w:widowControl/>
              <w:jc w:val="center"/>
              <w:rPr>
                <w:rFonts w:ascii="仿宋" w:hAnsi="仿宋" w:eastAsia="仿宋" w:cs="宋体"/>
                <w:kern w:val="0"/>
                <w:sz w:val="20"/>
                <w:szCs w:val="20"/>
              </w:rPr>
            </w:pPr>
            <w:r>
              <w:rPr>
                <w:rFonts w:hint="eastAsia" w:ascii="仿宋" w:hAnsi="仿宋" w:eastAsia="仿宋"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14:paraId="5CD0511E">
            <w:pPr>
              <w:widowControl/>
              <w:jc w:val="center"/>
              <w:rPr>
                <w:rFonts w:ascii="仿宋" w:hAnsi="仿宋" w:eastAsia="仿宋" w:cs="宋体"/>
                <w:kern w:val="0"/>
                <w:sz w:val="20"/>
                <w:szCs w:val="20"/>
              </w:rPr>
            </w:pPr>
            <w:r>
              <w:rPr>
                <w:rFonts w:hint="eastAsia" w:ascii="仿宋" w:hAnsi="仿宋" w:eastAsia="仿宋" w:cs="宋体"/>
                <w:kern w:val="0"/>
                <w:sz w:val="20"/>
                <w:szCs w:val="20"/>
              </w:rPr>
              <w:t>监视器</w:t>
            </w:r>
          </w:p>
        </w:tc>
        <w:tc>
          <w:tcPr>
            <w:tcW w:w="4335" w:type="dxa"/>
            <w:tcBorders>
              <w:top w:val="nil"/>
              <w:left w:val="nil"/>
              <w:bottom w:val="single" w:color="000000" w:sz="8" w:space="0"/>
              <w:right w:val="single" w:color="000000" w:sz="8" w:space="0"/>
            </w:tcBorders>
            <w:vAlign w:val="center"/>
          </w:tcPr>
          <w:p w14:paraId="046B5FEC">
            <w:pPr>
              <w:widowControl/>
              <w:jc w:val="left"/>
              <w:rPr>
                <w:rFonts w:ascii="仿宋" w:hAnsi="仿宋" w:eastAsia="仿宋" w:cs="宋体"/>
                <w:kern w:val="0"/>
                <w:sz w:val="20"/>
                <w:szCs w:val="20"/>
              </w:rPr>
            </w:pPr>
            <w:r>
              <w:rPr>
                <w:rFonts w:hint="eastAsia" w:ascii="仿宋" w:hAnsi="仿宋" w:eastAsia="仿宋"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77BEA4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2209200F">
            <w:pPr>
              <w:widowControl/>
              <w:jc w:val="center"/>
              <w:rPr>
                <w:rFonts w:ascii="仿宋" w:hAnsi="仿宋" w:eastAsia="仿宋" w:cs="宋体"/>
                <w:kern w:val="0"/>
                <w:sz w:val="20"/>
                <w:szCs w:val="20"/>
              </w:rPr>
            </w:pPr>
            <w:r>
              <w:rPr>
                <w:rFonts w:hint="eastAsia" w:ascii="仿宋" w:hAnsi="仿宋" w:eastAsia="仿宋" w:cs="宋体"/>
                <w:kern w:val="0"/>
                <w:sz w:val="20"/>
                <w:szCs w:val="20"/>
              </w:rPr>
              <w:t>14</w:t>
            </w:r>
          </w:p>
        </w:tc>
        <w:tc>
          <w:tcPr>
            <w:tcW w:w="1116" w:type="dxa"/>
            <w:tcBorders>
              <w:top w:val="nil"/>
              <w:left w:val="nil"/>
              <w:bottom w:val="single" w:color="000000" w:sz="8" w:space="0"/>
              <w:right w:val="single" w:color="000000" w:sz="8" w:space="0"/>
            </w:tcBorders>
            <w:vAlign w:val="center"/>
          </w:tcPr>
          <w:p w14:paraId="5EA383A4">
            <w:pPr>
              <w:widowControl/>
              <w:jc w:val="center"/>
              <w:rPr>
                <w:rFonts w:ascii="仿宋" w:hAnsi="仿宋" w:eastAsia="仿宋" w:cs="宋体"/>
                <w:kern w:val="0"/>
                <w:sz w:val="20"/>
                <w:szCs w:val="20"/>
              </w:rPr>
            </w:pPr>
            <w:r>
              <w:rPr>
                <w:rFonts w:hint="eastAsia" w:ascii="仿宋" w:hAnsi="仿宋" w:eastAsia="仿宋"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14:paraId="0E4001A3">
            <w:pPr>
              <w:widowControl/>
              <w:jc w:val="center"/>
              <w:rPr>
                <w:rFonts w:ascii="仿宋" w:hAnsi="仿宋" w:eastAsia="仿宋" w:cs="宋体"/>
                <w:kern w:val="0"/>
                <w:sz w:val="20"/>
                <w:szCs w:val="20"/>
              </w:rPr>
            </w:pPr>
            <w:r>
              <w:rPr>
                <w:rFonts w:hint="eastAsia" w:ascii="仿宋" w:hAnsi="仿宋" w:eastAsia="仿宋"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14:paraId="28F6613B">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66B522C4">
            <w:pPr>
              <w:widowControl/>
              <w:jc w:val="left"/>
              <w:rPr>
                <w:rFonts w:ascii="仿宋" w:hAnsi="仿宋" w:eastAsia="仿宋" w:cs="宋体"/>
                <w:kern w:val="0"/>
                <w:sz w:val="20"/>
                <w:szCs w:val="20"/>
              </w:rPr>
            </w:pPr>
            <w:r>
              <w:rPr>
                <w:rFonts w:hint="eastAsia" w:ascii="仿宋" w:hAnsi="仿宋" w:eastAsia="仿宋" w:cs="宋体"/>
                <w:kern w:val="0"/>
                <w:sz w:val="20"/>
                <w:szCs w:val="20"/>
              </w:rPr>
              <w:t>《商用燃气灶具能效限定值及能效等级》（GB30531）</w:t>
            </w:r>
          </w:p>
        </w:tc>
      </w:tr>
      <w:tr w14:paraId="4BB3B003">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vAlign w:val="center"/>
          </w:tcPr>
          <w:p w14:paraId="29A5DE67">
            <w:pPr>
              <w:widowControl/>
              <w:jc w:val="center"/>
              <w:rPr>
                <w:rFonts w:ascii="仿宋" w:hAnsi="仿宋" w:eastAsia="仿宋" w:cs="宋体"/>
                <w:kern w:val="0"/>
                <w:sz w:val="20"/>
                <w:szCs w:val="20"/>
              </w:rPr>
            </w:pPr>
            <w:r>
              <w:rPr>
                <w:rFonts w:hint="eastAsia" w:ascii="仿宋" w:hAnsi="仿宋" w:eastAsia="仿宋"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14:paraId="5CD081A1">
            <w:pPr>
              <w:widowControl/>
              <w:jc w:val="center"/>
              <w:rPr>
                <w:rFonts w:ascii="仿宋" w:hAnsi="仿宋" w:eastAsia="仿宋" w:cs="宋体"/>
                <w:kern w:val="0"/>
                <w:sz w:val="20"/>
                <w:szCs w:val="20"/>
              </w:rPr>
            </w:pPr>
            <w:r>
              <w:rPr>
                <w:rFonts w:hint="eastAsia" w:ascii="仿宋" w:hAnsi="仿宋" w:eastAsia="仿宋" w:cs="宋体"/>
                <w:kern w:val="0"/>
                <w:sz w:val="20"/>
                <w:szCs w:val="20"/>
              </w:rPr>
              <w:t>★A060805便器</w:t>
            </w:r>
          </w:p>
        </w:tc>
        <w:tc>
          <w:tcPr>
            <w:tcW w:w="1516" w:type="dxa"/>
            <w:tcBorders>
              <w:top w:val="nil"/>
              <w:left w:val="nil"/>
              <w:bottom w:val="single" w:color="000000" w:sz="8" w:space="0"/>
              <w:right w:val="single" w:color="000000" w:sz="8" w:space="0"/>
            </w:tcBorders>
            <w:vAlign w:val="center"/>
          </w:tcPr>
          <w:p w14:paraId="4AA4368A">
            <w:pPr>
              <w:widowControl/>
              <w:jc w:val="center"/>
              <w:rPr>
                <w:rFonts w:ascii="仿宋" w:hAnsi="仿宋" w:eastAsia="仿宋" w:cs="宋体"/>
                <w:kern w:val="0"/>
                <w:sz w:val="20"/>
                <w:szCs w:val="20"/>
              </w:rPr>
            </w:pPr>
            <w:r>
              <w:rPr>
                <w:rFonts w:hint="eastAsia" w:ascii="仿宋" w:hAnsi="仿宋" w:eastAsia="仿宋" w:cs="宋体"/>
                <w:kern w:val="0"/>
                <w:sz w:val="20"/>
                <w:szCs w:val="20"/>
              </w:rPr>
              <w:t>坐便器</w:t>
            </w:r>
          </w:p>
        </w:tc>
        <w:tc>
          <w:tcPr>
            <w:tcW w:w="1612" w:type="dxa"/>
            <w:tcBorders>
              <w:top w:val="nil"/>
              <w:left w:val="nil"/>
              <w:bottom w:val="single" w:color="000000" w:sz="8" w:space="0"/>
              <w:right w:val="single" w:color="000000" w:sz="8" w:space="0"/>
            </w:tcBorders>
            <w:vAlign w:val="center"/>
          </w:tcPr>
          <w:p w14:paraId="040CEA4C">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4E073ECF">
            <w:pPr>
              <w:widowControl/>
              <w:jc w:val="left"/>
              <w:rPr>
                <w:rFonts w:ascii="仿宋" w:hAnsi="仿宋" w:eastAsia="仿宋" w:cs="宋体"/>
                <w:kern w:val="0"/>
                <w:sz w:val="20"/>
                <w:szCs w:val="20"/>
              </w:rPr>
            </w:pPr>
            <w:r>
              <w:rPr>
                <w:rFonts w:hint="eastAsia" w:ascii="仿宋" w:hAnsi="仿宋" w:eastAsia="仿宋" w:cs="宋体"/>
                <w:kern w:val="0"/>
                <w:sz w:val="20"/>
                <w:szCs w:val="20"/>
              </w:rPr>
              <w:t>《坐便器水效限定值及水效等级》（GB25502）</w:t>
            </w:r>
          </w:p>
        </w:tc>
      </w:tr>
      <w:tr w14:paraId="66D628B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0838A31A">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407A20F5">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3F956123">
            <w:pPr>
              <w:widowControl/>
              <w:jc w:val="center"/>
              <w:rPr>
                <w:rFonts w:ascii="仿宋" w:hAnsi="仿宋" w:eastAsia="仿宋" w:cs="宋体"/>
                <w:kern w:val="0"/>
                <w:sz w:val="20"/>
                <w:szCs w:val="20"/>
              </w:rPr>
            </w:pPr>
            <w:r>
              <w:rPr>
                <w:rFonts w:hint="eastAsia" w:ascii="仿宋" w:hAnsi="仿宋" w:eastAsia="仿宋" w:cs="宋体"/>
                <w:kern w:val="0"/>
                <w:sz w:val="20"/>
                <w:szCs w:val="20"/>
              </w:rPr>
              <w:t>蹲便器</w:t>
            </w:r>
          </w:p>
        </w:tc>
        <w:tc>
          <w:tcPr>
            <w:tcW w:w="1612" w:type="dxa"/>
            <w:tcBorders>
              <w:top w:val="nil"/>
              <w:left w:val="nil"/>
              <w:bottom w:val="single" w:color="000000" w:sz="8" w:space="0"/>
              <w:right w:val="single" w:color="000000" w:sz="8" w:space="0"/>
            </w:tcBorders>
            <w:vAlign w:val="center"/>
          </w:tcPr>
          <w:p w14:paraId="546C51CD">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29AE13E">
            <w:pPr>
              <w:widowControl/>
              <w:jc w:val="left"/>
              <w:rPr>
                <w:rFonts w:ascii="仿宋" w:hAnsi="仿宋" w:eastAsia="仿宋" w:cs="宋体"/>
                <w:kern w:val="0"/>
                <w:sz w:val="20"/>
                <w:szCs w:val="20"/>
              </w:rPr>
            </w:pPr>
            <w:r>
              <w:rPr>
                <w:rFonts w:hint="eastAsia" w:ascii="仿宋" w:hAnsi="仿宋" w:eastAsia="仿宋" w:cs="宋体"/>
                <w:kern w:val="0"/>
                <w:sz w:val="20"/>
                <w:szCs w:val="20"/>
              </w:rPr>
              <w:t>《蹲便器用水效率限定值及用水效率等级》（GB30717）</w:t>
            </w:r>
          </w:p>
        </w:tc>
      </w:tr>
      <w:tr w14:paraId="4844A4A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vAlign w:val="center"/>
          </w:tcPr>
          <w:p w14:paraId="29902BC2">
            <w:pPr>
              <w:widowControl/>
              <w:jc w:val="left"/>
              <w:rPr>
                <w:rFonts w:ascii="仿宋" w:hAnsi="仿宋" w:eastAsia="仿宋"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14:paraId="5B8B99D8">
            <w:pPr>
              <w:widowControl/>
              <w:jc w:val="left"/>
              <w:rPr>
                <w:rFonts w:ascii="仿宋" w:hAnsi="仿宋" w:eastAsia="仿宋" w:cs="宋体"/>
                <w:kern w:val="0"/>
                <w:sz w:val="20"/>
                <w:szCs w:val="20"/>
              </w:rPr>
            </w:pPr>
          </w:p>
        </w:tc>
        <w:tc>
          <w:tcPr>
            <w:tcW w:w="1516" w:type="dxa"/>
            <w:tcBorders>
              <w:top w:val="nil"/>
              <w:left w:val="nil"/>
              <w:bottom w:val="single" w:color="000000" w:sz="8" w:space="0"/>
              <w:right w:val="single" w:color="000000" w:sz="8" w:space="0"/>
            </w:tcBorders>
            <w:vAlign w:val="center"/>
          </w:tcPr>
          <w:p w14:paraId="2A9204C5">
            <w:pPr>
              <w:widowControl/>
              <w:jc w:val="center"/>
              <w:rPr>
                <w:rFonts w:ascii="仿宋" w:hAnsi="仿宋" w:eastAsia="仿宋" w:cs="宋体"/>
                <w:kern w:val="0"/>
                <w:sz w:val="20"/>
                <w:szCs w:val="20"/>
              </w:rPr>
            </w:pPr>
            <w:r>
              <w:rPr>
                <w:rFonts w:hint="eastAsia" w:ascii="仿宋" w:hAnsi="仿宋" w:eastAsia="仿宋" w:cs="宋体"/>
                <w:kern w:val="0"/>
                <w:sz w:val="20"/>
                <w:szCs w:val="20"/>
              </w:rPr>
              <w:t>小便器</w:t>
            </w:r>
          </w:p>
        </w:tc>
        <w:tc>
          <w:tcPr>
            <w:tcW w:w="1612" w:type="dxa"/>
            <w:tcBorders>
              <w:top w:val="nil"/>
              <w:left w:val="nil"/>
              <w:bottom w:val="single" w:color="000000" w:sz="8" w:space="0"/>
              <w:right w:val="single" w:color="000000" w:sz="8" w:space="0"/>
            </w:tcBorders>
            <w:vAlign w:val="center"/>
          </w:tcPr>
          <w:p w14:paraId="1C832213">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C27BFBE">
            <w:pPr>
              <w:widowControl/>
              <w:jc w:val="left"/>
              <w:rPr>
                <w:rFonts w:ascii="仿宋" w:hAnsi="仿宋" w:eastAsia="仿宋" w:cs="宋体"/>
                <w:kern w:val="0"/>
                <w:sz w:val="20"/>
                <w:szCs w:val="20"/>
              </w:rPr>
            </w:pPr>
            <w:r>
              <w:rPr>
                <w:rFonts w:hint="eastAsia" w:ascii="仿宋" w:hAnsi="仿宋" w:eastAsia="仿宋" w:cs="宋体"/>
                <w:kern w:val="0"/>
                <w:sz w:val="20"/>
                <w:szCs w:val="20"/>
              </w:rPr>
              <w:t>《小便器用水效率限定值及用水效率等级》（GB28377）</w:t>
            </w:r>
          </w:p>
        </w:tc>
      </w:tr>
      <w:tr w14:paraId="72BCCB98">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7A879B0E">
            <w:pPr>
              <w:widowControl/>
              <w:jc w:val="center"/>
              <w:rPr>
                <w:rFonts w:ascii="仿宋" w:hAnsi="仿宋" w:eastAsia="仿宋" w:cs="宋体"/>
                <w:kern w:val="0"/>
                <w:sz w:val="20"/>
                <w:szCs w:val="20"/>
              </w:rPr>
            </w:pPr>
            <w:r>
              <w:rPr>
                <w:rFonts w:hint="eastAsia" w:ascii="仿宋" w:hAnsi="仿宋" w:eastAsia="仿宋" w:cs="宋体"/>
                <w:kern w:val="0"/>
                <w:sz w:val="20"/>
                <w:szCs w:val="20"/>
              </w:rPr>
              <w:t>16</w:t>
            </w:r>
          </w:p>
        </w:tc>
        <w:tc>
          <w:tcPr>
            <w:tcW w:w="1116" w:type="dxa"/>
            <w:tcBorders>
              <w:top w:val="nil"/>
              <w:left w:val="nil"/>
              <w:bottom w:val="single" w:color="000000" w:sz="8" w:space="0"/>
              <w:right w:val="single" w:color="000000" w:sz="8" w:space="0"/>
            </w:tcBorders>
            <w:vAlign w:val="center"/>
          </w:tcPr>
          <w:p w14:paraId="40243C63">
            <w:pPr>
              <w:widowControl/>
              <w:jc w:val="center"/>
              <w:rPr>
                <w:rFonts w:ascii="仿宋" w:hAnsi="仿宋" w:eastAsia="仿宋" w:cs="宋体"/>
                <w:kern w:val="0"/>
                <w:sz w:val="20"/>
                <w:szCs w:val="20"/>
              </w:rPr>
            </w:pPr>
            <w:r>
              <w:rPr>
                <w:rFonts w:hint="eastAsia" w:ascii="仿宋" w:hAnsi="仿宋" w:eastAsia="仿宋" w:cs="宋体"/>
                <w:kern w:val="0"/>
                <w:sz w:val="20"/>
                <w:szCs w:val="20"/>
              </w:rPr>
              <w:t>★A060806水嘴</w:t>
            </w:r>
          </w:p>
        </w:tc>
        <w:tc>
          <w:tcPr>
            <w:tcW w:w="1516" w:type="dxa"/>
            <w:tcBorders>
              <w:top w:val="nil"/>
              <w:left w:val="nil"/>
              <w:bottom w:val="single" w:color="000000" w:sz="8" w:space="0"/>
              <w:right w:val="single" w:color="000000" w:sz="8" w:space="0"/>
            </w:tcBorders>
            <w:vAlign w:val="center"/>
          </w:tcPr>
          <w:p w14:paraId="01854A27">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65C66E72">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59AFCFE7">
            <w:pPr>
              <w:widowControl/>
              <w:jc w:val="left"/>
              <w:rPr>
                <w:rFonts w:ascii="仿宋" w:hAnsi="仿宋" w:eastAsia="仿宋" w:cs="宋体"/>
                <w:kern w:val="0"/>
                <w:sz w:val="20"/>
                <w:szCs w:val="20"/>
              </w:rPr>
            </w:pPr>
            <w:r>
              <w:rPr>
                <w:rFonts w:hint="eastAsia" w:ascii="仿宋" w:hAnsi="仿宋" w:eastAsia="仿宋" w:cs="宋体"/>
                <w:kern w:val="0"/>
                <w:sz w:val="20"/>
                <w:szCs w:val="20"/>
              </w:rPr>
              <w:t>《水嘴用水效率限定值及用水效率等级》（GB 25501）</w:t>
            </w:r>
          </w:p>
        </w:tc>
      </w:tr>
      <w:tr w14:paraId="503CA433">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4615453C">
            <w:pPr>
              <w:widowControl/>
              <w:jc w:val="center"/>
              <w:rPr>
                <w:rFonts w:ascii="仿宋" w:hAnsi="仿宋" w:eastAsia="仿宋" w:cs="宋体"/>
                <w:kern w:val="0"/>
                <w:sz w:val="20"/>
                <w:szCs w:val="20"/>
              </w:rPr>
            </w:pPr>
            <w:r>
              <w:rPr>
                <w:rFonts w:hint="eastAsia" w:ascii="仿宋" w:hAnsi="仿宋" w:eastAsia="仿宋" w:cs="宋体"/>
                <w:kern w:val="0"/>
                <w:sz w:val="20"/>
                <w:szCs w:val="20"/>
              </w:rPr>
              <w:t>17</w:t>
            </w:r>
          </w:p>
        </w:tc>
        <w:tc>
          <w:tcPr>
            <w:tcW w:w="1116" w:type="dxa"/>
            <w:tcBorders>
              <w:top w:val="nil"/>
              <w:left w:val="nil"/>
              <w:bottom w:val="single" w:color="000000" w:sz="8" w:space="0"/>
              <w:right w:val="single" w:color="000000" w:sz="8" w:space="0"/>
            </w:tcBorders>
            <w:vAlign w:val="center"/>
          </w:tcPr>
          <w:p w14:paraId="5DA7ABE6">
            <w:pPr>
              <w:widowControl/>
              <w:jc w:val="center"/>
              <w:rPr>
                <w:rFonts w:ascii="仿宋" w:hAnsi="仿宋" w:eastAsia="仿宋" w:cs="宋体"/>
                <w:kern w:val="0"/>
                <w:sz w:val="20"/>
                <w:szCs w:val="20"/>
              </w:rPr>
            </w:pPr>
            <w:r>
              <w:rPr>
                <w:rFonts w:hint="eastAsia" w:ascii="仿宋" w:hAnsi="仿宋" w:eastAsia="仿宋"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14:paraId="38EEF66E">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6C9AEB5B">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630914AC">
            <w:pPr>
              <w:widowControl/>
              <w:jc w:val="left"/>
              <w:rPr>
                <w:rFonts w:ascii="仿宋" w:hAnsi="仿宋" w:eastAsia="仿宋" w:cs="宋体"/>
                <w:kern w:val="0"/>
                <w:sz w:val="20"/>
                <w:szCs w:val="20"/>
              </w:rPr>
            </w:pPr>
            <w:r>
              <w:rPr>
                <w:rFonts w:hint="eastAsia" w:ascii="仿宋" w:hAnsi="仿宋" w:eastAsia="仿宋" w:cs="宋体"/>
                <w:kern w:val="0"/>
                <w:sz w:val="20"/>
                <w:szCs w:val="20"/>
              </w:rPr>
              <w:t>《便器冲洗阀用水效率限定值及用水效率等级》（GB28379）</w:t>
            </w:r>
          </w:p>
        </w:tc>
      </w:tr>
      <w:tr w14:paraId="06EB9117">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vAlign w:val="center"/>
          </w:tcPr>
          <w:p w14:paraId="37B6170C">
            <w:pPr>
              <w:widowControl/>
              <w:jc w:val="center"/>
              <w:rPr>
                <w:rFonts w:ascii="仿宋" w:hAnsi="仿宋" w:eastAsia="仿宋" w:cs="宋体"/>
                <w:kern w:val="0"/>
                <w:sz w:val="20"/>
                <w:szCs w:val="20"/>
              </w:rPr>
            </w:pPr>
            <w:r>
              <w:rPr>
                <w:rFonts w:hint="eastAsia" w:ascii="仿宋" w:hAnsi="仿宋" w:eastAsia="仿宋" w:cs="宋体"/>
                <w:kern w:val="0"/>
                <w:sz w:val="20"/>
                <w:szCs w:val="20"/>
              </w:rPr>
              <w:t>18</w:t>
            </w:r>
          </w:p>
        </w:tc>
        <w:tc>
          <w:tcPr>
            <w:tcW w:w="1116" w:type="dxa"/>
            <w:tcBorders>
              <w:top w:val="nil"/>
              <w:left w:val="nil"/>
              <w:bottom w:val="single" w:color="000000" w:sz="8" w:space="0"/>
              <w:right w:val="single" w:color="000000" w:sz="8" w:space="0"/>
            </w:tcBorders>
            <w:vAlign w:val="center"/>
          </w:tcPr>
          <w:p w14:paraId="4104058B">
            <w:pPr>
              <w:widowControl/>
              <w:jc w:val="center"/>
              <w:rPr>
                <w:rFonts w:ascii="仿宋" w:hAnsi="仿宋" w:eastAsia="仿宋" w:cs="宋体"/>
                <w:kern w:val="0"/>
                <w:sz w:val="20"/>
                <w:szCs w:val="20"/>
              </w:rPr>
            </w:pPr>
            <w:r>
              <w:rPr>
                <w:rFonts w:hint="eastAsia" w:ascii="仿宋" w:hAnsi="仿宋" w:eastAsia="仿宋"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14:paraId="5D949769">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1612" w:type="dxa"/>
            <w:tcBorders>
              <w:top w:val="nil"/>
              <w:left w:val="nil"/>
              <w:bottom w:val="single" w:color="000000" w:sz="8" w:space="0"/>
              <w:right w:val="single" w:color="000000" w:sz="8" w:space="0"/>
            </w:tcBorders>
            <w:vAlign w:val="center"/>
          </w:tcPr>
          <w:p w14:paraId="7967A0B4">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4335" w:type="dxa"/>
            <w:tcBorders>
              <w:top w:val="nil"/>
              <w:left w:val="nil"/>
              <w:bottom w:val="single" w:color="000000" w:sz="8" w:space="0"/>
              <w:right w:val="single" w:color="000000" w:sz="8" w:space="0"/>
            </w:tcBorders>
            <w:vAlign w:val="center"/>
          </w:tcPr>
          <w:p w14:paraId="63FC9A42">
            <w:pPr>
              <w:widowControl/>
              <w:jc w:val="left"/>
              <w:rPr>
                <w:rFonts w:ascii="仿宋" w:hAnsi="仿宋" w:eastAsia="仿宋" w:cs="宋体"/>
                <w:kern w:val="0"/>
                <w:sz w:val="20"/>
                <w:szCs w:val="20"/>
              </w:rPr>
            </w:pPr>
            <w:r>
              <w:rPr>
                <w:rFonts w:hint="eastAsia" w:ascii="仿宋" w:hAnsi="仿宋" w:eastAsia="仿宋" w:cs="宋体"/>
                <w:kern w:val="0"/>
                <w:sz w:val="20"/>
                <w:szCs w:val="20"/>
              </w:rPr>
              <w:t>《淋浴器用水效率限定值及用水效率等级》（GB28378）</w:t>
            </w:r>
          </w:p>
        </w:tc>
      </w:tr>
    </w:tbl>
    <w:p w14:paraId="4F9F345C">
      <w:pPr>
        <w:spacing w:line="360" w:lineRule="auto"/>
        <w:rPr>
          <w:rFonts w:ascii="仿宋" w:hAnsi="仿宋" w:eastAsia="仿宋"/>
          <w:szCs w:val="21"/>
        </w:rPr>
      </w:pPr>
      <w:r>
        <w:rPr>
          <w:rFonts w:hint="eastAsia" w:ascii="仿宋" w:hAnsi="仿宋" w:eastAsia="仿宋"/>
          <w:spacing w:val="-3"/>
          <w:szCs w:val="21"/>
        </w:rPr>
        <w:t>注：1.节能产品认证应依据相关国家标准的最新版本，依据国家标准中二级能效（水效）</w:t>
      </w:r>
      <w:r>
        <w:rPr>
          <w:rFonts w:hint="eastAsia" w:ascii="仿宋" w:hAnsi="仿宋" w:eastAsia="仿宋"/>
          <w:szCs w:val="21"/>
        </w:rPr>
        <w:t>指标。</w:t>
      </w:r>
    </w:p>
    <w:p w14:paraId="1F9B17CF">
      <w:pPr>
        <w:spacing w:line="360" w:lineRule="auto"/>
        <w:rPr>
          <w:b/>
          <w:bCs/>
          <w:szCs w:val="21"/>
        </w:rPr>
      </w:pPr>
      <w:r>
        <w:rPr>
          <w:rFonts w:hint="eastAsia" w:ascii="仿宋" w:hAnsi="仿宋" w:eastAsia="仿宋"/>
        </w:rPr>
        <w:t xml:space="preserve">    2.以“★”标注的为政府强制采购产品。</w:t>
      </w:r>
    </w:p>
    <w:p w14:paraId="51DBA61F">
      <w:pPr>
        <w:jc w:val="left"/>
        <w:rPr>
          <w:rFonts w:ascii="仿宋" w:hAnsi="仿宋" w:eastAsia="仿宋" w:cs="Arial Unicode MS"/>
          <w:sz w:val="32"/>
          <w:szCs w:val="32"/>
        </w:rPr>
      </w:pPr>
      <w:r>
        <w:rPr>
          <w:rFonts w:hAnsi="宋体"/>
        </w:rPr>
        <w:br w:type="page"/>
      </w:r>
      <w:r>
        <w:rPr>
          <w:rFonts w:hint="eastAsia" w:ascii="仿宋" w:hAnsi="仿宋" w:eastAsia="仿宋" w:cs="Arial Unicode MS"/>
          <w:sz w:val="32"/>
          <w:szCs w:val="32"/>
        </w:rPr>
        <w:t>附件2：</w:t>
      </w:r>
    </w:p>
    <w:p w14:paraId="756736A4">
      <w:pPr>
        <w:spacing w:line="528" w:lineRule="exact"/>
        <w:ind w:left="1871" w:firstLine="1200" w:firstLineChars="300"/>
        <w:rPr>
          <w:rFonts w:ascii="仿宋" w:hAnsi="仿宋" w:eastAsia="仿宋" w:cs="Arial Unicode MS"/>
          <w:sz w:val="40"/>
          <w:szCs w:val="40"/>
        </w:rPr>
      </w:pPr>
      <w:r>
        <w:rPr>
          <w:rFonts w:hint="eastAsia" w:ascii="仿宋" w:hAnsi="仿宋" w:eastAsia="仿宋" w:cs="Arial Unicode MS"/>
          <w:sz w:val="40"/>
          <w:szCs w:val="40"/>
        </w:rPr>
        <w:t>中小微企业划型标准</w:t>
      </w:r>
    </w:p>
    <w:tbl>
      <w:tblPr>
        <w:tblStyle w:val="35"/>
        <w:tblW w:w="8748" w:type="dxa"/>
        <w:tblInd w:w="250" w:type="dxa"/>
        <w:tblLayout w:type="fixed"/>
        <w:tblCellMar>
          <w:top w:w="0" w:type="dxa"/>
          <w:left w:w="108" w:type="dxa"/>
          <w:bottom w:w="0" w:type="dxa"/>
          <w:right w:w="108" w:type="dxa"/>
        </w:tblCellMar>
      </w:tblPr>
      <w:tblGrid>
        <w:gridCol w:w="1985"/>
        <w:gridCol w:w="1676"/>
        <w:gridCol w:w="912"/>
        <w:gridCol w:w="1725"/>
        <w:gridCol w:w="1513"/>
        <w:gridCol w:w="937"/>
      </w:tblGrid>
      <w:tr w14:paraId="179B9749">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6EEB667F">
            <w:pPr>
              <w:widowControl/>
              <w:jc w:val="left"/>
              <w:rPr>
                <w:rFonts w:ascii="仿宋" w:hAnsi="仿宋" w:eastAsia="仿宋" w:cs="宋体"/>
                <w:b/>
                <w:kern w:val="0"/>
                <w:sz w:val="24"/>
              </w:rPr>
            </w:pPr>
            <w:r>
              <w:rPr>
                <w:rFonts w:hint="eastAsia" w:ascii="仿宋" w:hAnsi="仿宋" w:eastAsia="仿宋" w:cs="宋体"/>
                <w:b/>
                <w:kern w:val="0"/>
                <w:sz w:val="24"/>
              </w:rPr>
              <w:t>行业名称</w:t>
            </w:r>
          </w:p>
        </w:tc>
        <w:tc>
          <w:tcPr>
            <w:tcW w:w="1676" w:type="dxa"/>
            <w:tcBorders>
              <w:top w:val="single" w:color="auto" w:sz="4" w:space="0"/>
              <w:left w:val="nil"/>
              <w:bottom w:val="single" w:color="auto" w:sz="4" w:space="0"/>
              <w:right w:val="single" w:color="auto" w:sz="4" w:space="0"/>
            </w:tcBorders>
            <w:vAlign w:val="center"/>
          </w:tcPr>
          <w:p w14:paraId="0451276C">
            <w:pPr>
              <w:widowControl/>
              <w:jc w:val="left"/>
              <w:rPr>
                <w:rFonts w:ascii="仿宋" w:hAnsi="仿宋" w:eastAsia="仿宋" w:cs="宋体"/>
                <w:b/>
                <w:kern w:val="0"/>
                <w:sz w:val="24"/>
              </w:rPr>
            </w:pPr>
            <w:r>
              <w:rPr>
                <w:rFonts w:hint="eastAsia" w:ascii="仿宋" w:hAnsi="仿宋" w:eastAsia="仿宋" w:cs="宋体"/>
                <w:b/>
                <w:kern w:val="0"/>
                <w:sz w:val="24"/>
              </w:rPr>
              <w:t>指标名称</w:t>
            </w:r>
          </w:p>
        </w:tc>
        <w:tc>
          <w:tcPr>
            <w:tcW w:w="912" w:type="dxa"/>
            <w:tcBorders>
              <w:top w:val="single" w:color="auto" w:sz="4" w:space="0"/>
              <w:left w:val="nil"/>
              <w:bottom w:val="single" w:color="auto" w:sz="4" w:space="0"/>
              <w:right w:val="single" w:color="auto" w:sz="4" w:space="0"/>
            </w:tcBorders>
            <w:vAlign w:val="center"/>
          </w:tcPr>
          <w:p w14:paraId="75270BAF">
            <w:pPr>
              <w:widowControl/>
              <w:jc w:val="left"/>
              <w:rPr>
                <w:rFonts w:ascii="仿宋" w:hAnsi="仿宋" w:eastAsia="仿宋" w:cs="宋体"/>
                <w:b/>
                <w:kern w:val="0"/>
                <w:sz w:val="24"/>
              </w:rPr>
            </w:pPr>
            <w:r>
              <w:rPr>
                <w:rFonts w:hint="eastAsia" w:ascii="仿宋" w:hAnsi="仿宋" w:eastAsia="仿宋" w:cs="宋体"/>
                <w:b/>
                <w:kern w:val="0"/>
                <w:sz w:val="24"/>
              </w:rPr>
              <w:t>计量单位</w:t>
            </w:r>
          </w:p>
        </w:tc>
        <w:tc>
          <w:tcPr>
            <w:tcW w:w="1725" w:type="dxa"/>
            <w:tcBorders>
              <w:top w:val="single" w:color="auto" w:sz="4" w:space="0"/>
              <w:left w:val="nil"/>
              <w:bottom w:val="single" w:color="auto" w:sz="4" w:space="0"/>
              <w:right w:val="single" w:color="auto" w:sz="4" w:space="0"/>
            </w:tcBorders>
            <w:vAlign w:val="center"/>
          </w:tcPr>
          <w:p w14:paraId="181F43D5">
            <w:pPr>
              <w:widowControl/>
              <w:jc w:val="left"/>
              <w:rPr>
                <w:rFonts w:ascii="仿宋" w:hAnsi="仿宋" w:eastAsia="仿宋" w:cs="宋体"/>
                <w:b/>
                <w:kern w:val="0"/>
                <w:sz w:val="24"/>
              </w:rPr>
            </w:pPr>
            <w:r>
              <w:rPr>
                <w:rFonts w:hint="eastAsia" w:ascii="仿宋" w:hAnsi="仿宋" w:eastAsia="仿宋" w:cs="宋体"/>
                <w:b/>
                <w:kern w:val="0"/>
                <w:sz w:val="24"/>
              </w:rPr>
              <w:t>中型</w:t>
            </w:r>
          </w:p>
        </w:tc>
        <w:tc>
          <w:tcPr>
            <w:tcW w:w="1513" w:type="dxa"/>
            <w:tcBorders>
              <w:top w:val="single" w:color="auto" w:sz="4" w:space="0"/>
              <w:left w:val="nil"/>
              <w:bottom w:val="single" w:color="auto" w:sz="4" w:space="0"/>
              <w:right w:val="single" w:color="auto" w:sz="4" w:space="0"/>
            </w:tcBorders>
            <w:vAlign w:val="center"/>
          </w:tcPr>
          <w:p w14:paraId="12C87C72">
            <w:pPr>
              <w:widowControl/>
              <w:jc w:val="left"/>
              <w:rPr>
                <w:rFonts w:ascii="仿宋" w:hAnsi="仿宋" w:eastAsia="仿宋" w:cs="宋体"/>
                <w:b/>
                <w:kern w:val="0"/>
                <w:sz w:val="24"/>
              </w:rPr>
            </w:pPr>
            <w:r>
              <w:rPr>
                <w:rFonts w:hint="eastAsia" w:ascii="仿宋" w:hAnsi="仿宋" w:eastAsia="仿宋" w:cs="宋体"/>
                <w:b/>
                <w:kern w:val="0"/>
                <w:sz w:val="24"/>
              </w:rPr>
              <w:t>小型</w:t>
            </w:r>
          </w:p>
        </w:tc>
        <w:tc>
          <w:tcPr>
            <w:tcW w:w="937" w:type="dxa"/>
            <w:tcBorders>
              <w:top w:val="single" w:color="auto" w:sz="4" w:space="0"/>
              <w:left w:val="nil"/>
              <w:bottom w:val="single" w:color="auto" w:sz="4" w:space="0"/>
              <w:right w:val="single" w:color="auto" w:sz="4" w:space="0"/>
            </w:tcBorders>
            <w:vAlign w:val="center"/>
          </w:tcPr>
          <w:p w14:paraId="558E052C">
            <w:pPr>
              <w:widowControl/>
              <w:jc w:val="left"/>
              <w:rPr>
                <w:rFonts w:ascii="仿宋" w:hAnsi="仿宋" w:eastAsia="仿宋" w:cs="宋体"/>
                <w:b/>
                <w:kern w:val="0"/>
                <w:sz w:val="24"/>
              </w:rPr>
            </w:pPr>
            <w:r>
              <w:rPr>
                <w:rFonts w:hint="eastAsia" w:ascii="仿宋" w:hAnsi="仿宋" w:eastAsia="仿宋" w:cs="宋体"/>
                <w:b/>
                <w:kern w:val="0"/>
                <w:sz w:val="24"/>
              </w:rPr>
              <w:t>微型</w:t>
            </w:r>
          </w:p>
        </w:tc>
      </w:tr>
      <w:tr w14:paraId="6C363986">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74A4C368">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农、林、牧、渔</w:t>
            </w:r>
          </w:p>
        </w:tc>
        <w:tc>
          <w:tcPr>
            <w:tcW w:w="1676" w:type="dxa"/>
            <w:tcBorders>
              <w:top w:val="nil"/>
              <w:left w:val="nil"/>
              <w:bottom w:val="single" w:color="auto" w:sz="4" w:space="0"/>
              <w:right w:val="single" w:color="auto" w:sz="4" w:space="0"/>
            </w:tcBorders>
            <w:vAlign w:val="center"/>
          </w:tcPr>
          <w:p w14:paraId="55DE3801">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6A0755E5">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593E52E7">
            <w:pPr>
              <w:widowControl/>
              <w:jc w:val="left"/>
              <w:rPr>
                <w:rFonts w:ascii="仿宋" w:hAnsi="仿宋" w:eastAsia="仿宋" w:cs="宋体"/>
                <w:kern w:val="0"/>
                <w:sz w:val="18"/>
                <w:szCs w:val="18"/>
              </w:rPr>
            </w:pPr>
            <w:r>
              <w:rPr>
                <w:rFonts w:hint="eastAsia" w:ascii="仿宋" w:hAnsi="仿宋" w:eastAsia="仿宋" w:cs="宋体"/>
                <w:kern w:val="0"/>
                <w:sz w:val="18"/>
                <w:szCs w:val="18"/>
              </w:rPr>
              <w:t>500≤Y＜20000</w:t>
            </w:r>
          </w:p>
        </w:tc>
        <w:tc>
          <w:tcPr>
            <w:tcW w:w="1513" w:type="dxa"/>
            <w:tcBorders>
              <w:top w:val="nil"/>
              <w:left w:val="nil"/>
              <w:bottom w:val="single" w:color="auto" w:sz="4" w:space="0"/>
              <w:right w:val="single" w:color="auto" w:sz="4" w:space="0"/>
            </w:tcBorders>
            <w:vAlign w:val="center"/>
          </w:tcPr>
          <w:p w14:paraId="6360914C">
            <w:pPr>
              <w:widowControl/>
              <w:jc w:val="left"/>
              <w:rPr>
                <w:rFonts w:ascii="仿宋" w:hAnsi="仿宋" w:eastAsia="仿宋" w:cs="宋体"/>
                <w:kern w:val="0"/>
                <w:sz w:val="18"/>
                <w:szCs w:val="18"/>
              </w:rPr>
            </w:pPr>
            <w:r>
              <w:rPr>
                <w:rFonts w:hint="eastAsia" w:ascii="仿宋" w:hAnsi="仿宋" w:eastAsia="仿宋" w:cs="宋体"/>
                <w:kern w:val="0"/>
                <w:sz w:val="18"/>
                <w:szCs w:val="18"/>
              </w:rPr>
              <w:t>50≤Y＜500</w:t>
            </w:r>
          </w:p>
        </w:tc>
        <w:tc>
          <w:tcPr>
            <w:tcW w:w="937" w:type="dxa"/>
            <w:tcBorders>
              <w:top w:val="nil"/>
              <w:left w:val="nil"/>
              <w:bottom w:val="single" w:color="auto" w:sz="4" w:space="0"/>
              <w:right w:val="single" w:color="auto" w:sz="4" w:space="0"/>
            </w:tcBorders>
            <w:vAlign w:val="center"/>
          </w:tcPr>
          <w:p w14:paraId="036A5A6D">
            <w:pPr>
              <w:widowControl/>
              <w:jc w:val="left"/>
              <w:rPr>
                <w:rFonts w:ascii="仿宋" w:hAnsi="仿宋" w:eastAsia="仿宋" w:cs="宋体"/>
                <w:kern w:val="0"/>
                <w:sz w:val="18"/>
                <w:szCs w:val="18"/>
              </w:rPr>
            </w:pPr>
            <w:r>
              <w:rPr>
                <w:rFonts w:hint="eastAsia" w:ascii="仿宋" w:hAnsi="仿宋" w:eastAsia="仿宋" w:cs="宋体"/>
                <w:kern w:val="0"/>
                <w:sz w:val="18"/>
                <w:szCs w:val="18"/>
              </w:rPr>
              <w:t>Y＜50</w:t>
            </w:r>
          </w:p>
        </w:tc>
      </w:tr>
      <w:tr w14:paraId="37264ED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7EDD8AC">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工业</w:t>
            </w:r>
          </w:p>
        </w:tc>
        <w:tc>
          <w:tcPr>
            <w:tcW w:w="1676" w:type="dxa"/>
            <w:tcBorders>
              <w:top w:val="nil"/>
              <w:left w:val="nil"/>
              <w:bottom w:val="single" w:color="auto" w:sz="4" w:space="0"/>
              <w:right w:val="single" w:color="auto" w:sz="4" w:space="0"/>
            </w:tcBorders>
            <w:vAlign w:val="center"/>
          </w:tcPr>
          <w:p w14:paraId="697EECA3">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1E73DA2E">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43032E82">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513" w:type="dxa"/>
            <w:tcBorders>
              <w:top w:val="nil"/>
              <w:left w:val="nil"/>
              <w:bottom w:val="single" w:color="auto" w:sz="4" w:space="0"/>
              <w:right w:val="single" w:color="auto" w:sz="4" w:space="0"/>
            </w:tcBorders>
            <w:vAlign w:val="center"/>
          </w:tcPr>
          <w:p w14:paraId="7549FB03">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937" w:type="dxa"/>
            <w:tcBorders>
              <w:top w:val="nil"/>
              <w:left w:val="nil"/>
              <w:bottom w:val="single" w:color="auto" w:sz="4" w:space="0"/>
              <w:right w:val="single" w:color="auto" w:sz="4" w:space="0"/>
            </w:tcBorders>
            <w:vAlign w:val="center"/>
          </w:tcPr>
          <w:p w14:paraId="2821C319">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14:paraId="6508861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08D822E">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57EF0D04">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375FBEEB">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3A8AC086">
            <w:pPr>
              <w:widowControl/>
              <w:jc w:val="left"/>
              <w:rPr>
                <w:rFonts w:ascii="仿宋" w:hAnsi="仿宋" w:eastAsia="仿宋" w:cs="宋体"/>
                <w:kern w:val="0"/>
                <w:sz w:val="18"/>
                <w:szCs w:val="18"/>
              </w:rPr>
            </w:pPr>
            <w:r>
              <w:rPr>
                <w:rFonts w:hint="eastAsia" w:ascii="仿宋" w:hAnsi="仿宋" w:eastAsia="仿宋" w:cs="宋体"/>
                <w:kern w:val="0"/>
                <w:sz w:val="18"/>
                <w:szCs w:val="18"/>
              </w:rPr>
              <w:t>2000≤Y＜40000</w:t>
            </w:r>
          </w:p>
        </w:tc>
        <w:tc>
          <w:tcPr>
            <w:tcW w:w="1513" w:type="dxa"/>
            <w:tcBorders>
              <w:top w:val="nil"/>
              <w:left w:val="nil"/>
              <w:bottom w:val="single" w:color="auto" w:sz="4" w:space="0"/>
              <w:right w:val="single" w:color="auto" w:sz="4" w:space="0"/>
            </w:tcBorders>
            <w:vAlign w:val="center"/>
          </w:tcPr>
          <w:p w14:paraId="0272321C">
            <w:pPr>
              <w:widowControl/>
              <w:jc w:val="left"/>
              <w:rPr>
                <w:rFonts w:ascii="仿宋" w:hAnsi="仿宋" w:eastAsia="仿宋" w:cs="宋体"/>
                <w:kern w:val="0"/>
                <w:sz w:val="18"/>
                <w:szCs w:val="18"/>
              </w:rPr>
            </w:pPr>
            <w:r>
              <w:rPr>
                <w:rFonts w:hint="eastAsia" w:ascii="仿宋" w:hAnsi="仿宋" w:eastAsia="仿宋" w:cs="宋体"/>
                <w:kern w:val="0"/>
                <w:sz w:val="18"/>
                <w:szCs w:val="18"/>
              </w:rPr>
              <w:t>300≤Y＜2000</w:t>
            </w:r>
          </w:p>
        </w:tc>
        <w:tc>
          <w:tcPr>
            <w:tcW w:w="937" w:type="dxa"/>
            <w:tcBorders>
              <w:top w:val="nil"/>
              <w:left w:val="nil"/>
              <w:bottom w:val="single" w:color="auto" w:sz="4" w:space="0"/>
              <w:right w:val="single" w:color="auto" w:sz="4" w:space="0"/>
            </w:tcBorders>
            <w:vAlign w:val="center"/>
          </w:tcPr>
          <w:p w14:paraId="665DBCA3">
            <w:pPr>
              <w:widowControl/>
              <w:jc w:val="left"/>
              <w:rPr>
                <w:rFonts w:ascii="仿宋" w:hAnsi="仿宋" w:eastAsia="仿宋" w:cs="宋体"/>
                <w:kern w:val="0"/>
                <w:sz w:val="18"/>
                <w:szCs w:val="18"/>
              </w:rPr>
            </w:pPr>
            <w:r>
              <w:rPr>
                <w:rFonts w:hint="eastAsia" w:ascii="仿宋" w:hAnsi="仿宋" w:eastAsia="仿宋" w:cs="宋体"/>
                <w:kern w:val="0"/>
                <w:sz w:val="18"/>
                <w:szCs w:val="18"/>
              </w:rPr>
              <w:t>Y＜300</w:t>
            </w:r>
          </w:p>
        </w:tc>
      </w:tr>
      <w:tr w14:paraId="652C69C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95033D8">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建筑业</w:t>
            </w:r>
          </w:p>
        </w:tc>
        <w:tc>
          <w:tcPr>
            <w:tcW w:w="1676" w:type="dxa"/>
            <w:tcBorders>
              <w:top w:val="nil"/>
              <w:left w:val="nil"/>
              <w:bottom w:val="single" w:color="auto" w:sz="4" w:space="0"/>
              <w:right w:val="single" w:color="auto" w:sz="4" w:space="0"/>
            </w:tcBorders>
            <w:vAlign w:val="center"/>
          </w:tcPr>
          <w:p w14:paraId="27FFCA09">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775ECA5A">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09B2933D">
            <w:pPr>
              <w:widowControl/>
              <w:jc w:val="left"/>
              <w:rPr>
                <w:rFonts w:ascii="仿宋" w:hAnsi="仿宋" w:eastAsia="仿宋" w:cs="宋体"/>
                <w:kern w:val="0"/>
                <w:sz w:val="18"/>
                <w:szCs w:val="18"/>
              </w:rPr>
            </w:pPr>
            <w:r>
              <w:rPr>
                <w:rFonts w:hint="eastAsia" w:ascii="仿宋" w:hAnsi="仿宋" w:eastAsia="仿宋" w:cs="宋体"/>
                <w:kern w:val="0"/>
                <w:sz w:val="18"/>
                <w:szCs w:val="18"/>
              </w:rPr>
              <w:t>6000≤Y＜80000</w:t>
            </w:r>
          </w:p>
        </w:tc>
        <w:tc>
          <w:tcPr>
            <w:tcW w:w="1513" w:type="dxa"/>
            <w:tcBorders>
              <w:top w:val="nil"/>
              <w:left w:val="nil"/>
              <w:bottom w:val="single" w:color="auto" w:sz="4" w:space="0"/>
              <w:right w:val="single" w:color="auto" w:sz="4" w:space="0"/>
            </w:tcBorders>
            <w:vAlign w:val="center"/>
          </w:tcPr>
          <w:p w14:paraId="2650A554">
            <w:pPr>
              <w:widowControl/>
              <w:jc w:val="left"/>
              <w:rPr>
                <w:rFonts w:ascii="仿宋" w:hAnsi="仿宋" w:eastAsia="仿宋" w:cs="宋体"/>
                <w:kern w:val="0"/>
                <w:sz w:val="18"/>
                <w:szCs w:val="18"/>
              </w:rPr>
            </w:pPr>
            <w:r>
              <w:rPr>
                <w:rFonts w:hint="eastAsia" w:ascii="仿宋" w:hAnsi="仿宋" w:eastAsia="仿宋" w:cs="宋体"/>
                <w:kern w:val="0"/>
                <w:sz w:val="18"/>
                <w:szCs w:val="18"/>
              </w:rPr>
              <w:t>300≤Y＜6000</w:t>
            </w:r>
          </w:p>
        </w:tc>
        <w:tc>
          <w:tcPr>
            <w:tcW w:w="937" w:type="dxa"/>
            <w:tcBorders>
              <w:top w:val="nil"/>
              <w:left w:val="nil"/>
              <w:bottom w:val="single" w:color="auto" w:sz="4" w:space="0"/>
              <w:right w:val="single" w:color="auto" w:sz="4" w:space="0"/>
            </w:tcBorders>
            <w:vAlign w:val="center"/>
          </w:tcPr>
          <w:p w14:paraId="7625E71C">
            <w:pPr>
              <w:widowControl/>
              <w:jc w:val="left"/>
              <w:rPr>
                <w:rFonts w:ascii="仿宋" w:hAnsi="仿宋" w:eastAsia="仿宋" w:cs="宋体"/>
                <w:kern w:val="0"/>
                <w:sz w:val="18"/>
                <w:szCs w:val="18"/>
              </w:rPr>
            </w:pPr>
            <w:r>
              <w:rPr>
                <w:rFonts w:hint="eastAsia" w:ascii="仿宋" w:hAnsi="仿宋" w:eastAsia="仿宋" w:cs="宋体"/>
                <w:kern w:val="0"/>
                <w:sz w:val="18"/>
                <w:szCs w:val="18"/>
              </w:rPr>
              <w:t>Y＜300</w:t>
            </w:r>
          </w:p>
        </w:tc>
      </w:tr>
      <w:tr w14:paraId="599049C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C20607B">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3FFB6F70">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912" w:type="dxa"/>
            <w:tcBorders>
              <w:top w:val="nil"/>
              <w:left w:val="nil"/>
              <w:bottom w:val="single" w:color="auto" w:sz="4" w:space="0"/>
              <w:right w:val="single" w:color="auto" w:sz="4" w:space="0"/>
            </w:tcBorders>
            <w:vAlign w:val="center"/>
          </w:tcPr>
          <w:p w14:paraId="58EDEB80">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79DA24FE">
            <w:pPr>
              <w:widowControl/>
              <w:jc w:val="left"/>
              <w:rPr>
                <w:rFonts w:ascii="仿宋" w:hAnsi="仿宋" w:eastAsia="仿宋" w:cs="宋体"/>
                <w:kern w:val="0"/>
                <w:sz w:val="18"/>
                <w:szCs w:val="18"/>
              </w:rPr>
            </w:pPr>
            <w:r>
              <w:rPr>
                <w:rFonts w:hint="eastAsia" w:ascii="仿宋" w:hAnsi="仿宋" w:eastAsia="仿宋" w:cs="宋体"/>
                <w:kern w:val="0"/>
                <w:sz w:val="18"/>
                <w:szCs w:val="18"/>
              </w:rPr>
              <w:t>5000≤Z＜80000</w:t>
            </w:r>
          </w:p>
        </w:tc>
        <w:tc>
          <w:tcPr>
            <w:tcW w:w="1513" w:type="dxa"/>
            <w:tcBorders>
              <w:top w:val="nil"/>
              <w:left w:val="nil"/>
              <w:bottom w:val="single" w:color="auto" w:sz="4" w:space="0"/>
              <w:right w:val="single" w:color="auto" w:sz="4" w:space="0"/>
            </w:tcBorders>
            <w:vAlign w:val="center"/>
          </w:tcPr>
          <w:p w14:paraId="78DD1E29">
            <w:pPr>
              <w:widowControl/>
              <w:jc w:val="left"/>
              <w:rPr>
                <w:rFonts w:ascii="仿宋" w:hAnsi="仿宋" w:eastAsia="仿宋" w:cs="宋体"/>
                <w:kern w:val="0"/>
                <w:sz w:val="18"/>
                <w:szCs w:val="18"/>
              </w:rPr>
            </w:pPr>
            <w:r>
              <w:rPr>
                <w:rFonts w:hint="eastAsia" w:ascii="仿宋" w:hAnsi="仿宋" w:eastAsia="仿宋" w:cs="宋体"/>
                <w:kern w:val="0"/>
                <w:sz w:val="18"/>
                <w:szCs w:val="18"/>
              </w:rPr>
              <w:t>300≤Z＜5000</w:t>
            </w:r>
          </w:p>
        </w:tc>
        <w:tc>
          <w:tcPr>
            <w:tcW w:w="937" w:type="dxa"/>
            <w:tcBorders>
              <w:top w:val="nil"/>
              <w:left w:val="nil"/>
              <w:bottom w:val="single" w:color="auto" w:sz="4" w:space="0"/>
              <w:right w:val="single" w:color="auto" w:sz="4" w:space="0"/>
            </w:tcBorders>
            <w:vAlign w:val="center"/>
          </w:tcPr>
          <w:p w14:paraId="0235ABDF">
            <w:pPr>
              <w:widowControl/>
              <w:jc w:val="left"/>
              <w:rPr>
                <w:rFonts w:ascii="仿宋" w:hAnsi="仿宋" w:eastAsia="仿宋" w:cs="宋体"/>
                <w:kern w:val="0"/>
                <w:sz w:val="18"/>
                <w:szCs w:val="18"/>
              </w:rPr>
            </w:pPr>
            <w:r>
              <w:rPr>
                <w:rFonts w:hint="eastAsia" w:ascii="仿宋" w:hAnsi="仿宋" w:eastAsia="仿宋" w:cs="宋体"/>
                <w:kern w:val="0"/>
                <w:sz w:val="18"/>
                <w:szCs w:val="18"/>
              </w:rPr>
              <w:t>Z＜300</w:t>
            </w:r>
          </w:p>
        </w:tc>
      </w:tr>
      <w:tr w14:paraId="3104DFA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7DBD2CA6">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批发业</w:t>
            </w:r>
          </w:p>
        </w:tc>
        <w:tc>
          <w:tcPr>
            <w:tcW w:w="1676" w:type="dxa"/>
            <w:tcBorders>
              <w:top w:val="nil"/>
              <w:left w:val="nil"/>
              <w:bottom w:val="single" w:color="auto" w:sz="4" w:space="0"/>
              <w:right w:val="single" w:color="auto" w:sz="4" w:space="0"/>
            </w:tcBorders>
            <w:vAlign w:val="center"/>
          </w:tcPr>
          <w:p w14:paraId="47E00D00">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41A57277">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40A51A4B">
            <w:pPr>
              <w:widowControl/>
              <w:jc w:val="left"/>
              <w:rPr>
                <w:rFonts w:ascii="仿宋" w:hAnsi="仿宋" w:eastAsia="仿宋" w:cs="宋体"/>
                <w:kern w:val="0"/>
                <w:sz w:val="18"/>
                <w:szCs w:val="18"/>
              </w:rPr>
            </w:pPr>
            <w:r>
              <w:rPr>
                <w:rFonts w:hint="eastAsia" w:ascii="仿宋" w:hAnsi="仿宋" w:eastAsia="仿宋" w:cs="宋体"/>
                <w:kern w:val="0"/>
                <w:sz w:val="18"/>
                <w:szCs w:val="18"/>
              </w:rPr>
              <w:t>20≤X＜200</w:t>
            </w:r>
          </w:p>
        </w:tc>
        <w:tc>
          <w:tcPr>
            <w:tcW w:w="1513" w:type="dxa"/>
            <w:tcBorders>
              <w:top w:val="nil"/>
              <w:left w:val="nil"/>
              <w:bottom w:val="single" w:color="auto" w:sz="4" w:space="0"/>
              <w:right w:val="single" w:color="auto" w:sz="4" w:space="0"/>
            </w:tcBorders>
            <w:vAlign w:val="center"/>
          </w:tcPr>
          <w:p w14:paraId="35F73A11">
            <w:pPr>
              <w:widowControl/>
              <w:jc w:val="left"/>
              <w:rPr>
                <w:rFonts w:ascii="仿宋" w:hAnsi="仿宋" w:eastAsia="仿宋" w:cs="宋体"/>
                <w:kern w:val="0"/>
                <w:sz w:val="18"/>
                <w:szCs w:val="18"/>
              </w:rPr>
            </w:pPr>
            <w:r>
              <w:rPr>
                <w:rFonts w:hint="eastAsia" w:ascii="仿宋" w:hAnsi="仿宋" w:eastAsia="仿宋" w:cs="宋体"/>
                <w:kern w:val="0"/>
                <w:sz w:val="18"/>
                <w:szCs w:val="18"/>
              </w:rPr>
              <w:t>5≤X＜20</w:t>
            </w:r>
          </w:p>
        </w:tc>
        <w:tc>
          <w:tcPr>
            <w:tcW w:w="937" w:type="dxa"/>
            <w:tcBorders>
              <w:top w:val="nil"/>
              <w:left w:val="nil"/>
              <w:bottom w:val="single" w:color="auto" w:sz="4" w:space="0"/>
              <w:right w:val="single" w:color="auto" w:sz="4" w:space="0"/>
            </w:tcBorders>
            <w:vAlign w:val="center"/>
          </w:tcPr>
          <w:p w14:paraId="653439B1">
            <w:pPr>
              <w:widowControl/>
              <w:jc w:val="left"/>
              <w:rPr>
                <w:rFonts w:ascii="仿宋" w:hAnsi="仿宋" w:eastAsia="仿宋" w:cs="宋体"/>
                <w:kern w:val="0"/>
                <w:sz w:val="18"/>
                <w:szCs w:val="18"/>
              </w:rPr>
            </w:pPr>
            <w:r>
              <w:rPr>
                <w:rFonts w:hint="eastAsia" w:ascii="仿宋" w:hAnsi="仿宋" w:eastAsia="仿宋" w:cs="宋体"/>
                <w:kern w:val="0"/>
                <w:sz w:val="18"/>
                <w:szCs w:val="18"/>
              </w:rPr>
              <w:t>X＜5</w:t>
            </w:r>
          </w:p>
        </w:tc>
      </w:tr>
      <w:tr w14:paraId="4480602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3116C20">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5E81AE03">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40897801">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7CF5C308">
            <w:pPr>
              <w:widowControl/>
              <w:jc w:val="left"/>
              <w:rPr>
                <w:rFonts w:ascii="仿宋" w:hAnsi="仿宋" w:eastAsia="仿宋" w:cs="宋体"/>
                <w:kern w:val="0"/>
                <w:sz w:val="18"/>
                <w:szCs w:val="18"/>
              </w:rPr>
            </w:pPr>
            <w:r>
              <w:rPr>
                <w:rFonts w:hint="eastAsia" w:ascii="仿宋" w:hAnsi="仿宋" w:eastAsia="仿宋" w:cs="宋体"/>
                <w:kern w:val="0"/>
                <w:sz w:val="18"/>
                <w:szCs w:val="18"/>
              </w:rPr>
              <w:t>5000≤Y＜40000</w:t>
            </w:r>
          </w:p>
        </w:tc>
        <w:tc>
          <w:tcPr>
            <w:tcW w:w="1513" w:type="dxa"/>
            <w:tcBorders>
              <w:top w:val="nil"/>
              <w:left w:val="nil"/>
              <w:bottom w:val="single" w:color="auto" w:sz="4" w:space="0"/>
              <w:right w:val="single" w:color="auto" w:sz="4" w:space="0"/>
            </w:tcBorders>
            <w:vAlign w:val="center"/>
          </w:tcPr>
          <w:p w14:paraId="44406245">
            <w:pPr>
              <w:widowControl/>
              <w:jc w:val="left"/>
              <w:rPr>
                <w:rFonts w:ascii="仿宋" w:hAnsi="仿宋" w:eastAsia="仿宋" w:cs="宋体"/>
                <w:kern w:val="0"/>
                <w:sz w:val="18"/>
                <w:szCs w:val="18"/>
              </w:rPr>
            </w:pPr>
            <w:r>
              <w:rPr>
                <w:rFonts w:hint="eastAsia" w:ascii="仿宋" w:hAnsi="仿宋" w:eastAsia="仿宋" w:cs="宋体"/>
                <w:kern w:val="0"/>
                <w:sz w:val="18"/>
                <w:szCs w:val="18"/>
              </w:rPr>
              <w:t>1000≤Y＜5000</w:t>
            </w:r>
          </w:p>
        </w:tc>
        <w:tc>
          <w:tcPr>
            <w:tcW w:w="937" w:type="dxa"/>
            <w:tcBorders>
              <w:top w:val="nil"/>
              <w:left w:val="nil"/>
              <w:bottom w:val="single" w:color="auto" w:sz="4" w:space="0"/>
              <w:right w:val="single" w:color="auto" w:sz="4" w:space="0"/>
            </w:tcBorders>
            <w:vAlign w:val="center"/>
          </w:tcPr>
          <w:p w14:paraId="74F58720">
            <w:pPr>
              <w:widowControl/>
              <w:jc w:val="left"/>
              <w:rPr>
                <w:rFonts w:ascii="仿宋" w:hAnsi="仿宋" w:eastAsia="仿宋" w:cs="宋体"/>
                <w:kern w:val="0"/>
                <w:sz w:val="18"/>
                <w:szCs w:val="18"/>
              </w:rPr>
            </w:pPr>
            <w:r>
              <w:rPr>
                <w:rFonts w:hint="eastAsia" w:ascii="仿宋" w:hAnsi="仿宋" w:eastAsia="仿宋" w:cs="宋体"/>
                <w:kern w:val="0"/>
                <w:sz w:val="18"/>
                <w:szCs w:val="18"/>
              </w:rPr>
              <w:t>Y＜1000</w:t>
            </w:r>
          </w:p>
        </w:tc>
      </w:tr>
      <w:tr w14:paraId="4E249A1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21C8603">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零售业</w:t>
            </w:r>
          </w:p>
        </w:tc>
        <w:tc>
          <w:tcPr>
            <w:tcW w:w="1676" w:type="dxa"/>
            <w:tcBorders>
              <w:top w:val="nil"/>
              <w:left w:val="nil"/>
              <w:bottom w:val="single" w:color="auto" w:sz="4" w:space="0"/>
              <w:right w:val="single" w:color="auto" w:sz="4" w:space="0"/>
            </w:tcBorders>
            <w:vAlign w:val="center"/>
          </w:tcPr>
          <w:p w14:paraId="7160C2F9">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237D59A2">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3B4C24A2">
            <w:pPr>
              <w:widowControl/>
              <w:jc w:val="left"/>
              <w:rPr>
                <w:rFonts w:ascii="仿宋" w:hAnsi="仿宋" w:eastAsia="仿宋" w:cs="宋体"/>
                <w:kern w:val="0"/>
                <w:sz w:val="18"/>
                <w:szCs w:val="18"/>
              </w:rPr>
            </w:pPr>
            <w:r>
              <w:rPr>
                <w:rFonts w:hint="eastAsia" w:ascii="仿宋" w:hAnsi="仿宋" w:eastAsia="仿宋" w:cs="宋体"/>
                <w:kern w:val="0"/>
                <w:sz w:val="18"/>
                <w:szCs w:val="18"/>
              </w:rPr>
              <w:t>50≤X＜300</w:t>
            </w:r>
          </w:p>
        </w:tc>
        <w:tc>
          <w:tcPr>
            <w:tcW w:w="1513" w:type="dxa"/>
            <w:tcBorders>
              <w:top w:val="nil"/>
              <w:left w:val="nil"/>
              <w:bottom w:val="single" w:color="auto" w:sz="4" w:space="0"/>
              <w:right w:val="single" w:color="auto" w:sz="4" w:space="0"/>
            </w:tcBorders>
            <w:vAlign w:val="center"/>
          </w:tcPr>
          <w:p w14:paraId="321C5462">
            <w:pPr>
              <w:widowControl/>
              <w:jc w:val="left"/>
              <w:rPr>
                <w:rFonts w:ascii="仿宋" w:hAnsi="仿宋" w:eastAsia="仿宋" w:cs="宋体"/>
                <w:kern w:val="0"/>
                <w:sz w:val="18"/>
                <w:szCs w:val="18"/>
              </w:rPr>
            </w:pPr>
            <w:r>
              <w:rPr>
                <w:rFonts w:hint="eastAsia" w:ascii="仿宋" w:hAnsi="仿宋" w:eastAsia="仿宋" w:cs="宋体"/>
                <w:kern w:val="0"/>
                <w:sz w:val="18"/>
                <w:szCs w:val="18"/>
              </w:rPr>
              <w:t>10≤X＜50</w:t>
            </w:r>
          </w:p>
        </w:tc>
        <w:tc>
          <w:tcPr>
            <w:tcW w:w="937" w:type="dxa"/>
            <w:tcBorders>
              <w:top w:val="nil"/>
              <w:left w:val="nil"/>
              <w:bottom w:val="single" w:color="auto" w:sz="4" w:space="0"/>
              <w:right w:val="single" w:color="auto" w:sz="4" w:space="0"/>
            </w:tcBorders>
            <w:vAlign w:val="center"/>
          </w:tcPr>
          <w:p w14:paraId="3EC5BC45">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04E0841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A48BB55">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7B86D754">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54404F2B">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58D6D72D">
            <w:pPr>
              <w:widowControl/>
              <w:jc w:val="left"/>
              <w:rPr>
                <w:rFonts w:ascii="仿宋" w:hAnsi="仿宋" w:eastAsia="仿宋" w:cs="宋体"/>
                <w:kern w:val="0"/>
                <w:sz w:val="18"/>
                <w:szCs w:val="18"/>
              </w:rPr>
            </w:pPr>
            <w:r>
              <w:rPr>
                <w:rFonts w:hint="eastAsia" w:ascii="仿宋" w:hAnsi="仿宋" w:eastAsia="仿宋" w:cs="宋体"/>
                <w:kern w:val="0"/>
                <w:sz w:val="18"/>
                <w:szCs w:val="18"/>
              </w:rPr>
              <w:t>500≤Y＜20000</w:t>
            </w:r>
          </w:p>
        </w:tc>
        <w:tc>
          <w:tcPr>
            <w:tcW w:w="1513" w:type="dxa"/>
            <w:tcBorders>
              <w:top w:val="nil"/>
              <w:left w:val="nil"/>
              <w:bottom w:val="single" w:color="auto" w:sz="4" w:space="0"/>
              <w:right w:val="single" w:color="auto" w:sz="4" w:space="0"/>
            </w:tcBorders>
            <w:vAlign w:val="center"/>
          </w:tcPr>
          <w:p w14:paraId="6EA199A5">
            <w:pPr>
              <w:widowControl/>
              <w:jc w:val="left"/>
              <w:rPr>
                <w:rFonts w:ascii="仿宋" w:hAnsi="仿宋" w:eastAsia="仿宋" w:cs="宋体"/>
                <w:kern w:val="0"/>
                <w:sz w:val="18"/>
                <w:szCs w:val="18"/>
              </w:rPr>
            </w:pPr>
            <w:r>
              <w:rPr>
                <w:rFonts w:hint="eastAsia" w:ascii="仿宋" w:hAnsi="仿宋" w:eastAsia="仿宋" w:cs="宋体"/>
                <w:kern w:val="0"/>
                <w:sz w:val="18"/>
                <w:szCs w:val="18"/>
              </w:rPr>
              <w:t>100≤Y＜500</w:t>
            </w:r>
          </w:p>
        </w:tc>
        <w:tc>
          <w:tcPr>
            <w:tcW w:w="937" w:type="dxa"/>
            <w:tcBorders>
              <w:top w:val="nil"/>
              <w:left w:val="nil"/>
              <w:bottom w:val="single" w:color="auto" w:sz="4" w:space="0"/>
              <w:right w:val="single" w:color="auto" w:sz="4" w:space="0"/>
            </w:tcBorders>
            <w:vAlign w:val="center"/>
          </w:tcPr>
          <w:p w14:paraId="58991288">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53DF9C3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905B889">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交通运输业</w:t>
            </w:r>
          </w:p>
        </w:tc>
        <w:tc>
          <w:tcPr>
            <w:tcW w:w="1676" w:type="dxa"/>
            <w:tcBorders>
              <w:top w:val="nil"/>
              <w:left w:val="nil"/>
              <w:bottom w:val="single" w:color="auto" w:sz="4" w:space="0"/>
              <w:right w:val="single" w:color="auto" w:sz="4" w:space="0"/>
            </w:tcBorders>
            <w:vAlign w:val="center"/>
          </w:tcPr>
          <w:p w14:paraId="7BD7A654">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745BF4A3">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619ABFAE">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513" w:type="dxa"/>
            <w:tcBorders>
              <w:top w:val="nil"/>
              <w:left w:val="nil"/>
              <w:bottom w:val="single" w:color="auto" w:sz="4" w:space="0"/>
              <w:right w:val="single" w:color="auto" w:sz="4" w:space="0"/>
            </w:tcBorders>
            <w:vAlign w:val="center"/>
          </w:tcPr>
          <w:p w14:paraId="3EADBAD4">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937" w:type="dxa"/>
            <w:tcBorders>
              <w:top w:val="nil"/>
              <w:left w:val="nil"/>
              <w:bottom w:val="single" w:color="auto" w:sz="4" w:space="0"/>
              <w:right w:val="single" w:color="auto" w:sz="4" w:space="0"/>
            </w:tcBorders>
            <w:vAlign w:val="center"/>
          </w:tcPr>
          <w:p w14:paraId="06D9CFD4">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14:paraId="5017BCE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F758478">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64CC2673">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72FB8A1F">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7ADB267F">
            <w:pPr>
              <w:widowControl/>
              <w:jc w:val="left"/>
              <w:rPr>
                <w:rFonts w:ascii="仿宋" w:hAnsi="仿宋" w:eastAsia="仿宋" w:cs="宋体"/>
                <w:kern w:val="0"/>
                <w:sz w:val="18"/>
                <w:szCs w:val="18"/>
              </w:rPr>
            </w:pPr>
            <w:r>
              <w:rPr>
                <w:rFonts w:hint="eastAsia" w:ascii="仿宋" w:hAnsi="仿宋" w:eastAsia="仿宋" w:cs="宋体"/>
                <w:kern w:val="0"/>
                <w:sz w:val="18"/>
                <w:szCs w:val="18"/>
              </w:rPr>
              <w:t>3000≤Y＜30000</w:t>
            </w:r>
          </w:p>
        </w:tc>
        <w:tc>
          <w:tcPr>
            <w:tcW w:w="1513" w:type="dxa"/>
            <w:tcBorders>
              <w:top w:val="nil"/>
              <w:left w:val="nil"/>
              <w:bottom w:val="single" w:color="auto" w:sz="4" w:space="0"/>
              <w:right w:val="single" w:color="auto" w:sz="4" w:space="0"/>
            </w:tcBorders>
            <w:vAlign w:val="center"/>
          </w:tcPr>
          <w:p w14:paraId="72FDC124">
            <w:pPr>
              <w:widowControl/>
              <w:jc w:val="left"/>
              <w:rPr>
                <w:rFonts w:ascii="仿宋" w:hAnsi="仿宋" w:eastAsia="仿宋" w:cs="宋体"/>
                <w:kern w:val="0"/>
                <w:sz w:val="18"/>
                <w:szCs w:val="18"/>
              </w:rPr>
            </w:pPr>
            <w:r>
              <w:rPr>
                <w:rFonts w:hint="eastAsia" w:ascii="仿宋" w:hAnsi="仿宋" w:eastAsia="仿宋" w:cs="宋体"/>
                <w:kern w:val="0"/>
                <w:sz w:val="18"/>
                <w:szCs w:val="18"/>
              </w:rPr>
              <w:t>200≤Y＜3000</w:t>
            </w:r>
          </w:p>
        </w:tc>
        <w:tc>
          <w:tcPr>
            <w:tcW w:w="937" w:type="dxa"/>
            <w:tcBorders>
              <w:top w:val="nil"/>
              <w:left w:val="nil"/>
              <w:bottom w:val="single" w:color="auto" w:sz="4" w:space="0"/>
              <w:right w:val="single" w:color="auto" w:sz="4" w:space="0"/>
            </w:tcBorders>
            <w:vAlign w:val="center"/>
          </w:tcPr>
          <w:p w14:paraId="1AA72EB2">
            <w:pPr>
              <w:widowControl/>
              <w:jc w:val="left"/>
              <w:rPr>
                <w:rFonts w:ascii="仿宋" w:hAnsi="仿宋" w:eastAsia="仿宋" w:cs="宋体"/>
                <w:kern w:val="0"/>
                <w:sz w:val="18"/>
                <w:szCs w:val="18"/>
              </w:rPr>
            </w:pPr>
            <w:r>
              <w:rPr>
                <w:rFonts w:hint="eastAsia" w:ascii="仿宋" w:hAnsi="仿宋" w:eastAsia="仿宋" w:cs="宋体"/>
                <w:kern w:val="0"/>
                <w:sz w:val="18"/>
                <w:szCs w:val="18"/>
              </w:rPr>
              <w:t>Y＜200</w:t>
            </w:r>
          </w:p>
        </w:tc>
      </w:tr>
      <w:tr w14:paraId="04D5782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FF23F79">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仓储业</w:t>
            </w:r>
          </w:p>
        </w:tc>
        <w:tc>
          <w:tcPr>
            <w:tcW w:w="1676" w:type="dxa"/>
            <w:tcBorders>
              <w:top w:val="nil"/>
              <w:left w:val="nil"/>
              <w:bottom w:val="single" w:color="auto" w:sz="4" w:space="0"/>
              <w:right w:val="single" w:color="auto" w:sz="4" w:space="0"/>
            </w:tcBorders>
            <w:vAlign w:val="center"/>
          </w:tcPr>
          <w:p w14:paraId="49C5D1A6">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6FFE617A">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5A17DF8A">
            <w:pPr>
              <w:widowControl/>
              <w:jc w:val="left"/>
              <w:rPr>
                <w:rFonts w:ascii="仿宋" w:hAnsi="仿宋" w:eastAsia="仿宋" w:cs="宋体"/>
                <w:kern w:val="0"/>
                <w:sz w:val="18"/>
                <w:szCs w:val="18"/>
              </w:rPr>
            </w:pPr>
            <w:r>
              <w:rPr>
                <w:rFonts w:hint="eastAsia" w:ascii="仿宋" w:hAnsi="仿宋" w:eastAsia="仿宋" w:cs="宋体"/>
                <w:kern w:val="0"/>
                <w:sz w:val="18"/>
                <w:szCs w:val="18"/>
              </w:rPr>
              <w:t>100≤X＜200</w:t>
            </w:r>
          </w:p>
        </w:tc>
        <w:tc>
          <w:tcPr>
            <w:tcW w:w="1513" w:type="dxa"/>
            <w:tcBorders>
              <w:top w:val="nil"/>
              <w:left w:val="nil"/>
              <w:bottom w:val="single" w:color="auto" w:sz="4" w:space="0"/>
              <w:right w:val="single" w:color="auto" w:sz="4" w:space="0"/>
            </w:tcBorders>
            <w:vAlign w:val="center"/>
          </w:tcPr>
          <w:p w14:paraId="7038CBE5">
            <w:pPr>
              <w:widowControl/>
              <w:jc w:val="left"/>
              <w:rPr>
                <w:rFonts w:ascii="仿宋" w:hAnsi="仿宋" w:eastAsia="仿宋" w:cs="宋体"/>
                <w:kern w:val="0"/>
                <w:sz w:val="18"/>
                <w:szCs w:val="18"/>
              </w:rPr>
            </w:pPr>
            <w:r>
              <w:rPr>
                <w:rFonts w:hint="eastAsia" w:ascii="仿宋" w:hAnsi="仿宋" w:eastAsia="仿宋" w:cs="宋体"/>
                <w:kern w:val="0"/>
                <w:sz w:val="18"/>
                <w:szCs w:val="18"/>
              </w:rPr>
              <w:t>20≤X＜100</w:t>
            </w:r>
          </w:p>
        </w:tc>
        <w:tc>
          <w:tcPr>
            <w:tcW w:w="937" w:type="dxa"/>
            <w:tcBorders>
              <w:top w:val="nil"/>
              <w:left w:val="nil"/>
              <w:bottom w:val="single" w:color="auto" w:sz="4" w:space="0"/>
              <w:right w:val="single" w:color="auto" w:sz="4" w:space="0"/>
            </w:tcBorders>
            <w:vAlign w:val="center"/>
          </w:tcPr>
          <w:p w14:paraId="089E08F7">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14:paraId="1D73895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0187A08">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009557FF">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1DA84BEB">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4B0BBA78">
            <w:pPr>
              <w:widowControl/>
              <w:jc w:val="left"/>
              <w:rPr>
                <w:rFonts w:ascii="仿宋" w:hAnsi="仿宋" w:eastAsia="仿宋" w:cs="宋体"/>
                <w:kern w:val="0"/>
                <w:sz w:val="18"/>
                <w:szCs w:val="18"/>
              </w:rPr>
            </w:pPr>
            <w:r>
              <w:rPr>
                <w:rFonts w:hint="eastAsia" w:ascii="仿宋" w:hAnsi="仿宋" w:eastAsia="仿宋" w:cs="宋体"/>
                <w:kern w:val="0"/>
                <w:sz w:val="18"/>
                <w:szCs w:val="18"/>
              </w:rPr>
              <w:t>1000≤Y＜30000</w:t>
            </w:r>
          </w:p>
        </w:tc>
        <w:tc>
          <w:tcPr>
            <w:tcW w:w="1513" w:type="dxa"/>
            <w:tcBorders>
              <w:top w:val="nil"/>
              <w:left w:val="nil"/>
              <w:bottom w:val="single" w:color="auto" w:sz="4" w:space="0"/>
              <w:right w:val="single" w:color="auto" w:sz="4" w:space="0"/>
            </w:tcBorders>
            <w:vAlign w:val="center"/>
          </w:tcPr>
          <w:p w14:paraId="31A6ABDD">
            <w:pPr>
              <w:widowControl/>
              <w:jc w:val="left"/>
              <w:rPr>
                <w:rFonts w:ascii="仿宋" w:hAnsi="仿宋" w:eastAsia="仿宋" w:cs="宋体"/>
                <w:kern w:val="0"/>
                <w:sz w:val="18"/>
                <w:szCs w:val="18"/>
              </w:rPr>
            </w:pPr>
            <w:r>
              <w:rPr>
                <w:rFonts w:hint="eastAsia" w:ascii="仿宋" w:hAnsi="仿宋" w:eastAsia="仿宋" w:cs="宋体"/>
                <w:kern w:val="0"/>
                <w:sz w:val="18"/>
                <w:szCs w:val="18"/>
              </w:rPr>
              <w:t>100≤Y＜1000</w:t>
            </w:r>
          </w:p>
        </w:tc>
        <w:tc>
          <w:tcPr>
            <w:tcW w:w="937" w:type="dxa"/>
            <w:tcBorders>
              <w:top w:val="nil"/>
              <w:left w:val="nil"/>
              <w:bottom w:val="single" w:color="auto" w:sz="4" w:space="0"/>
              <w:right w:val="single" w:color="auto" w:sz="4" w:space="0"/>
            </w:tcBorders>
            <w:vAlign w:val="center"/>
          </w:tcPr>
          <w:p w14:paraId="1B54E16C">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1876CA3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E53DD20">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邮政业</w:t>
            </w:r>
          </w:p>
        </w:tc>
        <w:tc>
          <w:tcPr>
            <w:tcW w:w="1676" w:type="dxa"/>
            <w:tcBorders>
              <w:top w:val="nil"/>
              <w:left w:val="nil"/>
              <w:bottom w:val="single" w:color="auto" w:sz="4" w:space="0"/>
              <w:right w:val="single" w:color="auto" w:sz="4" w:space="0"/>
            </w:tcBorders>
            <w:vAlign w:val="center"/>
          </w:tcPr>
          <w:p w14:paraId="78063365">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076A6A92">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26D2ED0A">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513" w:type="dxa"/>
            <w:tcBorders>
              <w:top w:val="nil"/>
              <w:left w:val="nil"/>
              <w:bottom w:val="single" w:color="auto" w:sz="4" w:space="0"/>
              <w:right w:val="single" w:color="auto" w:sz="4" w:space="0"/>
            </w:tcBorders>
            <w:vAlign w:val="center"/>
          </w:tcPr>
          <w:p w14:paraId="74799EC2">
            <w:pPr>
              <w:widowControl/>
              <w:jc w:val="left"/>
              <w:rPr>
                <w:rFonts w:ascii="仿宋" w:hAnsi="仿宋" w:eastAsia="仿宋" w:cs="宋体"/>
                <w:kern w:val="0"/>
                <w:sz w:val="18"/>
                <w:szCs w:val="18"/>
              </w:rPr>
            </w:pPr>
            <w:r>
              <w:rPr>
                <w:rFonts w:hint="eastAsia" w:ascii="仿宋" w:hAnsi="仿宋" w:eastAsia="仿宋" w:cs="宋体"/>
                <w:kern w:val="0"/>
                <w:sz w:val="18"/>
                <w:szCs w:val="18"/>
              </w:rPr>
              <w:t>20≤X＜300</w:t>
            </w:r>
          </w:p>
        </w:tc>
        <w:tc>
          <w:tcPr>
            <w:tcW w:w="937" w:type="dxa"/>
            <w:tcBorders>
              <w:top w:val="nil"/>
              <w:left w:val="nil"/>
              <w:bottom w:val="single" w:color="auto" w:sz="4" w:space="0"/>
              <w:right w:val="single" w:color="auto" w:sz="4" w:space="0"/>
            </w:tcBorders>
            <w:vAlign w:val="center"/>
          </w:tcPr>
          <w:p w14:paraId="06CB6DCC">
            <w:pPr>
              <w:widowControl/>
              <w:jc w:val="left"/>
              <w:rPr>
                <w:rFonts w:ascii="仿宋" w:hAnsi="仿宋" w:eastAsia="仿宋" w:cs="宋体"/>
                <w:kern w:val="0"/>
                <w:sz w:val="18"/>
                <w:szCs w:val="18"/>
              </w:rPr>
            </w:pPr>
            <w:r>
              <w:rPr>
                <w:rFonts w:hint="eastAsia" w:ascii="仿宋" w:hAnsi="仿宋" w:eastAsia="仿宋" w:cs="宋体"/>
                <w:kern w:val="0"/>
                <w:sz w:val="18"/>
                <w:szCs w:val="18"/>
              </w:rPr>
              <w:t>X＜20</w:t>
            </w:r>
          </w:p>
        </w:tc>
      </w:tr>
      <w:tr w14:paraId="6345227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01B0C9F">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1E1170C4">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161714EF">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04AF62CB">
            <w:pPr>
              <w:widowControl/>
              <w:jc w:val="left"/>
              <w:rPr>
                <w:rFonts w:ascii="仿宋" w:hAnsi="仿宋" w:eastAsia="仿宋" w:cs="宋体"/>
                <w:kern w:val="0"/>
                <w:sz w:val="18"/>
                <w:szCs w:val="18"/>
              </w:rPr>
            </w:pPr>
            <w:r>
              <w:rPr>
                <w:rFonts w:hint="eastAsia" w:ascii="仿宋" w:hAnsi="仿宋" w:eastAsia="仿宋" w:cs="宋体"/>
                <w:kern w:val="0"/>
                <w:sz w:val="18"/>
                <w:szCs w:val="18"/>
              </w:rPr>
              <w:t>2000≤Y＜30000</w:t>
            </w:r>
          </w:p>
        </w:tc>
        <w:tc>
          <w:tcPr>
            <w:tcW w:w="1513" w:type="dxa"/>
            <w:tcBorders>
              <w:top w:val="nil"/>
              <w:left w:val="nil"/>
              <w:bottom w:val="single" w:color="auto" w:sz="4" w:space="0"/>
              <w:right w:val="single" w:color="auto" w:sz="4" w:space="0"/>
            </w:tcBorders>
            <w:vAlign w:val="center"/>
          </w:tcPr>
          <w:p w14:paraId="4252AD87">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937" w:type="dxa"/>
            <w:tcBorders>
              <w:top w:val="nil"/>
              <w:left w:val="nil"/>
              <w:bottom w:val="single" w:color="auto" w:sz="4" w:space="0"/>
              <w:right w:val="single" w:color="auto" w:sz="4" w:space="0"/>
            </w:tcBorders>
            <w:vAlign w:val="center"/>
          </w:tcPr>
          <w:p w14:paraId="1C38AA9D">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4190749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C2C85CB">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住宿业</w:t>
            </w:r>
          </w:p>
        </w:tc>
        <w:tc>
          <w:tcPr>
            <w:tcW w:w="1676" w:type="dxa"/>
            <w:tcBorders>
              <w:top w:val="nil"/>
              <w:left w:val="nil"/>
              <w:bottom w:val="single" w:color="auto" w:sz="4" w:space="0"/>
              <w:right w:val="single" w:color="auto" w:sz="4" w:space="0"/>
            </w:tcBorders>
            <w:vAlign w:val="center"/>
          </w:tcPr>
          <w:p w14:paraId="2E5AB10E">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3EF33FE3">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65EE2E51">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513" w:type="dxa"/>
            <w:tcBorders>
              <w:top w:val="nil"/>
              <w:left w:val="nil"/>
              <w:bottom w:val="single" w:color="auto" w:sz="4" w:space="0"/>
              <w:right w:val="single" w:color="auto" w:sz="4" w:space="0"/>
            </w:tcBorders>
            <w:vAlign w:val="center"/>
          </w:tcPr>
          <w:p w14:paraId="2B3A387C">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6E10CD47">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7EFF53F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2FF024C">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14CF00D7">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773AEDA3">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320E80B4">
            <w:pPr>
              <w:widowControl/>
              <w:jc w:val="left"/>
              <w:rPr>
                <w:rFonts w:ascii="仿宋" w:hAnsi="仿宋" w:eastAsia="仿宋" w:cs="宋体"/>
                <w:kern w:val="0"/>
                <w:sz w:val="18"/>
                <w:szCs w:val="18"/>
              </w:rPr>
            </w:pPr>
            <w:r>
              <w:rPr>
                <w:rFonts w:hint="eastAsia" w:ascii="仿宋" w:hAnsi="仿宋" w:eastAsia="仿宋" w:cs="宋体"/>
                <w:kern w:val="0"/>
                <w:sz w:val="18"/>
                <w:szCs w:val="18"/>
              </w:rPr>
              <w:t>2000≤Y＜10000</w:t>
            </w:r>
          </w:p>
        </w:tc>
        <w:tc>
          <w:tcPr>
            <w:tcW w:w="1513" w:type="dxa"/>
            <w:tcBorders>
              <w:top w:val="nil"/>
              <w:left w:val="nil"/>
              <w:bottom w:val="single" w:color="auto" w:sz="4" w:space="0"/>
              <w:right w:val="single" w:color="auto" w:sz="4" w:space="0"/>
            </w:tcBorders>
            <w:vAlign w:val="center"/>
          </w:tcPr>
          <w:p w14:paraId="107DEF5E">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937" w:type="dxa"/>
            <w:tcBorders>
              <w:top w:val="nil"/>
              <w:left w:val="nil"/>
              <w:bottom w:val="single" w:color="auto" w:sz="4" w:space="0"/>
              <w:right w:val="single" w:color="auto" w:sz="4" w:space="0"/>
            </w:tcBorders>
            <w:vAlign w:val="center"/>
          </w:tcPr>
          <w:p w14:paraId="063EB543">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3F5A010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CD7AAE7">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餐饮业</w:t>
            </w:r>
          </w:p>
        </w:tc>
        <w:tc>
          <w:tcPr>
            <w:tcW w:w="1676" w:type="dxa"/>
            <w:tcBorders>
              <w:top w:val="nil"/>
              <w:left w:val="nil"/>
              <w:bottom w:val="single" w:color="auto" w:sz="4" w:space="0"/>
              <w:right w:val="single" w:color="auto" w:sz="4" w:space="0"/>
            </w:tcBorders>
            <w:vAlign w:val="center"/>
          </w:tcPr>
          <w:p w14:paraId="0D043BEE">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6291D5CD">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7689812C">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513" w:type="dxa"/>
            <w:tcBorders>
              <w:top w:val="nil"/>
              <w:left w:val="nil"/>
              <w:bottom w:val="single" w:color="auto" w:sz="4" w:space="0"/>
              <w:right w:val="single" w:color="auto" w:sz="4" w:space="0"/>
            </w:tcBorders>
            <w:vAlign w:val="center"/>
          </w:tcPr>
          <w:p w14:paraId="44736EA9">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0BF8030E">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3947344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31CE1E8">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37BEA681">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2AF203B8">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6411ADE6">
            <w:pPr>
              <w:widowControl/>
              <w:jc w:val="left"/>
              <w:rPr>
                <w:rFonts w:ascii="仿宋" w:hAnsi="仿宋" w:eastAsia="仿宋" w:cs="宋体"/>
                <w:kern w:val="0"/>
                <w:sz w:val="18"/>
                <w:szCs w:val="18"/>
              </w:rPr>
            </w:pPr>
            <w:r>
              <w:rPr>
                <w:rFonts w:hint="eastAsia" w:ascii="仿宋" w:hAnsi="仿宋" w:eastAsia="仿宋" w:cs="宋体"/>
                <w:kern w:val="0"/>
                <w:sz w:val="18"/>
                <w:szCs w:val="18"/>
              </w:rPr>
              <w:t>2000≤Y＜10000</w:t>
            </w:r>
          </w:p>
        </w:tc>
        <w:tc>
          <w:tcPr>
            <w:tcW w:w="1513" w:type="dxa"/>
            <w:tcBorders>
              <w:top w:val="nil"/>
              <w:left w:val="nil"/>
              <w:bottom w:val="single" w:color="auto" w:sz="4" w:space="0"/>
              <w:right w:val="single" w:color="auto" w:sz="4" w:space="0"/>
            </w:tcBorders>
            <w:vAlign w:val="center"/>
          </w:tcPr>
          <w:p w14:paraId="1A1C398F">
            <w:pPr>
              <w:widowControl/>
              <w:jc w:val="left"/>
              <w:rPr>
                <w:rFonts w:ascii="仿宋" w:hAnsi="仿宋" w:eastAsia="仿宋" w:cs="宋体"/>
                <w:kern w:val="0"/>
                <w:sz w:val="18"/>
                <w:szCs w:val="18"/>
              </w:rPr>
            </w:pPr>
            <w:r>
              <w:rPr>
                <w:rFonts w:hint="eastAsia" w:ascii="仿宋" w:hAnsi="仿宋" w:eastAsia="仿宋" w:cs="宋体"/>
                <w:kern w:val="0"/>
                <w:sz w:val="18"/>
                <w:szCs w:val="18"/>
              </w:rPr>
              <w:t>100≤Y＜2000</w:t>
            </w:r>
          </w:p>
        </w:tc>
        <w:tc>
          <w:tcPr>
            <w:tcW w:w="937" w:type="dxa"/>
            <w:tcBorders>
              <w:top w:val="nil"/>
              <w:left w:val="nil"/>
              <w:bottom w:val="single" w:color="auto" w:sz="4" w:space="0"/>
              <w:right w:val="single" w:color="auto" w:sz="4" w:space="0"/>
            </w:tcBorders>
            <w:vAlign w:val="center"/>
          </w:tcPr>
          <w:p w14:paraId="2495DA43">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4B4A431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524A028">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信息传输业</w:t>
            </w:r>
          </w:p>
        </w:tc>
        <w:tc>
          <w:tcPr>
            <w:tcW w:w="1676" w:type="dxa"/>
            <w:tcBorders>
              <w:top w:val="nil"/>
              <w:left w:val="nil"/>
              <w:bottom w:val="single" w:color="auto" w:sz="4" w:space="0"/>
              <w:right w:val="single" w:color="auto" w:sz="4" w:space="0"/>
            </w:tcBorders>
            <w:vAlign w:val="center"/>
          </w:tcPr>
          <w:p w14:paraId="47D57C39">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368F9FCB">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5247500A">
            <w:pPr>
              <w:widowControl/>
              <w:jc w:val="left"/>
              <w:rPr>
                <w:rFonts w:ascii="仿宋" w:hAnsi="仿宋" w:eastAsia="仿宋" w:cs="宋体"/>
                <w:kern w:val="0"/>
                <w:sz w:val="18"/>
                <w:szCs w:val="18"/>
              </w:rPr>
            </w:pPr>
            <w:r>
              <w:rPr>
                <w:rFonts w:hint="eastAsia" w:ascii="仿宋" w:hAnsi="仿宋" w:eastAsia="仿宋" w:cs="宋体"/>
                <w:kern w:val="0"/>
                <w:sz w:val="18"/>
                <w:szCs w:val="18"/>
              </w:rPr>
              <w:t>100≤X＜2000</w:t>
            </w:r>
          </w:p>
        </w:tc>
        <w:tc>
          <w:tcPr>
            <w:tcW w:w="1513" w:type="dxa"/>
            <w:tcBorders>
              <w:top w:val="nil"/>
              <w:left w:val="nil"/>
              <w:bottom w:val="single" w:color="auto" w:sz="4" w:space="0"/>
              <w:right w:val="single" w:color="auto" w:sz="4" w:space="0"/>
            </w:tcBorders>
            <w:vAlign w:val="center"/>
          </w:tcPr>
          <w:p w14:paraId="3187E5FB">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54FCBBAD">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5CDDBF3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7145A8B">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5FBA4107">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59A1063C">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5AD297EE">
            <w:pPr>
              <w:widowControl/>
              <w:jc w:val="left"/>
              <w:rPr>
                <w:rFonts w:ascii="仿宋" w:hAnsi="仿宋" w:eastAsia="仿宋" w:cs="宋体"/>
                <w:kern w:val="0"/>
                <w:sz w:val="18"/>
                <w:szCs w:val="18"/>
              </w:rPr>
            </w:pPr>
            <w:r>
              <w:rPr>
                <w:rFonts w:hint="eastAsia" w:ascii="仿宋" w:hAnsi="仿宋" w:eastAsia="仿宋" w:cs="宋体"/>
                <w:kern w:val="0"/>
                <w:sz w:val="18"/>
                <w:szCs w:val="18"/>
              </w:rPr>
              <w:t>1000≤Y＜100000</w:t>
            </w:r>
          </w:p>
        </w:tc>
        <w:tc>
          <w:tcPr>
            <w:tcW w:w="1513" w:type="dxa"/>
            <w:tcBorders>
              <w:top w:val="nil"/>
              <w:left w:val="nil"/>
              <w:bottom w:val="single" w:color="auto" w:sz="4" w:space="0"/>
              <w:right w:val="single" w:color="auto" w:sz="4" w:space="0"/>
            </w:tcBorders>
            <w:vAlign w:val="center"/>
          </w:tcPr>
          <w:p w14:paraId="017AAF5A">
            <w:pPr>
              <w:widowControl/>
              <w:jc w:val="left"/>
              <w:rPr>
                <w:rFonts w:ascii="仿宋" w:hAnsi="仿宋" w:eastAsia="仿宋" w:cs="宋体"/>
                <w:kern w:val="0"/>
                <w:sz w:val="18"/>
                <w:szCs w:val="18"/>
              </w:rPr>
            </w:pPr>
            <w:r>
              <w:rPr>
                <w:rFonts w:hint="eastAsia" w:ascii="仿宋" w:hAnsi="仿宋" w:eastAsia="仿宋" w:cs="宋体"/>
                <w:kern w:val="0"/>
                <w:sz w:val="18"/>
                <w:szCs w:val="18"/>
              </w:rPr>
              <w:t>100≤Y＜1000</w:t>
            </w:r>
          </w:p>
        </w:tc>
        <w:tc>
          <w:tcPr>
            <w:tcW w:w="937" w:type="dxa"/>
            <w:tcBorders>
              <w:top w:val="nil"/>
              <w:left w:val="nil"/>
              <w:bottom w:val="single" w:color="auto" w:sz="4" w:space="0"/>
              <w:right w:val="single" w:color="auto" w:sz="4" w:space="0"/>
            </w:tcBorders>
            <w:vAlign w:val="center"/>
          </w:tcPr>
          <w:p w14:paraId="448465BE">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74AEC7D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4A4DBA7">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软件和信息技术服务业</w:t>
            </w:r>
          </w:p>
        </w:tc>
        <w:tc>
          <w:tcPr>
            <w:tcW w:w="1676" w:type="dxa"/>
            <w:tcBorders>
              <w:top w:val="nil"/>
              <w:left w:val="nil"/>
              <w:bottom w:val="single" w:color="auto" w:sz="4" w:space="0"/>
              <w:right w:val="single" w:color="auto" w:sz="4" w:space="0"/>
            </w:tcBorders>
            <w:vAlign w:val="center"/>
          </w:tcPr>
          <w:p w14:paraId="2045C01B">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55AA6802">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130A8DE4">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513" w:type="dxa"/>
            <w:tcBorders>
              <w:top w:val="nil"/>
              <w:left w:val="nil"/>
              <w:bottom w:val="single" w:color="auto" w:sz="4" w:space="0"/>
              <w:right w:val="single" w:color="auto" w:sz="4" w:space="0"/>
            </w:tcBorders>
            <w:vAlign w:val="center"/>
          </w:tcPr>
          <w:p w14:paraId="34FB3039">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728BEC89">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5C8CFF2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0BDD336">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05689A7C">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1A8A0951">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133897D6">
            <w:pPr>
              <w:widowControl/>
              <w:jc w:val="left"/>
              <w:rPr>
                <w:rFonts w:ascii="仿宋" w:hAnsi="仿宋" w:eastAsia="仿宋" w:cs="宋体"/>
                <w:kern w:val="0"/>
                <w:sz w:val="18"/>
                <w:szCs w:val="18"/>
              </w:rPr>
            </w:pPr>
            <w:r>
              <w:rPr>
                <w:rFonts w:hint="eastAsia" w:ascii="仿宋" w:hAnsi="仿宋" w:eastAsia="仿宋" w:cs="宋体"/>
                <w:kern w:val="0"/>
                <w:sz w:val="18"/>
                <w:szCs w:val="18"/>
              </w:rPr>
              <w:t>1000≤Y＜10000</w:t>
            </w:r>
          </w:p>
        </w:tc>
        <w:tc>
          <w:tcPr>
            <w:tcW w:w="1513" w:type="dxa"/>
            <w:tcBorders>
              <w:top w:val="nil"/>
              <w:left w:val="nil"/>
              <w:bottom w:val="single" w:color="auto" w:sz="4" w:space="0"/>
              <w:right w:val="single" w:color="auto" w:sz="4" w:space="0"/>
            </w:tcBorders>
            <w:vAlign w:val="center"/>
          </w:tcPr>
          <w:p w14:paraId="2681320D">
            <w:pPr>
              <w:widowControl/>
              <w:jc w:val="left"/>
              <w:rPr>
                <w:rFonts w:ascii="仿宋" w:hAnsi="仿宋" w:eastAsia="仿宋" w:cs="宋体"/>
                <w:kern w:val="0"/>
                <w:sz w:val="18"/>
                <w:szCs w:val="18"/>
              </w:rPr>
            </w:pPr>
            <w:r>
              <w:rPr>
                <w:rFonts w:hint="eastAsia" w:ascii="仿宋" w:hAnsi="仿宋" w:eastAsia="仿宋" w:cs="宋体"/>
                <w:kern w:val="0"/>
                <w:sz w:val="18"/>
                <w:szCs w:val="18"/>
              </w:rPr>
              <w:t>50≤Y＜1000</w:t>
            </w:r>
          </w:p>
        </w:tc>
        <w:tc>
          <w:tcPr>
            <w:tcW w:w="937" w:type="dxa"/>
            <w:tcBorders>
              <w:top w:val="nil"/>
              <w:left w:val="nil"/>
              <w:bottom w:val="single" w:color="auto" w:sz="4" w:space="0"/>
              <w:right w:val="single" w:color="auto" w:sz="4" w:space="0"/>
            </w:tcBorders>
            <w:vAlign w:val="center"/>
          </w:tcPr>
          <w:p w14:paraId="3966D5A0">
            <w:pPr>
              <w:widowControl/>
              <w:jc w:val="left"/>
              <w:rPr>
                <w:rFonts w:ascii="仿宋" w:hAnsi="仿宋" w:eastAsia="仿宋" w:cs="宋体"/>
                <w:kern w:val="0"/>
                <w:sz w:val="18"/>
                <w:szCs w:val="18"/>
              </w:rPr>
            </w:pPr>
            <w:r>
              <w:rPr>
                <w:rFonts w:hint="eastAsia" w:ascii="仿宋" w:hAnsi="仿宋" w:eastAsia="仿宋" w:cs="宋体"/>
                <w:kern w:val="0"/>
                <w:sz w:val="18"/>
                <w:szCs w:val="18"/>
              </w:rPr>
              <w:t>Y＜50</w:t>
            </w:r>
          </w:p>
        </w:tc>
      </w:tr>
      <w:tr w14:paraId="46554E8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4AFBCDE">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房地产开发经营</w:t>
            </w:r>
          </w:p>
        </w:tc>
        <w:tc>
          <w:tcPr>
            <w:tcW w:w="1676" w:type="dxa"/>
            <w:tcBorders>
              <w:top w:val="nil"/>
              <w:left w:val="nil"/>
              <w:bottom w:val="single" w:color="auto" w:sz="4" w:space="0"/>
              <w:right w:val="single" w:color="auto" w:sz="4" w:space="0"/>
            </w:tcBorders>
            <w:vAlign w:val="center"/>
          </w:tcPr>
          <w:p w14:paraId="2CFC9971">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0AF2B1A0">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6443CC2E">
            <w:pPr>
              <w:widowControl/>
              <w:jc w:val="left"/>
              <w:rPr>
                <w:rFonts w:ascii="仿宋" w:hAnsi="仿宋" w:eastAsia="仿宋" w:cs="宋体"/>
                <w:kern w:val="0"/>
                <w:sz w:val="18"/>
                <w:szCs w:val="18"/>
              </w:rPr>
            </w:pPr>
            <w:r>
              <w:rPr>
                <w:rFonts w:hint="eastAsia" w:ascii="仿宋" w:hAnsi="仿宋" w:eastAsia="仿宋" w:cs="宋体"/>
                <w:kern w:val="0"/>
                <w:sz w:val="18"/>
                <w:szCs w:val="18"/>
              </w:rPr>
              <w:t>1000≤Y＜200000</w:t>
            </w:r>
          </w:p>
        </w:tc>
        <w:tc>
          <w:tcPr>
            <w:tcW w:w="1513" w:type="dxa"/>
            <w:tcBorders>
              <w:top w:val="nil"/>
              <w:left w:val="nil"/>
              <w:bottom w:val="single" w:color="auto" w:sz="4" w:space="0"/>
              <w:right w:val="single" w:color="auto" w:sz="4" w:space="0"/>
            </w:tcBorders>
            <w:vAlign w:val="center"/>
          </w:tcPr>
          <w:p w14:paraId="09D6A2E6">
            <w:pPr>
              <w:widowControl/>
              <w:jc w:val="left"/>
              <w:rPr>
                <w:rFonts w:ascii="仿宋" w:hAnsi="仿宋" w:eastAsia="仿宋" w:cs="宋体"/>
                <w:kern w:val="0"/>
                <w:sz w:val="18"/>
                <w:szCs w:val="18"/>
              </w:rPr>
            </w:pPr>
            <w:r>
              <w:rPr>
                <w:rFonts w:hint="eastAsia" w:ascii="仿宋" w:hAnsi="仿宋" w:eastAsia="仿宋" w:cs="宋体"/>
                <w:kern w:val="0"/>
                <w:sz w:val="18"/>
                <w:szCs w:val="18"/>
              </w:rPr>
              <w:t>100≤X＜1000</w:t>
            </w:r>
          </w:p>
        </w:tc>
        <w:tc>
          <w:tcPr>
            <w:tcW w:w="937" w:type="dxa"/>
            <w:tcBorders>
              <w:top w:val="nil"/>
              <w:left w:val="nil"/>
              <w:bottom w:val="single" w:color="auto" w:sz="4" w:space="0"/>
              <w:right w:val="single" w:color="auto" w:sz="4" w:space="0"/>
            </w:tcBorders>
            <w:vAlign w:val="center"/>
          </w:tcPr>
          <w:p w14:paraId="69F03C66">
            <w:pPr>
              <w:widowControl/>
              <w:jc w:val="left"/>
              <w:rPr>
                <w:rFonts w:ascii="仿宋" w:hAnsi="仿宋" w:eastAsia="仿宋" w:cs="宋体"/>
                <w:kern w:val="0"/>
                <w:sz w:val="18"/>
                <w:szCs w:val="18"/>
              </w:rPr>
            </w:pPr>
            <w:r>
              <w:rPr>
                <w:rFonts w:hint="eastAsia" w:ascii="仿宋" w:hAnsi="仿宋" w:eastAsia="仿宋" w:cs="宋体"/>
                <w:kern w:val="0"/>
                <w:sz w:val="18"/>
                <w:szCs w:val="18"/>
              </w:rPr>
              <w:t>X＜100</w:t>
            </w:r>
          </w:p>
        </w:tc>
      </w:tr>
      <w:tr w14:paraId="6FD069D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A05A237">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061386AB">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912" w:type="dxa"/>
            <w:tcBorders>
              <w:top w:val="nil"/>
              <w:left w:val="nil"/>
              <w:bottom w:val="single" w:color="auto" w:sz="4" w:space="0"/>
              <w:right w:val="single" w:color="auto" w:sz="4" w:space="0"/>
            </w:tcBorders>
            <w:vAlign w:val="center"/>
          </w:tcPr>
          <w:p w14:paraId="10BE9895">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257A3A77">
            <w:pPr>
              <w:widowControl/>
              <w:jc w:val="left"/>
              <w:rPr>
                <w:rFonts w:ascii="仿宋" w:hAnsi="仿宋" w:eastAsia="仿宋" w:cs="宋体"/>
                <w:kern w:val="0"/>
                <w:sz w:val="18"/>
                <w:szCs w:val="18"/>
              </w:rPr>
            </w:pPr>
            <w:r>
              <w:rPr>
                <w:rFonts w:hint="eastAsia" w:ascii="仿宋" w:hAnsi="仿宋" w:eastAsia="仿宋" w:cs="宋体"/>
                <w:kern w:val="0"/>
                <w:sz w:val="18"/>
                <w:szCs w:val="18"/>
              </w:rPr>
              <w:t>5000≤Z＜10000</w:t>
            </w:r>
          </w:p>
        </w:tc>
        <w:tc>
          <w:tcPr>
            <w:tcW w:w="1513" w:type="dxa"/>
            <w:tcBorders>
              <w:top w:val="nil"/>
              <w:left w:val="nil"/>
              <w:bottom w:val="single" w:color="auto" w:sz="4" w:space="0"/>
              <w:right w:val="single" w:color="auto" w:sz="4" w:space="0"/>
            </w:tcBorders>
            <w:vAlign w:val="center"/>
          </w:tcPr>
          <w:p w14:paraId="234F0706">
            <w:pPr>
              <w:widowControl/>
              <w:jc w:val="left"/>
              <w:rPr>
                <w:rFonts w:ascii="仿宋" w:hAnsi="仿宋" w:eastAsia="仿宋" w:cs="宋体"/>
                <w:kern w:val="0"/>
                <w:sz w:val="18"/>
                <w:szCs w:val="18"/>
              </w:rPr>
            </w:pPr>
            <w:r>
              <w:rPr>
                <w:rFonts w:hint="eastAsia" w:ascii="仿宋" w:hAnsi="仿宋" w:eastAsia="仿宋" w:cs="宋体"/>
                <w:kern w:val="0"/>
                <w:sz w:val="18"/>
                <w:szCs w:val="18"/>
              </w:rPr>
              <w:t>2000≤Y＜5000</w:t>
            </w:r>
          </w:p>
        </w:tc>
        <w:tc>
          <w:tcPr>
            <w:tcW w:w="937" w:type="dxa"/>
            <w:tcBorders>
              <w:top w:val="nil"/>
              <w:left w:val="nil"/>
              <w:bottom w:val="single" w:color="auto" w:sz="4" w:space="0"/>
              <w:right w:val="single" w:color="auto" w:sz="4" w:space="0"/>
            </w:tcBorders>
            <w:vAlign w:val="center"/>
          </w:tcPr>
          <w:p w14:paraId="7F5F991E">
            <w:pPr>
              <w:widowControl/>
              <w:jc w:val="left"/>
              <w:rPr>
                <w:rFonts w:ascii="仿宋" w:hAnsi="仿宋" w:eastAsia="仿宋" w:cs="宋体"/>
                <w:kern w:val="0"/>
                <w:sz w:val="18"/>
                <w:szCs w:val="18"/>
              </w:rPr>
            </w:pPr>
            <w:r>
              <w:rPr>
                <w:rFonts w:hint="eastAsia" w:ascii="仿宋" w:hAnsi="仿宋" w:eastAsia="仿宋" w:cs="宋体"/>
                <w:kern w:val="0"/>
                <w:sz w:val="18"/>
                <w:szCs w:val="18"/>
              </w:rPr>
              <w:t>Y＜2000</w:t>
            </w:r>
          </w:p>
        </w:tc>
      </w:tr>
      <w:tr w14:paraId="2145635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C37E8A2">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物业管理</w:t>
            </w:r>
          </w:p>
        </w:tc>
        <w:tc>
          <w:tcPr>
            <w:tcW w:w="1676" w:type="dxa"/>
            <w:tcBorders>
              <w:top w:val="nil"/>
              <w:left w:val="nil"/>
              <w:bottom w:val="single" w:color="auto" w:sz="4" w:space="0"/>
              <w:right w:val="single" w:color="auto" w:sz="4" w:space="0"/>
            </w:tcBorders>
            <w:vAlign w:val="center"/>
          </w:tcPr>
          <w:p w14:paraId="5F67B85C">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080F47E8">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6556B3A7">
            <w:pPr>
              <w:widowControl/>
              <w:jc w:val="left"/>
              <w:rPr>
                <w:rFonts w:ascii="仿宋" w:hAnsi="仿宋" w:eastAsia="仿宋" w:cs="宋体"/>
                <w:kern w:val="0"/>
                <w:sz w:val="18"/>
                <w:szCs w:val="18"/>
              </w:rPr>
            </w:pPr>
            <w:r>
              <w:rPr>
                <w:rFonts w:hint="eastAsia" w:ascii="仿宋" w:hAnsi="仿宋" w:eastAsia="仿宋" w:cs="宋体"/>
                <w:kern w:val="0"/>
                <w:sz w:val="18"/>
                <w:szCs w:val="18"/>
              </w:rPr>
              <w:t>300≤X＜1000</w:t>
            </w:r>
          </w:p>
        </w:tc>
        <w:tc>
          <w:tcPr>
            <w:tcW w:w="1513" w:type="dxa"/>
            <w:tcBorders>
              <w:top w:val="nil"/>
              <w:left w:val="nil"/>
              <w:bottom w:val="single" w:color="auto" w:sz="4" w:space="0"/>
              <w:right w:val="single" w:color="auto" w:sz="4" w:space="0"/>
            </w:tcBorders>
            <w:vAlign w:val="center"/>
          </w:tcPr>
          <w:p w14:paraId="7E4A55A4">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937" w:type="dxa"/>
            <w:tcBorders>
              <w:top w:val="nil"/>
              <w:left w:val="nil"/>
              <w:bottom w:val="single" w:color="auto" w:sz="4" w:space="0"/>
              <w:right w:val="single" w:color="auto" w:sz="4" w:space="0"/>
            </w:tcBorders>
            <w:vAlign w:val="center"/>
          </w:tcPr>
          <w:p w14:paraId="7C074639">
            <w:pPr>
              <w:widowControl/>
              <w:jc w:val="left"/>
              <w:rPr>
                <w:rFonts w:ascii="仿宋" w:hAnsi="仿宋" w:eastAsia="仿宋" w:cs="宋体"/>
                <w:kern w:val="0"/>
                <w:sz w:val="18"/>
                <w:szCs w:val="18"/>
              </w:rPr>
            </w:pPr>
            <w:r>
              <w:rPr>
                <w:rFonts w:hint="eastAsia" w:ascii="仿宋" w:hAnsi="仿宋" w:eastAsia="仿宋" w:cs="宋体"/>
                <w:kern w:val="0"/>
                <w:sz w:val="18"/>
                <w:szCs w:val="18"/>
              </w:rPr>
              <w:t>X＜100</w:t>
            </w:r>
          </w:p>
        </w:tc>
      </w:tr>
      <w:tr w14:paraId="2B0E445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17D55DDC">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6EC446A1">
            <w:pPr>
              <w:widowControl/>
              <w:jc w:val="left"/>
              <w:rPr>
                <w:rFonts w:ascii="仿宋" w:hAnsi="仿宋" w:eastAsia="仿宋" w:cs="宋体"/>
                <w:kern w:val="0"/>
                <w:sz w:val="18"/>
                <w:szCs w:val="18"/>
              </w:rPr>
            </w:pPr>
            <w:r>
              <w:rPr>
                <w:rFonts w:hint="eastAsia" w:ascii="仿宋" w:hAnsi="仿宋" w:eastAsia="仿宋" w:cs="宋体"/>
                <w:kern w:val="0"/>
                <w:sz w:val="18"/>
                <w:szCs w:val="18"/>
              </w:rPr>
              <w:t>营业收入（Y）</w:t>
            </w:r>
          </w:p>
        </w:tc>
        <w:tc>
          <w:tcPr>
            <w:tcW w:w="912" w:type="dxa"/>
            <w:tcBorders>
              <w:top w:val="nil"/>
              <w:left w:val="nil"/>
              <w:bottom w:val="single" w:color="auto" w:sz="4" w:space="0"/>
              <w:right w:val="single" w:color="auto" w:sz="4" w:space="0"/>
            </w:tcBorders>
            <w:vAlign w:val="center"/>
          </w:tcPr>
          <w:p w14:paraId="559B0DB2">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43D66756">
            <w:pPr>
              <w:widowControl/>
              <w:jc w:val="left"/>
              <w:rPr>
                <w:rFonts w:ascii="仿宋" w:hAnsi="仿宋" w:eastAsia="仿宋" w:cs="宋体"/>
                <w:kern w:val="0"/>
                <w:sz w:val="18"/>
                <w:szCs w:val="18"/>
              </w:rPr>
            </w:pPr>
            <w:r>
              <w:rPr>
                <w:rFonts w:hint="eastAsia" w:ascii="仿宋" w:hAnsi="仿宋" w:eastAsia="仿宋" w:cs="宋体"/>
                <w:kern w:val="0"/>
                <w:sz w:val="18"/>
                <w:szCs w:val="18"/>
              </w:rPr>
              <w:t>1000≤Y＜5000</w:t>
            </w:r>
          </w:p>
        </w:tc>
        <w:tc>
          <w:tcPr>
            <w:tcW w:w="1513" w:type="dxa"/>
            <w:tcBorders>
              <w:top w:val="nil"/>
              <w:left w:val="nil"/>
              <w:bottom w:val="single" w:color="auto" w:sz="4" w:space="0"/>
              <w:right w:val="single" w:color="auto" w:sz="4" w:space="0"/>
            </w:tcBorders>
            <w:vAlign w:val="center"/>
          </w:tcPr>
          <w:p w14:paraId="44FFE7BE">
            <w:pPr>
              <w:widowControl/>
              <w:jc w:val="left"/>
              <w:rPr>
                <w:rFonts w:ascii="仿宋" w:hAnsi="仿宋" w:eastAsia="仿宋" w:cs="宋体"/>
                <w:kern w:val="0"/>
                <w:sz w:val="18"/>
                <w:szCs w:val="18"/>
              </w:rPr>
            </w:pPr>
            <w:r>
              <w:rPr>
                <w:rFonts w:hint="eastAsia" w:ascii="仿宋" w:hAnsi="仿宋" w:eastAsia="仿宋" w:cs="宋体"/>
                <w:kern w:val="0"/>
                <w:sz w:val="18"/>
                <w:szCs w:val="18"/>
              </w:rPr>
              <w:t>500≤Y＜1000</w:t>
            </w:r>
          </w:p>
        </w:tc>
        <w:tc>
          <w:tcPr>
            <w:tcW w:w="937" w:type="dxa"/>
            <w:tcBorders>
              <w:top w:val="nil"/>
              <w:left w:val="nil"/>
              <w:bottom w:val="single" w:color="auto" w:sz="4" w:space="0"/>
              <w:right w:val="single" w:color="auto" w:sz="4" w:space="0"/>
            </w:tcBorders>
            <w:vAlign w:val="center"/>
          </w:tcPr>
          <w:p w14:paraId="79361E1D">
            <w:pPr>
              <w:widowControl/>
              <w:jc w:val="left"/>
              <w:rPr>
                <w:rFonts w:ascii="仿宋" w:hAnsi="仿宋" w:eastAsia="仿宋" w:cs="宋体"/>
                <w:kern w:val="0"/>
                <w:sz w:val="18"/>
                <w:szCs w:val="18"/>
              </w:rPr>
            </w:pPr>
            <w:r>
              <w:rPr>
                <w:rFonts w:hint="eastAsia" w:ascii="仿宋" w:hAnsi="仿宋" w:eastAsia="仿宋" w:cs="宋体"/>
                <w:kern w:val="0"/>
                <w:sz w:val="18"/>
                <w:szCs w:val="18"/>
              </w:rPr>
              <w:t>Y＜500</w:t>
            </w:r>
          </w:p>
        </w:tc>
      </w:tr>
      <w:tr w14:paraId="6FADFB0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3D932FE">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租赁和商务服务业</w:t>
            </w:r>
          </w:p>
        </w:tc>
        <w:tc>
          <w:tcPr>
            <w:tcW w:w="1676" w:type="dxa"/>
            <w:tcBorders>
              <w:top w:val="nil"/>
              <w:left w:val="nil"/>
              <w:bottom w:val="single" w:color="auto" w:sz="4" w:space="0"/>
              <w:right w:val="single" w:color="auto" w:sz="4" w:space="0"/>
            </w:tcBorders>
            <w:vAlign w:val="center"/>
          </w:tcPr>
          <w:p w14:paraId="73CEB230">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145F0B4D">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181D0090">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513" w:type="dxa"/>
            <w:tcBorders>
              <w:top w:val="nil"/>
              <w:left w:val="nil"/>
              <w:bottom w:val="single" w:color="auto" w:sz="4" w:space="0"/>
              <w:right w:val="single" w:color="auto" w:sz="4" w:space="0"/>
            </w:tcBorders>
            <w:vAlign w:val="center"/>
          </w:tcPr>
          <w:p w14:paraId="12BC9BAA">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71E62D98">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r w14:paraId="4AC5316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0A7BF9DC">
            <w:pPr>
              <w:widowControl/>
              <w:jc w:val="left"/>
              <w:rPr>
                <w:rFonts w:ascii="仿宋" w:hAnsi="仿宋" w:eastAsia="仿宋" w:cs="宋体"/>
                <w:b/>
                <w:bCs/>
                <w:kern w:val="0"/>
                <w:sz w:val="18"/>
                <w:szCs w:val="18"/>
              </w:rPr>
            </w:pPr>
          </w:p>
        </w:tc>
        <w:tc>
          <w:tcPr>
            <w:tcW w:w="1676" w:type="dxa"/>
            <w:tcBorders>
              <w:top w:val="nil"/>
              <w:left w:val="nil"/>
              <w:bottom w:val="single" w:color="auto" w:sz="4" w:space="0"/>
              <w:right w:val="single" w:color="auto" w:sz="4" w:space="0"/>
            </w:tcBorders>
            <w:vAlign w:val="center"/>
          </w:tcPr>
          <w:p w14:paraId="38B55067">
            <w:pPr>
              <w:widowControl/>
              <w:jc w:val="left"/>
              <w:rPr>
                <w:rFonts w:ascii="仿宋" w:hAnsi="仿宋" w:eastAsia="仿宋" w:cs="宋体"/>
                <w:kern w:val="0"/>
                <w:sz w:val="18"/>
                <w:szCs w:val="18"/>
              </w:rPr>
            </w:pPr>
            <w:r>
              <w:rPr>
                <w:rFonts w:hint="eastAsia" w:ascii="仿宋" w:hAnsi="仿宋" w:eastAsia="仿宋" w:cs="宋体"/>
                <w:kern w:val="0"/>
                <w:sz w:val="18"/>
                <w:szCs w:val="18"/>
              </w:rPr>
              <w:t>资产总额（Z）</w:t>
            </w:r>
          </w:p>
        </w:tc>
        <w:tc>
          <w:tcPr>
            <w:tcW w:w="912" w:type="dxa"/>
            <w:tcBorders>
              <w:top w:val="nil"/>
              <w:left w:val="nil"/>
              <w:bottom w:val="single" w:color="auto" w:sz="4" w:space="0"/>
              <w:right w:val="single" w:color="auto" w:sz="4" w:space="0"/>
            </w:tcBorders>
            <w:vAlign w:val="center"/>
          </w:tcPr>
          <w:p w14:paraId="2CB59DF5">
            <w:pPr>
              <w:widowControl/>
              <w:jc w:val="left"/>
              <w:rPr>
                <w:rFonts w:ascii="仿宋" w:hAnsi="仿宋" w:eastAsia="仿宋" w:cs="宋体"/>
                <w:kern w:val="0"/>
                <w:sz w:val="18"/>
                <w:szCs w:val="18"/>
              </w:rPr>
            </w:pPr>
            <w:r>
              <w:rPr>
                <w:rFonts w:hint="eastAsia" w:ascii="仿宋" w:hAnsi="仿宋" w:eastAsia="仿宋" w:cs="宋体"/>
                <w:kern w:val="0"/>
                <w:sz w:val="18"/>
                <w:szCs w:val="18"/>
              </w:rPr>
              <w:t>万元</w:t>
            </w:r>
          </w:p>
        </w:tc>
        <w:tc>
          <w:tcPr>
            <w:tcW w:w="1725" w:type="dxa"/>
            <w:tcBorders>
              <w:top w:val="nil"/>
              <w:left w:val="nil"/>
              <w:bottom w:val="single" w:color="auto" w:sz="4" w:space="0"/>
              <w:right w:val="single" w:color="auto" w:sz="4" w:space="0"/>
            </w:tcBorders>
            <w:vAlign w:val="center"/>
          </w:tcPr>
          <w:p w14:paraId="3BB81D6F">
            <w:pPr>
              <w:widowControl/>
              <w:jc w:val="left"/>
              <w:rPr>
                <w:rFonts w:ascii="仿宋" w:hAnsi="仿宋" w:eastAsia="仿宋" w:cs="宋体"/>
                <w:kern w:val="0"/>
                <w:sz w:val="18"/>
                <w:szCs w:val="18"/>
              </w:rPr>
            </w:pPr>
            <w:r>
              <w:rPr>
                <w:rFonts w:hint="eastAsia" w:ascii="仿宋" w:hAnsi="仿宋" w:eastAsia="仿宋" w:cs="宋体"/>
                <w:kern w:val="0"/>
                <w:sz w:val="18"/>
                <w:szCs w:val="18"/>
              </w:rPr>
              <w:t>8000≤Z＜120000</w:t>
            </w:r>
          </w:p>
        </w:tc>
        <w:tc>
          <w:tcPr>
            <w:tcW w:w="1513" w:type="dxa"/>
            <w:tcBorders>
              <w:top w:val="nil"/>
              <w:left w:val="nil"/>
              <w:bottom w:val="single" w:color="auto" w:sz="4" w:space="0"/>
              <w:right w:val="single" w:color="auto" w:sz="4" w:space="0"/>
            </w:tcBorders>
            <w:vAlign w:val="center"/>
          </w:tcPr>
          <w:p w14:paraId="5DF03E43">
            <w:pPr>
              <w:widowControl/>
              <w:jc w:val="left"/>
              <w:rPr>
                <w:rFonts w:ascii="仿宋" w:hAnsi="仿宋" w:eastAsia="仿宋" w:cs="宋体"/>
                <w:kern w:val="0"/>
                <w:sz w:val="18"/>
                <w:szCs w:val="18"/>
              </w:rPr>
            </w:pPr>
            <w:r>
              <w:rPr>
                <w:rFonts w:hint="eastAsia" w:ascii="仿宋" w:hAnsi="仿宋" w:eastAsia="仿宋" w:cs="宋体"/>
                <w:kern w:val="0"/>
                <w:sz w:val="18"/>
                <w:szCs w:val="18"/>
              </w:rPr>
              <w:t>100≤Z＜8000</w:t>
            </w:r>
          </w:p>
        </w:tc>
        <w:tc>
          <w:tcPr>
            <w:tcW w:w="937" w:type="dxa"/>
            <w:tcBorders>
              <w:top w:val="nil"/>
              <w:left w:val="nil"/>
              <w:bottom w:val="single" w:color="auto" w:sz="4" w:space="0"/>
              <w:right w:val="single" w:color="auto" w:sz="4" w:space="0"/>
            </w:tcBorders>
            <w:vAlign w:val="center"/>
          </w:tcPr>
          <w:p w14:paraId="10BD1F19">
            <w:pPr>
              <w:widowControl/>
              <w:jc w:val="left"/>
              <w:rPr>
                <w:rFonts w:ascii="仿宋" w:hAnsi="仿宋" w:eastAsia="仿宋" w:cs="宋体"/>
                <w:kern w:val="0"/>
                <w:sz w:val="18"/>
                <w:szCs w:val="18"/>
              </w:rPr>
            </w:pPr>
            <w:r>
              <w:rPr>
                <w:rFonts w:hint="eastAsia" w:ascii="仿宋" w:hAnsi="仿宋" w:eastAsia="仿宋" w:cs="宋体"/>
                <w:kern w:val="0"/>
                <w:sz w:val="18"/>
                <w:szCs w:val="18"/>
              </w:rPr>
              <w:t>Y＜100</w:t>
            </w:r>
          </w:p>
        </w:tc>
      </w:tr>
      <w:tr w14:paraId="3CF6364F">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39B73554">
            <w:pPr>
              <w:widowControl/>
              <w:jc w:val="center"/>
              <w:rPr>
                <w:rFonts w:ascii="仿宋" w:hAnsi="仿宋" w:eastAsia="仿宋" w:cs="宋体"/>
                <w:b/>
                <w:bCs/>
                <w:kern w:val="0"/>
                <w:sz w:val="18"/>
                <w:szCs w:val="18"/>
              </w:rPr>
            </w:pPr>
            <w:r>
              <w:rPr>
                <w:rFonts w:hint="eastAsia" w:ascii="仿宋" w:hAnsi="仿宋" w:eastAsia="仿宋" w:cs="宋体"/>
                <w:b/>
                <w:bCs/>
                <w:kern w:val="0"/>
                <w:sz w:val="18"/>
                <w:szCs w:val="18"/>
              </w:rPr>
              <w:t>其他未列明行业</w:t>
            </w:r>
          </w:p>
        </w:tc>
        <w:tc>
          <w:tcPr>
            <w:tcW w:w="1676" w:type="dxa"/>
            <w:tcBorders>
              <w:top w:val="nil"/>
              <w:left w:val="nil"/>
              <w:bottom w:val="single" w:color="auto" w:sz="4" w:space="0"/>
              <w:right w:val="single" w:color="auto" w:sz="4" w:space="0"/>
            </w:tcBorders>
            <w:vAlign w:val="center"/>
          </w:tcPr>
          <w:p w14:paraId="1037C799">
            <w:pPr>
              <w:widowControl/>
              <w:jc w:val="left"/>
              <w:rPr>
                <w:rFonts w:ascii="仿宋" w:hAnsi="仿宋" w:eastAsia="仿宋" w:cs="宋体"/>
                <w:kern w:val="0"/>
                <w:sz w:val="18"/>
                <w:szCs w:val="18"/>
              </w:rPr>
            </w:pPr>
            <w:r>
              <w:rPr>
                <w:rFonts w:hint="eastAsia" w:ascii="仿宋" w:hAnsi="仿宋" w:eastAsia="仿宋" w:cs="宋体"/>
                <w:kern w:val="0"/>
                <w:sz w:val="18"/>
                <w:szCs w:val="18"/>
              </w:rPr>
              <w:t>从业人员（X）</w:t>
            </w:r>
          </w:p>
        </w:tc>
        <w:tc>
          <w:tcPr>
            <w:tcW w:w="912" w:type="dxa"/>
            <w:tcBorders>
              <w:top w:val="nil"/>
              <w:left w:val="nil"/>
              <w:bottom w:val="single" w:color="auto" w:sz="4" w:space="0"/>
              <w:right w:val="single" w:color="auto" w:sz="4" w:space="0"/>
            </w:tcBorders>
            <w:vAlign w:val="center"/>
          </w:tcPr>
          <w:p w14:paraId="51D938D5">
            <w:pPr>
              <w:widowControl/>
              <w:jc w:val="left"/>
              <w:rPr>
                <w:rFonts w:ascii="仿宋" w:hAnsi="仿宋" w:eastAsia="仿宋" w:cs="宋体"/>
                <w:kern w:val="0"/>
                <w:sz w:val="18"/>
                <w:szCs w:val="18"/>
              </w:rPr>
            </w:pPr>
            <w:r>
              <w:rPr>
                <w:rFonts w:hint="eastAsia" w:ascii="仿宋" w:hAnsi="仿宋" w:eastAsia="仿宋" w:cs="宋体"/>
                <w:kern w:val="0"/>
                <w:sz w:val="18"/>
                <w:szCs w:val="18"/>
              </w:rPr>
              <w:t>人</w:t>
            </w:r>
          </w:p>
        </w:tc>
        <w:tc>
          <w:tcPr>
            <w:tcW w:w="1725" w:type="dxa"/>
            <w:tcBorders>
              <w:top w:val="nil"/>
              <w:left w:val="nil"/>
              <w:bottom w:val="single" w:color="auto" w:sz="4" w:space="0"/>
              <w:right w:val="single" w:color="auto" w:sz="4" w:space="0"/>
            </w:tcBorders>
            <w:vAlign w:val="center"/>
          </w:tcPr>
          <w:p w14:paraId="61920004">
            <w:pPr>
              <w:widowControl/>
              <w:jc w:val="left"/>
              <w:rPr>
                <w:rFonts w:ascii="仿宋" w:hAnsi="仿宋" w:eastAsia="仿宋" w:cs="宋体"/>
                <w:kern w:val="0"/>
                <w:sz w:val="18"/>
                <w:szCs w:val="18"/>
              </w:rPr>
            </w:pPr>
            <w:r>
              <w:rPr>
                <w:rFonts w:hint="eastAsia" w:ascii="仿宋" w:hAnsi="仿宋" w:eastAsia="仿宋" w:cs="宋体"/>
                <w:kern w:val="0"/>
                <w:sz w:val="18"/>
                <w:szCs w:val="18"/>
              </w:rPr>
              <w:t>100≤X＜300</w:t>
            </w:r>
          </w:p>
        </w:tc>
        <w:tc>
          <w:tcPr>
            <w:tcW w:w="1513" w:type="dxa"/>
            <w:tcBorders>
              <w:top w:val="nil"/>
              <w:left w:val="nil"/>
              <w:bottom w:val="single" w:color="auto" w:sz="4" w:space="0"/>
              <w:right w:val="single" w:color="auto" w:sz="4" w:space="0"/>
            </w:tcBorders>
            <w:vAlign w:val="center"/>
          </w:tcPr>
          <w:p w14:paraId="71F44CF9">
            <w:pPr>
              <w:widowControl/>
              <w:jc w:val="left"/>
              <w:rPr>
                <w:rFonts w:ascii="仿宋" w:hAnsi="仿宋" w:eastAsia="仿宋" w:cs="宋体"/>
                <w:kern w:val="0"/>
                <w:sz w:val="18"/>
                <w:szCs w:val="18"/>
              </w:rPr>
            </w:pPr>
            <w:r>
              <w:rPr>
                <w:rFonts w:hint="eastAsia" w:ascii="仿宋" w:hAnsi="仿宋" w:eastAsia="仿宋" w:cs="宋体"/>
                <w:kern w:val="0"/>
                <w:sz w:val="18"/>
                <w:szCs w:val="18"/>
              </w:rPr>
              <w:t>10≤X＜100</w:t>
            </w:r>
          </w:p>
        </w:tc>
        <w:tc>
          <w:tcPr>
            <w:tcW w:w="937" w:type="dxa"/>
            <w:tcBorders>
              <w:top w:val="nil"/>
              <w:left w:val="nil"/>
              <w:bottom w:val="single" w:color="auto" w:sz="4" w:space="0"/>
              <w:right w:val="single" w:color="auto" w:sz="4" w:space="0"/>
            </w:tcBorders>
            <w:vAlign w:val="center"/>
          </w:tcPr>
          <w:p w14:paraId="4270692F">
            <w:pPr>
              <w:widowControl/>
              <w:jc w:val="left"/>
              <w:rPr>
                <w:rFonts w:ascii="仿宋" w:hAnsi="仿宋" w:eastAsia="仿宋" w:cs="宋体"/>
                <w:kern w:val="0"/>
                <w:sz w:val="18"/>
                <w:szCs w:val="18"/>
              </w:rPr>
            </w:pPr>
            <w:r>
              <w:rPr>
                <w:rFonts w:hint="eastAsia" w:ascii="仿宋" w:hAnsi="仿宋" w:eastAsia="仿宋" w:cs="宋体"/>
                <w:kern w:val="0"/>
                <w:sz w:val="18"/>
                <w:szCs w:val="18"/>
              </w:rPr>
              <w:t>X＜10</w:t>
            </w:r>
          </w:p>
        </w:tc>
      </w:tr>
    </w:tbl>
    <w:p w14:paraId="0995284E">
      <w:pPr>
        <w:spacing w:line="560" w:lineRule="exact"/>
        <w:ind w:firstLine="525" w:firstLineChars="250"/>
        <w:rPr>
          <w:rFonts w:ascii="宋体" w:hAnsi="宋体"/>
        </w:rPr>
      </w:pPr>
      <w:r>
        <w:rPr>
          <w:rFonts w:hint="eastAsia" w:ascii="仿宋" w:hAnsi="仿宋" w:eastAsia="仿宋"/>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0EBA3C60">
      <w:pPr>
        <w:snapToGrid w:val="0"/>
        <w:spacing w:line="400" w:lineRule="exact"/>
        <w:ind w:firstLine="420"/>
        <w:rPr>
          <w:rFonts w:ascii="宋体" w:hAnsi="宋体" w:cs="宋体"/>
          <w:sz w:val="24"/>
          <w:lang w:val="zh-CN"/>
        </w:rPr>
        <w:sectPr>
          <w:footerReference r:id="rId5" w:type="default"/>
          <w:pgSz w:w="11906" w:h="16838"/>
          <w:pgMar w:top="1134" w:right="1134" w:bottom="1134" w:left="1134" w:header="720" w:footer="720" w:gutter="0"/>
          <w:pgNumType w:start="1"/>
          <w:cols w:space="720" w:num="1"/>
          <w:docGrid w:type="lines" w:linePitch="331" w:charSpace="0"/>
        </w:sectPr>
      </w:pPr>
    </w:p>
    <w:p w14:paraId="20A3A2E9">
      <w:pPr>
        <w:jc w:val="center"/>
        <w:outlineLvl w:val="0"/>
        <w:rPr>
          <w:rFonts w:hAnsi="宋体"/>
          <w:b/>
          <w:sz w:val="36"/>
          <w:szCs w:val="36"/>
        </w:rPr>
      </w:pPr>
      <w:bookmarkStart w:id="9" w:name="_Toc16127"/>
      <w:bookmarkStart w:id="10" w:name="_Toc8860"/>
      <w:r>
        <w:rPr>
          <w:rFonts w:hint="eastAsia"/>
          <w:b/>
          <w:sz w:val="36"/>
        </w:rPr>
        <w:t>第三章</w:t>
      </w:r>
      <w:r>
        <w:rPr>
          <w:b/>
          <w:sz w:val="36"/>
        </w:rPr>
        <w:t xml:space="preserve">  </w:t>
      </w:r>
      <w:bookmarkStart w:id="11" w:name="_Hlk197516800"/>
      <w:r>
        <w:rPr>
          <w:rFonts w:hint="eastAsia"/>
          <w:b/>
          <w:sz w:val="36"/>
        </w:rPr>
        <w:t>投标人须知</w:t>
      </w:r>
      <w:bookmarkEnd w:id="9"/>
      <w:bookmarkEnd w:id="10"/>
      <w:bookmarkEnd w:id="11"/>
    </w:p>
    <w:p w14:paraId="2B8A3AE4">
      <w:pPr>
        <w:spacing w:line="720" w:lineRule="auto"/>
        <w:jc w:val="center"/>
        <w:outlineLvl w:val="1"/>
        <w:rPr>
          <w:b/>
          <w:sz w:val="30"/>
          <w:szCs w:val="30"/>
        </w:rPr>
      </w:pPr>
      <w:bookmarkStart w:id="12" w:name="_Toc25516"/>
      <w:bookmarkStart w:id="13" w:name="_Toc10677"/>
      <w:r>
        <w:rPr>
          <w:rFonts w:hint="eastAsia"/>
          <w:b/>
          <w:sz w:val="30"/>
          <w:szCs w:val="30"/>
        </w:rPr>
        <w:t xml:space="preserve">第一节 </w:t>
      </w:r>
      <w:bookmarkStart w:id="14" w:name="_Hlk197516805"/>
      <w:r>
        <w:rPr>
          <w:rFonts w:hint="eastAsia"/>
          <w:b/>
          <w:sz w:val="30"/>
          <w:szCs w:val="30"/>
        </w:rPr>
        <w:t>投标人须知前附表</w:t>
      </w:r>
      <w:bookmarkEnd w:id="12"/>
      <w:bookmarkEnd w:id="13"/>
    </w:p>
    <w:bookmarkEnd w:id="14"/>
    <w:tbl>
      <w:tblPr>
        <w:tblStyle w:val="35"/>
        <w:tblW w:w="10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3E189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4EF3E54D">
            <w:pPr>
              <w:snapToGrid w:val="0"/>
              <w:spacing w:line="360" w:lineRule="auto"/>
              <w:jc w:val="center"/>
              <w:rPr>
                <w:rFonts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6620C23C">
            <w:pPr>
              <w:snapToGrid w:val="0"/>
              <w:spacing w:line="360" w:lineRule="auto"/>
              <w:jc w:val="center"/>
              <w:rPr>
                <w:rFonts w:ascii="宋体" w:hAnsi="宋体"/>
                <w:szCs w:val="21"/>
              </w:rPr>
            </w:pPr>
            <w:r>
              <w:rPr>
                <w:rFonts w:hint="eastAsia" w:ascii="宋体" w:hAnsi="宋体"/>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24825AF0">
            <w:pPr>
              <w:snapToGrid w:val="0"/>
              <w:spacing w:line="360" w:lineRule="auto"/>
              <w:jc w:val="center"/>
              <w:rPr>
                <w:rFonts w:ascii="宋体" w:hAnsi="宋体"/>
                <w:szCs w:val="21"/>
              </w:rPr>
            </w:pPr>
            <w:r>
              <w:rPr>
                <w:rFonts w:hint="eastAsia" w:ascii="宋体" w:hAnsi="宋体"/>
                <w:szCs w:val="21"/>
              </w:rPr>
              <w:t>编列内容</w:t>
            </w:r>
          </w:p>
        </w:tc>
      </w:tr>
      <w:tr w14:paraId="77D81D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7EF2A94E">
            <w:pPr>
              <w:spacing w:line="380" w:lineRule="exact"/>
              <w:rPr>
                <w:rFonts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vAlign w:val="center"/>
          </w:tcPr>
          <w:p w14:paraId="002939AF">
            <w:pPr>
              <w:spacing w:line="380" w:lineRule="exact"/>
              <w:rPr>
                <w:rFonts w:ascii="宋体" w:hAnsi="宋体"/>
                <w:szCs w:val="21"/>
              </w:rPr>
            </w:pPr>
            <w:r>
              <w:rPr>
                <w:rFonts w:hint="eastAsia" w:ascii="宋体" w:hAnsi="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3038864C">
            <w:pPr>
              <w:spacing w:line="380" w:lineRule="exact"/>
              <w:rPr>
                <w:rFonts w:ascii="宋体" w:hAnsi="宋体"/>
                <w:szCs w:val="21"/>
              </w:rPr>
            </w:pPr>
            <w:r>
              <w:rPr>
                <w:rFonts w:hint="eastAsia" w:ascii="仿宋_GB2312" w:eastAsia="仿宋_GB2312" w:cs="仿宋_GB2312"/>
                <w:kern w:val="0"/>
                <w:sz w:val="24"/>
                <w:lang w:val="zh-CN"/>
              </w:rPr>
              <w:sym w:font="Wingdings 2" w:char="00A3"/>
            </w:r>
            <w:r>
              <w:rPr>
                <w:rFonts w:hint="eastAsia" w:ascii="宋体" w:hAnsi="宋体"/>
                <w:szCs w:val="21"/>
              </w:rPr>
              <w:t>是/</w:t>
            </w:r>
            <w:r>
              <w:rPr>
                <w:rFonts w:hint="eastAsia" w:ascii="宋体" w:hAnsi="宋体"/>
                <w:szCs w:val="21"/>
              </w:rPr>
              <w:sym w:font="Wingdings 2" w:char="0052"/>
            </w:r>
            <w:r>
              <w:rPr>
                <w:rFonts w:hint="eastAsia" w:ascii="宋体" w:hAnsi="宋体"/>
                <w:szCs w:val="21"/>
              </w:rPr>
              <w:t>否。</w:t>
            </w:r>
          </w:p>
        </w:tc>
      </w:tr>
      <w:tr w14:paraId="77E25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6C69CD23">
            <w:pPr>
              <w:spacing w:line="380" w:lineRule="exact"/>
              <w:rPr>
                <w:rFonts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vAlign w:val="center"/>
          </w:tcPr>
          <w:p w14:paraId="4B402AF4">
            <w:pPr>
              <w:spacing w:line="380" w:lineRule="exact"/>
              <w:rPr>
                <w:rFonts w:ascii="宋体" w:hAnsi="宋体"/>
                <w:szCs w:val="21"/>
              </w:rPr>
            </w:pPr>
            <w:r>
              <w:rPr>
                <w:rFonts w:hint="eastAsia" w:ascii="宋体" w:hAnsi="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12CC5D58">
            <w:pPr>
              <w:spacing w:line="380" w:lineRule="exact"/>
              <w:rPr>
                <w:rFonts w:ascii="宋体" w:hAnsi="宋体"/>
                <w:szCs w:val="21"/>
              </w:rPr>
            </w:pPr>
            <w:r>
              <w:rPr>
                <w:rFonts w:hint="eastAsia" w:ascii="宋体" w:hAnsi="宋体"/>
                <w:szCs w:val="21"/>
              </w:rPr>
              <w:t>无</w:t>
            </w:r>
          </w:p>
        </w:tc>
      </w:tr>
      <w:tr w14:paraId="59D3B7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1AAF7687">
            <w:pPr>
              <w:spacing w:line="380" w:lineRule="exact"/>
              <w:rPr>
                <w:rFonts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vAlign w:val="center"/>
          </w:tcPr>
          <w:p w14:paraId="5BB2F1DC">
            <w:pPr>
              <w:spacing w:line="380" w:lineRule="exact"/>
              <w:rPr>
                <w:rFonts w:ascii="宋体" w:hAnsi="宋体"/>
                <w:szCs w:val="21"/>
              </w:rPr>
            </w:pPr>
            <w:r>
              <w:rPr>
                <w:rFonts w:hint="eastAsia" w:ascii="宋体" w:hAnsi="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42A2EA63">
            <w:pPr>
              <w:spacing w:line="380" w:lineRule="exact"/>
              <w:rPr>
                <w:rFonts w:ascii="宋体" w:hAnsi="宋体"/>
                <w:b/>
                <w:bCs/>
                <w:szCs w:val="21"/>
              </w:rPr>
            </w:pPr>
            <w:r>
              <w:rPr>
                <w:rFonts w:hint="eastAsia" w:ascii="仿宋_GB2312" w:eastAsia="仿宋_GB2312" w:cs="仿宋_GB2312"/>
                <w:b/>
                <w:bCs/>
                <w:kern w:val="0"/>
                <w:sz w:val="24"/>
                <w:lang w:val="zh-CN"/>
              </w:rPr>
              <w:sym w:font="Wingdings 2" w:char="0052"/>
            </w:r>
            <w:r>
              <w:rPr>
                <w:rFonts w:hint="eastAsia" w:ascii="宋体" w:hAnsi="宋体"/>
                <w:b/>
                <w:bCs/>
                <w:szCs w:val="21"/>
              </w:rPr>
              <w:t>不允许转包/分包</w:t>
            </w:r>
          </w:p>
          <w:p w14:paraId="424AA980">
            <w:pPr>
              <w:spacing w:line="380" w:lineRule="exact"/>
              <w:rPr>
                <w:rFonts w:ascii="宋体" w:hAnsi="宋体"/>
                <w:szCs w:val="21"/>
              </w:rPr>
            </w:pPr>
            <w:r>
              <w:rPr>
                <w:rFonts w:hint="eastAsia" w:ascii="宋体" w:hAnsi="宋体"/>
                <w:szCs w:val="21"/>
              </w:rPr>
              <w:t>□允许转包/分包</w:t>
            </w:r>
          </w:p>
          <w:p w14:paraId="04A63405">
            <w:pPr>
              <w:spacing w:line="380" w:lineRule="exact"/>
              <w:rPr>
                <w:rFonts w:ascii="宋体" w:hAnsi="宋体"/>
                <w:szCs w:val="21"/>
              </w:rPr>
            </w:pPr>
            <w:r>
              <w:rPr>
                <w:rFonts w:hint="eastAsia" w:ascii="宋体" w:hAnsi="宋体"/>
                <w:szCs w:val="21"/>
              </w:rPr>
              <w:t>转包/分包内容：</w:t>
            </w:r>
            <w:r>
              <w:rPr>
                <w:rFonts w:hint="eastAsia" w:ascii="宋体" w:hAnsi="宋体"/>
                <w:szCs w:val="21"/>
                <w:u w:val="single"/>
              </w:rPr>
              <w:t xml:space="preserve">                                     。</w:t>
            </w:r>
          </w:p>
          <w:p w14:paraId="6841DCCA">
            <w:pPr>
              <w:spacing w:line="380" w:lineRule="exact"/>
              <w:rPr>
                <w:rFonts w:ascii="宋体" w:hAnsi="宋体"/>
                <w:szCs w:val="21"/>
              </w:rPr>
            </w:pPr>
            <w:r>
              <w:rPr>
                <w:rFonts w:hint="eastAsia" w:ascii="宋体" w:hAnsi="宋体"/>
                <w:szCs w:val="21"/>
              </w:rPr>
              <w:t>转包/分包金额或者比例：</w:t>
            </w:r>
            <w:r>
              <w:rPr>
                <w:rFonts w:hint="eastAsia" w:ascii="宋体" w:hAnsi="宋体"/>
                <w:szCs w:val="21"/>
                <w:u w:val="single"/>
              </w:rPr>
              <w:t xml:space="preserve">                                     。</w:t>
            </w:r>
          </w:p>
        </w:tc>
      </w:tr>
      <w:tr w14:paraId="5D00C6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061F8CC6">
            <w:pPr>
              <w:spacing w:line="380" w:lineRule="exact"/>
              <w:rPr>
                <w:rFonts w:ascii="宋体" w:hAnsi="宋体"/>
                <w:szCs w:val="21"/>
              </w:rPr>
            </w:pPr>
            <w:r>
              <w:rPr>
                <w:rFonts w:hint="eastAsia" w:ascii="宋体" w:hAnsi="宋体"/>
                <w:szCs w:val="21"/>
              </w:rPr>
              <w:t>1</w:t>
            </w:r>
            <w:r>
              <w:rPr>
                <w:rFonts w:ascii="宋体" w:hAnsi="宋体"/>
                <w:szCs w:val="21"/>
              </w:rPr>
              <w:t>1.2</w:t>
            </w:r>
          </w:p>
        </w:tc>
        <w:tc>
          <w:tcPr>
            <w:tcW w:w="2268" w:type="dxa"/>
            <w:tcBorders>
              <w:top w:val="single" w:color="auto" w:sz="4" w:space="0"/>
              <w:left w:val="single" w:color="auto" w:sz="4" w:space="0"/>
              <w:bottom w:val="single" w:color="auto" w:sz="4" w:space="0"/>
              <w:right w:val="single" w:color="auto" w:sz="4" w:space="0"/>
            </w:tcBorders>
            <w:vAlign w:val="center"/>
          </w:tcPr>
          <w:p w14:paraId="7B84DE35">
            <w:pPr>
              <w:spacing w:line="380" w:lineRule="exact"/>
              <w:rPr>
                <w:rFonts w:ascii="宋体" w:hAnsi="宋体"/>
                <w:szCs w:val="21"/>
              </w:rPr>
            </w:pPr>
            <w:r>
              <w:rPr>
                <w:rFonts w:hint="eastAsia" w:ascii="宋体" w:hAnsi="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302666CD">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087C32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7D4279D8">
            <w:pPr>
              <w:spacing w:line="380" w:lineRule="exact"/>
              <w:rPr>
                <w:rFonts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173BEC8E">
            <w:pPr>
              <w:spacing w:line="380" w:lineRule="exact"/>
              <w:rPr>
                <w:rFonts w:ascii="宋体" w:hAnsi="宋体"/>
                <w:szCs w:val="21"/>
              </w:rPr>
            </w:pPr>
            <w:r>
              <w:rPr>
                <w:rFonts w:hint="eastAsia" w:ascii="宋体" w:hAnsi="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39359F1D">
            <w:pPr>
              <w:snapToGrid w:val="0"/>
              <w:spacing w:line="380" w:lineRule="exact"/>
              <w:rPr>
                <w:rFonts w:ascii="宋体" w:hAnsi="宋体"/>
                <w:b/>
                <w:bCs/>
                <w:szCs w:val="21"/>
              </w:rPr>
            </w:pPr>
            <w:r>
              <w:rPr>
                <w:rFonts w:hint="eastAsia" w:ascii="仿宋_GB2312" w:eastAsia="仿宋_GB2312" w:cs="仿宋_GB2312"/>
                <w:b/>
                <w:bCs/>
                <w:kern w:val="0"/>
                <w:sz w:val="24"/>
                <w:lang w:val="zh-CN"/>
              </w:rPr>
              <w:sym w:font="Wingdings 2" w:char="0052"/>
            </w:r>
            <w:r>
              <w:rPr>
                <w:rFonts w:hint="eastAsia" w:ascii="宋体" w:hAnsi="宋体"/>
                <w:b/>
                <w:bCs/>
                <w:szCs w:val="21"/>
              </w:rPr>
              <w:t>不组织召开开标前答疑会</w:t>
            </w:r>
          </w:p>
          <w:p w14:paraId="64E2E7AF">
            <w:pPr>
              <w:snapToGrid w:val="0"/>
              <w:spacing w:line="380" w:lineRule="exact"/>
              <w:rPr>
                <w:rFonts w:ascii="宋体" w:hAnsi="宋体"/>
                <w:szCs w:val="21"/>
              </w:rPr>
            </w:pPr>
            <w:r>
              <w:rPr>
                <w:rFonts w:hint="eastAsia" w:ascii="宋体" w:hAnsi="宋体"/>
                <w:szCs w:val="21"/>
              </w:rPr>
              <w:t>□组织召开开标前答疑会</w:t>
            </w:r>
          </w:p>
          <w:p w14:paraId="0EF9AB60">
            <w:pPr>
              <w:snapToGrid w:val="0"/>
              <w:spacing w:line="380" w:lineRule="exact"/>
              <w:rPr>
                <w:rFonts w:ascii="宋体" w:hAnsi="宋体"/>
                <w:szCs w:val="21"/>
                <w:u w:val="single"/>
              </w:rPr>
            </w:pPr>
            <w:r>
              <w:rPr>
                <w:rFonts w:hint="eastAsia" w:ascii="宋体" w:hAnsi="宋体"/>
                <w:szCs w:val="21"/>
              </w:rPr>
              <w:t>会议开始时间：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p>
        </w:tc>
      </w:tr>
      <w:tr w14:paraId="258A0A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left w:val="single" w:color="auto" w:sz="4" w:space="0"/>
              <w:right w:val="single" w:color="auto" w:sz="4" w:space="0"/>
            </w:tcBorders>
            <w:vAlign w:val="center"/>
          </w:tcPr>
          <w:p w14:paraId="4DC73EBD">
            <w:pPr>
              <w:spacing w:line="380" w:lineRule="exact"/>
              <w:rPr>
                <w:rFonts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799225EA">
            <w:pPr>
              <w:snapToGrid w:val="0"/>
              <w:spacing w:line="380" w:lineRule="exact"/>
              <w:jc w:val="left"/>
              <w:rPr>
                <w:rFonts w:ascii="宋体" w:hAnsi="宋体" w:cs="Courier New"/>
                <w:szCs w:val="21"/>
              </w:rPr>
            </w:pPr>
            <w:bookmarkStart w:id="15" w:name="_Hlk197516820"/>
            <w:r>
              <w:rPr>
                <w:rFonts w:hint="eastAsia" w:ascii="宋体" w:hAnsi="宋体" w:cs="Courier New"/>
                <w:szCs w:val="21"/>
              </w:rPr>
              <w:t>资格证明文件组成</w:t>
            </w:r>
            <w:bookmarkEnd w:id="15"/>
          </w:p>
        </w:tc>
        <w:tc>
          <w:tcPr>
            <w:tcW w:w="7297" w:type="dxa"/>
            <w:tcBorders>
              <w:top w:val="single" w:color="auto" w:sz="4" w:space="0"/>
              <w:left w:val="single" w:color="auto" w:sz="4" w:space="0"/>
              <w:bottom w:val="single" w:color="auto" w:sz="4" w:space="0"/>
              <w:right w:val="single" w:color="auto" w:sz="4" w:space="0"/>
            </w:tcBorders>
            <w:vAlign w:val="center"/>
          </w:tcPr>
          <w:p w14:paraId="132447B9">
            <w:pPr>
              <w:snapToGrid w:val="0"/>
              <w:spacing w:line="380" w:lineRule="exact"/>
              <w:jc w:val="left"/>
              <w:rPr>
                <w:rFonts w:ascii="宋体" w:hAnsi="宋体"/>
                <w:szCs w:val="21"/>
              </w:rPr>
            </w:pPr>
            <w:r>
              <w:rPr>
                <w:rFonts w:hint="eastAsia" w:ascii="宋体" w:hAnsi="宋体"/>
                <w:szCs w:val="21"/>
              </w:rPr>
              <w:t>1、投标人为法人或者其他组织的，提供营业执照等证明文件</w:t>
            </w:r>
            <w:r>
              <w:rPr>
                <w:rFonts w:hint="eastAsia" w:ascii="宋体" w:hAnsi="宋体" w:cs="宋体"/>
                <w:szCs w:val="21"/>
              </w:rPr>
              <w:t>（如营业执照或者事业单位法人证书或者</w:t>
            </w:r>
            <w:r>
              <w:rPr>
                <w:rStyle w:val="86"/>
                <w:szCs w:val="21"/>
              </w:rPr>
              <w:t>执业许可证</w:t>
            </w:r>
            <w:r>
              <w:rPr>
                <w:rFonts w:hint="eastAsia" w:ascii="宋体" w:hAnsi="宋体" w:cs="宋体"/>
                <w:szCs w:val="21"/>
              </w:rPr>
              <w:t>等）</w:t>
            </w:r>
            <w:r>
              <w:rPr>
                <w:rFonts w:hint="eastAsia" w:ascii="宋体" w:hAnsi="宋体"/>
                <w:szCs w:val="21"/>
              </w:rPr>
              <w:t>，投标人为自然人的，提供身份证</w:t>
            </w:r>
            <w:r>
              <w:rPr>
                <w:rFonts w:hint="eastAsia" w:ascii="宋体" w:hAnsi="宋体" w:cs="宋体"/>
                <w:szCs w:val="21"/>
              </w:rPr>
              <w:t>复印件</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6F59461F">
            <w:pPr>
              <w:snapToGrid w:val="0"/>
              <w:spacing w:line="380" w:lineRule="exact"/>
              <w:jc w:val="left"/>
              <w:rPr>
                <w:rFonts w:ascii="宋体" w:hAnsi="宋体"/>
                <w:szCs w:val="21"/>
                <w:highlight w:val="none"/>
              </w:rPr>
            </w:pPr>
            <w:r>
              <w:rPr>
                <w:rFonts w:hint="eastAsia" w:ascii="宋体" w:hAnsi="宋体" w:cs="宋体"/>
                <w:szCs w:val="21"/>
              </w:rPr>
              <w:t>2、投标人依法缴纳税收的相关材料</w:t>
            </w:r>
            <w:r>
              <w:rPr>
                <w:rFonts w:ascii="宋体" w:hAnsi="宋体" w:cs="宋体"/>
                <w:szCs w:val="21"/>
                <w:highlight w:val="none"/>
              </w:rPr>
              <w:t>[</w:t>
            </w:r>
            <w:r>
              <w:rPr>
                <w:rFonts w:ascii="宋体" w:hAnsi="宋体" w:cs="宋体"/>
                <w:szCs w:val="21"/>
                <w:highlight w:val="none"/>
                <w:u w:val="single"/>
              </w:rPr>
              <w:t>2025</w:t>
            </w:r>
            <w:r>
              <w:rPr>
                <w:rFonts w:hint="eastAsia" w:ascii="宋体" w:hAnsi="宋体" w:cs="宋体"/>
                <w:szCs w:val="21"/>
                <w:highlight w:val="none"/>
              </w:rPr>
              <w:t>年</w:t>
            </w:r>
            <w:r>
              <w:rPr>
                <w:rFonts w:hint="eastAsia" w:ascii="宋体" w:hAnsi="宋体" w:cs="宋体"/>
                <w:szCs w:val="21"/>
                <w:highlight w:val="none"/>
                <w:u w:val="single"/>
                <w:lang w:val="en-US" w:eastAsia="zh-CN"/>
              </w:rPr>
              <w:t>11</w:t>
            </w:r>
            <w:r>
              <w:rPr>
                <w:rFonts w:hint="eastAsia" w:ascii="宋体" w:hAnsi="宋体" w:cs="宋体"/>
                <w:szCs w:val="21"/>
                <w:highlight w:val="none"/>
              </w:rPr>
              <w:t>月至</w:t>
            </w:r>
            <w:r>
              <w:rPr>
                <w:rFonts w:ascii="宋体" w:hAnsi="宋体" w:cs="宋体"/>
                <w:szCs w:val="21"/>
                <w:highlight w:val="none"/>
                <w:u w:val="single"/>
              </w:rPr>
              <w:t>202</w:t>
            </w:r>
            <w:r>
              <w:rPr>
                <w:rFonts w:hint="eastAsia" w:ascii="宋体" w:hAnsi="宋体" w:cs="宋体"/>
                <w:szCs w:val="21"/>
                <w:highlight w:val="none"/>
                <w:u w:val="single"/>
                <w:lang w:val="en-US" w:eastAsia="zh-CN"/>
              </w:rPr>
              <w:t>6</w:t>
            </w:r>
            <w:r>
              <w:rPr>
                <w:rFonts w:hint="eastAsia" w:ascii="宋体" w:hAnsi="宋体" w:cs="宋体"/>
                <w:szCs w:val="21"/>
                <w:highlight w:val="none"/>
              </w:rPr>
              <w:t>年</w:t>
            </w:r>
            <w:r>
              <w:rPr>
                <w:rFonts w:hint="eastAsia" w:ascii="宋体" w:hAnsi="宋体" w:cs="宋体"/>
                <w:szCs w:val="21"/>
                <w:highlight w:val="none"/>
                <w:u w:val="single"/>
                <w:lang w:val="en-US" w:eastAsia="zh-CN"/>
              </w:rPr>
              <w:t>4</w:t>
            </w:r>
            <w:r>
              <w:rPr>
                <w:rFonts w:hint="eastAsia" w:ascii="宋体" w:hAnsi="宋体" w:cs="宋体"/>
                <w:szCs w:val="21"/>
                <w:highlight w:val="none"/>
              </w:rPr>
              <w:t>月</w:t>
            </w:r>
            <w:r>
              <w:rPr>
                <w:rFonts w:ascii="宋体" w:hAnsi="宋体"/>
                <w:szCs w:val="21"/>
                <w:highlight w:val="none"/>
              </w:rPr>
              <w:t>]</w:t>
            </w:r>
            <w:r>
              <w:rPr>
                <w:rFonts w:hint="eastAsia" w:ascii="宋体" w:hAnsi="宋体"/>
                <w:szCs w:val="21"/>
                <w:highlight w:val="none"/>
              </w:rPr>
              <w:t>期间</w:t>
            </w:r>
            <w:r>
              <w:rPr>
                <w:rFonts w:hint="eastAsia" w:ascii="宋体" w:hAnsi="宋体" w:cs="宋体"/>
                <w:szCs w:val="21"/>
                <w:highlight w:val="none"/>
              </w:rPr>
              <w:t>任意1</w:t>
            </w:r>
            <w:r>
              <w:rPr>
                <w:rFonts w:hint="eastAsia" w:ascii="宋体" w:hAnsi="宋体" w:cs="宋体"/>
                <w:szCs w:val="21"/>
                <w:highlight w:val="none"/>
                <w:u w:val="single"/>
              </w:rPr>
              <w:t xml:space="preserve"> </w:t>
            </w:r>
            <w:r>
              <w:rPr>
                <w:rFonts w:hint="eastAsia" w:ascii="宋体" w:hAnsi="宋体" w:cs="宋体"/>
                <w:szCs w:val="21"/>
                <w:highlight w:val="none"/>
              </w:rPr>
              <w:t>个月的依法缴纳税收的凭据复印件；依</w:t>
            </w:r>
            <w:r>
              <w:rPr>
                <w:rFonts w:hint="eastAsia" w:ascii="宋体" w:hAnsi="宋体"/>
                <w:szCs w:val="21"/>
                <w:highlight w:val="none"/>
              </w:rPr>
              <w:t>法免税的投标人，必须提供相应文件证明其依法免税。</w:t>
            </w:r>
            <w:r>
              <w:rPr>
                <w:rFonts w:hint="eastAsia" w:ascii="宋体" w:hAnsi="宋体" w:cs="宋体"/>
                <w:szCs w:val="21"/>
                <w:highlight w:val="none"/>
              </w:rPr>
              <w:t>从取得营业执照时间起到投标文件提交截止时间为止不足要求月数的，只需提供从取得营业执照起的依法缴纳税收</w:t>
            </w:r>
            <w:r>
              <w:rPr>
                <w:rFonts w:hint="eastAsia" w:ascii="宋体" w:hAnsi="宋体"/>
                <w:szCs w:val="21"/>
                <w:highlight w:val="none"/>
              </w:rPr>
              <w:t>相应证明文件</w:t>
            </w:r>
            <w:r>
              <w:rPr>
                <w:rFonts w:hint="eastAsia" w:ascii="宋体" w:hAnsi="宋体" w:cs="宋体"/>
                <w:szCs w:val="21"/>
                <w:highlight w:val="none"/>
              </w:rPr>
              <w:t>）</w:t>
            </w:r>
            <w:r>
              <w:rPr>
                <w:rFonts w:hint="eastAsia" w:ascii="宋体" w:hAnsi="宋体"/>
                <w:szCs w:val="21"/>
                <w:highlight w:val="none"/>
              </w:rPr>
              <w:t>；（</w:t>
            </w:r>
            <w:r>
              <w:rPr>
                <w:rFonts w:hint="eastAsia" w:ascii="宋体" w:hAnsi="宋体"/>
                <w:b/>
                <w:szCs w:val="21"/>
                <w:highlight w:val="none"/>
              </w:rPr>
              <w:t>必须提供，否则作无效投标处理</w:t>
            </w:r>
            <w:r>
              <w:rPr>
                <w:rFonts w:hint="eastAsia" w:ascii="宋体" w:hAnsi="宋体"/>
                <w:szCs w:val="21"/>
                <w:highlight w:val="none"/>
              </w:rPr>
              <w:t>）</w:t>
            </w:r>
          </w:p>
          <w:p w14:paraId="125E7C37">
            <w:pPr>
              <w:snapToGrid w:val="0"/>
              <w:spacing w:line="380" w:lineRule="exact"/>
              <w:jc w:val="left"/>
              <w:rPr>
                <w:rFonts w:ascii="宋体" w:hAnsi="宋体"/>
                <w:szCs w:val="21"/>
              </w:rPr>
            </w:pPr>
            <w:r>
              <w:rPr>
                <w:rFonts w:hint="eastAsia" w:ascii="宋体" w:hAnsi="宋体" w:cs="宋体"/>
                <w:szCs w:val="21"/>
                <w:highlight w:val="none"/>
              </w:rPr>
              <w:t>3、投标人依法缴纳社会保障资金的相关材料</w:t>
            </w:r>
            <w:r>
              <w:rPr>
                <w:rFonts w:ascii="宋体" w:hAnsi="宋体" w:cs="宋体"/>
                <w:szCs w:val="21"/>
                <w:highlight w:val="none"/>
              </w:rPr>
              <w:t>[</w:t>
            </w:r>
            <w:r>
              <w:rPr>
                <w:rFonts w:ascii="宋体" w:hAnsi="宋体" w:cs="宋体"/>
                <w:szCs w:val="21"/>
                <w:highlight w:val="none"/>
                <w:u w:val="single"/>
              </w:rPr>
              <w:t>2025</w:t>
            </w:r>
            <w:r>
              <w:rPr>
                <w:rFonts w:hint="eastAsia" w:ascii="宋体" w:hAnsi="宋体" w:cs="宋体"/>
                <w:szCs w:val="21"/>
                <w:highlight w:val="none"/>
              </w:rPr>
              <w:t>年</w:t>
            </w:r>
            <w:r>
              <w:rPr>
                <w:rFonts w:hint="eastAsia" w:ascii="宋体" w:hAnsi="宋体" w:cs="宋体"/>
                <w:szCs w:val="21"/>
                <w:highlight w:val="none"/>
                <w:u w:val="single"/>
                <w:lang w:val="en-US" w:eastAsia="zh-CN"/>
              </w:rPr>
              <w:t>11</w:t>
            </w:r>
            <w:r>
              <w:rPr>
                <w:rFonts w:hint="eastAsia" w:ascii="宋体" w:hAnsi="宋体" w:cs="宋体"/>
                <w:szCs w:val="21"/>
                <w:highlight w:val="none"/>
              </w:rPr>
              <w:t>月至</w:t>
            </w:r>
            <w:r>
              <w:rPr>
                <w:rFonts w:ascii="宋体" w:hAnsi="宋体" w:cs="宋体"/>
                <w:szCs w:val="21"/>
                <w:highlight w:val="none"/>
                <w:u w:val="single"/>
              </w:rPr>
              <w:t>202</w:t>
            </w:r>
            <w:r>
              <w:rPr>
                <w:rFonts w:hint="eastAsia" w:ascii="宋体" w:hAnsi="宋体" w:cs="宋体"/>
                <w:szCs w:val="21"/>
                <w:highlight w:val="none"/>
                <w:u w:val="single"/>
                <w:lang w:val="en-US" w:eastAsia="zh-CN"/>
              </w:rPr>
              <w:t>6</w:t>
            </w:r>
            <w:r>
              <w:rPr>
                <w:rFonts w:hint="eastAsia" w:ascii="宋体" w:hAnsi="宋体" w:cs="宋体"/>
                <w:szCs w:val="21"/>
                <w:highlight w:val="none"/>
              </w:rPr>
              <w:t>年</w:t>
            </w:r>
            <w:r>
              <w:rPr>
                <w:rFonts w:hint="eastAsia" w:ascii="宋体" w:hAnsi="宋体" w:cs="宋体"/>
                <w:szCs w:val="21"/>
                <w:highlight w:val="none"/>
                <w:u w:val="single"/>
                <w:lang w:val="en-US" w:eastAsia="zh-CN"/>
              </w:rPr>
              <w:t>4</w:t>
            </w:r>
            <w:r>
              <w:rPr>
                <w:rFonts w:hint="eastAsia" w:ascii="宋体" w:hAnsi="宋体" w:cs="宋体"/>
                <w:szCs w:val="21"/>
                <w:highlight w:val="none"/>
              </w:rPr>
              <w:t>月</w:t>
            </w:r>
            <w:r>
              <w:rPr>
                <w:rFonts w:ascii="宋体" w:hAnsi="宋体"/>
                <w:szCs w:val="21"/>
                <w:highlight w:val="none"/>
              </w:rPr>
              <w:t>]</w:t>
            </w:r>
            <w:r>
              <w:rPr>
                <w:rFonts w:hint="eastAsia" w:ascii="宋体" w:hAnsi="宋体"/>
                <w:szCs w:val="21"/>
                <w:highlight w:val="none"/>
              </w:rPr>
              <w:t>期间</w:t>
            </w:r>
            <w:r>
              <w:rPr>
                <w:rFonts w:hint="eastAsia" w:ascii="宋体" w:hAnsi="宋体" w:cs="宋体"/>
                <w:szCs w:val="21"/>
                <w:highlight w:val="none"/>
              </w:rPr>
              <w:t>任意1</w:t>
            </w:r>
            <w:r>
              <w:rPr>
                <w:rFonts w:hint="eastAsia" w:ascii="宋体" w:hAnsi="宋体" w:cs="宋体"/>
                <w:szCs w:val="21"/>
                <w:highlight w:val="none"/>
                <w:u w:val="single"/>
              </w:rPr>
              <w:t xml:space="preserve"> </w:t>
            </w:r>
            <w:r>
              <w:rPr>
                <w:rFonts w:hint="eastAsia" w:ascii="宋体" w:hAnsi="宋体" w:cs="宋体"/>
                <w:szCs w:val="21"/>
                <w:highlight w:val="none"/>
              </w:rPr>
              <w:t>个月的依法缴纳社会保障资金的缴费凭证（专用收据或者社会保险</w:t>
            </w:r>
            <w:r>
              <w:rPr>
                <w:rFonts w:hint="eastAsia" w:ascii="宋体" w:hAnsi="宋体" w:cs="宋体"/>
                <w:szCs w:val="21"/>
              </w:rPr>
              <w:t>缴纳清单）复印件；</w:t>
            </w:r>
            <w:r>
              <w:rPr>
                <w:rFonts w:hint="eastAsia" w:ascii="宋体" w:hAnsi="宋体"/>
                <w:szCs w:val="21"/>
              </w:rPr>
              <w:t>依法不需要缴纳社会保障资金的投标人，必须提供相应文件证明不需要缴纳社会保障资金。</w:t>
            </w:r>
            <w:r>
              <w:rPr>
                <w:rFonts w:hint="eastAsia" w:ascii="宋体" w:hAnsi="宋体" w:cs="宋体"/>
                <w:szCs w:val="21"/>
              </w:rPr>
              <w:t>从取得营业执照时间起到投标文件提交截止时间为止不足要求月数的只需提供从取得营业执照起的依法缴纳社会保障资金的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3EF633A2">
            <w:pPr>
              <w:snapToGrid w:val="0"/>
              <w:spacing w:line="380" w:lineRule="exact"/>
              <w:jc w:val="left"/>
              <w:rPr>
                <w:rFonts w:ascii="宋体" w:hAnsi="宋体"/>
                <w:szCs w:val="21"/>
              </w:rPr>
            </w:pPr>
            <w:r>
              <w:rPr>
                <w:rFonts w:hint="eastAsia" w:ascii="宋体" w:hAnsi="宋体" w:cs="宋体"/>
                <w:szCs w:val="21"/>
              </w:rPr>
              <w:t>4、投标人财务状况报告：</w:t>
            </w:r>
            <w:r>
              <w:rPr>
                <w:rFonts w:hint="eastAsia" w:ascii="宋体" w:hAnsi="宋体"/>
                <w:szCs w:val="21"/>
              </w:rPr>
              <w:t>[</w:t>
            </w:r>
            <w:r>
              <w:rPr>
                <w:rFonts w:hint="eastAsia" w:ascii="宋体" w:hAnsi="宋体"/>
                <w:szCs w:val="21"/>
                <w:u w:val="single"/>
              </w:rPr>
              <w:t>202</w:t>
            </w:r>
            <w:r>
              <w:rPr>
                <w:rFonts w:hint="eastAsia" w:ascii="宋体" w:hAnsi="宋体"/>
                <w:szCs w:val="21"/>
                <w:u w:val="single"/>
                <w:lang w:val="en-US" w:eastAsia="zh-CN"/>
              </w:rPr>
              <w:t>4</w:t>
            </w:r>
            <w:r>
              <w:rPr>
                <w:rFonts w:hint="eastAsia" w:ascii="宋体" w:hAnsi="宋体"/>
                <w:szCs w:val="21"/>
                <w:u w:val="single"/>
              </w:rPr>
              <w:t>年</w:t>
            </w:r>
            <w:r>
              <w:rPr>
                <w:rFonts w:hint="eastAsia" w:ascii="宋体" w:hAnsi="宋体"/>
                <w:szCs w:val="21"/>
              </w:rPr>
              <w:t>]或[</w:t>
            </w:r>
            <w:r>
              <w:rPr>
                <w:rFonts w:hint="eastAsia" w:ascii="宋体" w:hAnsi="宋体"/>
                <w:szCs w:val="21"/>
                <w:u w:val="single"/>
              </w:rPr>
              <w:t>202</w:t>
            </w:r>
            <w:r>
              <w:rPr>
                <w:rFonts w:hint="eastAsia" w:ascii="宋体" w:hAnsi="宋体"/>
                <w:szCs w:val="21"/>
                <w:u w:val="single"/>
                <w:lang w:val="en-US" w:eastAsia="zh-CN"/>
              </w:rPr>
              <w:t>5</w:t>
            </w:r>
            <w:r>
              <w:rPr>
                <w:rFonts w:hint="eastAsia" w:ascii="宋体" w:hAnsi="宋体"/>
                <w:szCs w:val="21"/>
                <w:u w:val="single"/>
              </w:rPr>
              <w:t>年</w:t>
            </w:r>
            <w:r>
              <w:rPr>
                <w:rFonts w:hint="eastAsia" w:ascii="宋体" w:hAnsi="宋体"/>
                <w:szCs w:val="21"/>
              </w:rPr>
              <w:t>]财务状况报告复印件投标人成立不满一年的应按提供截标之日上一个月的财务状况报告复印件。（上述财务状况报告包括：投标人执行《企业会计准则》的，提供资产负债表、利润表、现金流量表、所有者权益变动表及其附注（以下称“四表一注”）；投标人执行《小企业会计准则》的，提供资产负债表、利润表、现金流量表及其附注（以下称“三表一注”）；投标人执行《政府会计制度》的，提供资产负债表、收入费用表和净资产变动表及其附注)；（</w:t>
            </w:r>
            <w:r>
              <w:rPr>
                <w:rFonts w:hint="eastAsia" w:ascii="宋体" w:hAnsi="宋体"/>
                <w:b/>
                <w:szCs w:val="21"/>
              </w:rPr>
              <w:t>必须提供，否则作无效投标处理</w:t>
            </w:r>
            <w:r>
              <w:rPr>
                <w:rFonts w:hint="eastAsia" w:ascii="宋体" w:hAnsi="宋体"/>
                <w:szCs w:val="21"/>
              </w:rPr>
              <w:t xml:space="preserve">） </w:t>
            </w:r>
          </w:p>
          <w:p w14:paraId="0EC1471B">
            <w:pPr>
              <w:snapToGrid w:val="0"/>
              <w:spacing w:line="380" w:lineRule="exact"/>
              <w:jc w:val="left"/>
              <w:rPr>
                <w:rFonts w:ascii="宋体" w:hAnsi="宋体"/>
                <w:szCs w:val="21"/>
                <w:highlight w:val="none"/>
              </w:rPr>
            </w:pPr>
            <w:r>
              <w:rPr>
                <w:rFonts w:hint="eastAsia" w:ascii="宋体" w:hAnsi="宋体"/>
                <w:szCs w:val="21"/>
                <w:highlight w:val="none"/>
              </w:rPr>
              <w:t>5、投标资格声明（格式后附）；（</w:t>
            </w:r>
            <w:r>
              <w:rPr>
                <w:rFonts w:hint="eastAsia" w:ascii="宋体" w:hAnsi="宋体"/>
                <w:b/>
                <w:szCs w:val="21"/>
                <w:highlight w:val="none"/>
              </w:rPr>
              <w:t>必须提供，否则作无效投标处理</w:t>
            </w:r>
            <w:r>
              <w:rPr>
                <w:rFonts w:hint="eastAsia" w:ascii="宋体" w:hAnsi="宋体"/>
                <w:szCs w:val="21"/>
                <w:highlight w:val="none"/>
              </w:rPr>
              <w:t>）</w:t>
            </w:r>
          </w:p>
          <w:p w14:paraId="64C9D1DE">
            <w:pPr>
              <w:snapToGrid w:val="0"/>
              <w:spacing w:line="380" w:lineRule="exact"/>
              <w:jc w:val="left"/>
              <w:rPr>
                <w:rFonts w:ascii="宋体" w:hAnsi="宋体"/>
                <w:szCs w:val="21"/>
                <w:highlight w:val="none"/>
              </w:rPr>
            </w:pPr>
            <w:r>
              <w:rPr>
                <w:rFonts w:hint="eastAsia" w:ascii="宋体" w:hAnsi="宋体"/>
                <w:szCs w:val="21"/>
                <w:highlight w:val="none"/>
              </w:rPr>
              <w:t>6、投标人直接控股、管理关系信息表（格式后附）；（</w:t>
            </w:r>
            <w:r>
              <w:rPr>
                <w:rFonts w:hint="eastAsia" w:ascii="宋体" w:hAnsi="宋体"/>
                <w:b/>
                <w:szCs w:val="21"/>
                <w:highlight w:val="none"/>
              </w:rPr>
              <w:t>必须提供，否则作无效投标处理</w:t>
            </w:r>
            <w:r>
              <w:rPr>
                <w:rFonts w:hint="eastAsia" w:ascii="宋体" w:hAnsi="宋体"/>
                <w:szCs w:val="21"/>
                <w:highlight w:val="none"/>
              </w:rPr>
              <w:t>）</w:t>
            </w:r>
          </w:p>
          <w:p w14:paraId="07E52414">
            <w:pPr>
              <w:snapToGrid w:val="0"/>
              <w:spacing w:line="380" w:lineRule="exact"/>
              <w:jc w:val="left"/>
              <w:rPr>
                <w:rFonts w:hint="eastAsia" w:ascii="宋体" w:hAnsi="宋体" w:cs="宋体"/>
                <w:color w:val="auto"/>
                <w:szCs w:val="21"/>
                <w:highlight w:val="yellow"/>
              </w:rPr>
            </w:pPr>
            <w:bookmarkStart w:id="16" w:name="_Hlk197516828"/>
            <w:r>
              <w:rPr>
                <w:rFonts w:hint="eastAsia" w:ascii="宋体" w:hAnsi="宋体"/>
                <w:szCs w:val="21"/>
                <w:highlight w:val="none"/>
                <w:lang w:val="en-US" w:eastAsia="zh-CN"/>
              </w:rPr>
              <w:t>7、</w:t>
            </w:r>
            <w:r>
              <w:rPr>
                <w:rFonts w:hint="eastAsia" w:ascii="宋体" w:hAnsi="宋体" w:cs="宋体"/>
                <w:color w:val="auto"/>
                <w:szCs w:val="21"/>
                <w:highlight w:val="none"/>
              </w:rPr>
              <w:t xml:space="preserve">本项目特定资格要求及特定条件的资格证明材料（具体内容详见公告，必须提供，否则作无效投标处理）； </w:t>
            </w:r>
            <w:r>
              <w:rPr>
                <w:rFonts w:hint="eastAsia" w:ascii="宋体" w:hAnsi="宋体"/>
                <w:b/>
                <w:color w:val="0D0D0D"/>
                <w:szCs w:val="21"/>
                <w:highlight w:val="none"/>
              </w:rPr>
              <w:t>（必须提供，否则作无效投标处理）。</w:t>
            </w:r>
          </w:p>
          <w:p w14:paraId="6747FA0F">
            <w:pPr>
              <w:keepNext w:val="0"/>
              <w:keepLines w:val="0"/>
              <w:suppressLineNumbers w:val="0"/>
              <w:snapToGrid w:val="0"/>
              <w:spacing w:before="0" w:beforeAutospacing="0" w:after="0" w:afterAutospacing="0" w:line="400" w:lineRule="exact"/>
              <w:ind w:left="0" w:right="0"/>
              <w:jc w:val="left"/>
              <w:rPr>
                <w:rFonts w:hint="default"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除招标文件规定必须提供以外，投标人认为需要提供的其他证明材料。</w:t>
            </w:r>
            <w:bookmarkEnd w:id="16"/>
          </w:p>
          <w:p w14:paraId="6E659A7E">
            <w:pPr>
              <w:snapToGrid w:val="0"/>
              <w:spacing w:line="380" w:lineRule="exact"/>
              <w:jc w:val="left"/>
              <w:rPr>
                <w:rFonts w:ascii="宋体" w:hAnsi="宋体" w:cs="Courier New"/>
                <w:b/>
                <w:szCs w:val="21"/>
              </w:rPr>
            </w:pPr>
            <w:r>
              <w:rPr>
                <w:rFonts w:hint="eastAsia" w:ascii="宋体" w:hAnsi="宋体"/>
                <w:b/>
                <w:bCs/>
                <w:szCs w:val="21"/>
              </w:rPr>
              <w:t>注：1.</w:t>
            </w:r>
            <w:r>
              <w:rPr>
                <w:rFonts w:hint="eastAsia" w:ascii="宋体" w:hAnsi="宋体"/>
                <w:szCs w:val="21"/>
              </w:rPr>
              <w:t xml:space="preserve"> </w:t>
            </w:r>
            <w:r>
              <w:rPr>
                <w:rFonts w:hint="eastAsia" w:ascii="宋体" w:hAnsi="宋体"/>
                <w:b/>
                <w:bCs/>
                <w:szCs w:val="21"/>
              </w:rPr>
              <w:t>以上标明“必须提供”的材料属于复印件的，必须加盖投标人电子公章，否则</w:t>
            </w:r>
            <w:r>
              <w:rPr>
                <w:rFonts w:hint="eastAsia" w:ascii="宋体" w:hAnsi="宋体" w:cs="Courier New"/>
                <w:b/>
                <w:szCs w:val="21"/>
              </w:rPr>
              <w:t>作无效投标处理。</w:t>
            </w:r>
          </w:p>
          <w:p w14:paraId="4B8B6149">
            <w:pPr>
              <w:snapToGrid w:val="0"/>
              <w:spacing w:line="380" w:lineRule="exact"/>
              <w:ind w:firstLine="422" w:firstLineChars="200"/>
              <w:jc w:val="left"/>
            </w:pPr>
            <w:r>
              <w:rPr>
                <w:rFonts w:hint="eastAsia" w:ascii="宋体" w:hAnsi="宋体" w:cs="Courier New"/>
                <w:b/>
                <w:szCs w:val="21"/>
              </w:rPr>
              <w:t>2.</w:t>
            </w:r>
            <w:r>
              <w:rPr>
                <w:rFonts w:hint="eastAsia" w:ascii="宋体" w:hAnsi="宋体"/>
                <w:b/>
                <w:bCs/>
                <w:szCs w:val="21"/>
              </w:rPr>
              <w:t>投标资格声明必须在规定签章处加盖投标人电子公章，否则作无效投标处理。</w:t>
            </w:r>
          </w:p>
        </w:tc>
      </w:tr>
      <w:tr w14:paraId="0DA9DC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left w:val="single" w:color="auto" w:sz="4" w:space="0"/>
              <w:right w:val="single" w:color="auto" w:sz="4" w:space="0"/>
            </w:tcBorders>
            <w:vAlign w:val="center"/>
          </w:tcPr>
          <w:p w14:paraId="69CA2DD3">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8A2ACA5">
            <w:pPr>
              <w:snapToGrid w:val="0"/>
              <w:spacing w:line="380" w:lineRule="exact"/>
              <w:jc w:val="left"/>
              <w:rPr>
                <w:rFonts w:ascii="宋体" w:hAnsi="宋体"/>
                <w:szCs w:val="21"/>
              </w:rPr>
            </w:pPr>
            <w:r>
              <w:rPr>
                <w:rFonts w:hint="eastAsia" w:ascii="宋体" w:hAnsi="宋体" w:cs="Courier New"/>
                <w:szCs w:val="21"/>
              </w:rPr>
              <w:t>商务文件组成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7A6CBA5B">
            <w:pPr>
              <w:snapToGrid w:val="0"/>
              <w:spacing w:line="380" w:lineRule="exact"/>
              <w:jc w:val="left"/>
              <w:rPr>
                <w:rFonts w:ascii="宋体" w:hAnsi="宋体"/>
                <w:szCs w:val="21"/>
              </w:rPr>
            </w:pPr>
            <w:r>
              <w:rPr>
                <w:rFonts w:hint="eastAsia" w:ascii="宋体" w:hAnsi="宋体"/>
                <w:szCs w:val="21"/>
              </w:rPr>
              <w:t>1、无串通投标行为的承诺函（格式后附）；（</w:t>
            </w:r>
            <w:r>
              <w:rPr>
                <w:rFonts w:hint="eastAsia" w:ascii="宋体" w:hAnsi="宋体"/>
                <w:b/>
                <w:szCs w:val="21"/>
              </w:rPr>
              <w:t>必须提供，否则作无效投标处理</w:t>
            </w:r>
            <w:r>
              <w:rPr>
                <w:rFonts w:hint="eastAsia" w:ascii="宋体" w:hAnsi="宋体"/>
                <w:szCs w:val="21"/>
              </w:rPr>
              <w:t>）</w:t>
            </w:r>
          </w:p>
          <w:p w14:paraId="496BB9D9">
            <w:pPr>
              <w:snapToGrid w:val="0"/>
              <w:spacing w:line="380" w:lineRule="exact"/>
              <w:jc w:val="left"/>
              <w:rPr>
                <w:rFonts w:ascii="宋体" w:hAnsi="宋体"/>
                <w:szCs w:val="21"/>
              </w:rPr>
            </w:pPr>
            <w:r>
              <w:rPr>
                <w:rFonts w:hint="eastAsia" w:ascii="宋体" w:hAnsi="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4CD9329D">
            <w:pPr>
              <w:snapToGrid w:val="0"/>
              <w:spacing w:line="380" w:lineRule="exact"/>
              <w:jc w:val="left"/>
              <w:rPr>
                <w:rFonts w:ascii="宋体" w:hAnsi="宋体"/>
                <w:szCs w:val="21"/>
              </w:rPr>
            </w:pPr>
            <w:r>
              <w:rPr>
                <w:rFonts w:hint="eastAsia" w:ascii="宋体" w:hAnsi="宋体"/>
                <w:szCs w:val="21"/>
              </w:rPr>
              <w:t>3、法定代表人授权委托书及委托代理人有效身份证正反面复印件（格式后附）；（</w:t>
            </w:r>
            <w:r>
              <w:rPr>
                <w:rFonts w:hint="eastAsia" w:ascii="宋体" w:hAnsi="宋体"/>
                <w:b/>
                <w:szCs w:val="21"/>
              </w:rPr>
              <w:t>委托时必须提供，否则作无效投标处理</w:t>
            </w:r>
            <w:r>
              <w:rPr>
                <w:rFonts w:hint="eastAsia" w:ascii="宋体" w:hAnsi="宋体"/>
                <w:szCs w:val="21"/>
              </w:rPr>
              <w:t>）</w:t>
            </w:r>
          </w:p>
          <w:p w14:paraId="317E95AE">
            <w:pPr>
              <w:snapToGrid w:val="0"/>
              <w:spacing w:line="380" w:lineRule="exact"/>
              <w:jc w:val="left"/>
              <w:rPr>
                <w:rFonts w:ascii="宋体" w:hAnsi="宋体"/>
                <w:szCs w:val="21"/>
              </w:rPr>
            </w:pPr>
            <w:r>
              <w:rPr>
                <w:rFonts w:hint="eastAsia" w:ascii="宋体" w:hAnsi="宋体"/>
                <w:szCs w:val="21"/>
              </w:rPr>
              <w:t>4、商务条款偏离表（格式后附）；（</w:t>
            </w:r>
            <w:r>
              <w:rPr>
                <w:rFonts w:hint="eastAsia" w:ascii="宋体" w:hAnsi="宋体"/>
                <w:b/>
                <w:szCs w:val="21"/>
              </w:rPr>
              <w:t>必须提供，否则作无效投标处理</w:t>
            </w:r>
            <w:r>
              <w:rPr>
                <w:rFonts w:hint="eastAsia" w:ascii="宋体" w:hAnsi="宋体"/>
                <w:szCs w:val="21"/>
              </w:rPr>
              <w:t>）</w:t>
            </w:r>
          </w:p>
          <w:p w14:paraId="560C606D">
            <w:pPr>
              <w:snapToGrid w:val="0"/>
              <w:spacing w:line="380" w:lineRule="exact"/>
              <w:jc w:val="left"/>
              <w:rPr>
                <w:rFonts w:ascii="宋体" w:hAnsi="宋体"/>
                <w:szCs w:val="21"/>
              </w:rPr>
            </w:pPr>
            <w:r>
              <w:rPr>
                <w:rFonts w:hint="eastAsia" w:ascii="宋体" w:hAnsi="宋体"/>
                <w:szCs w:val="21"/>
              </w:rPr>
              <w:t>5、投标人情况介绍（格式自拟）；</w:t>
            </w:r>
          </w:p>
          <w:p w14:paraId="6D5749AB">
            <w:pPr>
              <w:snapToGrid w:val="0"/>
              <w:spacing w:line="380" w:lineRule="exact"/>
              <w:jc w:val="left"/>
              <w:rPr>
                <w:rFonts w:ascii="宋体" w:hAnsi="宋体"/>
                <w:szCs w:val="21"/>
              </w:rPr>
            </w:pPr>
            <w:r>
              <w:rPr>
                <w:rFonts w:hint="eastAsia" w:ascii="宋体" w:hAnsi="宋体"/>
                <w:szCs w:val="21"/>
                <w:lang w:val="en-US" w:eastAsia="zh-CN"/>
              </w:rPr>
              <w:t>6</w:t>
            </w:r>
            <w:r>
              <w:rPr>
                <w:rFonts w:hint="eastAsia" w:ascii="宋体" w:hAnsi="宋体"/>
                <w:szCs w:val="21"/>
              </w:rPr>
              <w:t>、除招标文件规定必须提供以外，投标人认为需要提供的其他证明材料（格式自拟）。（投标人根据“第二章 采购需求”及“第四章 评标方法及评标标准”提供有关证明材料）。</w:t>
            </w:r>
          </w:p>
          <w:p w14:paraId="7A829C5D">
            <w:pPr>
              <w:snapToGrid w:val="0"/>
              <w:spacing w:line="380" w:lineRule="exact"/>
              <w:jc w:val="left"/>
              <w:rPr>
                <w:rFonts w:ascii="宋体" w:hAnsi="宋体"/>
                <w:b/>
                <w:bCs/>
                <w:szCs w:val="21"/>
              </w:rPr>
            </w:pPr>
            <w:r>
              <w:rPr>
                <w:rFonts w:hint="eastAsia" w:ascii="宋体" w:hAnsi="宋体"/>
                <w:b/>
                <w:bCs/>
                <w:szCs w:val="21"/>
              </w:rPr>
              <w:t>注：1.法定代表人授权委托书必须由法定代表人及委托代理人签字，并加盖投标人电子公章，否则作无效投标处理。</w:t>
            </w:r>
          </w:p>
          <w:p w14:paraId="0F0ADF93">
            <w:pPr>
              <w:snapToGrid w:val="0"/>
              <w:spacing w:line="380" w:lineRule="exact"/>
              <w:ind w:firstLine="422" w:firstLineChars="200"/>
              <w:jc w:val="left"/>
              <w:rPr>
                <w:rFonts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以上标明“必须提供”的材料属于复印件的，必须加盖投标人电子公章，否则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5D701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restart"/>
            <w:tcBorders>
              <w:left w:val="single" w:color="auto" w:sz="4" w:space="0"/>
              <w:right w:val="single" w:color="auto" w:sz="4" w:space="0"/>
            </w:tcBorders>
            <w:vAlign w:val="center"/>
          </w:tcPr>
          <w:p w14:paraId="5135AF57">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BE94D05">
            <w:pPr>
              <w:snapToGrid w:val="0"/>
              <w:spacing w:line="380" w:lineRule="exact"/>
              <w:jc w:val="left"/>
              <w:rPr>
                <w:rFonts w:ascii="宋体" w:hAnsi="宋体"/>
                <w:szCs w:val="21"/>
                <w:highlight w:val="none"/>
              </w:rPr>
            </w:pPr>
            <w:r>
              <w:rPr>
                <w:rFonts w:hint="eastAsia" w:ascii="宋体" w:hAnsi="宋体" w:cs="Courier New"/>
                <w:szCs w:val="21"/>
                <w:highlight w:val="none"/>
              </w:rPr>
              <w:t>技术文件组成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50B8A8D3">
            <w:pPr>
              <w:snapToGrid w:val="0"/>
              <w:spacing w:line="380" w:lineRule="exact"/>
              <w:jc w:val="left"/>
              <w:rPr>
                <w:rFonts w:ascii="宋体" w:hAnsi="宋体"/>
                <w:szCs w:val="21"/>
                <w:highlight w:val="none"/>
              </w:rPr>
            </w:pPr>
            <w:r>
              <w:rPr>
                <w:rFonts w:ascii="宋体" w:hAnsi="宋体"/>
                <w:szCs w:val="21"/>
                <w:highlight w:val="none"/>
              </w:rPr>
              <w:t>1</w:t>
            </w:r>
            <w:r>
              <w:rPr>
                <w:rFonts w:hint="eastAsia" w:ascii="宋体" w:hAnsi="宋体"/>
                <w:szCs w:val="21"/>
                <w:highlight w:val="none"/>
              </w:rPr>
              <w:t>.服务需求、技术需求偏离表；（</w:t>
            </w:r>
            <w:r>
              <w:rPr>
                <w:rFonts w:hint="eastAsia" w:ascii="宋体" w:hAnsi="宋体"/>
                <w:b/>
                <w:szCs w:val="21"/>
                <w:highlight w:val="none"/>
              </w:rPr>
              <w:t>必须提供，否则作无效投标处理</w:t>
            </w:r>
            <w:r>
              <w:rPr>
                <w:rFonts w:hint="eastAsia" w:ascii="宋体" w:hAnsi="宋体"/>
                <w:szCs w:val="21"/>
                <w:highlight w:val="none"/>
              </w:rPr>
              <w:t>）</w:t>
            </w:r>
          </w:p>
          <w:p w14:paraId="19C33E61">
            <w:pPr>
              <w:snapToGrid w:val="0"/>
              <w:spacing w:line="380" w:lineRule="exact"/>
              <w:jc w:val="left"/>
              <w:rPr>
                <w:rFonts w:ascii="宋体" w:hAnsi="宋体"/>
                <w:szCs w:val="21"/>
                <w:highlight w:val="none"/>
              </w:rPr>
            </w:pPr>
            <w:r>
              <w:rPr>
                <w:rFonts w:ascii="宋体" w:hAnsi="宋体"/>
                <w:szCs w:val="21"/>
                <w:highlight w:val="none"/>
              </w:rPr>
              <w:t>2</w:t>
            </w:r>
            <w:r>
              <w:rPr>
                <w:rFonts w:hint="eastAsia" w:ascii="宋体" w:hAnsi="宋体"/>
                <w:szCs w:val="21"/>
                <w:highlight w:val="none"/>
              </w:rPr>
              <w:t>.组织服务方案；</w:t>
            </w:r>
            <w:r>
              <w:rPr>
                <w:rFonts w:hint="eastAsia" w:ascii="宋体" w:hAnsi="宋体"/>
                <w:b/>
                <w:color w:val="0D0D0D"/>
                <w:szCs w:val="21"/>
                <w:highlight w:val="none"/>
              </w:rPr>
              <w:t>（依据采购需求提供）</w:t>
            </w:r>
          </w:p>
          <w:p w14:paraId="74ED9613">
            <w:pPr>
              <w:snapToGrid w:val="0"/>
              <w:spacing w:line="380" w:lineRule="exact"/>
              <w:jc w:val="left"/>
              <w:rPr>
                <w:rFonts w:hint="eastAsia" w:ascii="宋体" w:hAnsi="宋体"/>
                <w:b/>
                <w:color w:val="0D0D0D"/>
                <w:szCs w:val="21"/>
                <w:highlight w:val="none"/>
              </w:rPr>
            </w:pPr>
            <w:r>
              <w:rPr>
                <w:rFonts w:hint="eastAsia" w:ascii="宋体" w:hAnsi="宋体"/>
                <w:szCs w:val="21"/>
                <w:highlight w:val="none"/>
              </w:rPr>
              <w:t>3.</w:t>
            </w:r>
            <w:r>
              <w:rPr>
                <w:rFonts w:hint="eastAsia" w:ascii="宋体" w:hAnsi="宋体"/>
                <w:szCs w:val="21"/>
                <w:highlight w:val="none"/>
                <w:lang w:val="en-US" w:eastAsia="zh-CN"/>
              </w:rPr>
              <w:t>售后服务方案</w:t>
            </w:r>
            <w:r>
              <w:rPr>
                <w:rFonts w:hint="eastAsia" w:ascii="宋体" w:hAnsi="宋体"/>
                <w:szCs w:val="21"/>
                <w:highlight w:val="none"/>
              </w:rPr>
              <w:t>；</w:t>
            </w:r>
            <w:r>
              <w:rPr>
                <w:rFonts w:hint="eastAsia" w:ascii="宋体" w:hAnsi="宋体"/>
                <w:b/>
                <w:color w:val="0D0D0D"/>
                <w:szCs w:val="21"/>
                <w:highlight w:val="none"/>
              </w:rPr>
              <w:t>（依据采购需求提供）</w:t>
            </w:r>
          </w:p>
          <w:p w14:paraId="14611D27">
            <w:pPr>
              <w:snapToGrid w:val="0"/>
              <w:spacing w:line="380" w:lineRule="exact"/>
              <w:jc w:val="left"/>
              <w:rPr>
                <w:rFonts w:ascii="宋体" w:hAnsi="宋体"/>
                <w:szCs w:val="21"/>
                <w:highlight w:val="none"/>
              </w:rPr>
            </w:pPr>
            <w:r>
              <w:rPr>
                <w:rFonts w:hint="eastAsia" w:ascii="宋体" w:hAnsi="宋体"/>
                <w:szCs w:val="21"/>
                <w:highlight w:val="none"/>
              </w:rPr>
              <w:t>4.项目实施人员一览表；</w:t>
            </w:r>
            <w:r>
              <w:rPr>
                <w:rFonts w:hint="eastAsia" w:ascii="宋体" w:hAnsi="宋体"/>
                <w:b/>
                <w:color w:val="0D0D0D"/>
                <w:szCs w:val="21"/>
                <w:highlight w:val="none"/>
              </w:rPr>
              <w:t>（依据采购需求提供）</w:t>
            </w:r>
          </w:p>
          <w:p w14:paraId="6C61302A">
            <w:pPr>
              <w:snapToGrid w:val="0"/>
              <w:spacing w:line="380" w:lineRule="exact"/>
              <w:jc w:val="left"/>
              <w:rPr>
                <w:rFonts w:ascii="宋体" w:hAnsi="宋体"/>
                <w:szCs w:val="21"/>
                <w:highlight w:val="none"/>
              </w:rPr>
            </w:pPr>
            <w:r>
              <w:rPr>
                <w:rFonts w:hint="eastAsia" w:ascii="宋体" w:hAnsi="宋体"/>
                <w:szCs w:val="21"/>
                <w:highlight w:val="none"/>
              </w:rPr>
              <w:t>5.投标人对本项目的合理化建议和改进措施；</w:t>
            </w:r>
            <w:r>
              <w:rPr>
                <w:rFonts w:hint="eastAsia" w:ascii="宋体" w:hAnsi="宋体"/>
                <w:b/>
                <w:color w:val="0D0D0D"/>
                <w:szCs w:val="21"/>
                <w:highlight w:val="none"/>
              </w:rPr>
              <w:t>（依据采购需求提供）</w:t>
            </w:r>
          </w:p>
          <w:p w14:paraId="6D12C3B3">
            <w:pPr>
              <w:snapToGrid w:val="0"/>
              <w:spacing w:line="380" w:lineRule="exact"/>
              <w:jc w:val="left"/>
              <w:rPr>
                <w:rFonts w:ascii="宋体" w:hAnsi="宋体"/>
                <w:bCs/>
                <w:szCs w:val="21"/>
                <w:highlight w:val="none"/>
              </w:rPr>
            </w:pPr>
            <w:r>
              <w:rPr>
                <w:rFonts w:hint="eastAsia" w:ascii="宋体" w:hAnsi="宋体"/>
                <w:szCs w:val="21"/>
                <w:highlight w:val="none"/>
              </w:rPr>
              <w:t>6.除招标文件规定必须提供以外，投标人需要说明的其他文件和说明。（投标人根据“第二章 采购需求”及“第四章 评标方法及评标标准”提供有关证明材料）。</w:t>
            </w:r>
          </w:p>
          <w:p w14:paraId="77F8DDC0">
            <w:pPr>
              <w:snapToGrid w:val="0"/>
              <w:spacing w:line="380" w:lineRule="exact"/>
              <w:jc w:val="left"/>
              <w:rPr>
                <w:rFonts w:ascii="宋体" w:hAnsi="宋体"/>
                <w:b/>
                <w:bCs/>
                <w:szCs w:val="21"/>
                <w:highlight w:val="none"/>
              </w:rPr>
            </w:pPr>
            <w:r>
              <w:rPr>
                <w:rFonts w:hint="eastAsia" w:ascii="宋体" w:hAnsi="宋体"/>
                <w:b/>
                <w:bCs/>
                <w:szCs w:val="21"/>
                <w:highlight w:val="none"/>
              </w:rPr>
              <w:t>注：以上标明“必须提供”的材料属于复印件的，必须加盖投标人电子公章，否则</w:t>
            </w:r>
            <w:r>
              <w:rPr>
                <w:rFonts w:hint="eastAsia" w:ascii="宋体" w:hAnsi="宋体" w:cs="Courier New"/>
                <w:b/>
                <w:szCs w:val="21"/>
                <w:highlight w:val="none"/>
              </w:rPr>
              <w:t>作无效投标处理</w:t>
            </w:r>
            <w:r>
              <w:rPr>
                <w:rFonts w:hint="eastAsia" w:ascii="宋体" w:hAnsi="宋体"/>
                <w:b/>
                <w:bCs/>
                <w:szCs w:val="21"/>
                <w:highlight w:val="none"/>
              </w:rPr>
              <w:t>。</w:t>
            </w:r>
          </w:p>
        </w:tc>
      </w:tr>
      <w:tr w14:paraId="04C2A3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bottom w:val="single" w:color="auto" w:sz="4" w:space="0"/>
              <w:right w:val="single" w:color="auto" w:sz="4" w:space="0"/>
            </w:tcBorders>
            <w:vAlign w:val="center"/>
          </w:tcPr>
          <w:p w14:paraId="29B06A2C">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BA59908">
            <w:pPr>
              <w:snapToGrid w:val="0"/>
              <w:spacing w:line="380" w:lineRule="exact"/>
              <w:jc w:val="left"/>
              <w:rPr>
                <w:rFonts w:ascii="宋体" w:hAnsi="宋体" w:cs="Courier New"/>
                <w:szCs w:val="21"/>
              </w:rPr>
            </w:pPr>
            <w:r>
              <w:rPr>
                <w:rFonts w:hint="eastAsia" w:ascii="宋体" w:hAnsi="宋体" w:cs="Courier New"/>
                <w:szCs w:val="21"/>
              </w:rPr>
              <w:t>报价文件</w:t>
            </w:r>
            <w:r>
              <w:rPr>
                <w:rFonts w:hint="eastAsia" w:ascii="宋体" w:hAnsi="宋体"/>
                <w:szCs w:val="21"/>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262485FE">
            <w:pPr>
              <w:tabs>
                <w:tab w:val="left" w:pos="459"/>
              </w:tabs>
              <w:snapToGrid w:val="0"/>
              <w:spacing w:line="380" w:lineRule="exact"/>
              <w:jc w:val="left"/>
              <w:rPr>
                <w:rFonts w:ascii="宋体" w:hAnsi="宋体"/>
                <w:szCs w:val="21"/>
              </w:rPr>
            </w:pPr>
            <w:r>
              <w:rPr>
                <w:rFonts w:hint="eastAsia" w:ascii="宋体" w:hAnsi="宋体"/>
                <w:szCs w:val="21"/>
              </w:rPr>
              <w:t>1、投标函（格式后附）；</w:t>
            </w:r>
            <w:r>
              <w:rPr>
                <w:rFonts w:hint="eastAsia" w:ascii="宋体" w:hAnsi="宋体"/>
                <w:b/>
                <w:szCs w:val="21"/>
              </w:rPr>
              <w:t>（必须提供，否则作无效投标处理）</w:t>
            </w:r>
          </w:p>
          <w:p w14:paraId="66B96FB3">
            <w:pPr>
              <w:tabs>
                <w:tab w:val="left" w:pos="459"/>
              </w:tabs>
              <w:snapToGrid w:val="0"/>
              <w:spacing w:line="380" w:lineRule="exact"/>
              <w:jc w:val="left"/>
              <w:rPr>
                <w:rFonts w:ascii="宋体" w:hAnsi="宋体"/>
                <w:szCs w:val="21"/>
              </w:rPr>
            </w:pPr>
            <w:r>
              <w:rPr>
                <w:rFonts w:hint="eastAsia" w:ascii="宋体" w:hAnsi="宋体"/>
                <w:szCs w:val="21"/>
              </w:rPr>
              <w:t>2、开标一览表（报价表）；（</w:t>
            </w:r>
            <w:r>
              <w:rPr>
                <w:rFonts w:hint="eastAsia" w:ascii="宋体" w:hAnsi="宋体"/>
                <w:b/>
                <w:szCs w:val="21"/>
              </w:rPr>
              <w:t>必须提供，否则作无效投标处理</w:t>
            </w:r>
            <w:r>
              <w:rPr>
                <w:rFonts w:hint="eastAsia" w:ascii="宋体" w:hAnsi="宋体"/>
                <w:szCs w:val="21"/>
              </w:rPr>
              <w:t>）</w:t>
            </w:r>
          </w:p>
          <w:p w14:paraId="2579823B">
            <w:pPr>
              <w:tabs>
                <w:tab w:val="left" w:pos="459"/>
              </w:tabs>
              <w:snapToGrid w:val="0"/>
              <w:spacing w:line="380" w:lineRule="exact"/>
              <w:jc w:val="left"/>
              <w:rPr>
                <w:rFonts w:ascii="宋体" w:hAnsi="宋体"/>
                <w:szCs w:val="21"/>
              </w:rPr>
            </w:pPr>
            <w:r>
              <w:rPr>
                <w:rFonts w:hint="eastAsia" w:ascii="宋体" w:hAnsi="宋体"/>
                <w:szCs w:val="21"/>
              </w:rPr>
              <w:t>3、投标人针对报价需要说明的其他文件和说明</w:t>
            </w:r>
            <w:r>
              <w:rPr>
                <w:rFonts w:hint="eastAsia" w:ascii="宋体" w:hAnsi="宋体"/>
                <w:szCs w:val="21"/>
                <w:lang w:eastAsia="zh-CN"/>
              </w:rPr>
              <w:t>，</w:t>
            </w:r>
            <w:r>
              <w:rPr>
                <w:rFonts w:hint="eastAsia" w:ascii="宋体" w:hAnsi="宋体"/>
                <w:szCs w:val="21"/>
                <w:lang w:val="en-US" w:eastAsia="zh-CN"/>
              </w:rPr>
              <w:t>如</w:t>
            </w:r>
            <w:r>
              <w:rPr>
                <w:rFonts w:hint="eastAsia" w:ascii="宋体" w:hAnsi="宋体"/>
                <w:color w:val="0D0D0D"/>
                <w:szCs w:val="21"/>
              </w:rPr>
              <w:t>《中小企业声明函》</w:t>
            </w:r>
            <w:r>
              <w:rPr>
                <w:rFonts w:hint="eastAsia" w:ascii="宋体" w:hAnsi="宋体"/>
                <w:szCs w:val="21"/>
              </w:rPr>
              <w:t>。</w:t>
            </w:r>
          </w:p>
          <w:p w14:paraId="7C4B7F7C">
            <w:pPr>
              <w:snapToGrid w:val="0"/>
              <w:spacing w:line="380" w:lineRule="exact"/>
              <w:jc w:val="left"/>
              <w:rPr>
                <w:rFonts w:ascii="宋体" w:hAnsi="宋体"/>
                <w:szCs w:val="21"/>
              </w:rPr>
            </w:pPr>
            <w:r>
              <w:rPr>
                <w:rFonts w:hint="eastAsia" w:ascii="宋体" w:hAnsi="宋体"/>
                <w:b/>
                <w:bCs/>
                <w:szCs w:val="21"/>
              </w:rPr>
              <w:t>注：投标函、开标一览表必须由法定代表人或者委托代理人在规定签章处逐一签字并加盖投标人电子公章，否则</w:t>
            </w:r>
            <w:r>
              <w:rPr>
                <w:rFonts w:hint="eastAsia" w:ascii="宋体" w:hAnsi="宋体" w:cs="Courier New"/>
                <w:b/>
                <w:szCs w:val="21"/>
              </w:rPr>
              <w:t>作无效投标处理</w:t>
            </w:r>
            <w:r>
              <w:rPr>
                <w:rFonts w:hint="eastAsia" w:ascii="宋体" w:hAnsi="宋体"/>
                <w:b/>
                <w:bCs/>
                <w:szCs w:val="21"/>
              </w:rPr>
              <w:t>。</w:t>
            </w:r>
          </w:p>
        </w:tc>
      </w:tr>
      <w:tr w14:paraId="45954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423D1E29">
            <w:pPr>
              <w:spacing w:line="380" w:lineRule="exact"/>
              <w:rPr>
                <w:rFonts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44B2E456">
            <w:pPr>
              <w:spacing w:line="380" w:lineRule="exact"/>
              <w:rPr>
                <w:rFonts w:ascii="宋体" w:hAnsi="宋体"/>
                <w:szCs w:val="21"/>
              </w:rPr>
            </w:pPr>
            <w:r>
              <w:rPr>
                <w:rFonts w:hint="eastAsia" w:ascii="宋体" w:hAnsi="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6C1634CB">
            <w:pPr>
              <w:snapToGrid w:val="0"/>
              <w:spacing w:line="380" w:lineRule="exact"/>
              <w:rPr>
                <w:rFonts w:ascii="宋体" w:hAnsi="宋体"/>
                <w:b/>
                <w:szCs w:val="21"/>
              </w:rPr>
            </w:pPr>
            <w:r>
              <w:rPr>
                <w:rFonts w:hint="eastAsia" w:ascii="宋体" w:hAnsi="宋体"/>
                <w:color w:val="0D0D0D"/>
                <w:szCs w:val="21"/>
              </w:rPr>
              <w:t>投标报价是履行合同的最终价格，</w:t>
            </w:r>
            <w:r>
              <w:rPr>
                <w:rFonts w:hint="eastAsia" w:ascii="宋体" w:hAnsi="宋体" w:cs="宋体"/>
                <w:color w:val="0D0D0D"/>
                <w:szCs w:val="21"/>
              </w:rPr>
              <w:t>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6C429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20FFC9D4">
            <w:pPr>
              <w:spacing w:line="380" w:lineRule="exact"/>
              <w:rPr>
                <w:rFonts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4C3CED7D">
            <w:pPr>
              <w:spacing w:line="380" w:lineRule="exact"/>
              <w:rPr>
                <w:rFonts w:ascii="宋体" w:hAnsi="宋体"/>
                <w:szCs w:val="21"/>
              </w:rPr>
            </w:pPr>
            <w:r>
              <w:rPr>
                <w:rFonts w:hint="eastAsia" w:ascii="宋体" w:hAnsi="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571633B1">
            <w:pPr>
              <w:snapToGrid w:val="0"/>
              <w:spacing w:line="380" w:lineRule="exact"/>
              <w:rPr>
                <w:rFonts w:ascii="宋体" w:hAnsi="宋体"/>
                <w:szCs w:val="21"/>
              </w:rPr>
            </w:pPr>
            <w:r>
              <w:rPr>
                <w:rFonts w:hint="eastAsia" w:ascii="宋体" w:hAnsi="宋体"/>
                <w:szCs w:val="21"/>
              </w:rPr>
              <w:t>自投标截止之日起</w:t>
            </w:r>
            <w:r>
              <w:rPr>
                <w:rFonts w:ascii="宋体" w:hAnsi="宋体"/>
                <w:szCs w:val="21"/>
                <w:u w:val="single"/>
              </w:rPr>
              <w:t xml:space="preserve"> 90 </w:t>
            </w:r>
            <w:r>
              <w:rPr>
                <w:rFonts w:hint="eastAsia" w:ascii="宋体" w:hAnsi="宋体"/>
                <w:szCs w:val="21"/>
              </w:rPr>
              <w:t>日。</w:t>
            </w:r>
          </w:p>
        </w:tc>
      </w:tr>
      <w:tr w14:paraId="26A7FA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3362D943">
            <w:pPr>
              <w:spacing w:line="380" w:lineRule="exact"/>
              <w:rPr>
                <w:rFonts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46EB1FB8">
            <w:pPr>
              <w:spacing w:line="380" w:lineRule="exact"/>
              <w:rPr>
                <w:rFonts w:ascii="宋体" w:hAnsi="宋体"/>
                <w:szCs w:val="21"/>
              </w:rPr>
            </w:pPr>
            <w:r>
              <w:rPr>
                <w:rFonts w:hint="eastAsia" w:ascii="宋体" w:hAnsi="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1C7781DD">
            <w:pPr>
              <w:autoSpaceDE w:val="0"/>
              <w:autoSpaceDN w:val="0"/>
              <w:snapToGrid w:val="0"/>
              <w:spacing w:line="380" w:lineRule="exact"/>
              <w:textAlignment w:val="bottom"/>
              <w:rPr>
                <w:rFonts w:ascii="宋体" w:hAnsi="宋体"/>
                <w:szCs w:val="21"/>
              </w:rPr>
            </w:pPr>
            <w:r>
              <w:rPr>
                <w:rFonts w:hint="eastAsia" w:ascii="宋体" w:hAnsi="宋体"/>
                <w:szCs w:val="21"/>
              </w:rPr>
              <w:t>本项目不收取投标保证金。</w:t>
            </w:r>
          </w:p>
        </w:tc>
      </w:tr>
      <w:tr w14:paraId="40661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685A8190">
            <w:pPr>
              <w:spacing w:line="380" w:lineRule="exact"/>
              <w:rPr>
                <w:rFonts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098DABDA">
            <w:pPr>
              <w:spacing w:line="380" w:lineRule="exact"/>
              <w:rPr>
                <w:rFonts w:ascii="宋体" w:hAnsi="宋体"/>
                <w:szCs w:val="21"/>
              </w:rPr>
            </w:pPr>
            <w:r>
              <w:rPr>
                <w:rFonts w:hint="eastAsia" w:ascii="宋体" w:hAnsi="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3833C407">
            <w:pPr>
              <w:spacing w:line="360" w:lineRule="auto"/>
              <w:ind w:firstLine="420" w:firstLineChars="200"/>
              <w:rPr>
                <w:rFonts w:ascii="宋体" w:hAnsi="宋体"/>
                <w:b/>
                <w:szCs w:val="21"/>
                <w:u w:val="single"/>
              </w:rPr>
            </w:pPr>
            <w:r>
              <w:rPr>
                <w:rFonts w:hint="eastAsia" w:hAnsi="宋体"/>
                <w:szCs w:val="21"/>
              </w:rPr>
              <w:t>投标文件应按报价文件、资格证明文件、商务文件、技术文件分别编制，报价文件、资格证明文件分别生成电子文件，商务文件和技术文件按顺序合并生成电子文件。</w:t>
            </w:r>
            <w:r>
              <w:rPr>
                <w:rFonts w:hint="eastAsia" w:ascii="宋体" w:hAnsi="宋体"/>
                <w:b/>
                <w:szCs w:val="21"/>
                <w:u w:val="single"/>
              </w:rPr>
              <w:t>电子版投标文件制作方式见招标公告附件。</w:t>
            </w:r>
          </w:p>
        </w:tc>
      </w:tr>
      <w:tr w14:paraId="07B1BB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21A4369D">
            <w:pPr>
              <w:spacing w:line="380" w:lineRule="exact"/>
              <w:rPr>
                <w:rFonts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vAlign w:val="center"/>
          </w:tcPr>
          <w:p w14:paraId="37766394">
            <w:pPr>
              <w:spacing w:line="380" w:lineRule="exact"/>
              <w:rPr>
                <w:rFonts w:ascii="宋体" w:hAnsi="宋体"/>
                <w:szCs w:val="21"/>
              </w:rPr>
            </w:pPr>
            <w:r>
              <w:rPr>
                <w:rFonts w:hint="eastAsia" w:ascii="宋体" w:hAnsi="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1C51E909">
            <w:pPr>
              <w:autoSpaceDE w:val="0"/>
              <w:autoSpaceDN w:val="0"/>
              <w:snapToGrid w:val="0"/>
              <w:spacing w:line="380" w:lineRule="exact"/>
              <w:textAlignment w:val="bottom"/>
              <w:rPr>
                <w:rFonts w:ascii="宋体" w:hAnsi="宋体"/>
                <w:szCs w:val="21"/>
              </w:rPr>
            </w:pPr>
            <w:r>
              <w:rPr>
                <w:rFonts w:hint="eastAsia" w:ascii="宋体" w:hAnsi="宋体"/>
                <w:szCs w:val="21"/>
              </w:rPr>
              <w:t>本项目不接受备份投标文件。</w:t>
            </w:r>
          </w:p>
        </w:tc>
      </w:tr>
      <w:tr w14:paraId="2BA0EB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restart"/>
            <w:tcBorders>
              <w:top w:val="single" w:color="auto" w:sz="4" w:space="0"/>
              <w:left w:val="single" w:color="auto" w:sz="4" w:space="0"/>
              <w:right w:val="single" w:color="auto" w:sz="4" w:space="0"/>
            </w:tcBorders>
            <w:vAlign w:val="center"/>
          </w:tcPr>
          <w:p w14:paraId="0D9DC5DA">
            <w:pPr>
              <w:spacing w:line="380" w:lineRule="exact"/>
              <w:rPr>
                <w:rFonts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40FB86B3">
            <w:pPr>
              <w:spacing w:line="380" w:lineRule="exact"/>
              <w:rPr>
                <w:rFonts w:ascii="宋体" w:hAnsi="宋体"/>
                <w:szCs w:val="21"/>
              </w:rPr>
            </w:pPr>
            <w:r>
              <w:rPr>
                <w:rFonts w:hint="eastAsia" w:ascii="宋体" w:hAnsi="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5CFDF30F">
            <w:pPr>
              <w:snapToGrid w:val="0"/>
              <w:spacing w:line="380" w:lineRule="exact"/>
              <w:rPr>
                <w:rFonts w:ascii="宋体" w:hAnsi="宋体"/>
                <w:szCs w:val="21"/>
                <w:u w:val="single"/>
              </w:rPr>
            </w:pPr>
            <w:r>
              <w:rPr>
                <w:rFonts w:hint="eastAsia" w:ascii="宋体" w:hAnsi="宋体"/>
                <w:szCs w:val="21"/>
              </w:rPr>
              <w:t>详见招标公告</w:t>
            </w:r>
          </w:p>
        </w:tc>
      </w:tr>
      <w:tr w14:paraId="5A025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09565C85">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6F0B4C8">
            <w:pPr>
              <w:spacing w:line="380" w:lineRule="exact"/>
              <w:rPr>
                <w:rFonts w:ascii="宋体" w:hAnsi="宋体"/>
                <w:szCs w:val="21"/>
              </w:rPr>
            </w:pPr>
            <w:r>
              <w:rPr>
                <w:rFonts w:hint="eastAsia" w:ascii="宋体" w:hAnsi="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5DC6B461">
            <w:pPr>
              <w:snapToGrid w:val="0"/>
              <w:spacing w:line="380" w:lineRule="exact"/>
              <w:rPr>
                <w:rFonts w:ascii="宋体" w:hAnsi="宋体"/>
                <w:szCs w:val="21"/>
              </w:rPr>
            </w:pPr>
            <w:r>
              <w:rPr>
                <w:rFonts w:hint="eastAsia" w:ascii="宋体" w:hAnsi="宋体"/>
                <w:szCs w:val="21"/>
              </w:rPr>
              <w:t>详见招标公告</w:t>
            </w:r>
          </w:p>
        </w:tc>
      </w:tr>
      <w:tr w14:paraId="49BBE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5D5621C0">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1682B00">
            <w:pPr>
              <w:spacing w:line="380" w:lineRule="exact"/>
              <w:rPr>
                <w:rFonts w:ascii="宋体" w:hAnsi="宋体"/>
                <w:szCs w:val="21"/>
              </w:rPr>
            </w:pPr>
            <w:r>
              <w:rPr>
                <w:rFonts w:hint="eastAsia" w:ascii="宋体" w:hAnsi="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482A6C9C">
            <w:pPr>
              <w:snapToGrid w:val="0"/>
              <w:spacing w:line="380" w:lineRule="exact"/>
              <w:rPr>
                <w:rFonts w:ascii="宋体" w:hAnsi="宋体"/>
                <w:szCs w:val="21"/>
              </w:rPr>
            </w:pPr>
            <w:r>
              <w:rPr>
                <w:rFonts w:hint="eastAsia" w:ascii="宋体" w:hAnsi="宋体"/>
                <w:szCs w:val="21"/>
              </w:rPr>
              <w:t>详见招标公告</w:t>
            </w:r>
          </w:p>
        </w:tc>
      </w:tr>
      <w:tr w14:paraId="2FA681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19A4A98F">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71D7C13">
            <w:pPr>
              <w:spacing w:line="380" w:lineRule="exact"/>
              <w:rPr>
                <w:rFonts w:ascii="宋体" w:hAnsi="宋体"/>
                <w:szCs w:val="21"/>
              </w:rPr>
            </w:pPr>
            <w:r>
              <w:rPr>
                <w:rFonts w:hint="eastAsia" w:ascii="宋体" w:hAnsi="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66CFD1F0">
            <w:pPr>
              <w:snapToGrid w:val="0"/>
              <w:spacing w:line="380" w:lineRule="exact"/>
              <w:rPr>
                <w:rFonts w:ascii="宋体" w:hAnsi="宋体"/>
                <w:szCs w:val="21"/>
              </w:rPr>
            </w:pPr>
            <w:r>
              <w:rPr>
                <w:rFonts w:hint="eastAsia" w:ascii="宋体" w:hAnsi="宋体"/>
                <w:bCs/>
                <w:szCs w:val="21"/>
              </w:rPr>
              <w:t>无</w:t>
            </w:r>
          </w:p>
        </w:tc>
      </w:tr>
      <w:tr w14:paraId="2585F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6246EA44">
            <w:pPr>
              <w:spacing w:line="380" w:lineRule="exact"/>
              <w:rPr>
                <w:rFonts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vAlign w:val="center"/>
          </w:tcPr>
          <w:p w14:paraId="156D0C7F">
            <w:pPr>
              <w:spacing w:line="380" w:lineRule="exact"/>
              <w:rPr>
                <w:rFonts w:ascii="宋体" w:hAnsi="宋体"/>
                <w:szCs w:val="21"/>
              </w:rPr>
            </w:pPr>
            <w:r>
              <w:rPr>
                <w:rFonts w:hint="eastAsia" w:ascii="宋体" w:hAnsi="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1B361B63">
            <w:pPr>
              <w:snapToGrid w:val="0"/>
              <w:spacing w:line="380" w:lineRule="exact"/>
              <w:rPr>
                <w:rFonts w:ascii="宋体" w:hAnsi="宋体"/>
                <w:szCs w:val="21"/>
              </w:rPr>
            </w:pPr>
            <w:r>
              <w:rPr>
                <w:rFonts w:hint="eastAsia" w:ascii="宋体" w:hAnsi="宋体"/>
                <w:szCs w:val="21"/>
              </w:rPr>
              <w:t xml:space="preserve">详见招标公告 </w:t>
            </w:r>
          </w:p>
        </w:tc>
      </w:tr>
      <w:tr w14:paraId="37BDA5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restart"/>
            <w:tcBorders>
              <w:top w:val="single" w:color="auto" w:sz="4" w:space="0"/>
              <w:left w:val="single" w:color="auto" w:sz="4" w:space="0"/>
              <w:right w:val="single" w:color="auto" w:sz="4" w:space="0"/>
            </w:tcBorders>
            <w:vAlign w:val="center"/>
          </w:tcPr>
          <w:p w14:paraId="5368ACF9">
            <w:pPr>
              <w:spacing w:line="380" w:lineRule="exact"/>
              <w:rPr>
                <w:rFonts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21BC8AB4">
            <w:pPr>
              <w:spacing w:line="380" w:lineRule="exact"/>
              <w:rPr>
                <w:rFonts w:ascii="宋体" w:hAnsi="宋体"/>
                <w:szCs w:val="21"/>
              </w:rPr>
            </w:pPr>
            <w:r>
              <w:rPr>
                <w:rFonts w:hint="eastAsia" w:ascii="宋体" w:hAnsi="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128472C0">
            <w:pPr>
              <w:snapToGrid w:val="0"/>
              <w:spacing w:line="380" w:lineRule="exact"/>
              <w:rPr>
                <w:rFonts w:ascii="宋体" w:hAnsi="宋体"/>
                <w:szCs w:val="21"/>
              </w:rPr>
            </w:pPr>
            <w:r>
              <w:rPr>
                <w:rFonts w:hint="eastAsia" w:ascii="宋体" w:hAnsi="宋体"/>
                <w:szCs w:val="21"/>
              </w:rPr>
              <w:t>采购人或者采购代理机构在资格审查结束前，对投标人进行信用查询。</w:t>
            </w:r>
          </w:p>
          <w:p w14:paraId="2119E60A">
            <w:pPr>
              <w:snapToGrid w:val="0"/>
              <w:spacing w:line="380" w:lineRule="exact"/>
              <w:rPr>
                <w:rFonts w:ascii="宋体" w:hAnsi="宋体"/>
                <w:szCs w:val="21"/>
              </w:rPr>
            </w:pPr>
            <w:r>
              <w:rPr>
                <w:rFonts w:hint="eastAsia" w:ascii="宋体" w:hAnsi="宋体"/>
                <w:szCs w:val="21"/>
              </w:rPr>
              <w:t>查询渠道：“信用中国”网站(www.creditchina.gov.cn) 、中国政府采购网(www.ccgp.gov.cn)。</w:t>
            </w:r>
          </w:p>
        </w:tc>
      </w:tr>
      <w:tr w14:paraId="7152A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3ED7F9D3">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1EFFE03D">
            <w:pPr>
              <w:spacing w:line="380" w:lineRule="exact"/>
              <w:rPr>
                <w:rFonts w:ascii="宋体" w:hAnsi="宋体"/>
                <w:szCs w:val="21"/>
              </w:rPr>
            </w:pPr>
            <w:r>
              <w:rPr>
                <w:rFonts w:hint="eastAsia" w:ascii="宋体" w:hAnsi="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13D60017">
            <w:pPr>
              <w:snapToGrid w:val="0"/>
              <w:spacing w:line="380" w:lineRule="exact"/>
              <w:rPr>
                <w:rFonts w:ascii="宋体" w:hAnsi="宋体"/>
                <w:szCs w:val="21"/>
              </w:rPr>
            </w:pPr>
            <w:r>
              <w:rPr>
                <w:rFonts w:hint="eastAsia" w:ascii="宋体" w:hAnsi="宋体"/>
                <w:szCs w:val="21"/>
              </w:rPr>
              <w:t>资格审查结束前</w:t>
            </w:r>
          </w:p>
        </w:tc>
      </w:tr>
      <w:tr w14:paraId="276FE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1737F326">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3023CE43">
            <w:pPr>
              <w:spacing w:line="380" w:lineRule="exact"/>
              <w:rPr>
                <w:rFonts w:ascii="宋体" w:hAnsi="宋体"/>
                <w:szCs w:val="21"/>
              </w:rPr>
            </w:pPr>
            <w:r>
              <w:rPr>
                <w:rFonts w:hint="eastAsia" w:ascii="宋体" w:hAnsi="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624EAD27">
            <w:pPr>
              <w:snapToGrid w:val="0"/>
              <w:spacing w:line="380" w:lineRule="exact"/>
              <w:rPr>
                <w:rFonts w:ascii="宋体" w:hAnsi="宋体"/>
                <w:szCs w:val="21"/>
              </w:rPr>
            </w:pPr>
            <w:r>
              <w:rPr>
                <w:rFonts w:hint="eastAsia" w:ascii="宋体" w:hAnsi="宋体"/>
                <w:szCs w:val="21"/>
              </w:rPr>
              <w:t>在查询网站中直接截图查询记录，截图作为在“广西政府采购云平台”作为附件上传保存。</w:t>
            </w:r>
          </w:p>
        </w:tc>
      </w:tr>
      <w:tr w14:paraId="078CB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bottom w:val="single" w:color="auto" w:sz="4" w:space="0"/>
              <w:right w:val="single" w:color="auto" w:sz="4" w:space="0"/>
            </w:tcBorders>
            <w:vAlign w:val="center"/>
          </w:tcPr>
          <w:p w14:paraId="18200604">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20E7A7C2">
            <w:pPr>
              <w:spacing w:line="380" w:lineRule="exact"/>
              <w:rPr>
                <w:rFonts w:ascii="宋体" w:hAnsi="宋体"/>
                <w:szCs w:val="21"/>
              </w:rPr>
            </w:pPr>
            <w:r>
              <w:rPr>
                <w:rFonts w:hint="eastAsia" w:ascii="宋体" w:hAnsi="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487A0CC2">
            <w:pPr>
              <w:snapToGrid w:val="0"/>
              <w:spacing w:line="380" w:lineRule="exact"/>
              <w:rPr>
                <w:rFonts w:ascii="宋体" w:hAnsi="宋体"/>
                <w:szCs w:val="21"/>
              </w:rPr>
            </w:pPr>
            <w:r>
              <w:rPr>
                <w:rFonts w:hint="eastAsia" w:ascii="宋体" w:hAnsi="宋体"/>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投标人，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14:paraId="3D5440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55FF4DC2">
            <w:pPr>
              <w:spacing w:line="380" w:lineRule="exact"/>
              <w:rPr>
                <w:rFonts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04CEEE7A">
            <w:pPr>
              <w:spacing w:line="380" w:lineRule="exact"/>
              <w:rPr>
                <w:rFonts w:ascii="宋体" w:hAnsi="宋体"/>
                <w:szCs w:val="21"/>
              </w:rPr>
            </w:pPr>
            <w:r>
              <w:rPr>
                <w:rFonts w:hint="eastAsia" w:ascii="宋体" w:hAnsi="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14D144AF">
            <w:pPr>
              <w:autoSpaceDE w:val="0"/>
              <w:autoSpaceDN w:val="0"/>
              <w:snapToGrid w:val="0"/>
              <w:spacing w:line="380" w:lineRule="exact"/>
              <w:textAlignment w:val="bottom"/>
              <w:rPr>
                <w:rFonts w:ascii="宋体" w:hAnsi="宋体"/>
                <w:szCs w:val="21"/>
              </w:rPr>
            </w:pPr>
            <w:r>
              <w:rPr>
                <w:rFonts w:hint="eastAsia" w:ascii="仿宋_GB2312" w:eastAsia="仿宋_GB2312" w:cs="仿宋_GB2312"/>
                <w:b/>
                <w:bCs/>
                <w:kern w:val="0"/>
                <w:sz w:val="24"/>
                <w:lang w:val="zh-CN"/>
              </w:rPr>
              <w:sym w:font="Wingdings 2" w:char="0052"/>
            </w:r>
            <w:r>
              <w:rPr>
                <w:rFonts w:hint="eastAsia" w:ascii="宋体" w:hAnsi="宋体"/>
                <w:b/>
                <w:bCs/>
                <w:szCs w:val="21"/>
              </w:rPr>
              <w:t>综合评分法</w:t>
            </w:r>
          </w:p>
          <w:p w14:paraId="193B186C">
            <w:pPr>
              <w:autoSpaceDE w:val="0"/>
              <w:autoSpaceDN w:val="0"/>
              <w:snapToGrid w:val="0"/>
              <w:spacing w:line="380" w:lineRule="exact"/>
              <w:textAlignment w:val="bottom"/>
              <w:rPr>
                <w:rFonts w:ascii="宋体" w:hAnsi="宋体"/>
                <w:szCs w:val="21"/>
              </w:rPr>
            </w:pPr>
            <w:r>
              <w:rPr>
                <w:rFonts w:hint="eastAsia" w:ascii="宋体" w:hAnsi="宋体"/>
                <w:szCs w:val="21"/>
              </w:rPr>
              <w:t>□最低评标价法</w:t>
            </w:r>
          </w:p>
        </w:tc>
      </w:tr>
      <w:tr w14:paraId="21084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right w:val="single" w:color="auto" w:sz="4" w:space="0"/>
            </w:tcBorders>
            <w:vAlign w:val="center"/>
          </w:tcPr>
          <w:p w14:paraId="577189D6">
            <w:pPr>
              <w:spacing w:line="380" w:lineRule="exact"/>
              <w:rPr>
                <w:rFonts w:ascii="宋体" w:hAnsi="宋体"/>
                <w:szCs w:val="21"/>
              </w:rPr>
            </w:pPr>
            <w:r>
              <w:rPr>
                <w:rFonts w:hint="eastAsia" w:ascii="宋体" w:hAnsi="宋体"/>
                <w:szCs w:val="21"/>
              </w:rPr>
              <w:t>29</w:t>
            </w:r>
            <w:r>
              <w:rPr>
                <w:rFonts w:ascii="宋体" w:hAnsi="宋体"/>
                <w:szCs w:val="21"/>
              </w:rPr>
              <w:t>.2</w:t>
            </w:r>
          </w:p>
        </w:tc>
        <w:tc>
          <w:tcPr>
            <w:tcW w:w="2268" w:type="dxa"/>
            <w:tcBorders>
              <w:top w:val="single" w:color="auto" w:sz="4" w:space="0"/>
              <w:left w:val="single" w:color="auto" w:sz="4" w:space="0"/>
              <w:right w:val="single" w:color="auto" w:sz="4" w:space="0"/>
            </w:tcBorders>
            <w:vAlign w:val="center"/>
          </w:tcPr>
          <w:p w14:paraId="06D60413">
            <w:pPr>
              <w:spacing w:line="380" w:lineRule="exact"/>
              <w:rPr>
                <w:rFonts w:ascii="宋体" w:hAnsi="宋体"/>
                <w:szCs w:val="21"/>
              </w:rPr>
            </w:pPr>
            <w:r>
              <w:rPr>
                <w:rFonts w:hint="eastAsia" w:ascii="宋体" w:hAnsi="宋体"/>
                <w:szCs w:val="21"/>
              </w:rPr>
              <w:t>允许负偏离项</w:t>
            </w:r>
          </w:p>
        </w:tc>
        <w:tc>
          <w:tcPr>
            <w:tcW w:w="7297" w:type="dxa"/>
            <w:tcBorders>
              <w:top w:val="single" w:color="auto" w:sz="4" w:space="0"/>
              <w:left w:val="single" w:color="auto" w:sz="4" w:space="0"/>
              <w:right w:val="single" w:color="auto" w:sz="4" w:space="0"/>
            </w:tcBorders>
            <w:vAlign w:val="center"/>
          </w:tcPr>
          <w:p w14:paraId="72E5D764">
            <w:pPr>
              <w:snapToGrid w:val="0"/>
              <w:spacing w:line="380" w:lineRule="exact"/>
              <w:rPr>
                <w:rFonts w:ascii="宋体" w:hAnsi="宋体"/>
                <w:szCs w:val="21"/>
              </w:rPr>
            </w:pPr>
            <w:r>
              <w:rPr>
                <w:rFonts w:hint="eastAsia" w:ascii="宋体" w:hAnsi="宋体" w:cs="宋体"/>
                <w:szCs w:val="21"/>
              </w:rPr>
              <w:t>商务条款</w:t>
            </w:r>
            <w:r>
              <w:rPr>
                <w:rFonts w:hint="eastAsia" w:ascii="宋体" w:hAnsi="宋体"/>
                <w:szCs w:val="21"/>
              </w:rPr>
              <w:t>评审中允许负偏离的条款数为</w:t>
            </w:r>
            <w:r>
              <w:rPr>
                <w:rFonts w:hint="eastAsia" w:ascii="宋体" w:hAnsi="宋体"/>
                <w:szCs w:val="21"/>
                <w:u w:val="single"/>
              </w:rPr>
              <w:t xml:space="preserve"> </w:t>
            </w:r>
            <w:r>
              <w:rPr>
                <w:rFonts w:ascii="宋体" w:hAnsi="宋体"/>
                <w:szCs w:val="21"/>
                <w:u w:val="single"/>
              </w:rPr>
              <w:t>0</w:t>
            </w:r>
            <w:r>
              <w:rPr>
                <w:rFonts w:hint="eastAsia" w:ascii="宋体" w:hAnsi="宋体"/>
                <w:szCs w:val="21"/>
                <w:u w:val="single"/>
              </w:rPr>
              <w:t xml:space="preserve"> </w:t>
            </w:r>
            <w:r>
              <w:rPr>
                <w:rFonts w:hint="eastAsia" w:ascii="宋体" w:hAnsi="宋体"/>
                <w:szCs w:val="21"/>
              </w:rPr>
              <w:t>项。</w:t>
            </w:r>
          </w:p>
          <w:p w14:paraId="36EB21F7">
            <w:pPr>
              <w:snapToGrid w:val="0"/>
              <w:spacing w:line="380" w:lineRule="exact"/>
              <w:rPr>
                <w:rFonts w:ascii="宋体" w:hAnsi="宋体"/>
                <w:szCs w:val="21"/>
              </w:rPr>
            </w:pPr>
            <w:r>
              <w:rPr>
                <w:rFonts w:hint="eastAsia" w:ascii="宋体" w:hAnsi="宋体" w:cs="宋体"/>
                <w:szCs w:val="21"/>
              </w:rPr>
              <w:t>技术需求</w:t>
            </w:r>
            <w:r>
              <w:rPr>
                <w:rFonts w:hint="eastAsia" w:ascii="宋体" w:hAnsi="宋体"/>
                <w:szCs w:val="21"/>
              </w:rPr>
              <w:t>评审中允许负偏离的条款数为</w:t>
            </w:r>
            <w:r>
              <w:rPr>
                <w:rFonts w:hint="eastAsia" w:ascii="宋体" w:hAnsi="宋体"/>
                <w:szCs w:val="21"/>
                <w:u w:val="single"/>
              </w:rPr>
              <w:t xml:space="preserve"> </w:t>
            </w:r>
            <w:r>
              <w:rPr>
                <w:rFonts w:ascii="宋体" w:hAnsi="宋体"/>
                <w:szCs w:val="21"/>
                <w:u w:val="single"/>
              </w:rPr>
              <w:t>0</w:t>
            </w:r>
            <w:r>
              <w:rPr>
                <w:rFonts w:hint="eastAsia" w:ascii="宋体" w:hAnsi="宋体"/>
                <w:szCs w:val="21"/>
                <w:u w:val="single"/>
              </w:rPr>
              <w:t xml:space="preserve"> </w:t>
            </w:r>
            <w:r>
              <w:rPr>
                <w:rFonts w:hint="eastAsia" w:ascii="宋体" w:hAnsi="宋体"/>
                <w:szCs w:val="21"/>
              </w:rPr>
              <w:t>项。</w:t>
            </w:r>
          </w:p>
        </w:tc>
      </w:tr>
      <w:tr w14:paraId="682C6A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4BD84AD2">
            <w:pPr>
              <w:spacing w:line="380" w:lineRule="exact"/>
              <w:rPr>
                <w:rFonts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092FFD73">
            <w:pPr>
              <w:autoSpaceDE w:val="0"/>
              <w:autoSpaceDN w:val="0"/>
              <w:snapToGrid w:val="0"/>
              <w:spacing w:line="380" w:lineRule="exact"/>
              <w:textAlignment w:val="bottom"/>
              <w:rPr>
                <w:rFonts w:ascii="宋体" w:hAnsi="宋体"/>
                <w:szCs w:val="21"/>
              </w:rPr>
            </w:pPr>
            <w:r>
              <w:rPr>
                <w:rFonts w:hint="eastAsia" w:ascii="宋体" w:hAnsi="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14:paraId="6578A089">
            <w:pPr>
              <w:autoSpaceDE w:val="0"/>
              <w:autoSpaceDN w:val="0"/>
              <w:snapToGrid w:val="0"/>
              <w:spacing w:line="380" w:lineRule="exact"/>
              <w:textAlignment w:val="bottom"/>
              <w:rPr>
                <w:rFonts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73E615EC">
            <w:pPr>
              <w:autoSpaceDE w:val="0"/>
              <w:autoSpaceDN w:val="0"/>
              <w:snapToGrid w:val="0"/>
              <w:spacing w:line="380" w:lineRule="exact"/>
              <w:textAlignment w:val="bottom"/>
              <w:rPr>
                <w:rFonts w:ascii="宋体" w:hAnsi="宋体"/>
                <w:b/>
                <w:szCs w:val="21"/>
              </w:rPr>
            </w:pPr>
            <w:r>
              <w:rPr>
                <w:rFonts w:hint="eastAsia" w:ascii="仿宋_GB2312" w:eastAsia="仿宋_GB2312" w:cs="仿宋_GB2312"/>
                <w:b/>
                <w:bCs/>
                <w:kern w:val="0"/>
                <w:sz w:val="24"/>
                <w:lang w:val="zh-CN"/>
              </w:rPr>
              <w:sym w:font="Wingdings 2" w:char="0052"/>
            </w: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35890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0566325B">
            <w:pPr>
              <w:spacing w:line="380" w:lineRule="exact"/>
              <w:rPr>
                <w:rFonts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1DE836A7">
            <w:pPr>
              <w:spacing w:line="380" w:lineRule="exact"/>
              <w:rPr>
                <w:rFonts w:ascii="宋体" w:hAnsi="宋体"/>
                <w:szCs w:val="21"/>
              </w:rPr>
            </w:pPr>
            <w:r>
              <w:rPr>
                <w:rFonts w:hint="eastAsia" w:ascii="宋体" w:hAnsi="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593B64A4">
            <w:pPr>
              <w:autoSpaceDE w:val="0"/>
              <w:autoSpaceDN w:val="0"/>
              <w:snapToGrid w:val="0"/>
              <w:spacing w:line="380" w:lineRule="exact"/>
              <w:jc w:val="left"/>
              <w:textAlignment w:val="bottom"/>
              <w:rPr>
                <w:rFonts w:ascii="宋体" w:hAnsi="宋体"/>
                <w:szCs w:val="21"/>
              </w:rPr>
            </w:pPr>
            <w:r>
              <w:rPr>
                <w:rFonts w:hint="eastAsia" w:ascii="宋体" w:hAnsi="宋体"/>
                <w:szCs w:val="21"/>
              </w:rPr>
              <w:t>本项目不收取履约保证金。</w:t>
            </w:r>
          </w:p>
        </w:tc>
      </w:tr>
      <w:tr w14:paraId="2B004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7AD60C28">
            <w:pPr>
              <w:spacing w:line="380" w:lineRule="exact"/>
              <w:rPr>
                <w:rFonts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541D9DC4">
            <w:pPr>
              <w:spacing w:line="380" w:lineRule="exact"/>
              <w:rPr>
                <w:rFonts w:ascii="宋体" w:hAnsi="宋体"/>
                <w:szCs w:val="21"/>
              </w:rPr>
            </w:pPr>
            <w:r>
              <w:rPr>
                <w:rFonts w:hint="eastAsia" w:ascii="宋体" w:hAnsi="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3FEAA9F5">
            <w:pPr>
              <w:autoSpaceDE w:val="0"/>
              <w:autoSpaceDN w:val="0"/>
              <w:snapToGrid w:val="0"/>
              <w:spacing w:line="380" w:lineRule="exact"/>
              <w:textAlignment w:val="bottom"/>
              <w:rPr>
                <w:rFonts w:ascii="宋体" w:hAnsi="宋体"/>
                <w:szCs w:val="21"/>
              </w:rPr>
            </w:pPr>
            <w:r>
              <w:rPr>
                <w:rFonts w:hint="eastAsia" w:ascii="宋体" w:hAnsi="宋体"/>
                <w:szCs w:val="21"/>
              </w:rPr>
              <w:t>电子采购合同需要投标人通过有效CA证书进行电子签名与签章</w:t>
            </w:r>
          </w:p>
        </w:tc>
      </w:tr>
      <w:tr w14:paraId="6892E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restart"/>
            <w:tcBorders>
              <w:top w:val="single" w:color="auto" w:sz="4" w:space="0"/>
              <w:left w:val="single" w:color="auto" w:sz="4" w:space="0"/>
              <w:right w:val="single" w:color="auto" w:sz="4" w:space="0"/>
            </w:tcBorders>
            <w:vAlign w:val="center"/>
          </w:tcPr>
          <w:p w14:paraId="08F7C114">
            <w:pPr>
              <w:spacing w:line="380" w:lineRule="exact"/>
              <w:rPr>
                <w:rFonts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4F81B0FE">
            <w:pPr>
              <w:spacing w:line="380" w:lineRule="exact"/>
              <w:rPr>
                <w:rFonts w:ascii="宋体" w:hAnsi="宋体"/>
                <w:szCs w:val="21"/>
              </w:rPr>
            </w:pPr>
            <w:r>
              <w:rPr>
                <w:rFonts w:hint="eastAsia" w:ascii="宋体" w:hAnsi="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616F12D7">
            <w:pPr>
              <w:snapToGrid w:val="0"/>
              <w:spacing w:line="380" w:lineRule="exact"/>
              <w:rPr>
                <w:rFonts w:ascii="宋体" w:hAnsi="宋体"/>
                <w:szCs w:val="21"/>
              </w:rPr>
            </w:pPr>
            <w:r>
              <w:rPr>
                <w:rFonts w:hint="eastAsia" w:ascii="宋体" w:hAnsi="宋体"/>
                <w:szCs w:val="21"/>
              </w:rPr>
              <w:t>以书面形式</w:t>
            </w:r>
          </w:p>
        </w:tc>
      </w:tr>
      <w:tr w14:paraId="63C18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right w:val="single" w:color="auto" w:sz="4" w:space="0"/>
            </w:tcBorders>
            <w:vAlign w:val="center"/>
          </w:tcPr>
          <w:p w14:paraId="719408B4">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0039A02A">
            <w:pPr>
              <w:spacing w:line="380" w:lineRule="exact"/>
              <w:rPr>
                <w:rFonts w:ascii="宋体" w:hAnsi="宋体"/>
                <w:szCs w:val="21"/>
              </w:rPr>
            </w:pPr>
            <w:r>
              <w:rPr>
                <w:rFonts w:hint="eastAsia" w:ascii="宋体" w:hAnsi="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6A56366D">
            <w:pPr>
              <w:snapToGrid w:val="0"/>
              <w:spacing w:line="380" w:lineRule="exact"/>
              <w:rPr>
                <w:rFonts w:ascii="宋体" w:hAnsi="宋体"/>
                <w:szCs w:val="21"/>
              </w:rPr>
            </w:pPr>
            <w:r>
              <w:rPr>
                <w:rFonts w:hint="eastAsia" w:ascii="宋体" w:hAnsi="宋体"/>
                <w:szCs w:val="21"/>
                <w:u w:val="single"/>
              </w:rPr>
              <w:t xml:space="preserve">（1）广西机电设备招标有限公司 </w:t>
            </w:r>
            <w:r>
              <w:rPr>
                <w:rFonts w:hint="eastAsia" w:ascii="宋体" w:hAnsi="宋体"/>
                <w:szCs w:val="21"/>
              </w:rPr>
              <w:t>；</w:t>
            </w:r>
          </w:p>
          <w:p w14:paraId="6275CEFA">
            <w:pPr>
              <w:snapToGrid w:val="0"/>
              <w:spacing w:line="380" w:lineRule="exact"/>
              <w:rPr>
                <w:rFonts w:ascii="宋体" w:hAnsi="宋体"/>
                <w:szCs w:val="21"/>
              </w:rPr>
            </w:pPr>
            <w:r>
              <w:rPr>
                <w:rFonts w:hint="eastAsia" w:ascii="宋体" w:hAnsi="宋体"/>
                <w:szCs w:val="21"/>
              </w:rPr>
              <w:t>联系电话：</w:t>
            </w:r>
            <w:r>
              <w:rPr>
                <w:rFonts w:ascii="宋体" w:hAnsi="宋体"/>
                <w:szCs w:val="21"/>
                <w:u w:val="single"/>
              </w:rPr>
              <w:t>0771-2808981</w:t>
            </w:r>
          </w:p>
          <w:p w14:paraId="3FE4F170">
            <w:pPr>
              <w:snapToGrid w:val="0"/>
              <w:spacing w:line="380" w:lineRule="exact"/>
              <w:rPr>
                <w:rFonts w:ascii="宋体" w:hAnsi="宋体"/>
                <w:szCs w:val="21"/>
              </w:rPr>
            </w:pPr>
            <w:r>
              <w:rPr>
                <w:rFonts w:hint="eastAsia" w:ascii="宋体" w:hAnsi="宋体"/>
                <w:szCs w:val="21"/>
              </w:rPr>
              <w:t>通讯地址</w:t>
            </w:r>
            <w:r>
              <w:rPr>
                <w:rFonts w:hint="eastAsia" w:ascii="宋体" w:hAnsi="宋体" w:cs="Helvetica"/>
                <w:szCs w:val="21"/>
              </w:rPr>
              <w:t>：</w:t>
            </w:r>
            <w:r>
              <w:rPr>
                <w:rFonts w:hint="eastAsia" w:ascii="宋体" w:hAnsi="宋体"/>
                <w:szCs w:val="21"/>
                <w:u w:val="single"/>
              </w:rPr>
              <w:t>广西南宁市金湖路63号金源CBD现代城7层</w:t>
            </w:r>
          </w:p>
          <w:p w14:paraId="2DFDC3B5">
            <w:pPr>
              <w:snapToGrid w:val="0"/>
              <w:spacing w:line="380" w:lineRule="exact"/>
              <w:rPr>
                <w:rFonts w:ascii="宋体" w:hAnsi="宋体"/>
                <w:szCs w:val="21"/>
              </w:rPr>
            </w:pPr>
            <w:r>
              <w:rPr>
                <w:rFonts w:hint="eastAsia" w:ascii="宋体" w:hAnsi="宋体"/>
                <w:szCs w:val="21"/>
                <w:u w:val="single"/>
              </w:rPr>
              <w:t>（2）</w:t>
            </w:r>
            <w:r>
              <w:rPr>
                <w:rFonts w:hint="eastAsia" w:ascii="宋体" w:hAnsi="宋体"/>
                <w:szCs w:val="21"/>
                <w:u w:val="single"/>
                <w:lang w:eastAsia="zh-CN"/>
              </w:rPr>
              <w:t xml:space="preserve">南宁市自然资源局  </w:t>
            </w:r>
            <w:r>
              <w:rPr>
                <w:rFonts w:hint="eastAsia" w:ascii="宋体" w:hAnsi="宋体"/>
                <w:szCs w:val="21"/>
              </w:rPr>
              <w:t>；</w:t>
            </w:r>
          </w:p>
          <w:p w14:paraId="475621E9">
            <w:pPr>
              <w:snapToGrid w:val="0"/>
              <w:spacing w:line="380" w:lineRule="exact"/>
              <w:rPr>
                <w:rFonts w:hint="eastAsia" w:ascii="宋体" w:hAnsi="宋体" w:eastAsia="宋体" w:cs="Arial"/>
                <w:bCs/>
                <w:color w:val="000000"/>
                <w:kern w:val="0"/>
                <w:szCs w:val="21"/>
                <w:u w:val="single"/>
                <w:lang w:val="en-US" w:eastAsia="zh-CN"/>
              </w:rPr>
            </w:pPr>
            <w:r>
              <w:rPr>
                <w:rFonts w:ascii="宋体" w:hAnsi="宋体"/>
                <w:szCs w:val="21"/>
              </w:rPr>
              <w:t>联系电话</w:t>
            </w:r>
            <w:r>
              <w:rPr>
                <w:rFonts w:hint="eastAsia" w:ascii="宋体" w:hAnsi="宋体"/>
                <w:szCs w:val="21"/>
              </w:rPr>
              <w:t>：</w:t>
            </w:r>
            <w:bookmarkStart w:id="17" w:name="PO_3000001866_PM028_1"/>
            <w:r>
              <w:rPr>
                <w:rFonts w:hint="eastAsia" w:ascii="宋体" w:hAnsi="宋体"/>
                <w:szCs w:val="21"/>
                <w:u w:val="single"/>
              </w:rPr>
              <w:t>0771-</w:t>
            </w:r>
            <w:bookmarkEnd w:id="17"/>
            <w:r>
              <w:rPr>
                <w:rFonts w:hint="eastAsia" w:ascii="宋体" w:hAnsi="宋体"/>
                <w:szCs w:val="21"/>
                <w:u w:val="single"/>
                <w:lang w:eastAsia="zh-CN"/>
              </w:rPr>
              <w:t>5609132</w:t>
            </w:r>
          </w:p>
          <w:p w14:paraId="12A53616">
            <w:pPr>
              <w:snapToGrid w:val="0"/>
              <w:spacing w:line="380" w:lineRule="exact"/>
              <w:rPr>
                <w:rFonts w:ascii="宋体" w:hAnsi="宋体"/>
                <w:szCs w:val="21"/>
              </w:rPr>
            </w:pPr>
            <w:r>
              <w:rPr>
                <w:rFonts w:ascii="宋体" w:hAnsi="宋体"/>
                <w:szCs w:val="21"/>
              </w:rPr>
              <w:t>通讯地址</w:t>
            </w:r>
            <w:r>
              <w:rPr>
                <w:rFonts w:hint="eastAsia" w:ascii="宋体" w:hAnsi="宋体" w:cs="Helvetica"/>
                <w:szCs w:val="21"/>
              </w:rPr>
              <w:t>：</w:t>
            </w:r>
            <w:bookmarkStart w:id="18" w:name="PO_3000001866_PM030_2"/>
            <w:r>
              <w:rPr>
                <w:rFonts w:hint="eastAsia" w:ascii="宋体" w:hAnsi="宋体"/>
                <w:color w:val="0D0D0D"/>
                <w:szCs w:val="21"/>
                <w:u w:val="single"/>
              </w:rPr>
              <w:t>南宁市锦春路3-1号</w:t>
            </w:r>
            <w:bookmarkEnd w:id="18"/>
            <w:r>
              <w:rPr>
                <w:rFonts w:hint="eastAsia" w:ascii="宋体" w:hAnsi="宋体"/>
                <w:color w:val="0D0D0D"/>
                <w:szCs w:val="21"/>
                <w:u w:val="single"/>
              </w:rPr>
              <w:t xml:space="preserve"> </w:t>
            </w:r>
          </w:p>
        </w:tc>
      </w:tr>
      <w:tr w14:paraId="6F47E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bottom w:val="single" w:color="auto" w:sz="4" w:space="0"/>
              <w:right w:val="single" w:color="auto" w:sz="4" w:space="0"/>
            </w:tcBorders>
            <w:vAlign w:val="center"/>
          </w:tcPr>
          <w:p w14:paraId="56BE7792">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1FDE159">
            <w:pPr>
              <w:spacing w:line="380" w:lineRule="exact"/>
              <w:rPr>
                <w:rFonts w:ascii="宋体" w:hAnsi="宋体"/>
                <w:szCs w:val="21"/>
              </w:rPr>
            </w:pPr>
            <w:r>
              <w:rPr>
                <w:rFonts w:hint="eastAsia" w:hAnsi="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6E51B499">
            <w:pPr>
              <w:snapToGrid w:val="0"/>
              <w:spacing w:line="380" w:lineRule="exact"/>
              <w:rPr>
                <w:rFonts w:ascii="宋体" w:hAnsi="宋体"/>
                <w:szCs w:val="21"/>
              </w:rPr>
            </w:pPr>
            <w:r>
              <w:rPr>
                <w:rFonts w:hint="eastAsia" w:ascii="宋体" w:hAnsi="宋体"/>
              </w:rPr>
              <w:t>质疑期内每个工作日</w:t>
            </w:r>
            <w:r>
              <w:rPr>
                <w:rFonts w:ascii="宋体" w:hAnsi="宋体"/>
                <w:u w:val="single"/>
              </w:rPr>
              <w:t xml:space="preserve"> </w:t>
            </w:r>
            <w:r>
              <w:rPr>
                <w:rFonts w:hint="eastAsia" w:ascii="宋体" w:hAnsi="宋体"/>
                <w:u w:val="single"/>
              </w:rPr>
              <w:t>0</w:t>
            </w:r>
            <w:r>
              <w:rPr>
                <w:rFonts w:hint="eastAsia" w:ascii="宋体" w:hAnsi="宋体"/>
                <w:u w:val="single"/>
                <w:lang w:val="en-US" w:eastAsia="zh-CN"/>
              </w:rPr>
              <w:t>8</w:t>
            </w:r>
            <w:r>
              <w:rPr>
                <w:rFonts w:hint="eastAsia" w:ascii="宋体" w:hAnsi="宋体"/>
              </w:rPr>
              <w:t>时</w:t>
            </w:r>
            <w:r>
              <w:rPr>
                <w:rFonts w:ascii="宋体" w:hAnsi="宋体"/>
                <w:u w:val="single"/>
              </w:rPr>
              <w:t xml:space="preserve"> </w:t>
            </w:r>
            <w:r>
              <w:rPr>
                <w:rFonts w:hint="eastAsia" w:ascii="宋体" w:hAnsi="宋体"/>
                <w:u w:val="single"/>
                <w:lang w:val="en-US" w:eastAsia="zh-CN"/>
              </w:rPr>
              <w:t>3</w:t>
            </w:r>
            <w:r>
              <w:rPr>
                <w:rFonts w:ascii="宋体" w:hAnsi="宋体"/>
                <w:u w:val="single"/>
              </w:rPr>
              <w:t xml:space="preserve">0 </w:t>
            </w:r>
            <w:r>
              <w:rPr>
                <w:rFonts w:hint="eastAsia" w:ascii="宋体" w:hAnsi="宋体"/>
              </w:rPr>
              <w:t>分到</w:t>
            </w:r>
            <w:r>
              <w:rPr>
                <w:rFonts w:ascii="宋体" w:hAnsi="宋体"/>
                <w:u w:val="single"/>
              </w:rPr>
              <w:t xml:space="preserve"> 12</w:t>
            </w:r>
            <w:r>
              <w:rPr>
                <w:rFonts w:hint="eastAsia" w:ascii="宋体" w:hAnsi="宋体"/>
              </w:rPr>
              <w:t>时</w:t>
            </w:r>
            <w:r>
              <w:rPr>
                <w:rFonts w:ascii="宋体" w:hAnsi="宋体"/>
                <w:u w:val="single"/>
              </w:rPr>
              <w:t xml:space="preserve">00 </w:t>
            </w:r>
            <w:r>
              <w:rPr>
                <w:rFonts w:hint="eastAsia" w:ascii="宋体" w:hAnsi="宋体"/>
              </w:rPr>
              <w:t>分，</w:t>
            </w:r>
            <w:r>
              <w:rPr>
                <w:rFonts w:ascii="宋体" w:hAnsi="宋体"/>
                <w:u w:val="single"/>
              </w:rPr>
              <w:t>1</w:t>
            </w:r>
            <w:r>
              <w:rPr>
                <w:rFonts w:hint="eastAsia" w:ascii="宋体" w:hAnsi="宋体"/>
                <w:u w:val="single"/>
                <w:lang w:val="en-US" w:eastAsia="zh-CN"/>
              </w:rPr>
              <w:t>4</w:t>
            </w:r>
            <w:r>
              <w:rPr>
                <w:rFonts w:ascii="宋体" w:hAnsi="宋体"/>
                <w:u w:val="single"/>
              </w:rPr>
              <w:t xml:space="preserve"> </w:t>
            </w:r>
            <w:r>
              <w:rPr>
                <w:rFonts w:hint="eastAsia" w:ascii="宋体" w:hAnsi="宋体"/>
              </w:rPr>
              <w:t>时</w:t>
            </w:r>
            <w:r>
              <w:rPr>
                <w:rFonts w:hint="eastAsia" w:ascii="宋体" w:hAnsi="宋体"/>
                <w:u w:val="single"/>
                <w:lang w:val="en-US" w:eastAsia="zh-CN"/>
              </w:rPr>
              <w:t>3</w:t>
            </w:r>
            <w:r>
              <w:rPr>
                <w:rFonts w:ascii="宋体" w:hAnsi="宋体"/>
                <w:u w:val="single"/>
              </w:rPr>
              <w:t xml:space="preserve">0 </w:t>
            </w:r>
            <w:r>
              <w:rPr>
                <w:rFonts w:hint="eastAsia" w:ascii="宋体" w:hAnsi="宋体"/>
              </w:rPr>
              <w:t>分到</w:t>
            </w:r>
            <w:r>
              <w:rPr>
                <w:rFonts w:ascii="宋体" w:hAnsi="宋体"/>
                <w:u w:val="single"/>
              </w:rPr>
              <w:t xml:space="preserve"> 1</w:t>
            </w:r>
            <w:r>
              <w:rPr>
                <w:rFonts w:hint="eastAsia" w:ascii="宋体" w:hAnsi="宋体"/>
                <w:u w:val="single"/>
                <w:lang w:val="en-US" w:eastAsia="zh-CN"/>
              </w:rPr>
              <w:t>8</w:t>
            </w:r>
            <w:r>
              <w:rPr>
                <w:rFonts w:hint="eastAsia" w:ascii="宋体" w:hAnsi="宋体"/>
              </w:rPr>
              <w:t>时</w:t>
            </w:r>
            <w:r>
              <w:rPr>
                <w:rFonts w:ascii="宋体" w:hAnsi="宋体"/>
                <w:u w:val="single"/>
              </w:rPr>
              <w:t xml:space="preserve"> 00 </w:t>
            </w:r>
            <w:r>
              <w:rPr>
                <w:rFonts w:hint="eastAsia" w:ascii="宋体" w:hAnsi="宋体"/>
              </w:rPr>
              <w:t>分</w:t>
            </w:r>
          </w:p>
        </w:tc>
      </w:tr>
      <w:tr w14:paraId="5CD2F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left w:val="single" w:color="auto" w:sz="4" w:space="0"/>
              <w:bottom w:val="single" w:color="auto" w:sz="4" w:space="0"/>
              <w:right w:val="single" w:color="auto" w:sz="4" w:space="0"/>
            </w:tcBorders>
            <w:vAlign w:val="center"/>
          </w:tcPr>
          <w:p w14:paraId="2B7659DE">
            <w:pPr>
              <w:spacing w:line="380" w:lineRule="exact"/>
              <w:rPr>
                <w:rFonts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17AFBFBA">
            <w:pPr>
              <w:spacing w:line="380" w:lineRule="exact"/>
              <w:rPr>
                <w:rFonts w:hAnsi="宋体"/>
              </w:rPr>
            </w:pPr>
            <w:r>
              <w:rPr>
                <w:rFonts w:hint="eastAsia" w:hAnsi="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447F1ED6">
            <w:pPr>
              <w:snapToGrid w:val="0"/>
              <w:spacing w:line="380" w:lineRule="exact"/>
              <w:rPr>
                <w:rFonts w:hAnsi="宋体"/>
              </w:rPr>
            </w:pPr>
            <w:r>
              <w:rPr>
                <w:rFonts w:hAnsi="宋体"/>
              </w:rPr>
              <w:t>1</w:t>
            </w:r>
            <w:r>
              <w:rPr>
                <w:rFonts w:hint="eastAsia" w:hAnsi="宋体"/>
              </w:rPr>
              <w:t>、受理方式：纸质方式受理，投诉书正、副本（经过质疑的事项才可投诉）。</w:t>
            </w:r>
          </w:p>
          <w:p w14:paraId="1512273B">
            <w:pPr>
              <w:snapToGrid w:val="0"/>
              <w:spacing w:line="380" w:lineRule="exact"/>
              <w:rPr>
                <w:rFonts w:hAnsi="宋体"/>
              </w:rPr>
            </w:pPr>
            <w:r>
              <w:rPr>
                <w:rFonts w:hAnsi="宋体"/>
              </w:rPr>
              <w:t>2</w:t>
            </w:r>
            <w:r>
              <w:rPr>
                <w:rFonts w:hint="eastAsia" w:hAnsi="宋体"/>
              </w:rPr>
              <w:t>、邮寄地址：</w:t>
            </w:r>
          </w:p>
          <w:p w14:paraId="3D072373">
            <w:pPr>
              <w:snapToGrid w:val="0"/>
              <w:spacing w:line="380" w:lineRule="exact"/>
              <w:rPr>
                <w:rFonts w:hAnsi="宋体"/>
              </w:rPr>
            </w:pPr>
            <w:r>
              <w:rPr>
                <w:rFonts w:hint="eastAsia" w:hAnsi="宋体"/>
              </w:rPr>
              <w:t>名称：南宁市财政局政府采购监督管理科</w:t>
            </w:r>
          </w:p>
          <w:p w14:paraId="63525684">
            <w:pPr>
              <w:snapToGrid w:val="0"/>
              <w:spacing w:line="380" w:lineRule="exact"/>
              <w:rPr>
                <w:rFonts w:hAnsi="宋体"/>
              </w:rPr>
            </w:pPr>
            <w:r>
              <w:rPr>
                <w:rFonts w:hint="eastAsia" w:hAnsi="宋体"/>
              </w:rPr>
              <w:t>地址：南宁市青秀区东葛路129号</w:t>
            </w:r>
          </w:p>
          <w:p w14:paraId="1271F116">
            <w:pPr>
              <w:snapToGrid w:val="0"/>
              <w:spacing w:line="380" w:lineRule="exact"/>
              <w:rPr>
                <w:rFonts w:ascii="宋体" w:hAnsi="宋体"/>
              </w:rPr>
            </w:pPr>
            <w:r>
              <w:rPr>
                <w:rFonts w:hint="eastAsia" w:hAnsi="宋体"/>
              </w:rPr>
              <w:t>联系电话：</w:t>
            </w:r>
            <w:r>
              <w:rPr>
                <w:rFonts w:hint="eastAsia" w:ascii="宋体" w:hAnsi="宋体" w:cs="宋体"/>
                <w:color w:val="auto"/>
                <w:szCs w:val="21"/>
                <w:highlight w:val="none"/>
              </w:rPr>
              <w:t>0771-2189091</w:t>
            </w:r>
          </w:p>
        </w:tc>
      </w:tr>
      <w:tr w14:paraId="2C9E8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restart"/>
            <w:tcBorders>
              <w:top w:val="single" w:color="auto" w:sz="4" w:space="0"/>
              <w:left w:val="single" w:color="auto" w:sz="4" w:space="0"/>
              <w:right w:val="single" w:color="auto" w:sz="4" w:space="0"/>
            </w:tcBorders>
            <w:vAlign w:val="center"/>
          </w:tcPr>
          <w:p w14:paraId="4AD24580">
            <w:pPr>
              <w:spacing w:line="380" w:lineRule="exact"/>
              <w:rPr>
                <w:rFonts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vAlign w:val="center"/>
          </w:tcPr>
          <w:p w14:paraId="3F999CF2">
            <w:pPr>
              <w:spacing w:line="380" w:lineRule="exact"/>
              <w:rPr>
                <w:rFonts w:ascii="宋体" w:hAnsi="宋体"/>
                <w:szCs w:val="21"/>
              </w:rPr>
            </w:pPr>
            <w:r>
              <w:rPr>
                <w:rFonts w:hint="eastAsia"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6FE265AB">
            <w:pPr>
              <w:snapToGrid w:val="0"/>
              <w:spacing w:line="380" w:lineRule="exact"/>
              <w:rPr>
                <w:rFonts w:hAnsi="宋体" w:cs="宋体"/>
              </w:rPr>
            </w:pPr>
            <w:r>
              <w:rPr>
                <w:rFonts w:hint="eastAsia" w:ascii="仿宋_GB2312" w:eastAsia="仿宋_GB2312" w:cs="仿宋_GB2312"/>
                <w:b/>
                <w:bCs/>
                <w:kern w:val="0"/>
                <w:sz w:val="24"/>
                <w:lang w:val="zh-CN"/>
              </w:rPr>
              <w:sym w:font="Wingdings 2" w:char="0052"/>
            </w:r>
            <w:r>
              <w:rPr>
                <w:rFonts w:hint="eastAsia" w:hAnsi="宋体" w:cs="宋体"/>
                <w:b/>
                <w:bCs/>
              </w:rPr>
              <w:t>本项目代理服务费由</w:t>
            </w:r>
            <w:r>
              <w:rPr>
                <w:rFonts w:hint="eastAsia" w:hAnsi="宋体" w:cs="宋体"/>
                <w:b/>
                <w:bCs/>
                <w:u w:val="single"/>
              </w:rPr>
              <w:t>中标人</w:t>
            </w:r>
            <w:r>
              <w:rPr>
                <w:rFonts w:hint="eastAsia" w:hAnsi="宋体" w:cs="宋体"/>
                <w:b/>
                <w:bCs/>
              </w:rPr>
              <w:t>在领取中标通知书前，一次性向采购代理机构支付。</w:t>
            </w:r>
          </w:p>
          <w:p w14:paraId="2FEFF3D8">
            <w:pPr>
              <w:snapToGrid w:val="0"/>
              <w:spacing w:line="380" w:lineRule="exact"/>
              <w:rPr>
                <w:rFonts w:hAnsi="宋体" w:cs="宋体"/>
              </w:rPr>
            </w:pPr>
            <w:r>
              <w:rPr>
                <w:rFonts w:hint="eastAsia" w:hAnsi="宋体" w:cs="宋体"/>
              </w:rPr>
              <w:t>□采购人支付。</w:t>
            </w:r>
          </w:p>
          <w:p w14:paraId="6BBC832F">
            <w:pPr>
              <w:snapToGrid w:val="0"/>
              <w:spacing w:line="380" w:lineRule="exact"/>
              <w:rPr>
                <w:rFonts w:hAnsi="宋体" w:cs="宋体"/>
              </w:rPr>
            </w:pPr>
            <w:r>
              <w:rPr>
                <w:rFonts w:hint="eastAsia" w:hAnsi="宋体" w:cs="宋体"/>
              </w:rPr>
              <w:t>□本项目不收取代理服务费。</w:t>
            </w:r>
          </w:p>
        </w:tc>
      </w:tr>
      <w:tr w14:paraId="30D44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2" w:hRule="atLeast"/>
        </w:trPr>
        <w:tc>
          <w:tcPr>
            <w:tcW w:w="675" w:type="dxa"/>
            <w:vMerge w:val="continue"/>
            <w:tcBorders>
              <w:left w:val="single" w:color="auto" w:sz="4" w:space="0"/>
              <w:right w:val="single" w:color="auto" w:sz="4" w:space="0"/>
            </w:tcBorders>
            <w:vAlign w:val="center"/>
          </w:tcPr>
          <w:p w14:paraId="3B350E2B">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42F583A8">
            <w:pPr>
              <w:spacing w:line="380" w:lineRule="exact"/>
              <w:rPr>
                <w:rFonts w:ascii="宋体" w:hAnsi="宋体"/>
                <w:szCs w:val="21"/>
              </w:rPr>
            </w:pPr>
            <w:r>
              <w:rPr>
                <w:rFonts w:hint="eastAsia"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51CD4EB5">
            <w:pPr>
              <w:snapToGrid w:val="0"/>
              <w:spacing w:line="380" w:lineRule="exact"/>
            </w:pPr>
            <w:r>
              <w:rPr>
                <w:rFonts w:hint="eastAsia"/>
              </w:rPr>
              <w:sym w:font="Wingdings 2" w:char="0052"/>
            </w:r>
            <w:r>
              <w:rPr>
                <w:rFonts w:hint="eastAsia"/>
              </w:rPr>
              <w:t xml:space="preserve">以分标（□中标金额/☑采购预算/□暂定中标金额/□其他 </w:t>
            </w:r>
            <w:r>
              <w:t xml:space="preserve">  </w:t>
            </w:r>
            <w:r>
              <w:rPr>
                <w:rFonts w:hint="eastAsia"/>
              </w:rPr>
              <w:t>）为计费额，按服务招标采用差额定率累进法计算出收费基准价格，采购代理收费以（</w:t>
            </w:r>
            <w:r>
              <w:rPr/>
              <w:sym w:font="Wingdings 2" w:char="00A3"/>
            </w:r>
            <w:r>
              <w:rPr>
                <w:rFonts w:hint="eastAsia"/>
              </w:rPr>
              <w:t>收费基准价格/□收费基准价格下浮</w:t>
            </w:r>
            <w:r>
              <w:t>/</w:t>
            </w:r>
            <w:r>
              <w:rPr/>
              <w:sym w:font="Wingdings" w:char="00FE"/>
            </w:r>
            <w:r>
              <w:rPr>
                <w:rFonts w:hint="eastAsia"/>
              </w:rPr>
              <w:t>收费基准价格下浮</w:t>
            </w:r>
            <w:r>
              <w:rPr>
                <w:rFonts w:hint="eastAsia"/>
                <w:u w:val="single"/>
              </w:rPr>
              <w:t xml:space="preserve"> </w:t>
            </w:r>
            <w:r>
              <w:rPr>
                <w:u w:val="single"/>
              </w:rPr>
              <w:t>25</w:t>
            </w:r>
            <w:r>
              <w:rPr>
                <w:rFonts w:hint="eastAsia"/>
                <w:u w:val="single"/>
              </w:rPr>
              <w:t xml:space="preserve">% </w:t>
            </w:r>
            <w:r>
              <w:rPr>
                <w:rFonts w:hint="eastAsia"/>
              </w:rPr>
              <w:t>）收取。</w:t>
            </w:r>
          </w:p>
          <w:p w14:paraId="67A60C23">
            <w:pPr>
              <w:snapToGrid w:val="0"/>
              <w:spacing w:line="380" w:lineRule="exact"/>
            </w:pPr>
            <w:r>
              <w:rPr>
                <w:rFonts w:hint="eastAsia"/>
              </w:rPr>
              <w:t>□固定采购代理收费</w:t>
            </w:r>
            <w:r>
              <w:rPr>
                <w:rFonts w:hint="eastAsia"/>
                <w:u w:val="single"/>
              </w:rPr>
              <w:t xml:space="preserve">    </w:t>
            </w:r>
            <w:r>
              <w:rPr>
                <w:rFonts w:hint="eastAsia" w:hAnsi="宋体" w:cs="宋体"/>
                <w:szCs w:val="21"/>
                <w:u w:val="single"/>
              </w:rPr>
              <w:t>/</w:t>
            </w:r>
            <w:r>
              <w:rPr>
                <w:rFonts w:hint="eastAsia"/>
                <w:u w:val="single"/>
              </w:rPr>
              <w:t xml:space="preserve">  </w:t>
            </w:r>
            <w:r>
              <w:rPr>
                <w:rFonts w:hint="eastAsia"/>
              </w:rPr>
              <w:t>。</w:t>
            </w:r>
          </w:p>
          <w:p w14:paraId="63A4E5A7">
            <w:pPr>
              <w:snapToGrid w:val="0"/>
              <w:spacing w:line="380" w:lineRule="exact"/>
              <w:rPr>
                <w:b/>
                <w:bCs/>
                <w:u w:val="single"/>
              </w:rPr>
            </w:pPr>
            <w:r>
              <w:rPr>
                <w:rFonts w:hint="eastAsia"/>
                <w:b/>
                <w:bCs/>
                <w:u w:val="single"/>
              </w:rPr>
              <w:t>基准价计算标准如下：</w:t>
            </w:r>
          </w:p>
          <w:p w14:paraId="10C23325">
            <w:pPr>
              <w:ind w:firstLine="420" w:firstLineChars="200"/>
              <w:rPr>
                <w:rFonts w:ascii="宋体" w:hAnsi="宋体" w:cs="Calibri"/>
                <w:szCs w:val="21"/>
              </w:rPr>
            </w:pPr>
            <w:r>
              <w:rPr>
                <w:rFonts w:hint="eastAsia" w:ascii="宋体" w:hAnsi="宋体" w:cs="Calibri"/>
                <w:szCs w:val="21"/>
              </w:rPr>
              <w:t>（1）采购项目预算金额在400万元以下（含400万元）的项目采用</w:t>
            </w:r>
            <w:r>
              <w:rPr>
                <w:rFonts w:hint="eastAsia" w:ascii="宋体" w:hAnsi="宋体" w:cs="宋体"/>
                <w:kern w:val="0"/>
                <w:szCs w:val="21"/>
              </w:rPr>
              <w:t>差额定率累进法计算基准价，计算费率如下表：</w:t>
            </w:r>
          </w:p>
          <w:tbl>
            <w:tblPr>
              <w:tblStyle w:val="35"/>
              <w:tblW w:w="5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2714"/>
            </w:tblGrid>
            <w:tr w14:paraId="0085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065" w:type="dxa"/>
                  <w:tcBorders>
                    <w:tl2br w:val="single" w:color="auto" w:sz="4" w:space="0"/>
                  </w:tcBorders>
                </w:tcPr>
                <w:p w14:paraId="5705109B">
                  <w:pP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p>
                <w:p w14:paraId="01E40AC4">
                  <w:pPr>
                    <w:ind w:firstLine="2100" w:firstLineChars="1000"/>
                    <w:rPr>
                      <w:rFonts w:ascii="宋体" w:hAnsi="宋体"/>
                      <w:szCs w:val="21"/>
                    </w:rPr>
                  </w:pPr>
                  <w:r>
                    <w:rPr>
                      <w:rFonts w:hint="eastAsia" w:ascii="宋体" w:hAnsi="宋体"/>
                      <w:szCs w:val="21"/>
                    </w:rPr>
                    <w:t>费率</w:t>
                  </w:r>
                </w:p>
                <w:p w14:paraId="6AB234E8">
                  <w:pPr>
                    <w:rPr>
                      <w:rFonts w:ascii="宋体" w:hAnsi="宋体"/>
                      <w:szCs w:val="21"/>
                    </w:rPr>
                  </w:pPr>
                  <w:r>
                    <w:rPr>
                      <w:rFonts w:hint="eastAsia" w:ascii="宋体" w:hAnsi="宋体"/>
                      <w:szCs w:val="21"/>
                    </w:rPr>
                    <w:t>中标金额（或预算金额）</w:t>
                  </w:r>
                </w:p>
              </w:tc>
              <w:tc>
                <w:tcPr>
                  <w:tcW w:w="2714" w:type="dxa"/>
                  <w:vAlign w:val="center"/>
                </w:tcPr>
                <w:p w14:paraId="24B17CEA">
                  <w:pPr>
                    <w:jc w:val="center"/>
                    <w:rPr>
                      <w:rFonts w:ascii="宋体" w:hAnsi="宋体"/>
                      <w:szCs w:val="21"/>
                    </w:rPr>
                  </w:pPr>
                  <w:r>
                    <w:rPr>
                      <w:rFonts w:hint="eastAsia" w:ascii="宋体" w:hAnsi="宋体"/>
                      <w:szCs w:val="21"/>
                    </w:rPr>
                    <w:t>费率或金额（元）</w:t>
                  </w:r>
                </w:p>
              </w:tc>
            </w:tr>
            <w:tr w14:paraId="7CE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065" w:type="dxa"/>
                </w:tcPr>
                <w:p w14:paraId="25984BBC">
                  <w:pPr>
                    <w:jc w:val="left"/>
                    <w:rPr>
                      <w:rFonts w:ascii="宋体" w:hAnsi="宋体"/>
                      <w:szCs w:val="21"/>
                    </w:rPr>
                  </w:pPr>
                  <w:r>
                    <w:rPr>
                      <w:rFonts w:hint="eastAsia" w:ascii="宋体" w:hAnsi="宋体"/>
                      <w:szCs w:val="21"/>
                    </w:rPr>
                    <w:t>100万元以下(含100万元）</w:t>
                  </w:r>
                </w:p>
              </w:tc>
              <w:tc>
                <w:tcPr>
                  <w:tcW w:w="2714" w:type="dxa"/>
                </w:tcPr>
                <w:p w14:paraId="78F330EF">
                  <w:pPr>
                    <w:ind w:firstLine="210" w:firstLineChars="100"/>
                    <w:rPr>
                      <w:rFonts w:ascii="宋体" w:hAnsi="宋体"/>
                      <w:szCs w:val="21"/>
                    </w:rPr>
                  </w:pPr>
                  <w:r>
                    <w:rPr>
                      <w:rFonts w:hint="eastAsia" w:ascii="宋体" w:hAnsi="宋体" w:cs="宋体"/>
                      <w:kern w:val="0"/>
                      <w:szCs w:val="21"/>
                    </w:rPr>
                    <w:t>1.5%</w:t>
                  </w:r>
                </w:p>
              </w:tc>
            </w:tr>
            <w:tr w14:paraId="3CE9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065" w:type="dxa"/>
                </w:tcPr>
                <w:p w14:paraId="7313B94A">
                  <w:pPr>
                    <w:jc w:val="left"/>
                    <w:rPr>
                      <w:rFonts w:ascii="宋体" w:hAnsi="宋体"/>
                      <w:szCs w:val="21"/>
                    </w:rPr>
                  </w:pPr>
                  <w:r>
                    <w:rPr>
                      <w:rFonts w:hint="eastAsia" w:ascii="宋体" w:hAnsi="宋体"/>
                      <w:szCs w:val="21"/>
                    </w:rPr>
                    <w:t>100～400万元（含400万元）</w:t>
                  </w:r>
                </w:p>
              </w:tc>
              <w:tc>
                <w:tcPr>
                  <w:tcW w:w="2714" w:type="dxa"/>
                </w:tcPr>
                <w:p w14:paraId="379973DF">
                  <w:pPr>
                    <w:ind w:firstLine="210" w:firstLineChars="100"/>
                    <w:rPr>
                      <w:rFonts w:ascii="宋体" w:hAnsi="宋体"/>
                      <w:szCs w:val="21"/>
                    </w:rPr>
                  </w:pPr>
                  <w:r>
                    <w:rPr>
                      <w:rFonts w:hint="eastAsia" w:ascii="宋体" w:hAnsi="宋体" w:cs="宋体"/>
                      <w:kern w:val="0"/>
                      <w:szCs w:val="21"/>
                    </w:rPr>
                    <w:t>0.8%</w:t>
                  </w:r>
                </w:p>
              </w:tc>
            </w:tr>
            <w:tr w14:paraId="782C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779" w:type="dxa"/>
                  <w:gridSpan w:val="2"/>
                </w:tcPr>
                <w:p w14:paraId="60BB26F0">
                  <w:pPr>
                    <w:rPr>
                      <w:rFonts w:ascii="宋体" w:hAnsi="宋体" w:cs="宋体"/>
                      <w:kern w:val="0"/>
                      <w:szCs w:val="21"/>
                    </w:rPr>
                  </w:pPr>
                  <w:r>
                    <w:rPr>
                      <w:rFonts w:hint="eastAsia" w:ascii="宋体" w:hAnsi="宋体"/>
                      <w:szCs w:val="21"/>
                    </w:rPr>
                    <w:t>按以上费率计算不足5000.00元的，以5000.00元为基准价。</w:t>
                  </w:r>
                </w:p>
              </w:tc>
            </w:tr>
          </w:tbl>
          <w:p w14:paraId="65904AE9">
            <w:pPr>
              <w:rPr>
                <w:rFonts w:ascii="宋体" w:hAnsi="宋体" w:cs="Calibri"/>
                <w:szCs w:val="21"/>
                <w:highlight w:val="none"/>
              </w:rPr>
            </w:pPr>
          </w:p>
          <w:p w14:paraId="6A7F0E6B">
            <w:pPr>
              <w:ind w:firstLine="420" w:firstLineChars="200"/>
              <w:rPr>
                <w:rFonts w:ascii="宋体" w:hAnsi="宋体" w:cs="Calibri"/>
                <w:szCs w:val="21"/>
                <w:highlight w:val="none"/>
              </w:rPr>
            </w:pPr>
            <w:r>
              <w:rPr>
                <w:rFonts w:hint="eastAsia" w:ascii="宋体" w:hAnsi="宋体" w:cs="Calibri"/>
                <w:szCs w:val="21"/>
                <w:highlight w:val="none"/>
              </w:rPr>
              <w:t>（2）采购项目预算金额在400万元以上的项目按定额计取基准价</w:t>
            </w:r>
          </w:p>
          <w:tbl>
            <w:tblPr>
              <w:tblStyle w:val="35"/>
              <w:tblW w:w="5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4"/>
              <w:gridCol w:w="2705"/>
            </w:tblGrid>
            <w:tr w14:paraId="067A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3054" w:type="dxa"/>
                  <w:tcBorders>
                    <w:tl2br w:val="single" w:color="auto" w:sz="4" w:space="0"/>
                  </w:tcBorders>
                </w:tcPr>
                <w:p w14:paraId="1ABD776B">
                  <w:pPr>
                    <w:rPr>
                      <w:rFonts w:ascii="宋体" w:hAnsi="宋体"/>
                      <w:szCs w:val="21"/>
                      <w:highlight w:val="none"/>
                    </w:rPr>
                  </w:pPr>
                  <w:r>
                    <w:rPr>
                      <w:rFonts w:hint="eastAsia" w:ascii="宋体" w:hAnsi="宋体"/>
                      <w:szCs w:val="21"/>
                      <w:highlight w:val="none"/>
                    </w:rPr>
                    <w:t xml:space="preserve">              </w:t>
                  </w:r>
                  <w:r>
                    <w:rPr>
                      <w:rFonts w:ascii="宋体" w:hAnsi="宋体"/>
                      <w:szCs w:val="21"/>
                      <w:highlight w:val="none"/>
                    </w:rPr>
                    <w:t xml:space="preserve">          </w:t>
                  </w:r>
                  <w:r>
                    <w:rPr>
                      <w:rFonts w:hint="eastAsia" w:ascii="宋体" w:hAnsi="宋体"/>
                      <w:szCs w:val="21"/>
                      <w:highlight w:val="none"/>
                    </w:rPr>
                    <w:t xml:space="preserve"> </w:t>
                  </w:r>
                </w:p>
                <w:p w14:paraId="51C03684">
                  <w:pPr>
                    <w:ind w:firstLine="2310" w:firstLineChars="1100"/>
                    <w:rPr>
                      <w:rFonts w:ascii="宋体" w:hAnsi="宋体"/>
                      <w:szCs w:val="21"/>
                      <w:highlight w:val="none"/>
                    </w:rPr>
                  </w:pPr>
                  <w:r>
                    <w:rPr>
                      <w:rFonts w:hint="eastAsia" w:ascii="宋体" w:hAnsi="宋体"/>
                      <w:szCs w:val="21"/>
                      <w:highlight w:val="none"/>
                    </w:rPr>
                    <w:t>费率</w:t>
                  </w:r>
                </w:p>
                <w:p w14:paraId="724DBCDF">
                  <w:pPr>
                    <w:ind w:firstLine="420" w:firstLineChars="200"/>
                    <w:rPr>
                      <w:rFonts w:ascii="宋体" w:hAnsi="宋体" w:cs="Calibri"/>
                      <w:szCs w:val="21"/>
                      <w:highlight w:val="none"/>
                    </w:rPr>
                  </w:pPr>
                </w:p>
                <w:p w14:paraId="1B1A3BC7">
                  <w:pPr>
                    <w:rPr>
                      <w:rFonts w:ascii="宋体" w:hAnsi="宋体"/>
                      <w:szCs w:val="21"/>
                      <w:highlight w:val="none"/>
                    </w:rPr>
                  </w:pPr>
                  <w:r>
                    <w:rPr>
                      <w:rFonts w:hint="eastAsia" w:ascii="宋体" w:hAnsi="宋体"/>
                      <w:szCs w:val="21"/>
                      <w:highlight w:val="none"/>
                    </w:rPr>
                    <w:t>中标金额（或预算金额）</w:t>
                  </w:r>
                </w:p>
              </w:tc>
              <w:tc>
                <w:tcPr>
                  <w:tcW w:w="2705" w:type="dxa"/>
                  <w:vAlign w:val="center"/>
                </w:tcPr>
                <w:p w14:paraId="7349D1D2">
                  <w:pPr>
                    <w:jc w:val="center"/>
                    <w:rPr>
                      <w:rFonts w:ascii="宋体" w:hAnsi="宋体"/>
                      <w:szCs w:val="21"/>
                      <w:highlight w:val="none"/>
                    </w:rPr>
                  </w:pPr>
                  <w:r>
                    <w:rPr>
                      <w:rFonts w:hint="eastAsia" w:ascii="宋体" w:hAnsi="宋体"/>
                      <w:szCs w:val="21"/>
                      <w:highlight w:val="none"/>
                    </w:rPr>
                    <w:t>费率或金额（元）</w:t>
                  </w:r>
                </w:p>
              </w:tc>
            </w:tr>
            <w:tr w14:paraId="03FD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054" w:type="dxa"/>
                </w:tcPr>
                <w:p w14:paraId="15698C30">
                  <w:pPr>
                    <w:jc w:val="left"/>
                    <w:rPr>
                      <w:rFonts w:ascii="宋体" w:hAnsi="宋体"/>
                      <w:szCs w:val="21"/>
                      <w:highlight w:val="none"/>
                    </w:rPr>
                  </w:pPr>
                  <w:r>
                    <w:rPr>
                      <w:rFonts w:ascii="宋体" w:hAnsi="宋体"/>
                      <w:szCs w:val="21"/>
                      <w:highlight w:val="none"/>
                    </w:rPr>
                    <w:t>4</w:t>
                  </w:r>
                  <w:r>
                    <w:rPr>
                      <w:rFonts w:hint="eastAsia" w:ascii="宋体" w:hAnsi="宋体"/>
                      <w:szCs w:val="21"/>
                      <w:highlight w:val="none"/>
                    </w:rPr>
                    <w:t>00～1000万元（含1000万元）</w:t>
                  </w:r>
                </w:p>
              </w:tc>
              <w:tc>
                <w:tcPr>
                  <w:tcW w:w="2705" w:type="dxa"/>
                </w:tcPr>
                <w:p w14:paraId="56A9A876">
                  <w:pPr>
                    <w:ind w:firstLine="210" w:firstLineChars="100"/>
                    <w:rPr>
                      <w:rFonts w:ascii="宋体" w:hAnsi="宋体"/>
                      <w:szCs w:val="21"/>
                      <w:highlight w:val="none"/>
                    </w:rPr>
                  </w:pPr>
                  <w:r>
                    <w:rPr>
                      <w:rFonts w:ascii="宋体" w:hAnsi="宋体" w:cs="宋体"/>
                      <w:kern w:val="0"/>
                      <w:szCs w:val="21"/>
                      <w:highlight w:val="none"/>
                    </w:rPr>
                    <w:t>4</w:t>
                  </w:r>
                  <w:r>
                    <w:rPr>
                      <w:rFonts w:hint="eastAsia" w:ascii="宋体" w:hAnsi="宋体" w:cs="宋体"/>
                      <w:kern w:val="0"/>
                      <w:szCs w:val="21"/>
                      <w:highlight w:val="none"/>
                    </w:rPr>
                    <w:t>3</w:t>
                  </w:r>
                  <w:r>
                    <w:rPr>
                      <w:rFonts w:ascii="宋体" w:hAnsi="宋体" w:cs="宋体"/>
                      <w:kern w:val="0"/>
                      <w:szCs w:val="21"/>
                      <w:highlight w:val="none"/>
                    </w:rPr>
                    <w:t>000.00</w:t>
                  </w:r>
                </w:p>
              </w:tc>
            </w:tr>
            <w:tr w14:paraId="4FEF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054" w:type="dxa"/>
                </w:tcPr>
                <w:p w14:paraId="5A479071">
                  <w:pPr>
                    <w:jc w:val="left"/>
                    <w:rPr>
                      <w:rFonts w:ascii="宋体" w:hAnsi="宋体"/>
                      <w:szCs w:val="21"/>
                      <w:highlight w:val="none"/>
                    </w:rPr>
                  </w:pPr>
                  <w:r>
                    <w:rPr>
                      <w:rFonts w:hint="eastAsia" w:ascii="宋体" w:hAnsi="宋体"/>
                      <w:szCs w:val="21"/>
                      <w:highlight w:val="none"/>
                    </w:rPr>
                    <w:t>1000万元以上</w:t>
                  </w:r>
                </w:p>
              </w:tc>
              <w:tc>
                <w:tcPr>
                  <w:tcW w:w="2705" w:type="dxa"/>
                </w:tcPr>
                <w:p w14:paraId="1569562F">
                  <w:pPr>
                    <w:ind w:firstLine="210" w:firstLineChars="100"/>
                    <w:rPr>
                      <w:rFonts w:ascii="宋体" w:hAnsi="宋体"/>
                      <w:szCs w:val="21"/>
                      <w:highlight w:val="none"/>
                    </w:rPr>
                  </w:pPr>
                  <w:r>
                    <w:rPr>
                      <w:rFonts w:ascii="宋体" w:hAnsi="宋体" w:cs="宋体"/>
                      <w:kern w:val="0"/>
                      <w:szCs w:val="21"/>
                      <w:highlight w:val="none"/>
                    </w:rPr>
                    <w:t>48</w:t>
                  </w:r>
                  <w:r>
                    <w:rPr>
                      <w:rFonts w:hint="eastAsia" w:ascii="宋体" w:hAnsi="宋体" w:cs="宋体"/>
                      <w:kern w:val="0"/>
                      <w:szCs w:val="21"/>
                      <w:highlight w:val="none"/>
                    </w:rPr>
                    <w:t>000.00</w:t>
                  </w:r>
                </w:p>
              </w:tc>
            </w:tr>
          </w:tbl>
          <w:p w14:paraId="188C42F6">
            <w:pPr>
              <w:rPr>
                <w:rFonts w:hint="eastAsia" w:eastAsia="宋体"/>
                <w:lang w:eastAsia="zh-CN"/>
              </w:rPr>
            </w:pPr>
            <w:r>
              <w:rPr>
                <w:rFonts w:hint="eastAsia"/>
                <w:lang w:val="en-US" w:eastAsia="zh-CN"/>
              </w:rPr>
              <w:t>例如：项目中标金额（或预算金额）为4500000.00元，代理服务费=43000.00*（1-25%）=32250.00元</w:t>
            </w:r>
          </w:p>
        </w:tc>
      </w:tr>
      <w:tr w14:paraId="5DB00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vMerge w:val="continue"/>
            <w:tcBorders>
              <w:left w:val="single" w:color="auto" w:sz="4" w:space="0"/>
              <w:bottom w:val="single" w:color="auto" w:sz="4" w:space="0"/>
              <w:right w:val="single" w:color="auto" w:sz="4" w:space="0"/>
            </w:tcBorders>
            <w:vAlign w:val="center"/>
          </w:tcPr>
          <w:p w14:paraId="081AC12A">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58CCAA3A">
            <w:pPr>
              <w:spacing w:line="380" w:lineRule="exact"/>
              <w:rPr>
                <w:rFonts w:ascii="宋体" w:hAnsi="宋体"/>
                <w:szCs w:val="21"/>
              </w:rPr>
            </w:pPr>
            <w:r>
              <w:rPr>
                <w:rFonts w:hint="eastAsia"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7C32C680">
            <w:pPr>
              <w:spacing w:line="400" w:lineRule="exact"/>
              <w:rPr>
                <w:rFonts w:ascii="宋体" w:hAnsi="宋体" w:cs="宋体"/>
                <w:szCs w:val="21"/>
              </w:rPr>
            </w:pPr>
            <w:r>
              <w:t>开户名称：广西机电设备招标有限公司</w:t>
            </w:r>
          </w:p>
          <w:p w14:paraId="0049FBC1">
            <w:pPr>
              <w:snapToGrid w:val="0"/>
              <w:spacing w:line="400" w:lineRule="exact"/>
              <w:rPr>
                <w:rFonts w:ascii="宋体" w:hAnsi="宋体" w:cs="宋体"/>
                <w:szCs w:val="21"/>
              </w:rPr>
            </w:pPr>
            <w:r>
              <w:rPr>
                <w:rFonts w:hint="eastAsia" w:ascii="宋体" w:hAnsi="宋体" w:cs="宋体"/>
                <w:szCs w:val="21"/>
              </w:rPr>
              <w:t>开户银行：广西北部湾银行南宁市金湖支行</w:t>
            </w:r>
          </w:p>
          <w:p w14:paraId="35F84143">
            <w:pPr>
              <w:snapToGrid w:val="0"/>
              <w:spacing w:line="400" w:lineRule="exact"/>
              <w:rPr>
                <w:rFonts w:ascii="宋体" w:hAnsi="宋体" w:cs="宋体"/>
                <w:szCs w:val="21"/>
              </w:rPr>
            </w:pPr>
            <w:r>
              <w:rPr>
                <w:rFonts w:hint="eastAsia" w:ascii="宋体" w:hAnsi="宋体" w:cs="宋体"/>
                <w:szCs w:val="21"/>
              </w:rPr>
              <w:t>银行账号：</w:t>
            </w:r>
            <w:r>
              <w:rPr>
                <w:rFonts w:ascii="宋体" w:hAnsi="宋体" w:cs="宋体"/>
                <w:szCs w:val="21"/>
              </w:rPr>
              <w:t>1705012090027723</w:t>
            </w:r>
          </w:p>
          <w:p w14:paraId="1C0B7C8B">
            <w:pPr>
              <w:snapToGrid w:val="0"/>
              <w:spacing w:line="400" w:lineRule="exact"/>
              <w:rPr>
                <w:rFonts w:ascii="宋体" w:hAnsi="宋体" w:cs="宋体"/>
                <w:szCs w:val="21"/>
              </w:rPr>
            </w:pPr>
            <w:r>
              <w:rPr>
                <w:rFonts w:hint="eastAsia" w:ascii="宋体" w:hAnsi="宋体" w:cs="宋体"/>
                <w:szCs w:val="21"/>
              </w:rPr>
              <w:t>开户行行号：</w:t>
            </w:r>
            <w:r>
              <w:rPr>
                <w:rFonts w:ascii="宋体" w:hAnsi="宋体" w:cs="宋体"/>
                <w:szCs w:val="21"/>
              </w:rPr>
              <w:t>313611017053</w:t>
            </w:r>
          </w:p>
          <w:p w14:paraId="1655B20C">
            <w:pPr>
              <w:snapToGrid w:val="0"/>
              <w:spacing w:line="380" w:lineRule="exact"/>
              <w:rPr>
                <w:rFonts w:hAnsi="宋体" w:cs="宋体"/>
              </w:rPr>
            </w:pPr>
            <w:r>
              <w:rPr>
                <w:rFonts w:hint="eastAsia" w:hAnsi="宋体" w:cs="宋体"/>
                <w:szCs w:val="21"/>
              </w:rPr>
              <w:t>财务联系人：吴茜（电话：0771-2821398）</w:t>
            </w:r>
          </w:p>
        </w:tc>
      </w:tr>
      <w:tr w14:paraId="015AA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76C4AB2A">
            <w:pPr>
              <w:snapToGrid w:val="0"/>
              <w:spacing w:line="380" w:lineRule="exact"/>
              <w:jc w:val="center"/>
              <w:rPr>
                <w:rFonts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vAlign w:val="center"/>
          </w:tcPr>
          <w:p w14:paraId="5936D883">
            <w:pPr>
              <w:snapToGrid w:val="0"/>
              <w:spacing w:line="380" w:lineRule="exact"/>
              <w:rPr>
                <w:rFonts w:ascii="宋体" w:hAnsi="宋体"/>
                <w:szCs w:val="21"/>
              </w:rPr>
            </w:pPr>
            <w:r>
              <w:rPr>
                <w:rFonts w:hint="eastAsia" w:ascii="宋体" w:hAnsi="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4C9006D7">
            <w:pPr>
              <w:snapToGrid w:val="0"/>
              <w:spacing w:line="380" w:lineRule="exact"/>
              <w:rPr>
                <w:rFonts w:ascii="宋体" w:hAnsi="宋体"/>
                <w:szCs w:val="21"/>
              </w:rPr>
            </w:pPr>
            <w:r>
              <w:rPr>
                <w:rFonts w:hint="eastAsia" w:ascii="宋体" w:hAnsi="宋体"/>
                <w:b/>
                <w:szCs w:val="21"/>
              </w:rPr>
              <w:t>解释权：</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为准。按本款前述规定仍不能形成结论的，由</w:t>
            </w:r>
            <w:r>
              <w:rPr>
                <w:rFonts w:hint="eastAsia" w:ascii="宋体" w:hAnsi="宋体"/>
                <w:szCs w:val="21"/>
              </w:rPr>
              <w:t>采购</w:t>
            </w:r>
            <w:r>
              <w:rPr>
                <w:rFonts w:ascii="宋体" w:hAnsi="宋体"/>
                <w:szCs w:val="21"/>
              </w:rPr>
              <w:t>人</w:t>
            </w:r>
            <w:r>
              <w:rPr>
                <w:rFonts w:hint="eastAsia" w:ascii="宋体" w:hAnsi="宋体"/>
                <w:szCs w:val="21"/>
              </w:rPr>
              <w:t>或者采购代理机构</w:t>
            </w:r>
            <w:r>
              <w:rPr>
                <w:rFonts w:ascii="宋体" w:hAnsi="宋体"/>
                <w:szCs w:val="21"/>
              </w:rPr>
              <w:t>负责解释。</w:t>
            </w:r>
          </w:p>
          <w:p w14:paraId="1FF8A866">
            <w:pPr>
              <w:snapToGrid w:val="0"/>
              <w:spacing w:line="380" w:lineRule="exact"/>
              <w:rPr>
                <w:rFonts w:ascii="宋体" w:hAnsi="宋体"/>
                <w:b/>
                <w:szCs w:val="21"/>
              </w:rPr>
            </w:pPr>
            <w:r>
              <w:rPr>
                <w:rFonts w:hint="eastAsia" w:ascii="宋体" w:hAnsi="宋体"/>
                <w:b/>
                <w:szCs w:val="21"/>
              </w:rPr>
              <w:t>法律责任：</w:t>
            </w:r>
          </w:p>
          <w:p w14:paraId="3C11BB74">
            <w:pPr>
              <w:snapToGrid w:val="0"/>
              <w:spacing w:line="380" w:lineRule="exact"/>
              <w:rPr>
                <w:rFonts w:ascii="宋体" w:hAnsi="宋体"/>
                <w:szCs w:val="21"/>
              </w:rPr>
            </w:pPr>
            <w:r>
              <w:rPr>
                <w:rFonts w:hint="eastAsia" w:ascii="宋体" w:hAnsi="宋体"/>
                <w:szCs w:val="21"/>
              </w:rPr>
              <w:t>1.本招标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4CDB066E">
            <w:pPr>
              <w:snapToGrid w:val="0"/>
              <w:spacing w:line="380" w:lineRule="exact"/>
              <w:rPr>
                <w:rFonts w:ascii="宋体" w:hAnsi="宋体"/>
                <w:szCs w:val="21"/>
              </w:rPr>
            </w:pPr>
            <w:r>
              <w:rPr>
                <w:rFonts w:hint="eastAsia" w:ascii="宋体" w:hAnsi="宋体"/>
                <w:b/>
                <w:szCs w:val="21"/>
              </w:rPr>
              <w:t>2.本项目采购代理机构应严格按照“广西政府采购云平台”项目采购全流程电子化电子开评标规程执行项目采购活动，代理机构在“广西政府采购云平台”的“项目管理”—“招标文件管理”内开评标规则设置作为本招标文件的组成部分，截标之后不可更改，因代理机构开评标规则设置错误导致采购活动无法开展下去的情况，由代理机构负责解释并承担其后果。</w:t>
            </w:r>
          </w:p>
        </w:tc>
      </w:tr>
      <w:tr w14:paraId="56B15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75" w:type="dxa"/>
            <w:tcBorders>
              <w:top w:val="single" w:color="auto" w:sz="4" w:space="0"/>
              <w:left w:val="single" w:color="auto" w:sz="4" w:space="0"/>
              <w:bottom w:val="single" w:color="auto" w:sz="4" w:space="0"/>
              <w:right w:val="single" w:color="auto" w:sz="4" w:space="0"/>
            </w:tcBorders>
            <w:vAlign w:val="center"/>
          </w:tcPr>
          <w:p w14:paraId="1DF05EA3">
            <w:pPr>
              <w:snapToGrid w:val="0"/>
              <w:spacing w:line="380" w:lineRule="exact"/>
              <w:jc w:val="center"/>
              <w:rPr>
                <w:rFonts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vAlign w:val="center"/>
          </w:tcPr>
          <w:p w14:paraId="24DACBB5">
            <w:pPr>
              <w:snapToGrid w:val="0"/>
              <w:spacing w:line="380" w:lineRule="exact"/>
              <w:rPr>
                <w:rFonts w:ascii="宋体" w:hAnsi="宋体"/>
                <w:szCs w:val="21"/>
              </w:rPr>
            </w:pPr>
            <w:r>
              <w:rPr>
                <w:rFonts w:hint="eastAsia" w:ascii="宋体" w:hAnsi="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4C33C9C5">
            <w:pPr>
              <w:snapToGrid w:val="0"/>
              <w:spacing w:line="380" w:lineRule="exact"/>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7663E08">
            <w:pPr>
              <w:snapToGrid w:val="0"/>
              <w:spacing w:line="380" w:lineRule="exact"/>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4E3A8223">
            <w:pPr>
              <w:snapToGrid w:val="0"/>
              <w:spacing w:line="380" w:lineRule="exact"/>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3.本招标文件中描述投标人的“签字”是指投标人的法定代表人或者委托代理人亲自在文件规定签署处亲笔写上个人的名字的行为，私章、签字章、印鉴、影印等其他形式均不能代替亲笔签字。</w:t>
            </w:r>
          </w:p>
          <w:p w14:paraId="098C7F7B">
            <w:pPr>
              <w:snapToGrid w:val="0"/>
              <w:spacing w:line="380" w:lineRule="exact"/>
              <w:rPr>
                <w:rFonts w:hAnsi="宋体" w:cs="宋体"/>
                <w:b/>
                <w:bCs/>
              </w:rPr>
            </w:pPr>
            <w:r>
              <w:rPr>
                <w:rFonts w:hint="eastAsia" w:hAnsi="宋体" w:cs="宋体"/>
                <w:b/>
                <w:bCs/>
              </w:rPr>
              <w:t>4.自然人投标的，招标文件规定盖公章处由自然人摁手指指印。</w:t>
            </w:r>
          </w:p>
          <w:p w14:paraId="5F3DDB10">
            <w:pPr>
              <w:spacing w:line="380" w:lineRule="exact"/>
              <w:jc w:val="left"/>
              <w:rPr>
                <w:rFonts w:ascii="宋体" w:hAnsi="宋体"/>
                <w:szCs w:val="21"/>
              </w:rPr>
            </w:pPr>
            <w:r>
              <w:rPr>
                <w:rFonts w:hint="eastAsia" w:ascii="宋体" w:hAnsi="宋体" w:cs="宋体"/>
                <w:b/>
                <w:bCs/>
                <w:szCs w:val="21"/>
              </w:rPr>
              <w:t>5.本招标文件所称的“以上”“以下”“以内”“届满”，包括本数；所称的“不满”“超过”“以外”，不包括本数。</w:t>
            </w:r>
          </w:p>
        </w:tc>
      </w:tr>
    </w:tbl>
    <w:p w14:paraId="104CBD29">
      <w:pPr>
        <w:pStyle w:val="4"/>
        <w:sectPr>
          <w:footerReference r:id="rId6" w:type="default"/>
          <w:pgSz w:w="11906" w:h="16838"/>
          <w:pgMar w:top="1134" w:right="1134" w:bottom="1134" w:left="1134" w:header="720" w:footer="720" w:gutter="0"/>
          <w:cols w:space="720" w:num="1"/>
          <w:docGrid w:type="lines" w:linePitch="331" w:charSpace="0"/>
        </w:sectPr>
      </w:pPr>
    </w:p>
    <w:p w14:paraId="40ABC5BA">
      <w:pPr>
        <w:pStyle w:val="4"/>
        <w:ind w:firstLine="3213" w:firstLineChars="1000"/>
        <w:jc w:val="both"/>
      </w:pPr>
      <w:bookmarkStart w:id="19" w:name="_Toc11708"/>
      <w:bookmarkStart w:id="20" w:name="_Toc17106"/>
      <w:r>
        <w:rPr>
          <w:rFonts w:hint="eastAsia"/>
        </w:rPr>
        <w:t>第二节 投标人须知正文</w:t>
      </w:r>
      <w:bookmarkEnd w:id="19"/>
      <w:bookmarkEnd w:id="20"/>
    </w:p>
    <w:p w14:paraId="7D747B93">
      <w:pPr>
        <w:pStyle w:val="5"/>
        <w:keepNext w:val="0"/>
        <w:keepLines w:val="0"/>
        <w:spacing w:line="400" w:lineRule="exact"/>
        <w:jc w:val="center"/>
      </w:pPr>
      <w:bookmarkStart w:id="21" w:name="_Toc9040"/>
      <w:bookmarkStart w:id="22" w:name="_Toc5513"/>
      <w:bookmarkStart w:id="23" w:name="_Toc3207"/>
      <w:r>
        <w:rPr>
          <w:rFonts w:hint="eastAsia"/>
        </w:rPr>
        <w:t>一、总  则</w:t>
      </w:r>
      <w:bookmarkEnd w:id="21"/>
      <w:bookmarkEnd w:id="22"/>
      <w:bookmarkEnd w:id="23"/>
    </w:p>
    <w:p w14:paraId="443183A6">
      <w:pPr>
        <w:spacing w:line="360" w:lineRule="auto"/>
        <w:ind w:firstLine="480" w:firstLineChars="200"/>
        <w:rPr>
          <w:rFonts w:ascii="黑体" w:hAnsi="黑体" w:eastAsia="黑体"/>
          <w:sz w:val="24"/>
        </w:rPr>
      </w:pPr>
      <w:r>
        <w:rPr>
          <w:rFonts w:hint="eastAsia" w:ascii="黑体" w:hAnsi="黑体" w:eastAsia="黑体"/>
          <w:sz w:val="24"/>
        </w:rPr>
        <w:t>1.适用范围</w:t>
      </w:r>
    </w:p>
    <w:p w14:paraId="7D93A93C">
      <w:pPr>
        <w:spacing w:line="360" w:lineRule="auto"/>
        <w:ind w:firstLine="420" w:firstLineChars="200"/>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33DD424B">
      <w:pPr>
        <w:spacing w:line="360" w:lineRule="auto"/>
        <w:ind w:firstLine="420" w:firstLineChars="200"/>
        <w:rPr>
          <w:rFonts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7AE2237A">
      <w:pPr>
        <w:spacing w:line="360" w:lineRule="auto"/>
        <w:ind w:firstLine="480" w:firstLineChars="200"/>
        <w:rPr>
          <w:rFonts w:ascii="黑体" w:hAnsi="黑体" w:eastAsia="黑体"/>
          <w:sz w:val="24"/>
        </w:rPr>
      </w:pPr>
      <w:r>
        <w:rPr>
          <w:rFonts w:hint="eastAsia" w:ascii="黑体" w:hAnsi="黑体" w:eastAsia="黑体"/>
          <w:sz w:val="24"/>
        </w:rPr>
        <w:t>2.定义</w:t>
      </w:r>
    </w:p>
    <w:p w14:paraId="3A0A2522">
      <w:pPr>
        <w:spacing w:line="360" w:lineRule="auto"/>
        <w:ind w:firstLine="422" w:firstLineChars="200"/>
        <w:rPr>
          <w:rFonts w:ascii="宋体" w:hAnsi="宋体"/>
          <w:b/>
          <w:szCs w:val="21"/>
        </w:rPr>
      </w:pPr>
      <w:r>
        <w:rPr>
          <w:rFonts w:hint="eastAsia" w:ascii="宋体" w:hAnsi="宋体"/>
          <w:b/>
          <w:szCs w:val="21"/>
        </w:rPr>
        <w:t>2.1“采购人”是指依法进行政府采购的国家机关、事业单位、团体组织。</w:t>
      </w:r>
    </w:p>
    <w:p w14:paraId="2B3D4F53">
      <w:pPr>
        <w:spacing w:line="360" w:lineRule="auto"/>
        <w:ind w:firstLine="422" w:firstLineChars="200"/>
        <w:rPr>
          <w:rFonts w:ascii="宋体" w:hAnsi="宋体"/>
          <w:b/>
          <w:szCs w:val="21"/>
        </w:rPr>
      </w:pPr>
      <w:r>
        <w:rPr>
          <w:rFonts w:hint="eastAsia" w:ascii="宋体" w:hAnsi="宋体"/>
          <w:b/>
          <w:szCs w:val="21"/>
        </w:rPr>
        <w:t>2.2“采购代理机构” 指政府采购集中采购机构和集中采购机构以外的采购代理机构。</w:t>
      </w:r>
    </w:p>
    <w:p w14:paraId="59A9AF26">
      <w:pPr>
        <w:spacing w:line="360" w:lineRule="auto"/>
        <w:ind w:firstLine="422" w:firstLineChars="200"/>
        <w:rPr>
          <w:rFonts w:ascii="宋体" w:hAnsi="宋体"/>
          <w:b/>
          <w:szCs w:val="21"/>
        </w:rPr>
      </w:pPr>
      <w:r>
        <w:rPr>
          <w:rFonts w:hint="eastAsia" w:ascii="宋体" w:hAnsi="宋体"/>
          <w:b/>
          <w:szCs w:val="21"/>
        </w:rPr>
        <w:t>2.3“供应商”是指向采购人提供货物、工程或者服务的法人、其他组织或者自然人。</w:t>
      </w:r>
    </w:p>
    <w:p w14:paraId="30B72711">
      <w:pPr>
        <w:spacing w:line="360" w:lineRule="auto"/>
        <w:ind w:firstLine="420" w:firstLineChars="200"/>
        <w:rPr>
          <w:rFonts w:ascii="宋体" w:hAnsi="宋体"/>
          <w:szCs w:val="21"/>
        </w:rPr>
      </w:pPr>
      <w:r>
        <w:rPr>
          <w:rFonts w:hint="eastAsia" w:ascii="宋体" w:hAnsi="宋体"/>
          <w:szCs w:val="21"/>
        </w:rPr>
        <w:t>2.4“投标人”是指响应招标、参加投标竞争的法人、非法人组织或者自然人。</w:t>
      </w:r>
    </w:p>
    <w:p w14:paraId="5DBF3424">
      <w:pPr>
        <w:spacing w:line="360" w:lineRule="auto"/>
        <w:ind w:firstLine="422" w:firstLineChars="200"/>
        <w:rPr>
          <w:rFonts w:ascii="宋体" w:hAnsi="宋体"/>
          <w:b/>
          <w:szCs w:val="21"/>
        </w:rPr>
      </w:pPr>
      <w:r>
        <w:rPr>
          <w:rFonts w:hint="eastAsia" w:ascii="宋体" w:hAnsi="宋体"/>
          <w:b/>
          <w:szCs w:val="21"/>
        </w:rPr>
        <w:t>2.5“服务”是指除货物和工程以外的其他政府采购对象。</w:t>
      </w:r>
    </w:p>
    <w:p w14:paraId="0F23DA65">
      <w:pPr>
        <w:spacing w:line="360" w:lineRule="auto"/>
        <w:ind w:firstLine="422" w:firstLineChars="200"/>
        <w:rPr>
          <w:rFonts w:ascii="宋体" w:hAnsi="宋体"/>
          <w:b/>
          <w:szCs w:val="21"/>
        </w:rPr>
      </w:pPr>
      <w:r>
        <w:rPr>
          <w:rFonts w:hint="eastAsia" w:ascii="宋体" w:hAnsi="宋体"/>
          <w:b/>
          <w:szCs w:val="21"/>
        </w:rPr>
        <w:t>2.6“书面形式”是指合同书、信件和数据电文（包括电报、电传、传真、短信、电子数据交换和电子邮件）等可以有形地表现所载内容的形式。</w:t>
      </w:r>
    </w:p>
    <w:p w14:paraId="465F4C02">
      <w:pPr>
        <w:spacing w:line="360" w:lineRule="auto"/>
        <w:ind w:firstLine="422" w:firstLineChars="200"/>
        <w:rPr>
          <w:rFonts w:ascii="宋体" w:hAnsi="宋体"/>
          <w:b/>
          <w:szCs w:val="21"/>
        </w:rPr>
      </w:pPr>
      <w:r>
        <w:rPr>
          <w:rFonts w:hint="eastAsia" w:ascii="宋体" w:hAnsi="宋体"/>
          <w:b/>
          <w:szCs w:val="21"/>
        </w:rPr>
        <w:t>2.7“实质性要求”是指招标文件中已经指明不满足则投标无效的条款，或者不能负偏离的条款，或者采购需求中带“</w:t>
      </w:r>
      <w:r>
        <w:rPr>
          <w:rFonts w:hint="eastAsia" w:ascii="宋体" w:hAnsi="宋体"/>
          <w:b/>
          <w:bCs/>
          <w:szCs w:val="21"/>
        </w:rPr>
        <w:t>▲</w:t>
      </w:r>
      <w:r>
        <w:rPr>
          <w:rFonts w:hint="eastAsia" w:ascii="宋体" w:hAnsi="宋体"/>
          <w:b/>
          <w:szCs w:val="21"/>
        </w:rPr>
        <w:t>”的条款。</w:t>
      </w:r>
    </w:p>
    <w:p w14:paraId="02CE91C7">
      <w:pPr>
        <w:spacing w:line="360" w:lineRule="auto"/>
        <w:ind w:firstLine="420" w:firstLineChars="200"/>
        <w:rPr>
          <w:rFonts w:ascii="宋体" w:hAnsi="宋体" w:cs="宋体"/>
          <w:szCs w:val="21"/>
        </w:rPr>
      </w:pPr>
      <w:r>
        <w:rPr>
          <w:rFonts w:hint="eastAsia" w:ascii="宋体" w:hAnsi="宋体"/>
          <w:szCs w:val="21"/>
        </w:rPr>
        <w:t>2.8</w:t>
      </w:r>
      <w:r>
        <w:rPr>
          <w:rFonts w:hint="eastAsia" w:ascii="宋体" w:hAnsi="宋体" w:cs="宋体"/>
          <w:szCs w:val="21"/>
        </w:rPr>
        <w:t>“正偏离”，是指投标文件对招标文件“采购需求”中有关条款作出的响应优于条款要求并有利于采购人的情形。</w:t>
      </w:r>
    </w:p>
    <w:p w14:paraId="74DE435B">
      <w:pPr>
        <w:spacing w:line="360" w:lineRule="auto"/>
        <w:ind w:firstLine="420" w:firstLineChars="200"/>
        <w:rPr>
          <w:rFonts w:ascii="宋体" w:hAnsi="宋体" w:cs="宋体"/>
          <w:szCs w:val="21"/>
        </w:rPr>
      </w:pPr>
      <w:r>
        <w:rPr>
          <w:rFonts w:hint="eastAsia" w:ascii="宋体" w:hAnsi="宋体" w:cs="宋体"/>
          <w:szCs w:val="21"/>
        </w:rPr>
        <w:t>2.9“负偏离”，是指投标文件对招标文件“采购需求”中有关条款作出的响应不满足条款要求，导致采购人要求不能得到满足的情形。</w:t>
      </w:r>
    </w:p>
    <w:p w14:paraId="04207AB3">
      <w:pPr>
        <w:spacing w:line="360" w:lineRule="auto"/>
        <w:ind w:firstLine="420" w:firstLineChars="200"/>
        <w:rPr>
          <w:rFonts w:ascii="宋体" w:hAnsi="宋体"/>
          <w:szCs w:val="21"/>
        </w:rPr>
      </w:pPr>
      <w:r>
        <w:rPr>
          <w:rFonts w:hint="eastAsia" w:ascii="宋体" w:hAnsi="宋体"/>
          <w:szCs w:val="21"/>
        </w:rPr>
        <w:t>2.10</w:t>
      </w:r>
      <w:r>
        <w:rPr>
          <w:rFonts w:hint="eastAsia" w:ascii="宋体" w:hAnsi="宋体" w:cs="宋体"/>
          <w:szCs w:val="21"/>
        </w:rPr>
        <w:t>“允许负偏离的条款”是指采购需求中的不属于“实质性要求”的条款。</w:t>
      </w:r>
    </w:p>
    <w:p w14:paraId="042AF054">
      <w:pPr>
        <w:spacing w:line="360" w:lineRule="auto"/>
        <w:ind w:firstLine="480" w:firstLineChars="200"/>
        <w:rPr>
          <w:rFonts w:ascii="黑体" w:hAnsi="黑体" w:eastAsia="黑体"/>
          <w:sz w:val="24"/>
        </w:rPr>
      </w:pPr>
      <w:r>
        <w:rPr>
          <w:rFonts w:hint="eastAsia" w:ascii="黑体" w:hAnsi="黑体" w:eastAsia="黑体"/>
          <w:sz w:val="24"/>
        </w:rPr>
        <w:t>3.投标人的资格要求</w:t>
      </w:r>
    </w:p>
    <w:p w14:paraId="4720852F">
      <w:pPr>
        <w:spacing w:line="360" w:lineRule="auto"/>
        <w:ind w:firstLine="420" w:firstLineChars="200"/>
        <w:rPr>
          <w:rFonts w:ascii="宋体" w:hAnsi="宋体"/>
          <w:szCs w:val="21"/>
        </w:rPr>
      </w:pPr>
      <w:r>
        <w:rPr>
          <w:rFonts w:hint="eastAsia" w:ascii="宋体" w:hAnsi="宋体"/>
          <w:szCs w:val="21"/>
        </w:rPr>
        <w:t>投标人的资格要求详见“招标公告”。</w:t>
      </w:r>
    </w:p>
    <w:p w14:paraId="3A2D65BA">
      <w:pPr>
        <w:spacing w:line="360" w:lineRule="auto"/>
        <w:ind w:firstLine="480" w:firstLineChars="200"/>
        <w:rPr>
          <w:rFonts w:ascii="黑体" w:hAnsi="黑体" w:eastAsia="黑体"/>
          <w:sz w:val="24"/>
        </w:rPr>
      </w:pPr>
      <w:r>
        <w:rPr>
          <w:rFonts w:hint="eastAsia" w:ascii="黑体" w:hAnsi="黑体" w:eastAsia="黑体"/>
          <w:sz w:val="24"/>
        </w:rPr>
        <w:t>4.投标委托</w:t>
      </w:r>
    </w:p>
    <w:p w14:paraId="02BF8616">
      <w:pPr>
        <w:spacing w:line="360" w:lineRule="auto"/>
        <w:ind w:firstLine="420" w:firstLineChars="200"/>
        <w:rPr>
          <w:rFonts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1004624D">
      <w:pPr>
        <w:spacing w:line="360" w:lineRule="auto"/>
        <w:ind w:firstLine="480" w:firstLineChars="200"/>
        <w:rPr>
          <w:rFonts w:ascii="黑体" w:hAnsi="黑体" w:eastAsia="黑体"/>
          <w:sz w:val="24"/>
        </w:rPr>
      </w:pPr>
      <w:r>
        <w:rPr>
          <w:rFonts w:hint="eastAsia" w:ascii="黑体" w:hAnsi="黑体" w:eastAsia="黑体"/>
          <w:sz w:val="24"/>
        </w:rPr>
        <w:t>5.投标费用</w:t>
      </w:r>
    </w:p>
    <w:p w14:paraId="01EA4EBF">
      <w:pPr>
        <w:spacing w:line="360" w:lineRule="auto"/>
        <w:ind w:firstLine="420" w:firstLineChars="200"/>
        <w:rPr>
          <w:rFonts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0F75039A">
      <w:pPr>
        <w:spacing w:line="360" w:lineRule="auto"/>
        <w:ind w:firstLine="480" w:firstLineChars="200"/>
        <w:rPr>
          <w:rFonts w:ascii="黑体" w:hAnsi="黑体" w:eastAsia="黑体"/>
          <w:sz w:val="24"/>
        </w:rPr>
      </w:pPr>
      <w:r>
        <w:rPr>
          <w:rFonts w:hint="eastAsia" w:ascii="黑体" w:hAnsi="黑体" w:eastAsia="黑体"/>
          <w:sz w:val="24"/>
        </w:rPr>
        <w:t>6.联合体投标</w:t>
      </w:r>
    </w:p>
    <w:p w14:paraId="3277D1E6">
      <w:pPr>
        <w:spacing w:line="360" w:lineRule="auto"/>
        <w:ind w:firstLine="420" w:firstLineChars="200"/>
        <w:rPr>
          <w:rFonts w:ascii="宋体" w:hAnsi="宋体"/>
          <w:szCs w:val="21"/>
        </w:rPr>
      </w:pPr>
      <w:r>
        <w:rPr>
          <w:rFonts w:hint="eastAsia" w:ascii="宋体" w:hAnsi="宋体"/>
          <w:szCs w:val="21"/>
        </w:rPr>
        <w:t>6.1本项目是否接受联合体投标，详见“投标人须知前附表”。</w:t>
      </w:r>
    </w:p>
    <w:p w14:paraId="4BFCDA6A">
      <w:pPr>
        <w:spacing w:line="360" w:lineRule="auto"/>
        <w:ind w:firstLine="420" w:firstLineChars="200"/>
        <w:rPr>
          <w:rFonts w:ascii="宋体" w:hAnsi="宋体"/>
          <w:bCs/>
          <w:szCs w:val="21"/>
        </w:rPr>
      </w:pPr>
      <w:r>
        <w:rPr>
          <w:rFonts w:hint="eastAsia" w:ascii="宋体" w:hAnsi="宋体"/>
          <w:bCs/>
          <w:szCs w:val="21"/>
        </w:rPr>
        <w:t>6.2如接受联合体投标，联合体投标要求详见“投标人须知前附表”。</w:t>
      </w:r>
    </w:p>
    <w:p w14:paraId="156D40C5">
      <w:pPr>
        <w:spacing w:line="360" w:lineRule="auto"/>
        <w:ind w:firstLine="420" w:firstLineChars="200"/>
        <w:rPr>
          <w:rFonts w:ascii="Helvetica Neue"/>
          <w:sz w:val="24"/>
          <w:shd w:val="clear" w:color="auto" w:fill="FFFFFF"/>
        </w:rPr>
      </w:pPr>
      <w:r>
        <w:rPr>
          <w:rFonts w:hint="eastAsia" w:ascii="宋体" w:hAnsi="宋体"/>
          <w:bCs/>
          <w:szCs w:val="21"/>
        </w:rPr>
        <w:t>6.3根据《政府采购促进中小企业发展管理办法》（财库[2020]46号）第九条、</w:t>
      </w:r>
      <w:r>
        <w:rPr>
          <w:rFonts w:hint="eastAsia" w:ascii="宋体" w:hAnsi="宋体"/>
          <w:szCs w:val="21"/>
        </w:rPr>
        <w:t>《广西壮族自治区财政厅关于进一步发挥政府采购政策功能促进企业发展的通知》（桂财采〔2022〕30号）及《广西壮族自治区财政厅广西壮族自治区工业和信息化厅转发财政部工业和信息化部政府采购促进中小企业发展管理办法的通知》（桂财采〔2021〕70号）</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7E77DF03">
      <w:pPr>
        <w:spacing w:line="360" w:lineRule="auto"/>
        <w:ind w:firstLine="480" w:firstLineChars="200"/>
        <w:rPr>
          <w:rFonts w:ascii="黑体" w:hAnsi="黑体" w:eastAsia="黑体"/>
          <w:sz w:val="24"/>
        </w:rPr>
      </w:pPr>
      <w:r>
        <w:rPr>
          <w:rFonts w:hint="eastAsia" w:ascii="黑体" w:hAnsi="黑体" w:eastAsia="黑体"/>
          <w:sz w:val="24"/>
        </w:rPr>
        <w:t>7.转包与分包</w:t>
      </w:r>
    </w:p>
    <w:p w14:paraId="25210B12">
      <w:pPr>
        <w:spacing w:line="360" w:lineRule="auto"/>
        <w:ind w:firstLine="422" w:firstLineChars="200"/>
        <w:rPr>
          <w:rFonts w:ascii="宋体" w:hAnsi="宋体"/>
          <w:b/>
          <w:szCs w:val="21"/>
        </w:rPr>
      </w:pPr>
      <w:r>
        <w:rPr>
          <w:rFonts w:hint="eastAsia" w:ascii="宋体" w:hAnsi="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051272C5">
      <w:pPr>
        <w:spacing w:line="360" w:lineRule="auto"/>
        <w:ind w:firstLine="420" w:firstLineChars="200"/>
        <w:rPr>
          <w:rFonts w:ascii="宋体" w:hAnsi="宋体"/>
          <w:bCs/>
          <w:szCs w:val="21"/>
        </w:rPr>
      </w:pPr>
      <w:r>
        <w:rPr>
          <w:rFonts w:hint="eastAsia" w:ascii="宋体" w:hAnsi="宋体"/>
          <w:bCs/>
          <w:szCs w:val="21"/>
        </w:rPr>
        <w:t>7.2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C4D37DD">
      <w:pPr>
        <w:spacing w:line="360" w:lineRule="auto"/>
        <w:ind w:firstLine="480" w:firstLineChars="200"/>
        <w:rPr>
          <w:rFonts w:ascii="黑体" w:hAnsi="黑体" w:eastAsia="黑体"/>
          <w:sz w:val="24"/>
        </w:rPr>
      </w:pPr>
      <w:r>
        <w:rPr>
          <w:rFonts w:hint="eastAsia" w:ascii="黑体" w:hAnsi="黑体" w:eastAsia="黑体"/>
          <w:sz w:val="24"/>
        </w:rPr>
        <w:t>8.特别说明：</w:t>
      </w:r>
    </w:p>
    <w:p w14:paraId="790DD716">
      <w:pPr>
        <w:spacing w:line="360" w:lineRule="auto"/>
        <w:ind w:firstLine="422" w:firstLineChars="200"/>
        <w:rPr>
          <w:rFonts w:ascii="宋体" w:hAnsi="宋体"/>
          <w:b/>
          <w:szCs w:val="21"/>
        </w:rPr>
      </w:pPr>
      <w:r>
        <w:rPr>
          <w:rFonts w:hint="eastAsia" w:ascii="宋体" w:hAnsi="宋体"/>
          <w:b/>
          <w:szCs w:val="21"/>
        </w:rPr>
        <w:t>8.1如果本招标文件要求投标人提供资格、信誉、荣誉、业绩与企业认证等材料的，则投标人所提供的以上材料必须为投标人所拥有。</w:t>
      </w:r>
    </w:p>
    <w:p w14:paraId="6DDFA5DB">
      <w:pPr>
        <w:spacing w:line="360" w:lineRule="auto"/>
        <w:ind w:firstLine="422" w:firstLineChars="200"/>
        <w:rPr>
          <w:rFonts w:ascii="宋体" w:hAnsi="宋体"/>
          <w:b/>
          <w:szCs w:val="21"/>
        </w:rPr>
      </w:pPr>
      <w:r>
        <w:rPr>
          <w:rFonts w:hint="eastAsia" w:ascii="宋体" w:hAnsi="宋体"/>
          <w:b/>
          <w:szCs w:val="21"/>
        </w:rPr>
        <w:t>8.2投标人应仔细阅读招标文件的所有内容，按照招标文件的要求提交投标文件，并对所提供的全部资料的真实性承担法律责任。</w:t>
      </w:r>
    </w:p>
    <w:p w14:paraId="59AB0B26">
      <w:pPr>
        <w:spacing w:line="360" w:lineRule="auto"/>
        <w:ind w:firstLine="422" w:firstLineChars="200"/>
        <w:rPr>
          <w:rFonts w:ascii="宋体" w:hAnsi="宋体"/>
          <w:b/>
          <w:szCs w:val="21"/>
        </w:rPr>
      </w:pPr>
      <w:r>
        <w:rPr>
          <w:rFonts w:hint="eastAsia" w:ascii="宋体" w:hAnsi="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6232A1E4">
      <w:pPr>
        <w:spacing w:line="360" w:lineRule="auto"/>
        <w:ind w:firstLine="480" w:firstLineChars="200"/>
        <w:rPr>
          <w:rFonts w:ascii="黑体" w:hAnsi="黑体" w:eastAsia="黑体"/>
          <w:sz w:val="24"/>
        </w:rPr>
      </w:pPr>
      <w:r>
        <w:rPr>
          <w:rFonts w:hint="eastAsia" w:ascii="黑体" w:hAnsi="黑体" w:eastAsia="黑体"/>
          <w:sz w:val="24"/>
        </w:rPr>
        <w:t>9.回避与串通投标</w:t>
      </w:r>
    </w:p>
    <w:p w14:paraId="3C8D604D">
      <w:pPr>
        <w:spacing w:line="360" w:lineRule="auto"/>
        <w:ind w:firstLine="422" w:firstLineChars="200"/>
        <w:rPr>
          <w:rFonts w:ascii="宋体" w:hAnsi="宋体"/>
          <w:b/>
          <w:szCs w:val="21"/>
        </w:rPr>
      </w:pPr>
      <w:r>
        <w:rPr>
          <w:rFonts w:hint="eastAsia" w:ascii="宋体" w:hAnsi="宋体"/>
          <w:b/>
          <w:szCs w:val="21"/>
        </w:rPr>
        <w:t>9.1在政府采购活动中，采购人员及相关人员与投标人有下列利害关系之一的，应当回避：</w:t>
      </w:r>
    </w:p>
    <w:p w14:paraId="6DCF8AF1">
      <w:pPr>
        <w:spacing w:line="360" w:lineRule="auto"/>
        <w:ind w:firstLine="420" w:firstLineChars="200"/>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年内与投标人存在劳动关系；</w:t>
      </w:r>
    </w:p>
    <w:p w14:paraId="7D93F67F">
      <w:pPr>
        <w:spacing w:line="360" w:lineRule="auto"/>
        <w:ind w:firstLine="420" w:firstLineChars="200"/>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年内担任投标人的董事、监事；</w:t>
      </w:r>
    </w:p>
    <w:p w14:paraId="44E48D41">
      <w:pPr>
        <w:spacing w:line="360" w:lineRule="auto"/>
        <w:ind w:firstLine="420" w:firstLineChars="200"/>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年内是投标人的控股股东或者实际控制人；</w:t>
      </w:r>
    </w:p>
    <w:p w14:paraId="676A2865">
      <w:pPr>
        <w:spacing w:line="360" w:lineRule="auto"/>
        <w:ind w:firstLine="420" w:firstLineChars="200"/>
        <w:rPr>
          <w:rFonts w:hAnsi="宋体"/>
        </w:rPr>
      </w:pPr>
      <w:r>
        <w:rPr>
          <w:rFonts w:hint="eastAsia" w:hAnsi="宋体"/>
        </w:rPr>
        <w:t>（</w:t>
      </w:r>
      <w:r>
        <w:rPr>
          <w:rFonts w:hAnsi="宋体"/>
        </w:rPr>
        <w:t>4</w:t>
      </w:r>
      <w:r>
        <w:rPr>
          <w:rFonts w:hint="eastAsia" w:hAnsi="宋体"/>
        </w:rPr>
        <w:t>）与投标人的法定代表人或者负责人有夫妻、直系血亲、三代以内旁系血亲或者近姻亲关系；</w:t>
      </w:r>
    </w:p>
    <w:p w14:paraId="447D9A0B">
      <w:pPr>
        <w:spacing w:line="360" w:lineRule="auto"/>
        <w:ind w:firstLine="420" w:firstLineChars="200"/>
        <w:rPr>
          <w:rFonts w:hAnsi="宋体"/>
        </w:rPr>
      </w:pPr>
      <w:r>
        <w:rPr>
          <w:rFonts w:hint="eastAsia" w:hAnsi="宋体"/>
        </w:rPr>
        <w:t>（</w:t>
      </w:r>
      <w:r>
        <w:rPr>
          <w:rFonts w:hAnsi="宋体"/>
        </w:rPr>
        <w:t>5</w:t>
      </w:r>
      <w:r>
        <w:rPr>
          <w:rFonts w:hint="eastAsia" w:hAnsi="宋体"/>
        </w:rPr>
        <w:t>）与投标人有其他可能影响政府采购活动公平、公正进行的关系。</w:t>
      </w:r>
    </w:p>
    <w:p w14:paraId="1A72B1D4">
      <w:pPr>
        <w:spacing w:line="360" w:lineRule="auto"/>
        <w:ind w:firstLine="420" w:firstLineChars="200"/>
        <w:rPr>
          <w:rFonts w:hAnsi="宋体"/>
        </w:rPr>
      </w:pPr>
      <w:r>
        <w:rPr>
          <w:rFonts w:hint="eastAsia" w:hAnsi="宋体"/>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14:paraId="7447B7B7">
      <w:pPr>
        <w:spacing w:line="360" w:lineRule="auto"/>
        <w:ind w:firstLine="420" w:firstLineChars="200"/>
        <w:rPr>
          <w:rFonts w:ascii="宋体" w:hAnsi="宋体"/>
          <w:szCs w:val="21"/>
        </w:rPr>
      </w:pPr>
      <w:r>
        <w:rPr>
          <w:rFonts w:hint="eastAsia" w:ascii="宋体" w:hAnsi="宋体"/>
          <w:szCs w:val="21"/>
        </w:rPr>
        <w:t>9.2有下列情形之一的视为投标人相互串通投标，投标文件将被视为无效：</w:t>
      </w:r>
    </w:p>
    <w:p w14:paraId="2F404396">
      <w:pPr>
        <w:spacing w:line="360" w:lineRule="auto"/>
        <w:ind w:firstLine="422" w:firstLineChars="200"/>
        <w:rPr>
          <w:rFonts w:hAnsi="宋体"/>
          <w:b/>
        </w:rPr>
      </w:pPr>
      <w:r>
        <w:rPr>
          <w:rFonts w:hint="eastAsia" w:hAnsi="宋体"/>
          <w:b/>
        </w:rPr>
        <w:t>（</w:t>
      </w:r>
      <w:r>
        <w:rPr>
          <w:rFonts w:hAnsi="宋体"/>
          <w:b/>
        </w:rPr>
        <w:t>1</w:t>
      </w:r>
      <w:r>
        <w:rPr>
          <w:rFonts w:hint="eastAsia" w:hAnsi="宋体"/>
          <w:b/>
        </w:rPr>
        <w:t>）不同投标人的投标文件由同一单位或者个人编制；或者不同投标人报名的</w:t>
      </w:r>
      <w:r>
        <w:rPr>
          <w:rFonts w:hAnsi="宋体"/>
          <w:b/>
        </w:rPr>
        <w:t>IP</w:t>
      </w:r>
      <w:r>
        <w:rPr>
          <w:rFonts w:hint="eastAsia" w:hAnsi="宋体"/>
          <w:b/>
        </w:rPr>
        <w:t>地址一致的；或者编制标书硬件设备</w:t>
      </w:r>
      <w:r>
        <w:rPr>
          <w:rFonts w:hAnsi="宋体"/>
          <w:b/>
        </w:rPr>
        <w:t>CPU</w:t>
      </w:r>
      <w:r>
        <w:rPr>
          <w:rFonts w:hint="eastAsia" w:hAnsi="宋体"/>
          <w:b/>
        </w:rPr>
        <w:t>编号、硬盘编号、网卡地址一致的情况。</w:t>
      </w:r>
    </w:p>
    <w:p w14:paraId="7F387260">
      <w:pPr>
        <w:spacing w:line="360" w:lineRule="auto"/>
        <w:ind w:firstLine="422" w:firstLineChars="200"/>
        <w:rPr>
          <w:rFonts w:hAnsi="宋体"/>
          <w:b/>
        </w:rPr>
      </w:pPr>
      <w:r>
        <w:rPr>
          <w:rFonts w:hint="eastAsia" w:hAnsi="宋体"/>
          <w:b/>
        </w:rPr>
        <w:t>（</w:t>
      </w:r>
      <w:r>
        <w:rPr>
          <w:rFonts w:hAnsi="宋体"/>
          <w:b/>
        </w:rPr>
        <w:t>2</w:t>
      </w:r>
      <w:r>
        <w:rPr>
          <w:rFonts w:hint="eastAsia" w:hAnsi="宋体"/>
          <w:b/>
        </w:rPr>
        <w:t>）不同投标人委托同一单位或者个人办理投标事宜；</w:t>
      </w:r>
    </w:p>
    <w:p w14:paraId="78715EB2">
      <w:pPr>
        <w:spacing w:line="360" w:lineRule="auto"/>
        <w:ind w:firstLine="422" w:firstLineChars="200"/>
        <w:rPr>
          <w:rFonts w:hAnsi="宋体"/>
          <w:b/>
        </w:rPr>
      </w:pPr>
      <w:r>
        <w:rPr>
          <w:rFonts w:hint="eastAsia" w:hAnsi="宋体"/>
          <w:b/>
        </w:rPr>
        <w:t>（</w:t>
      </w:r>
      <w:r>
        <w:rPr>
          <w:rFonts w:hAnsi="宋体"/>
          <w:b/>
        </w:rPr>
        <w:t>3</w:t>
      </w:r>
      <w:r>
        <w:rPr>
          <w:rFonts w:hint="eastAsia" w:hAnsi="宋体"/>
          <w:b/>
        </w:rPr>
        <w:t>）不同的投标人的投标文件载明的项目管理员为同一个人；</w:t>
      </w:r>
    </w:p>
    <w:p w14:paraId="32258D23">
      <w:pPr>
        <w:spacing w:line="360" w:lineRule="auto"/>
        <w:ind w:firstLine="422" w:firstLineChars="200"/>
        <w:rPr>
          <w:rFonts w:hAnsi="宋体"/>
          <w:b/>
        </w:rPr>
      </w:pPr>
      <w:r>
        <w:rPr>
          <w:rFonts w:hint="eastAsia" w:hAnsi="宋体"/>
          <w:b/>
        </w:rPr>
        <w:t>（</w:t>
      </w:r>
      <w:r>
        <w:rPr>
          <w:rFonts w:hAnsi="宋体"/>
          <w:b/>
        </w:rPr>
        <w:t>4</w:t>
      </w:r>
      <w:r>
        <w:rPr>
          <w:rFonts w:hint="eastAsia" w:hAnsi="宋体"/>
          <w:b/>
        </w:rPr>
        <w:t>）不同投标人的电子或纸质投标文件异常一致或者投标报价呈规律性差异；</w:t>
      </w:r>
    </w:p>
    <w:p w14:paraId="385564D1">
      <w:pPr>
        <w:spacing w:line="360" w:lineRule="auto"/>
        <w:ind w:firstLine="422" w:firstLineChars="200"/>
        <w:rPr>
          <w:rFonts w:hAnsi="宋体"/>
          <w:b/>
        </w:rPr>
      </w:pPr>
      <w:r>
        <w:rPr>
          <w:rFonts w:hint="eastAsia" w:hAnsi="宋体"/>
          <w:b/>
        </w:rPr>
        <w:t>（</w:t>
      </w:r>
      <w:r>
        <w:rPr>
          <w:rFonts w:hAnsi="宋体"/>
          <w:b/>
        </w:rPr>
        <w:t>5</w:t>
      </w:r>
      <w:r>
        <w:rPr>
          <w:rFonts w:hint="eastAsia" w:hAnsi="宋体"/>
          <w:b/>
        </w:rPr>
        <w:t>）不同投标人的纸质投标文件相互混装；</w:t>
      </w:r>
    </w:p>
    <w:p w14:paraId="550D2FB5">
      <w:pPr>
        <w:spacing w:line="360" w:lineRule="auto"/>
        <w:ind w:firstLine="420" w:firstLineChars="200"/>
        <w:rPr>
          <w:rFonts w:ascii="宋体" w:hAnsi="宋体"/>
          <w:szCs w:val="21"/>
        </w:rPr>
      </w:pPr>
      <w:r>
        <w:rPr>
          <w:rFonts w:hint="eastAsia" w:ascii="宋体" w:hAnsi="宋体"/>
          <w:szCs w:val="21"/>
        </w:rPr>
        <w:t>9.3投标人有下列情形之一的，属于恶意串通行为，将报同级监督管理部门：</w:t>
      </w:r>
    </w:p>
    <w:p w14:paraId="25598A25">
      <w:pPr>
        <w:spacing w:line="360" w:lineRule="auto"/>
        <w:ind w:firstLine="420" w:firstLineChars="200"/>
        <w:rPr>
          <w:rFonts w:hAnsi="宋体"/>
        </w:rPr>
      </w:pPr>
      <w:r>
        <w:rPr>
          <w:rFonts w:hint="eastAsia" w:hAnsi="宋体"/>
        </w:rPr>
        <w:t>（</w:t>
      </w:r>
      <w:r>
        <w:rPr>
          <w:rFonts w:hAnsi="宋体"/>
        </w:rPr>
        <w:t>1</w:t>
      </w:r>
      <w:r>
        <w:rPr>
          <w:rFonts w:hint="eastAsia" w:hAnsi="宋体"/>
        </w:rPr>
        <w:t>）投标人直接或者间接从采购人或者采购代理机构处获得其他投标人的相关信息并修改其投标文件或者投标文件；</w:t>
      </w:r>
    </w:p>
    <w:p w14:paraId="41D0BDD0">
      <w:pPr>
        <w:spacing w:line="360" w:lineRule="auto"/>
        <w:ind w:firstLine="420" w:firstLineChars="200"/>
        <w:rPr>
          <w:rFonts w:hAnsi="宋体"/>
        </w:rPr>
      </w:pPr>
      <w:r>
        <w:rPr>
          <w:rFonts w:hint="eastAsia" w:hAnsi="宋体"/>
        </w:rPr>
        <w:t>（</w:t>
      </w:r>
      <w:r>
        <w:rPr>
          <w:rFonts w:hAnsi="宋体"/>
        </w:rPr>
        <w:t>2</w:t>
      </w:r>
      <w:r>
        <w:rPr>
          <w:rFonts w:hint="eastAsia" w:hAnsi="宋体"/>
        </w:rPr>
        <w:t>）投标人按照采购人或者采购代理机构的授意撤换、修改投标文件或者投标文件；</w:t>
      </w:r>
    </w:p>
    <w:p w14:paraId="0E048373">
      <w:pPr>
        <w:spacing w:line="360" w:lineRule="auto"/>
        <w:ind w:firstLine="420" w:firstLineChars="200"/>
        <w:rPr>
          <w:rFonts w:hAnsi="宋体"/>
        </w:rPr>
      </w:pPr>
      <w:r>
        <w:rPr>
          <w:rFonts w:hint="eastAsia" w:hAnsi="宋体"/>
        </w:rPr>
        <w:t>（</w:t>
      </w:r>
      <w:r>
        <w:rPr>
          <w:rFonts w:hAnsi="宋体"/>
        </w:rPr>
        <w:t>3</w:t>
      </w:r>
      <w:r>
        <w:rPr>
          <w:rFonts w:hint="eastAsia" w:hAnsi="宋体"/>
        </w:rPr>
        <w:t>）投标人之间协商报价、技术方案等投标文件或者投标文件的实质性内容；</w:t>
      </w:r>
    </w:p>
    <w:p w14:paraId="1E67EECB">
      <w:pPr>
        <w:spacing w:line="360" w:lineRule="auto"/>
        <w:ind w:firstLine="420" w:firstLineChars="200"/>
        <w:rPr>
          <w:rFonts w:hAnsi="宋体"/>
        </w:rPr>
      </w:pPr>
      <w:r>
        <w:rPr>
          <w:rFonts w:hint="eastAsia" w:hAnsi="宋体"/>
        </w:rPr>
        <w:t>（</w:t>
      </w:r>
      <w:r>
        <w:rPr>
          <w:rFonts w:hAnsi="宋体"/>
        </w:rPr>
        <w:t>4</w:t>
      </w:r>
      <w:r>
        <w:rPr>
          <w:rFonts w:hint="eastAsia" w:hAnsi="宋体"/>
        </w:rPr>
        <w:t>）属于同一集团、协会、商会等组织成员的投标人按照该组织要求协同参加政府采购活动；</w:t>
      </w:r>
    </w:p>
    <w:p w14:paraId="730677EC">
      <w:pPr>
        <w:spacing w:line="360" w:lineRule="auto"/>
        <w:ind w:firstLine="420" w:firstLineChars="200"/>
        <w:rPr>
          <w:rFonts w:hAnsi="宋体"/>
        </w:rPr>
      </w:pPr>
      <w:r>
        <w:rPr>
          <w:rFonts w:hint="eastAsia" w:hAnsi="宋体"/>
        </w:rPr>
        <w:t>（</w:t>
      </w:r>
      <w:r>
        <w:rPr>
          <w:rFonts w:hAnsi="宋体"/>
        </w:rPr>
        <w:t>5</w:t>
      </w:r>
      <w:r>
        <w:rPr>
          <w:rFonts w:hint="eastAsia" w:hAnsi="宋体"/>
        </w:rPr>
        <w:t>）投标人之间事先约定一致抬高或者压低投标报价，或者在招标项目中事先约定轮流以高价位或者低价位中标，或者事先约定由某一特定投标人中标，然后再参加投标；</w:t>
      </w:r>
    </w:p>
    <w:p w14:paraId="2C35F988">
      <w:pPr>
        <w:spacing w:line="360" w:lineRule="auto"/>
        <w:ind w:firstLine="420" w:firstLineChars="200"/>
        <w:rPr>
          <w:rFonts w:hAnsi="宋体"/>
        </w:rPr>
      </w:pPr>
      <w:r>
        <w:rPr>
          <w:rFonts w:hint="eastAsia" w:hAnsi="宋体"/>
        </w:rPr>
        <w:t>（</w:t>
      </w:r>
      <w:r>
        <w:rPr>
          <w:rFonts w:hAnsi="宋体"/>
        </w:rPr>
        <w:t>6</w:t>
      </w:r>
      <w:r>
        <w:rPr>
          <w:rFonts w:hint="eastAsia" w:hAnsi="宋体"/>
        </w:rPr>
        <w:t>）投标人之间商定部分投标人放弃参加政府采购活动或者放弃中标；</w:t>
      </w:r>
    </w:p>
    <w:p w14:paraId="0353E666">
      <w:pPr>
        <w:spacing w:line="360" w:lineRule="auto"/>
        <w:ind w:firstLine="420" w:firstLineChars="200"/>
        <w:rPr>
          <w:rFonts w:hint="eastAsia" w:hAnsi="宋体"/>
        </w:rPr>
      </w:pPr>
      <w:r>
        <w:rPr>
          <w:rFonts w:hint="eastAsia" w:hAnsi="宋体"/>
        </w:rPr>
        <w:t>（</w:t>
      </w:r>
      <w:r>
        <w:rPr>
          <w:rFonts w:hAnsi="宋体"/>
        </w:rPr>
        <w:t>7</w:t>
      </w:r>
      <w:r>
        <w:rPr>
          <w:rFonts w:hint="eastAsia" w:hAnsi="宋体"/>
        </w:rPr>
        <w:t>）投标人与采购人或者采购代理机构之间、投标人相互之间，为谋求特定投标人中标或者排斥其他投标人的其他串通行为。</w:t>
      </w:r>
    </w:p>
    <w:p w14:paraId="1475840E">
      <w:pPr>
        <w:rPr>
          <w:rFonts w:hint="eastAsia" w:hAnsi="宋体"/>
        </w:rPr>
      </w:pPr>
      <w:r>
        <w:rPr>
          <w:rFonts w:hint="eastAsia" w:hAnsi="宋体"/>
        </w:rPr>
        <w:br w:type="page"/>
      </w:r>
    </w:p>
    <w:p w14:paraId="6876261B">
      <w:pPr>
        <w:spacing w:line="400" w:lineRule="exact"/>
        <w:ind w:firstLine="3534" w:firstLineChars="1100"/>
        <w:outlineLvl w:val="2"/>
        <w:rPr>
          <w:b/>
          <w:bCs/>
          <w:sz w:val="32"/>
          <w:szCs w:val="32"/>
        </w:rPr>
      </w:pPr>
      <w:bookmarkStart w:id="24" w:name="_Toc89075995"/>
      <w:bookmarkStart w:id="25" w:name="_Toc15536"/>
      <w:bookmarkStart w:id="26" w:name="_Toc6447"/>
      <w:bookmarkStart w:id="27" w:name="_Toc110956110"/>
      <w:r>
        <w:rPr>
          <w:rFonts w:hint="eastAsia"/>
          <w:b/>
          <w:bCs/>
          <w:sz w:val="32"/>
          <w:szCs w:val="32"/>
        </w:rPr>
        <w:t>二、招标文件</w:t>
      </w:r>
      <w:bookmarkEnd w:id="24"/>
      <w:bookmarkEnd w:id="25"/>
      <w:bookmarkEnd w:id="26"/>
      <w:bookmarkEnd w:id="27"/>
    </w:p>
    <w:p w14:paraId="23C3A549">
      <w:pPr>
        <w:spacing w:line="360" w:lineRule="auto"/>
        <w:ind w:firstLine="480" w:firstLineChars="200"/>
        <w:rPr>
          <w:rFonts w:ascii="黑体" w:hAnsi="黑体" w:eastAsia="黑体"/>
          <w:sz w:val="24"/>
        </w:rPr>
      </w:pPr>
      <w:r>
        <w:rPr>
          <w:rFonts w:hint="eastAsia" w:ascii="黑体" w:hAnsi="黑体" w:eastAsia="黑体"/>
          <w:sz w:val="24"/>
        </w:rPr>
        <w:t>10.招标文件的组成</w:t>
      </w:r>
    </w:p>
    <w:p w14:paraId="272345C1">
      <w:pPr>
        <w:spacing w:line="360" w:lineRule="auto"/>
        <w:ind w:firstLine="420" w:firstLineChars="200"/>
        <w:rPr>
          <w:rFonts w:ascii="宋体" w:hAnsi="宋体"/>
          <w:szCs w:val="21"/>
        </w:rPr>
      </w:pPr>
      <w:r>
        <w:rPr>
          <w:rFonts w:hint="eastAsia" w:ascii="宋体" w:hAnsi="宋体"/>
          <w:szCs w:val="21"/>
        </w:rPr>
        <w:t>第一章招标公告；</w:t>
      </w:r>
    </w:p>
    <w:p w14:paraId="18ECF13F">
      <w:pPr>
        <w:spacing w:line="360" w:lineRule="auto"/>
        <w:ind w:firstLine="420" w:firstLineChars="200"/>
        <w:rPr>
          <w:rFonts w:ascii="宋体" w:hAnsi="宋体"/>
          <w:szCs w:val="21"/>
        </w:rPr>
      </w:pPr>
      <w:r>
        <w:rPr>
          <w:rFonts w:hint="eastAsia" w:ascii="宋体" w:hAnsi="宋体"/>
          <w:szCs w:val="21"/>
        </w:rPr>
        <w:t>第二章采购需求；</w:t>
      </w:r>
    </w:p>
    <w:p w14:paraId="6A61D1A9">
      <w:pPr>
        <w:spacing w:line="360" w:lineRule="auto"/>
        <w:ind w:firstLine="420" w:firstLineChars="200"/>
        <w:rPr>
          <w:rFonts w:ascii="宋体" w:hAnsi="宋体"/>
          <w:szCs w:val="21"/>
        </w:rPr>
      </w:pPr>
      <w:r>
        <w:rPr>
          <w:rFonts w:hint="eastAsia" w:ascii="宋体" w:hAnsi="宋体"/>
          <w:szCs w:val="21"/>
        </w:rPr>
        <w:t>第三章投标人须知；</w:t>
      </w:r>
    </w:p>
    <w:p w14:paraId="14976EF4">
      <w:pPr>
        <w:spacing w:line="360" w:lineRule="auto"/>
        <w:ind w:firstLine="420" w:firstLineChars="200"/>
        <w:rPr>
          <w:rFonts w:ascii="宋体" w:hAnsi="宋体"/>
          <w:szCs w:val="21"/>
        </w:rPr>
      </w:pPr>
      <w:r>
        <w:rPr>
          <w:rFonts w:hint="eastAsia" w:ascii="宋体" w:hAnsi="宋体"/>
          <w:szCs w:val="21"/>
        </w:rPr>
        <w:t>第四章评标方法及评标标准；</w:t>
      </w:r>
    </w:p>
    <w:p w14:paraId="5EC82170">
      <w:pPr>
        <w:spacing w:line="360" w:lineRule="auto"/>
        <w:ind w:firstLine="420" w:firstLineChars="200"/>
        <w:rPr>
          <w:rFonts w:ascii="宋体" w:hAnsi="宋体"/>
          <w:szCs w:val="21"/>
        </w:rPr>
      </w:pPr>
      <w:r>
        <w:rPr>
          <w:rFonts w:hint="eastAsia" w:ascii="宋体" w:hAnsi="宋体"/>
          <w:szCs w:val="21"/>
        </w:rPr>
        <w:t>第五章拟签订的合同文本；</w:t>
      </w:r>
    </w:p>
    <w:p w14:paraId="519E759B">
      <w:pPr>
        <w:spacing w:line="360" w:lineRule="auto"/>
        <w:ind w:firstLine="420" w:firstLineChars="200"/>
        <w:rPr>
          <w:rFonts w:ascii="宋体" w:hAnsi="宋体"/>
          <w:szCs w:val="21"/>
        </w:rPr>
      </w:pPr>
      <w:r>
        <w:rPr>
          <w:rFonts w:hint="eastAsia" w:ascii="宋体" w:hAnsi="宋体"/>
          <w:szCs w:val="21"/>
        </w:rPr>
        <w:t>第六章投标文件格式；</w:t>
      </w:r>
    </w:p>
    <w:p w14:paraId="18569B18">
      <w:pPr>
        <w:spacing w:line="360" w:lineRule="auto"/>
        <w:ind w:firstLine="420" w:firstLineChars="200"/>
        <w:rPr>
          <w:rFonts w:ascii="宋体" w:hAnsi="宋体"/>
          <w:szCs w:val="21"/>
        </w:rPr>
      </w:pPr>
      <w:r>
        <w:rPr>
          <w:rFonts w:hint="eastAsia" w:ascii="宋体" w:hAnsi="宋体"/>
          <w:szCs w:val="21"/>
        </w:rPr>
        <w:t>第七章质疑、投诉材料格式</w:t>
      </w:r>
    </w:p>
    <w:p w14:paraId="488F1F1C">
      <w:pPr>
        <w:spacing w:line="360" w:lineRule="auto"/>
        <w:ind w:firstLine="420" w:firstLineChars="200"/>
        <w:rPr>
          <w:rFonts w:hAnsi="宋体"/>
        </w:rPr>
      </w:pPr>
      <w:r>
        <w:rPr>
          <w:rFonts w:hint="eastAsia" w:hAnsi="宋体"/>
        </w:rPr>
        <w:t>根据本章第</w:t>
      </w:r>
      <w:r>
        <w:rPr>
          <w:rFonts w:hAnsi="宋体"/>
        </w:rPr>
        <w:t>11.1</w:t>
      </w:r>
      <w:r>
        <w:rPr>
          <w:rFonts w:hint="eastAsia" w:hAnsi="宋体"/>
        </w:rPr>
        <w:t>项的规定对公开招标文件所做的澄清、修改，构成招标文件的组成部分。当公开招标文件与招标文件的澄清和修改就同一内容的表述不一致时，</w:t>
      </w:r>
      <w:r>
        <w:rPr>
          <w:rFonts w:hint="eastAsia"/>
        </w:rPr>
        <w:t>以最后澄清或修改公告为准。</w:t>
      </w:r>
    </w:p>
    <w:p w14:paraId="38BE3615">
      <w:pPr>
        <w:spacing w:line="360" w:lineRule="auto"/>
        <w:ind w:firstLine="480" w:firstLineChars="200"/>
        <w:rPr>
          <w:rFonts w:ascii="黑体" w:hAnsi="黑体" w:eastAsia="黑体"/>
          <w:sz w:val="24"/>
        </w:rPr>
      </w:pPr>
      <w:r>
        <w:rPr>
          <w:rFonts w:hint="eastAsia" w:ascii="黑体" w:hAnsi="黑体" w:eastAsia="黑体"/>
          <w:sz w:val="24"/>
        </w:rPr>
        <w:t>11.招标文件的澄清、修改、现场考察和答疑会</w:t>
      </w:r>
    </w:p>
    <w:p w14:paraId="3999B6CB">
      <w:pPr>
        <w:spacing w:line="360" w:lineRule="auto"/>
        <w:ind w:firstLine="422" w:firstLineChars="200"/>
        <w:rPr>
          <w:rFonts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8577D6D">
      <w:pPr>
        <w:spacing w:line="360" w:lineRule="auto"/>
        <w:ind w:firstLine="420" w:firstLineChars="200"/>
        <w:rPr>
          <w:rFonts w:hAnsi="宋体"/>
        </w:rPr>
      </w:pPr>
      <w:r>
        <w:rPr>
          <w:rFonts w:hAnsi="宋体"/>
        </w:rPr>
        <w:t xml:space="preserve">11.2 </w:t>
      </w:r>
      <w:r>
        <w:rPr>
          <w:rFonts w:hint="eastAsia" w:hAnsi="宋体"/>
        </w:rPr>
        <w:t>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1C55678A">
      <w:pPr>
        <w:spacing w:line="360" w:lineRule="auto"/>
        <w:ind w:firstLine="420" w:firstLineChars="200"/>
      </w:pPr>
      <w:r>
        <w:rPr>
          <w:rFonts w:hAnsi="宋体"/>
        </w:rPr>
        <w:t xml:space="preserve">11.3 </w:t>
      </w:r>
      <w:r>
        <w:rPr>
          <w:rFonts w:hint="eastAsia" w:hAnsi="宋体"/>
        </w:rPr>
        <w:t>采购人或者采购代理机构可以对已发出的招标文件进行必要的澄清或者修改。澄清或者修改的内容可能影响投标文件编制的，采购人或者采购代理机构应当在投标截止时间至少</w:t>
      </w:r>
      <w:r>
        <w:rPr>
          <w:rFonts w:hAnsi="宋体"/>
        </w:rPr>
        <w:t>15</w:t>
      </w:r>
      <w:r>
        <w:rPr>
          <w:rFonts w:hint="eastAsia" w:hAnsi="宋体"/>
        </w:rPr>
        <w:t>日前，以书面形式通知</w:t>
      </w:r>
      <w:r>
        <w:rPr>
          <w:rFonts w:hAnsi="宋体"/>
        </w:rPr>
        <w:t>(</w:t>
      </w:r>
      <w:r>
        <w:rPr>
          <w:rFonts w:hint="eastAsia" w:hAnsi="宋体"/>
        </w:rPr>
        <w:t>在“</w:t>
      </w:r>
      <w:r>
        <w:rPr>
          <w:rFonts w:hint="eastAsia" w:hAnsi="宋体"/>
          <w:szCs w:val="21"/>
        </w:rPr>
        <w:t>投标人须知前附表”</w:t>
      </w:r>
      <w:r>
        <w:rPr>
          <w:rFonts w:hint="eastAsia" w:hAnsi="宋体"/>
        </w:rPr>
        <w:t>规定的政府采购信息发布媒体上发布更正公告及平台短信通知</w:t>
      </w:r>
      <w:r>
        <w:rPr>
          <w:rFonts w:hAnsi="宋体"/>
        </w:rPr>
        <w:t>)</w:t>
      </w:r>
      <w:r>
        <w:rPr>
          <w:rFonts w:hint="eastAsia" w:hAnsi="宋体"/>
        </w:rPr>
        <w:t>所有获取招标文件的潜在投标人；不足</w:t>
      </w:r>
      <w:r>
        <w:rPr>
          <w:rFonts w:hAnsi="宋体"/>
        </w:rPr>
        <w:t>15</w:t>
      </w:r>
      <w:r>
        <w:rPr>
          <w:rFonts w:hint="eastAsia" w:hAnsi="宋体"/>
        </w:rPr>
        <w:t>日的，采购人或者采购代理机构应当顺延提交投标文件的截止时间。发出的澄清或者修改不影响投标文件编制的也应在截标前</w:t>
      </w:r>
      <w:r>
        <w:rPr>
          <w:rFonts w:hAnsi="宋体"/>
        </w:rPr>
        <w:t>3</w:t>
      </w:r>
      <w:r>
        <w:rPr>
          <w:rFonts w:hint="eastAsia" w:hAnsi="宋体"/>
        </w:rPr>
        <w:t>日发出。</w:t>
      </w:r>
    </w:p>
    <w:p w14:paraId="3B511613">
      <w:pPr>
        <w:spacing w:line="360" w:lineRule="auto"/>
        <w:ind w:firstLine="420" w:firstLineChars="200"/>
      </w:pPr>
      <w:r>
        <w:rPr>
          <w:rFonts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int="eastAsia" w:hAnsi="宋体"/>
          <w:szCs w:val="21"/>
        </w:rPr>
        <w:t>投标人须知前附表”</w:t>
      </w:r>
      <w:r>
        <w:rPr>
          <w:rFonts w:hint="eastAsia" w:cs="宋体"/>
          <w:kern w:val="0"/>
          <w:szCs w:val="21"/>
        </w:rPr>
        <w:t>规定的政府采购信息发布媒体上</w:t>
      </w:r>
      <w:r>
        <w:rPr>
          <w:rFonts w:hint="eastAsia"/>
        </w:rPr>
        <w:t>发布更正公告。</w:t>
      </w:r>
    </w:p>
    <w:p w14:paraId="023BB497">
      <w:pPr>
        <w:spacing w:line="360" w:lineRule="auto"/>
        <w:ind w:firstLine="420" w:firstLineChars="200"/>
        <w:rPr>
          <w:rFonts w:hAnsi="宋体"/>
        </w:rPr>
      </w:pPr>
      <w:r>
        <w:rPr>
          <w:rFonts w:hAnsi="宋体"/>
        </w:rPr>
        <w:t>11.5</w:t>
      </w:r>
      <w:r>
        <w:rPr>
          <w:rFonts w:hint="eastAsia" w:hAnsi="宋体"/>
        </w:rPr>
        <w:t>采购人或者采购代理机构可以在招标文件提供期限截止后，组织已获取招标文件的潜在投标人现场考察或者召开开标前答疑会，具体详见“投标人须知前附表”。</w:t>
      </w:r>
    </w:p>
    <w:p w14:paraId="4F7DB3E7">
      <w:pPr>
        <w:spacing w:line="400" w:lineRule="exact"/>
        <w:ind w:firstLine="643" w:firstLineChars="200"/>
        <w:jc w:val="center"/>
        <w:rPr>
          <w:b/>
          <w:bCs/>
          <w:sz w:val="32"/>
          <w:szCs w:val="32"/>
        </w:rPr>
      </w:pPr>
      <w:bookmarkStart w:id="28" w:name="_Toc110956111"/>
      <w:bookmarkStart w:id="29" w:name="_Toc89075996"/>
    </w:p>
    <w:p w14:paraId="7BFD7D58">
      <w:pPr>
        <w:spacing w:line="400" w:lineRule="exact"/>
        <w:ind w:firstLine="643" w:firstLineChars="200"/>
        <w:jc w:val="center"/>
        <w:rPr>
          <w:b/>
          <w:bCs/>
          <w:sz w:val="32"/>
          <w:szCs w:val="32"/>
        </w:rPr>
      </w:pPr>
    </w:p>
    <w:p w14:paraId="064AD5A4">
      <w:pPr>
        <w:spacing w:line="400" w:lineRule="exact"/>
        <w:ind w:firstLine="643" w:firstLineChars="200"/>
        <w:jc w:val="center"/>
        <w:outlineLvl w:val="2"/>
        <w:rPr>
          <w:b/>
          <w:bCs/>
          <w:sz w:val="32"/>
          <w:szCs w:val="32"/>
        </w:rPr>
      </w:pPr>
      <w:bookmarkStart w:id="30" w:name="_Toc32250"/>
      <w:bookmarkStart w:id="31" w:name="_Toc24324"/>
      <w:r>
        <w:rPr>
          <w:rFonts w:hint="eastAsia"/>
          <w:b/>
          <w:bCs/>
          <w:sz w:val="32"/>
          <w:szCs w:val="32"/>
        </w:rPr>
        <w:t>三、投标文件的编制</w:t>
      </w:r>
      <w:bookmarkEnd w:id="28"/>
      <w:bookmarkEnd w:id="29"/>
      <w:bookmarkEnd w:id="30"/>
      <w:bookmarkEnd w:id="31"/>
    </w:p>
    <w:p w14:paraId="61B71CAC">
      <w:pPr>
        <w:spacing w:line="360" w:lineRule="auto"/>
        <w:ind w:firstLine="480" w:firstLineChars="200"/>
        <w:rPr>
          <w:rFonts w:ascii="黑体" w:hAnsi="黑体" w:eastAsia="黑体"/>
          <w:sz w:val="24"/>
        </w:rPr>
      </w:pPr>
      <w:r>
        <w:rPr>
          <w:rFonts w:hint="eastAsia" w:ascii="黑体" w:hAnsi="黑体" w:eastAsia="黑体"/>
          <w:sz w:val="24"/>
        </w:rPr>
        <w:t>12.投标文件的编制原则</w:t>
      </w:r>
    </w:p>
    <w:p w14:paraId="2A781233">
      <w:pPr>
        <w:spacing w:line="360" w:lineRule="auto"/>
        <w:ind w:firstLine="420" w:firstLineChars="200"/>
        <w:rPr>
          <w:rFonts w:ascii="宋体" w:hAnsi="宋体"/>
          <w:szCs w:val="21"/>
        </w:rPr>
      </w:pPr>
      <w:r>
        <w:rPr>
          <w:rFonts w:hint="eastAsia" w:ascii="宋体" w:hAnsi="宋体"/>
          <w:szCs w:val="21"/>
        </w:rPr>
        <w:t>12.1投标人必须按照招标文件的要求编制投标文件。投标文件必须对招标文件提出的要求和条件作出明确响应。</w:t>
      </w:r>
    </w:p>
    <w:p w14:paraId="12FCAB08">
      <w:pPr>
        <w:spacing w:line="360" w:lineRule="auto"/>
        <w:ind w:firstLine="420" w:firstLineChars="200"/>
        <w:rPr>
          <w:rFonts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B62539D">
      <w:pPr>
        <w:spacing w:line="360" w:lineRule="auto"/>
        <w:ind w:firstLine="480" w:firstLineChars="200"/>
        <w:rPr>
          <w:rFonts w:ascii="黑体" w:hAnsi="黑体" w:eastAsia="黑体"/>
          <w:sz w:val="24"/>
        </w:rPr>
      </w:pPr>
      <w:r>
        <w:rPr>
          <w:rFonts w:hint="eastAsia" w:ascii="黑体" w:hAnsi="黑体" w:eastAsia="黑体"/>
          <w:sz w:val="24"/>
        </w:rPr>
        <w:t>13.投标文件的组成</w:t>
      </w:r>
    </w:p>
    <w:p w14:paraId="590FF888">
      <w:pPr>
        <w:spacing w:line="360" w:lineRule="auto"/>
        <w:ind w:firstLine="420" w:firstLineChars="200"/>
        <w:rPr>
          <w:rFonts w:ascii="宋体" w:hAnsi="宋体"/>
          <w:szCs w:val="21"/>
        </w:rPr>
      </w:pPr>
      <w:r>
        <w:rPr>
          <w:rFonts w:hint="eastAsia" w:ascii="宋体" w:hAnsi="宋体"/>
          <w:szCs w:val="21"/>
        </w:rPr>
        <w:t>13.1投标文件由报价文件、资格证明文件、商务文件、技术文件四部分组成。</w:t>
      </w:r>
    </w:p>
    <w:p w14:paraId="63DE6BC7">
      <w:pPr>
        <w:spacing w:line="360" w:lineRule="auto"/>
        <w:ind w:firstLine="420" w:firstLineChars="200"/>
        <w:rPr>
          <w:rFonts w:ascii="宋体" w:hAnsi="宋体"/>
          <w:bCs/>
          <w:szCs w:val="21"/>
        </w:rPr>
      </w:pPr>
      <w:r>
        <w:rPr>
          <w:rFonts w:hint="eastAsia" w:ascii="宋体" w:hAnsi="宋体"/>
          <w:bCs/>
          <w:szCs w:val="21"/>
        </w:rPr>
        <w:t>（1）资格证明文件：具体材料见“投标人须知前附表”。</w:t>
      </w:r>
    </w:p>
    <w:p w14:paraId="29A892E9">
      <w:pPr>
        <w:spacing w:line="360" w:lineRule="auto"/>
        <w:ind w:firstLine="420" w:firstLineChars="200"/>
        <w:rPr>
          <w:rFonts w:ascii="宋体" w:hAnsi="宋体"/>
          <w:bCs/>
          <w:szCs w:val="21"/>
        </w:rPr>
      </w:pPr>
      <w:r>
        <w:rPr>
          <w:rFonts w:hint="eastAsia" w:ascii="宋体" w:hAnsi="宋体"/>
          <w:bCs/>
          <w:szCs w:val="21"/>
        </w:rPr>
        <w:t>（2）商务文件：具体材料见“投标人须知前附表”。</w:t>
      </w:r>
    </w:p>
    <w:p w14:paraId="3A9199EB">
      <w:pPr>
        <w:spacing w:line="360" w:lineRule="auto"/>
        <w:ind w:firstLine="420" w:firstLineChars="200"/>
        <w:rPr>
          <w:rFonts w:ascii="宋体" w:hAnsi="宋体"/>
          <w:bCs/>
          <w:szCs w:val="21"/>
        </w:rPr>
      </w:pPr>
      <w:r>
        <w:rPr>
          <w:rFonts w:hint="eastAsia" w:ascii="宋体" w:hAnsi="宋体"/>
          <w:bCs/>
          <w:szCs w:val="21"/>
        </w:rPr>
        <w:t>（3）技术文件：具体材料见“投标人须知前附表”。</w:t>
      </w:r>
    </w:p>
    <w:p w14:paraId="09F30EA2">
      <w:pPr>
        <w:spacing w:line="360" w:lineRule="auto"/>
        <w:ind w:firstLine="420" w:firstLineChars="200"/>
        <w:rPr>
          <w:rFonts w:ascii="宋体" w:hAnsi="宋体"/>
          <w:bCs/>
          <w:szCs w:val="21"/>
        </w:rPr>
      </w:pPr>
      <w:r>
        <w:rPr>
          <w:rFonts w:hint="eastAsia" w:ascii="宋体" w:hAnsi="宋体"/>
          <w:bCs/>
          <w:szCs w:val="21"/>
        </w:rPr>
        <w:t>（4）报价文件：具体材料见“投标人须知前附表”。</w:t>
      </w:r>
    </w:p>
    <w:p w14:paraId="43D24731">
      <w:pPr>
        <w:spacing w:line="360" w:lineRule="auto"/>
        <w:ind w:firstLine="420" w:firstLineChars="200"/>
        <w:rPr>
          <w:rFonts w:ascii="宋体" w:hAnsi="宋体"/>
          <w:bCs/>
          <w:szCs w:val="21"/>
        </w:rPr>
      </w:pPr>
      <w:r>
        <w:rPr>
          <w:rFonts w:hint="eastAsia" w:ascii="宋体" w:hAnsi="宋体"/>
          <w:bCs/>
          <w:szCs w:val="21"/>
        </w:rPr>
        <w:t>13.2投标文件电子版：具体要求见本节19.投标文件编制。</w:t>
      </w:r>
    </w:p>
    <w:p w14:paraId="0B746B2C">
      <w:pPr>
        <w:spacing w:line="360" w:lineRule="auto"/>
        <w:ind w:firstLine="480" w:firstLineChars="200"/>
        <w:rPr>
          <w:rFonts w:ascii="黑体" w:hAnsi="黑体" w:eastAsia="黑体"/>
          <w:sz w:val="24"/>
        </w:rPr>
      </w:pPr>
      <w:r>
        <w:rPr>
          <w:rFonts w:hint="eastAsia" w:ascii="黑体" w:hAnsi="黑体" w:eastAsia="黑体"/>
          <w:sz w:val="24"/>
        </w:rPr>
        <w:t>14.投标文件的语言及计量</w:t>
      </w:r>
    </w:p>
    <w:p w14:paraId="311712F9">
      <w:pPr>
        <w:spacing w:line="360" w:lineRule="auto"/>
        <w:ind w:firstLine="420" w:firstLineChars="200"/>
        <w:rPr>
          <w:rFonts w:ascii="宋体" w:hAnsi="宋体"/>
          <w:bCs/>
          <w:szCs w:val="21"/>
        </w:rPr>
      </w:pPr>
      <w:r>
        <w:rPr>
          <w:rFonts w:hint="eastAsia" w:ascii="宋体" w:hAnsi="宋体"/>
          <w:bCs/>
          <w:szCs w:val="21"/>
        </w:rPr>
        <w:t>14.1语言文字</w:t>
      </w:r>
    </w:p>
    <w:p w14:paraId="11CFE540">
      <w:pPr>
        <w:spacing w:line="360" w:lineRule="auto"/>
        <w:ind w:firstLine="420" w:firstLineChars="200"/>
        <w:rPr>
          <w:rFonts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E4A9820">
      <w:pPr>
        <w:spacing w:line="360" w:lineRule="auto"/>
        <w:ind w:firstLine="420" w:firstLineChars="200"/>
        <w:rPr>
          <w:rFonts w:ascii="宋体" w:hAnsi="宋体"/>
          <w:bCs/>
          <w:szCs w:val="21"/>
        </w:rPr>
      </w:pPr>
      <w:r>
        <w:rPr>
          <w:rFonts w:hint="eastAsia" w:ascii="宋体" w:hAnsi="宋体"/>
          <w:bCs/>
          <w:szCs w:val="21"/>
        </w:rPr>
        <w:t>14.2投标计量单位</w:t>
      </w:r>
    </w:p>
    <w:p w14:paraId="3B496E6A">
      <w:pPr>
        <w:spacing w:line="360" w:lineRule="auto"/>
        <w:ind w:firstLine="420" w:firstLineChars="200"/>
        <w:rPr>
          <w:rFonts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51E0F626">
      <w:pPr>
        <w:spacing w:line="360" w:lineRule="auto"/>
        <w:ind w:firstLine="480" w:firstLineChars="200"/>
        <w:rPr>
          <w:rFonts w:ascii="黑体" w:hAnsi="黑体" w:eastAsia="黑体"/>
          <w:sz w:val="24"/>
        </w:rPr>
      </w:pPr>
      <w:r>
        <w:rPr>
          <w:rFonts w:hint="eastAsia" w:ascii="黑体" w:hAnsi="黑体" w:eastAsia="黑体"/>
          <w:sz w:val="24"/>
        </w:rPr>
        <w:t>15.投标的风险</w:t>
      </w:r>
    </w:p>
    <w:p w14:paraId="04C53EAB">
      <w:pPr>
        <w:spacing w:line="360" w:lineRule="auto"/>
        <w:ind w:firstLine="420" w:firstLineChars="200"/>
        <w:rPr>
          <w:rFonts w:hAnsi="宋体"/>
          <w:b/>
          <w:bCs/>
        </w:rPr>
      </w:pPr>
      <w:r>
        <w:rPr>
          <w:rFonts w:hint="eastAsia" w:hAnsi="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hAnsi="宋体"/>
          <w:b/>
          <w:bCs/>
        </w:rPr>
        <w:t>投标文件未按规定的格式编制的、没有按照招标文件要求提供全部资料、没有对招标文件作出实质性响应，投标无效；</w:t>
      </w:r>
    </w:p>
    <w:p w14:paraId="2D43639A">
      <w:pPr>
        <w:spacing w:line="360" w:lineRule="auto"/>
        <w:ind w:firstLine="480" w:firstLineChars="200"/>
        <w:rPr>
          <w:rFonts w:ascii="黑体" w:hAnsi="黑体" w:eastAsia="黑体"/>
          <w:sz w:val="24"/>
        </w:rPr>
      </w:pPr>
      <w:r>
        <w:rPr>
          <w:rFonts w:hint="eastAsia" w:ascii="黑体" w:hAnsi="黑体" w:eastAsia="黑体"/>
          <w:sz w:val="24"/>
        </w:rPr>
        <w:t>16.投标报价</w:t>
      </w:r>
    </w:p>
    <w:p w14:paraId="6BF3871C">
      <w:pPr>
        <w:spacing w:line="360" w:lineRule="auto"/>
        <w:ind w:firstLine="420" w:firstLineChars="200"/>
        <w:rPr>
          <w:rFonts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5E3C7C36">
      <w:pPr>
        <w:spacing w:line="360" w:lineRule="auto"/>
        <w:ind w:firstLine="420" w:firstLineChars="200"/>
        <w:rPr>
          <w:rFonts w:ascii="宋体" w:hAnsi="宋体"/>
          <w:bCs/>
          <w:szCs w:val="21"/>
        </w:rPr>
      </w:pPr>
      <w:r>
        <w:rPr>
          <w:rFonts w:hint="eastAsia" w:ascii="宋体" w:hAnsi="宋体"/>
          <w:bCs/>
          <w:szCs w:val="21"/>
        </w:rPr>
        <w:t>16.2投标报价具体包括内容详见“投标人须知前附表”。</w:t>
      </w:r>
    </w:p>
    <w:p w14:paraId="6C583AB6">
      <w:pPr>
        <w:spacing w:line="360" w:lineRule="auto"/>
        <w:ind w:firstLine="420" w:firstLineChars="200"/>
        <w:rPr>
          <w:rFonts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29D1B5F4">
      <w:pPr>
        <w:spacing w:line="360" w:lineRule="auto"/>
        <w:ind w:firstLine="480" w:firstLineChars="200"/>
        <w:rPr>
          <w:rFonts w:ascii="黑体" w:hAnsi="黑体" w:eastAsia="黑体"/>
          <w:sz w:val="24"/>
        </w:rPr>
      </w:pPr>
      <w:r>
        <w:rPr>
          <w:rFonts w:hint="eastAsia" w:ascii="黑体" w:hAnsi="黑体" w:eastAsia="黑体"/>
          <w:sz w:val="24"/>
        </w:rPr>
        <w:t>17.投标有效期</w:t>
      </w:r>
    </w:p>
    <w:p w14:paraId="699CF086">
      <w:pPr>
        <w:spacing w:line="360" w:lineRule="auto"/>
        <w:ind w:firstLine="420" w:firstLineChars="200"/>
        <w:rPr>
          <w:rFonts w:ascii="宋体" w:hAnsi="宋体"/>
          <w:bCs/>
          <w:szCs w:val="21"/>
        </w:rPr>
      </w:pPr>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74595F49">
      <w:pPr>
        <w:spacing w:line="360" w:lineRule="auto"/>
        <w:ind w:firstLine="420" w:firstLineChars="200"/>
        <w:rPr>
          <w:rFonts w:ascii="宋体" w:hAnsi="宋体"/>
          <w:bCs/>
          <w:szCs w:val="21"/>
        </w:rPr>
      </w:pPr>
      <w:r>
        <w:rPr>
          <w:rFonts w:hint="eastAsia" w:ascii="宋体" w:hAnsi="宋体"/>
          <w:bCs/>
          <w:szCs w:val="21"/>
        </w:rPr>
        <w:t>17.2投标有效期应按规定的期限作出承诺，具体详见“投标人须知前附表”。</w:t>
      </w:r>
    </w:p>
    <w:p w14:paraId="5BB93E7E">
      <w:pPr>
        <w:spacing w:line="360" w:lineRule="auto"/>
        <w:ind w:firstLine="420" w:firstLineChars="200"/>
        <w:rPr>
          <w:rFonts w:ascii="宋体" w:hAnsi="宋体"/>
          <w:bCs/>
          <w:szCs w:val="21"/>
        </w:rPr>
      </w:pPr>
      <w:r>
        <w:rPr>
          <w:rFonts w:hint="eastAsia" w:ascii="宋体" w:hAnsi="宋体"/>
          <w:bCs/>
          <w:szCs w:val="21"/>
        </w:rPr>
        <w:t>17.3投标人的投标文件在投标有效期内均保持有效。</w:t>
      </w:r>
    </w:p>
    <w:p w14:paraId="445D0E64">
      <w:pPr>
        <w:spacing w:line="360" w:lineRule="auto"/>
        <w:ind w:firstLine="480" w:firstLineChars="200"/>
        <w:rPr>
          <w:rFonts w:ascii="黑体" w:hAnsi="黑体" w:eastAsia="黑体"/>
          <w:sz w:val="24"/>
        </w:rPr>
      </w:pPr>
      <w:r>
        <w:rPr>
          <w:rFonts w:hint="eastAsia" w:ascii="黑体" w:hAnsi="黑体" w:eastAsia="黑体"/>
          <w:sz w:val="24"/>
        </w:rPr>
        <w:t>18.投标保证金</w:t>
      </w:r>
    </w:p>
    <w:p w14:paraId="5F224093">
      <w:pPr>
        <w:spacing w:line="360" w:lineRule="auto"/>
        <w:ind w:firstLine="420" w:firstLineChars="200"/>
        <w:rPr>
          <w:rFonts w:ascii="宋体" w:hAnsi="宋体"/>
          <w:bCs/>
          <w:szCs w:val="21"/>
        </w:rPr>
      </w:pPr>
      <w:r>
        <w:rPr>
          <w:rFonts w:hint="eastAsia" w:ascii="宋体" w:hAnsi="宋体"/>
          <w:bCs/>
          <w:szCs w:val="21"/>
        </w:rPr>
        <w:t>见“投标人须知前附表”。</w:t>
      </w:r>
    </w:p>
    <w:p w14:paraId="32C2C60C">
      <w:pPr>
        <w:spacing w:line="360" w:lineRule="auto"/>
        <w:ind w:firstLine="480" w:firstLineChars="200"/>
        <w:rPr>
          <w:rFonts w:ascii="黑体" w:hAnsi="黑体" w:eastAsia="黑体"/>
          <w:sz w:val="24"/>
        </w:rPr>
      </w:pPr>
      <w:r>
        <w:rPr>
          <w:rFonts w:hint="eastAsia" w:ascii="黑体" w:hAnsi="黑体" w:eastAsia="黑体"/>
          <w:sz w:val="24"/>
        </w:rPr>
        <w:t>19.投标文件的编制</w:t>
      </w:r>
    </w:p>
    <w:p w14:paraId="2F4F6BAD">
      <w:pPr>
        <w:spacing w:line="360" w:lineRule="auto"/>
        <w:ind w:firstLine="420" w:firstLineChars="200"/>
        <w:rPr>
          <w:rFonts w:hAnsi="宋体"/>
          <w:szCs w:val="21"/>
        </w:rPr>
      </w:pPr>
      <w:r>
        <w:rPr>
          <w:rFonts w:hAnsi="宋体"/>
          <w:szCs w:val="21"/>
        </w:rPr>
        <w:t>19.1</w:t>
      </w:r>
      <w:r>
        <w:rPr>
          <w:rFonts w:hint="eastAsia" w:hAnsi="宋体"/>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p>
    <w:p w14:paraId="4C47B6C1">
      <w:pPr>
        <w:adjustRightInd w:val="0"/>
        <w:snapToGrid w:val="0"/>
        <w:spacing w:line="360" w:lineRule="auto"/>
        <w:ind w:firstLine="420" w:firstLineChars="200"/>
        <w:rPr>
          <w:rFonts w:hAnsi="宋体"/>
          <w:szCs w:val="21"/>
        </w:rPr>
      </w:pPr>
      <w:r>
        <w:rPr>
          <w:rFonts w:hAnsi="宋体"/>
          <w:szCs w:val="21"/>
        </w:rPr>
        <w:t>19.2</w:t>
      </w:r>
      <w:r>
        <w:rPr>
          <w:rFonts w:hint="eastAsia" w:hAnsi="宋体"/>
          <w:szCs w:val="21"/>
        </w:rPr>
        <w:t>投标文件按照招标文件第六章格式要求在规定位置进行签署、盖章。投标人的投标文件未按照招标文件要求签署、盖章的，</w:t>
      </w:r>
      <w:r>
        <w:rPr>
          <w:rFonts w:hint="eastAsia" w:hAnsi="宋体"/>
          <w:b/>
          <w:szCs w:val="21"/>
        </w:rPr>
        <w:t>其投标无效。</w:t>
      </w:r>
      <w:r>
        <w:rPr>
          <w:rFonts w:hint="eastAsia" w:hAnsi="宋体"/>
          <w:szCs w:val="21"/>
        </w:rPr>
        <w:t>骑缝盖公章不视为在规定位置盖章。</w:t>
      </w:r>
    </w:p>
    <w:p w14:paraId="44EA45C0">
      <w:pPr>
        <w:adjustRightInd w:val="0"/>
        <w:snapToGrid w:val="0"/>
        <w:spacing w:line="360" w:lineRule="auto"/>
        <w:ind w:firstLine="420" w:firstLineChars="200"/>
        <w:rPr>
          <w:rFonts w:hAnsi="宋体"/>
          <w:szCs w:val="21"/>
        </w:rPr>
      </w:pPr>
      <w:r>
        <w:rPr>
          <w:rFonts w:hAnsi="宋体"/>
          <w:szCs w:val="21"/>
        </w:rPr>
        <w:t>19.3</w:t>
      </w:r>
      <w:r>
        <w:rPr>
          <w:rFonts w:hint="eastAsia" w:hAnsi="宋体"/>
          <w:szCs w:val="21"/>
        </w:rPr>
        <w:t>为确保网上操作合法、有效和安全，投标人应当在投标截止时间前完成在“广西政府采购云平台”的身份认证，确保在电子投标过程中能够对相关数据电文进行加密和使用电子签名。</w:t>
      </w:r>
    </w:p>
    <w:p w14:paraId="63CBF7B1">
      <w:pPr>
        <w:spacing w:line="360" w:lineRule="auto"/>
        <w:ind w:firstLine="422" w:firstLineChars="200"/>
        <w:rPr>
          <w:rFonts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1405574C">
      <w:pPr>
        <w:spacing w:line="360" w:lineRule="auto"/>
        <w:ind w:firstLine="420" w:firstLineChars="200"/>
        <w:rPr>
          <w:rFonts w:ascii="宋体" w:hAnsi="宋体" w:cs="宋体"/>
          <w:b/>
          <w:szCs w:val="21"/>
        </w:rPr>
      </w:pPr>
      <w:r>
        <w:rPr>
          <w:rFonts w:hAnsi="宋体"/>
          <w:szCs w:val="21"/>
        </w:rPr>
        <w:t xml:space="preserve"> 19.5</w:t>
      </w:r>
      <w:r>
        <w:rPr>
          <w:rFonts w:hint="eastAsia" w:hAnsi="宋体"/>
          <w:szCs w:val="21"/>
        </w:rPr>
        <w:t>投标文件应避免涂改、行间插字或者删除，</w:t>
      </w:r>
      <w:r>
        <w:rPr>
          <w:rFonts w:hint="eastAsia" w:ascii="宋体" w:hAnsi="宋体" w:cs="宋体"/>
          <w:b/>
          <w:szCs w:val="21"/>
        </w:rPr>
        <w:t>否则其投标无效。</w:t>
      </w:r>
    </w:p>
    <w:p w14:paraId="33F5E8ED">
      <w:pPr>
        <w:spacing w:line="360" w:lineRule="auto"/>
        <w:ind w:firstLine="520" w:firstLineChars="248"/>
        <w:rPr>
          <w:rFonts w:hAnsi="宋体"/>
        </w:rPr>
      </w:pPr>
      <w:r>
        <w:rPr>
          <w:rFonts w:hAnsi="宋体"/>
        </w:rPr>
        <w:t xml:space="preserve">19.6 </w:t>
      </w:r>
      <w:r>
        <w:rPr>
          <w:rFonts w:hint="eastAsia" w:hAnsi="宋体"/>
        </w:rPr>
        <w:t>对招标文件的实质性要求和条件作出响应是指投标人必须对招标文件中标注为实质性要求和条件的</w:t>
      </w:r>
      <w:r>
        <w:rPr>
          <w:rFonts w:hint="eastAsia"/>
          <w:szCs w:val="21"/>
        </w:rPr>
        <w:t>货物内容及要求</w:t>
      </w:r>
      <w:r>
        <w:rPr>
          <w:rFonts w:hint="eastAsia" w:hAnsi="宋体"/>
        </w:rPr>
        <w:t>、商务条款及其它内容</w:t>
      </w:r>
      <w:r>
        <w:rPr>
          <w:rFonts w:hint="eastAsia"/>
          <w:b/>
        </w:rPr>
        <w:t>作出满足或者优于原要求和条件的承诺</w:t>
      </w:r>
      <w:r>
        <w:rPr>
          <w:rFonts w:hint="eastAsia"/>
        </w:rPr>
        <w:t>。</w:t>
      </w:r>
    </w:p>
    <w:p w14:paraId="117287F3">
      <w:pPr>
        <w:spacing w:line="360" w:lineRule="auto"/>
        <w:ind w:firstLine="422" w:firstLineChars="200"/>
        <w:rPr>
          <w:rFonts w:ascii="宋体" w:hAnsi="宋体"/>
          <w:b/>
          <w:szCs w:val="21"/>
          <w:u w:val="single"/>
        </w:rPr>
      </w:pPr>
      <w:r>
        <w:rPr>
          <w:rFonts w:hint="eastAsia" w:ascii="宋体" w:hAnsi="宋体"/>
          <w:b/>
          <w:szCs w:val="21"/>
          <w:u w:val="single"/>
        </w:rPr>
        <w:t>19.7本项目为南宁市全流程电子化项目，异常情况见“第二节投标人须知正文”中“四、24.2开标程序。</w:t>
      </w:r>
    </w:p>
    <w:p w14:paraId="124E5AAF">
      <w:pPr>
        <w:spacing w:line="360" w:lineRule="auto"/>
        <w:ind w:firstLine="480" w:firstLineChars="200"/>
        <w:rPr>
          <w:rFonts w:ascii="黑体" w:hAnsi="黑体" w:eastAsia="黑体"/>
          <w:sz w:val="24"/>
        </w:rPr>
      </w:pPr>
      <w:r>
        <w:rPr>
          <w:rFonts w:hint="eastAsia" w:ascii="黑体" w:hAnsi="黑体" w:eastAsia="黑体"/>
          <w:sz w:val="24"/>
        </w:rPr>
        <w:t>20.备份投标文件</w:t>
      </w:r>
    </w:p>
    <w:p w14:paraId="7357DBD1">
      <w:pPr>
        <w:spacing w:line="360" w:lineRule="auto"/>
        <w:ind w:firstLine="420" w:firstLineChars="200"/>
        <w:rPr>
          <w:rFonts w:ascii="黑体" w:hAnsi="黑体" w:eastAsia="黑体"/>
          <w:sz w:val="24"/>
        </w:rPr>
      </w:pPr>
      <w:r>
        <w:rPr>
          <w:rFonts w:hint="eastAsia" w:hAnsi="宋体"/>
          <w:bCs/>
          <w:szCs w:val="21"/>
        </w:rPr>
        <w:t>详见在“投标人须知前附表”。</w:t>
      </w:r>
    </w:p>
    <w:p w14:paraId="6180896B">
      <w:pPr>
        <w:spacing w:line="360" w:lineRule="auto"/>
        <w:ind w:firstLine="480" w:firstLineChars="200"/>
        <w:rPr>
          <w:rFonts w:ascii="黑体" w:hAnsi="黑体" w:eastAsia="黑体"/>
          <w:sz w:val="24"/>
        </w:rPr>
      </w:pPr>
      <w:r>
        <w:rPr>
          <w:rFonts w:hint="eastAsia" w:ascii="黑体" w:hAnsi="黑体" w:eastAsia="黑体"/>
          <w:sz w:val="24"/>
        </w:rPr>
        <w:t>21.投标文件的提交</w:t>
      </w:r>
    </w:p>
    <w:p w14:paraId="095FC1F5">
      <w:pPr>
        <w:spacing w:line="360" w:lineRule="auto"/>
        <w:ind w:firstLine="420" w:firstLineChars="200"/>
        <w:rPr>
          <w:rFonts w:hAnsi="宋体"/>
          <w:b/>
        </w:rPr>
      </w:pPr>
      <w:r>
        <w:rPr>
          <w:rFonts w:hAnsi="宋体"/>
          <w:bCs/>
          <w:szCs w:val="21"/>
        </w:rPr>
        <w:t>21.1</w:t>
      </w:r>
      <w:r>
        <w:rPr>
          <w:rFonts w:hint="eastAsia" w:hAnsi="宋体"/>
          <w:bCs/>
          <w:szCs w:val="21"/>
        </w:rPr>
        <w:t>投标人必须在“投标人须知前附表”规定的投标文件接收时间和投标地点提交电子版投标文件。电子投标文件应在制作完成后，在投标截止时间前通过有效数字证书（</w:t>
      </w:r>
      <w:r>
        <w:rPr>
          <w:rFonts w:hAnsi="宋体"/>
          <w:bCs/>
          <w:szCs w:val="21"/>
        </w:rPr>
        <w:t>CA</w:t>
      </w:r>
      <w:r>
        <w:rPr>
          <w:rFonts w:hint="eastAsia" w:hAnsi="宋体"/>
          <w:bCs/>
          <w:szCs w:val="21"/>
        </w:rPr>
        <w:t xml:space="preserve">认证锁）进行电子签章、加密，然后通过网络将加密的电子投标文件递交至“广西政府采购云平台”。 </w:t>
      </w:r>
      <w:r>
        <w:rPr>
          <w:rFonts w:hint="eastAsia" w:hAnsi="宋体"/>
          <w:b/>
        </w:rPr>
        <w:t xml:space="preserve"> </w:t>
      </w:r>
    </w:p>
    <w:p w14:paraId="6664C619">
      <w:pPr>
        <w:spacing w:line="360" w:lineRule="auto"/>
        <w:ind w:firstLine="422" w:firstLineChars="200"/>
        <w:rPr>
          <w:rFonts w:ascii="宋体" w:hAnsi="宋体"/>
          <w:b/>
          <w:szCs w:val="20"/>
        </w:rPr>
      </w:pPr>
      <w:r>
        <w:rPr>
          <w:rFonts w:hint="eastAsia" w:ascii="宋体" w:hAnsi="宋体"/>
          <w:b/>
          <w:szCs w:val="21"/>
        </w:rPr>
        <w:t>21.2未在规定时间内提交或者未按照招标文件要求密封或者标记的电子投标文件，“广西政府采购云平台”将拒收。</w:t>
      </w:r>
    </w:p>
    <w:p w14:paraId="1B85B24D">
      <w:pPr>
        <w:spacing w:line="360" w:lineRule="auto"/>
        <w:ind w:firstLine="420" w:firstLineChars="200"/>
        <w:rPr>
          <w:rFonts w:ascii="宋体" w:hAnsi="宋体"/>
          <w:szCs w:val="21"/>
        </w:rPr>
      </w:pPr>
      <w:r>
        <w:rPr>
          <w:rFonts w:hint="eastAsia" w:ascii="宋体" w:hAnsi="宋体"/>
          <w:szCs w:val="21"/>
        </w:rPr>
        <w:t>21.3电子版投标文件提交方式见“招标公告”中“四、提交投标文件截止时间、开标时间和地点”</w:t>
      </w:r>
      <w:r>
        <w:rPr>
          <w:rFonts w:hint="eastAsia" w:ascii="宋体" w:hAnsi="宋体"/>
          <w:b/>
          <w:szCs w:val="21"/>
        </w:rPr>
        <w:t>。</w:t>
      </w:r>
    </w:p>
    <w:p w14:paraId="461C5E8B">
      <w:pPr>
        <w:spacing w:line="360" w:lineRule="auto"/>
        <w:ind w:firstLine="480" w:firstLineChars="200"/>
        <w:rPr>
          <w:rFonts w:ascii="黑体" w:hAnsi="黑体" w:eastAsia="黑体"/>
          <w:sz w:val="24"/>
        </w:rPr>
      </w:pPr>
      <w:r>
        <w:rPr>
          <w:rFonts w:hint="eastAsia" w:ascii="黑体" w:hAnsi="黑体" w:eastAsia="黑体"/>
          <w:sz w:val="24"/>
        </w:rPr>
        <w:t>22. 投标文件的补充、修改、撤回与退回</w:t>
      </w:r>
    </w:p>
    <w:p w14:paraId="58074429">
      <w:pPr>
        <w:spacing w:line="360" w:lineRule="auto"/>
        <w:ind w:firstLine="420" w:firstLineChars="200"/>
        <w:rPr>
          <w:rFonts w:ascii="黑体" w:hAnsi="黑体" w:eastAsia="黑体"/>
          <w:sz w:val="24"/>
        </w:rPr>
      </w:pPr>
      <w:r>
        <w:rPr>
          <w:rFonts w:hint="eastAsia" w:ascii="宋体" w:hAnsi="宋体" w:cs="宋体"/>
          <w:szCs w:val="21"/>
        </w:rPr>
        <w:t>22.1 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D628432">
      <w:pPr>
        <w:adjustRightInd w:val="0"/>
        <w:spacing w:line="360" w:lineRule="auto"/>
        <w:ind w:firstLine="420" w:firstLineChars="200"/>
        <w:rPr>
          <w:rFonts w:ascii="宋体" w:hAnsi="宋体" w:cs="宋体"/>
          <w:szCs w:val="21"/>
        </w:rPr>
      </w:pPr>
      <w:r>
        <w:rPr>
          <w:rFonts w:hint="eastAsia" w:ascii="宋体" w:hAnsi="宋体" w:cs="宋体"/>
          <w:szCs w:val="21"/>
        </w:rPr>
        <w:t>22.2“广西政府采购云平台”收到投标文件，将妥善保存并即时向投标人发出确认回执通知。在投标截止时间前，除投标人补充、修改或者撤回投标文件外，任何单位和个人不得解密或提取投标文件。</w:t>
      </w:r>
    </w:p>
    <w:p w14:paraId="7DE8BCB9">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22.3在投标截止时间止提交电子版投标文件的投标人不足3家时，电子版投标文件由代理机构在“广西政府采购云平台”平台操作退回，除此之外采购人和采购代理机构对已提交的投标文件概不退回。</w:t>
      </w:r>
    </w:p>
    <w:p w14:paraId="2F56C24D">
      <w:pPr>
        <w:snapToGrid w:val="0"/>
        <w:spacing w:line="400" w:lineRule="exact"/>
        <w:ind w:firstLine="739"/>
        <w:rPr>
          <w:rFonts w:ascii="宋体" w:hAnsi="宋体"/>
          <w:snapToGrid w:val="0"/>
          <w:spacing w:val="-4"/>
          <w:szCs w:val="21"/>
        </w:rPr>
      </w:pPr>
    </w:p>
    <w:p w14:paraId="4177903A">
      <w:pPr>
        <w:spacing w:line="400" w:lineRule="exact"/>
        <w:ind w:firstLine="643" w:firstLineChars="200"/>
        <w:jc w:val="center"/>
        <w:outlineLvl w:val="2"/>
        <w:rPr>
          <w:b/>
          <w:bCs/>
          <w:sz w:val="32"/>
          <w:szCs w:val="32"/>
        </w:rPr>
      </w:pPr>
      <w:bookmarkStart w:id="32" w:name="_Toc89075997"/>
      <w:bookmarkStart w:id="33" w:name="_Toc5909"/>
      <w:bookmarkStart w:id="34" w:name="_Toc22094"/>
      <w:bookmarkStart w:id="35" w:name="_Toc110956112"/>
      <w:r>
        <w:rPr>
          <w:rFonts w:hint="eastAsia"/>
          <w:b/>
          <w:bCs/>
          <w:sz w:val="32"/>
          <w:szCs w:val="32"/>
        </w:rPr>
        <w:t>四、开标</w:t>
      </w:r>
      <w:bookmarkEnd w:id="32"/>
      <w:bookmarkEnd w:id="33"/>
      <w:bookmarkEnd w:id="34"/>
      <w:bookmarkEnd w:id="35"/>
    </w:p>
    <w:p w14:paraId="74F6FE60">
      <w:pPr>
        <w:spacing w:line="360" w:lineRule="auto"/>
        <w:ind w:firstLine="480" w:firstLineChars="200"/>
        <w:rPr>
          <w:rFonts w:ascii="黑体" w:hAnsi="黑体" w:eastAsia="黑体"/>
          <w:sz w:val="24"/>
        </w:rPr>
      </w:pPr>
      <w:r>
        <w:rPr>
          <w:rFonts w:hint="eastAsia" w:ascii="黑体" w:hAnsi="黑体" w:eastAsia="黑体"/>
          <w:sz w:val="24"/>
        </w:rPr>
        <w:t>23.开标时间和地点</w:t>
      </w:r>
    </w:p>
    <w:p w14:paraId="2E31CEF7">
      <w:pPr>
        <w:spacing w:line="360" w:lineRule="auto"/>
        <w:ind w:firstLine="420" w:firstLineChars="200"/>
        <w:rPr>
          <w:rFonts w:hAnsi="宋体"/>
          <w:bCs/>
        </w:rPr>
      </w:pPr>
      <w:r>
        <w:rPr>
          <w:rFonts w:hAnsi="宋体"/>
          <w:bCs/>
        </w:rPr>
        <w:t>23.1</w:t>
      </w:r>
      <w:r>
        <w:rPr>
          <w:rFonts w:hint="eastAsia" w:hAnsi="宋体"/>
          <w:bCs/>
        </w:rPr>
        <w:t>开标时间及地点详见“投标人须知前附表”</w:t>
      </w:r>
    </w:p>
    <w:p w14:paraId="48C7393B">
      <w:pPr>
        <w:spacing w:line="360" w:lineRule="auto"/>
        <w:ind w:firstLine="420" w:firstLineChars="200"/>
      </w:pPr>
      <w:r>
        <w:rPr>
          <w:rFonts w:hAnsi="宋体"/>
        </w:rPr>
        <w:t>23.2</w:t>
      </w:r>
      <w:r>
        <w:rPr>
          <w:rFonts w:hint="eastAsia" w:hAnsi="宋体"/>
        </w:rPr>
        <w:t>如</w:t>
      </w:r>
      <w:r>
        <w:rPr>
          <w:rFonts w:hint="eastAsia" w:hAnsi="宋体"/>
          <w:bCs/>
        </w:rPr>
        <w:t>投标人成功解密投标文件，但未在</w:t>
      </w:r>
      <w:r>
        <w:rPr>
          <w:rFonts w:hint="eastAsia" w:ascii="宋体" w:hAnsi="宋体"/>
          <w:bCs/>
          <w:szCs w:val="21"/>
        </w:rPr>
        <w:t>“广西政府采购云平台”</w:t>
      </w:r>
      <w:r>
        <w:rPr>
          <w:rFonts w:hint="eastAsia" w:hAnsi="宋体"/>
          <w:bCs/>
        </w:rPr>
        <w:t>电子开标大厅参加开标的，视同认可开标过程和结果，</w:t>
      </w:r>
      <w:r>
        <w:rPr>
          <w:rFonts w:hint="eastAsia" w:hAnsi="宋体"/>
        </w:rPr>
        <w:t>由此产生的后果由投标人自行负责。</w:t>
      </w:r>
      <w:r>
        <w:rPr>
          <w:rFonts w:hint="eastAsia"/>
        </w:rPr>
        <w:t>投标人不足</w:t>
      </w:r>
      <w:r>
        <w:t>3</w:t>
      </w:r>
      <w:r>
        <w:rPr>
          <w:rFonts w:hint="eastAsia"/>
        </w:rPr>
        <w:t>家的，不得开标。</w:t>
      </w:r>
    </w:p>
    <w:p w14:paraId="0A6ECDF0">
      <w:pPr>
        <w:spacing w:line="360" w:lineRule="auto"/>
        <w:ind w:firstLine="480" w:firstLineChars="200"/>
        <w:rPr>
          <w:rFonts w:ascii="黑体" w:hAnsi="黑体" w:eastAsia="黑体"/>
          <w:sz w:val="24"/>
        </w:rPr>
      </w:pPr>
      <w:r>
        <w:rPr>
          <w:rFonts w:hint="eastAsia" w:ascii="黑体" w:hAnsi="黑体" w:eastAsia="黑体"/>
          <w:sz w:val="24"/>
        </w:rPr>
        <w:t>24.开标程序</w:t>
      </w:r>
    </w:p>
    <w:p w14:paraId="3FB39E69">
      <w:pPr>
        <w:autoSpaceDE w:val="0"/>
        <w:autoSpaceDN w:val="0"/>
        <w:adjustRightInd w:val="0"/>
        <w:spacing w:line="440" w:lineRule="exact"/>
        <w:ind w:firstLine="420" w:firstLineChars="200"/>
        <w:rPr>
          <w:rFonts w:ascii="宋体" w:hAnsi="宋体"/>
          <w:kern w:val="0"/>
          <w:szCs w:val="21"/>
        </w:rPr>
      </w:pPr>
      <w:r>
        <w:rPr>
          <w:rFonts w:hint="eastAsia" w:ascii="宋体" w:hAnsi="宋体"/>
          <w:bCs/>
          <w:szCs w:val="21"/>
        </w:rPr>
        <w:t>24.1</w:t>
      </w:r>
      <w:r>
        <w:rPr>
          <w:rFonts w:hint="eastAsia" w:ascii="宋体" w:hAnsi="宋体"/>
          <w:kern w:val="0"/>
          <w:szCs w:val="21"/>
        </w:rPr>
        <w:t>开标形式：</w:t>
      </w:r>
    </w:p>
    <w:p w14:paraId="7EB570C2">
      <w:pPr>
        <w:autoSpaceDE w:val="0"/>
        <w:autoSpaceDN w:val="0"/>
        <w:adjustRightInd w:val="0"/>
        <w:spacing w:line="440" w:lineRule="exact"/>
        <w:ind w:firstLine="420" w:firstLineChars="200"/>
        <w:rPr>
          <w:rFonts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4F1B9B17">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采购代理机构将按照招标文件规定的时间通过“广西政府采购云平台”组织线上开标活动、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4781114D">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24.2开标程序：</w:t>
      </w:r>
    </w:p>
    <w:p w14:paraId="1D826AAD">
      <w:pPr>
        <w:snapToGrid w:val="0"/>
        <w:spacing w:line="440" w:lineRule="exact"/>
        <w:ind w:firstLine="422" w:firstLineChars="200"/>
        <w:rPr>
          <w:rFonts w:ascii="宋体" w:hAnsi="宋体"/>
          <w:szCs w:val="21"/>
        </w:rPr>
      </w:pPr>
      <w:r>
        <w:rPr>
          <w:rFonts w:hint="eastAsia" w:ascii="宋体" w:hAnsi="宋体"/>
          <w:b/>
          <w:szCs w:val="21"/>
        </w:rPr>
        <w:t>（1）解密电子投标文件。</w:t>
      </w:r>
      <w:r>
        <w:rPr>
          <w:rFonts w:hint="eastAsia" w:ascii="宋体" w:hAnsi="宋体"/>
          <w:bCs/>
          <w:szCs w:val="21"/>
        </w:rPr>
        <w:t>“广西政府采购云平台”</w:t>
      </w:r>
      <w:r>
        <w:rPr>
          <w:rFonts w:hint="eastAsia" w:ascii="宋体" w:hAnsi="宋体" w:cs="仿宋_GB2312"/>
          <w:szCs w:val="21"/>
        </w:rPr>
        <w:t>按开标时间自动提取所有投标文件。采购代理机构依托</w:t>
      </w:r>
      <w:r>
        <w:rPr>
          <w:rFonts w:hint="eastAsia" w:ascii="宋体" w:hAnsi="宋体"/>
          <w:bCs/>
          <w:szCs w:val="21"/>
        </w:rPr>
        <w:t>“广西政府采购云平台”</w:t>
      </w:r>
      <w:r>
        <w:rPr>
          <w:rFonts w:hint="eastAsia" w:ascii="宋体" w:hAnsi="宋体"/>
          <w:szCs w:val="21"/>
        </w:rPr>
        <w:t>向各投标人发出电子加密投标文件【开始解密】通知，由投标人按招标文件规定的时间内自行进行投标文件解密。投标人的法定代表人或其委托代理人</w:t>
      </w:r>
      <w:r>
        <w:rPr>
          <w:rFonts w:hint="eastAsia" w:ascii="宋体" w:hAnsi="宋体"/>
          <w:b/>
          <w:szCs w:val="21"/>
        </w:rPr>
        <w:t>须携带加密时所用的CA锁准时登录到“广西政府采购云平台”电子开标大厅签到并对电子投标文件解密</w:t>
      </w:r>
      <w:r>
        <w:rPr>
          <w:rFonts w:hint="eastAsia" w:ascii="宋体" w:hAnsi="宋体"/>
          <w:szCs w:val="21"/>
        </w:rPr>
        <w:t>。开标后5分钟投标人还未进行解密的，代理机构要通知投标人。通知后，</w:t>
      </w:r>
      <w:r>
        <w:rPr>
          <w:rFonts w:hint="eastAsia" w:ascii="宋体" w:hAnsi="宋体" w:cs="仿宋_GB2312"/>
          <w:szCs w:val="21"/>
        </w:rPr>
        <w:t>投标文件仍未按时解密，</w:t>
      </w:r>
      <w:r>
        <w:rPr>
          <w:rFonts w:hint="eastAsia" w:ascii="宋体" w:hAnsi="宋体"/>
          <w:szCs w:val="21"/>
        </w:rPr>
        <w:t>或者投标人没预留联系方式或预留联系方式无效，导致代理机构无法联系到投标人进行解密的，</w:t>
      </w:r>
      <w:r>
        <w:rPr>
          <w:rFonts w:hint="eastAsia" w:ascii="宋体" w:hAnsi="宋体"/>
          <w:b/>
          <w:szCs w:val="21"/>
        </w:rPr>
        <w:t>均视为无效投标。</w:t>
      </w:r>
    </w:p>
    <w:p w14:paraId="56030E6D">
      <w:pPr>
        <w:snapToGrid w:val="0"/>
        <w:spacing w:line="440" w:lineRule="exact"/>
        <w:ind w:firstLine="420" w:firstLineChars="200"/>
        <w:rPr>
          <w:rFonts w:ascii="宋体" w:hAnsi="宋体"/>
          <w:szCs w:val="21"/>
        </w:rPr>
      </w:pPr>
      <w:r>
        <w:rPr>
          <w:rFonts w:hint="eastAsia" w:ascii="宋体" w:hAnsi="宋体"/>
          <w:szCs w:val="21"/>
        </w:rPr>
        <w:t>（解密</w:t>
      </w:r>
      <w:r>
        <w:rPr>
          <w:rFonts w:hint="eastAsia" w:ascii="宋体" w:hAnsi="宋体"/>
          <w:bCs/>
          <w:szCs w:val="21"/>
        </w:rPr>
        <w:t>异常情况处理：详见本章</w:t>
      </w:r>
      <w:r>
        <w:rPr>
          <w:rFonts w:hint="eastAsia" w:ascii="宋体" w:hAnsi="宋体"/>
          <w:szCs w:val="20"/>
        </w:rPr>
        <w:t>29.3 电子交易活动的中止。</w:t>
      </w:r>
      <w:r>
        <w:rPr>
          <w:rFonts w:hint="eastAsia" w:ascii="宋体" w:hAnsi="宋体"/>
          <w:szCs w:val="21"/>
        </w:rPr>
        <w:t>）</w:t>
      </w:r>
    </w:p>
    <w:p w14:paraId="0CB30F84">
      <w:pPr>
        <w:spacing w:line="360" w:lineRule="auto"/>
        <w:ind w:firstLine="420" w:firstLineChars="200"/>
        <w:rPr>
          <w:rFonts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投标文件解密结束，各投标人报价均在</w:t>
      </w:r>
      <w:r>
        <w:rPr>
          <w:rFonts w:hint="eastAsia" w:ascii="宋体" w:hAnsi="宋体"/>
          <w:bCs/>
          <w:szCs w:val="21"/>
        </w:rPr>
        <w:t>“广西政府采购云平台”</w:t>
      </w:r>
      <w:r>
        <w:rPr>
          <w:rFonts w:hint="eastAsia" w:ascii="宋体" w:hAnsi="宋体"/>
          <w:szCs w:val="21"/>
        </w:rPr>
        <w:t>远程不见面开标大厅展示；</w:t>
      </w:r>
    </w:p>
    <w:p w14:paraId="09632ADD">
      <w:pPr>
        <w:spacing w:line="360" w:lineRule="auto"/>
        <w:ind w:firstLine="420" w:firstLineChars="200"/>
        <w:rPr>
          <w:rFonts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1371FA54">
      <w:pPr>
        <w:spacing w:line="360" w:lineRule="auto"/>
        <w:ind w:firstLine="420" w:firstLineChars="200"/>
        <w:rPr>
          <w:rFonts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4C47F5D">
      <w:pPr>
        <w:spacing w:line="360" w:lineRule="auto"/>
        <w:ind w:firstLine="420" w:firstLineChars="200"/>
        <w:rPr>
          <w:rFonts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77F023C">
      <w:pPr>
        <w:spacing w:line="360" w:lineRule="auto"/>
        <w:ind w:firstLine="420" w:firstLineChars="200"/>
        <w:rPr>
          <w:rFonts w:ascii="宋体" w:hAnsi="宋体"/>
          <w:bCs/>
          <w:szCs w:val="21"/>
        </w:rPr>
      </w:pPr>
      <w:r>
        <w:rPr>
          <w:rFonts w:hint="eastAsia" w:ascii="宋体" w:hAnsi="宋体"/>
          <w:bCs/>
          <w:szCs w:val="21"/>
        </w:rPr>
        <w:t>（6）开标结束。</w:t>
      </w:r>
    </w:p>
    <w:p w14:paraId="6F744B08">
      <w:pPr>
        <w:snapToGrid w:val="0"/>
        <w:spacing w:line="440" w:lineRule="exact"/>
        <w:ind w:firstLine="422" w:firstLineChars="200"/>
        <w:rPr>
          <w:rFonts w:ascii="宋体" w:hAnsi="宋体"/>
          <w:szCs w:val="21"/>
        </w:rPr>
      </w:pPr>
      <w:r>
        <w:rPr>
          <w:rFonts w:hint="eastAsia" w:ascii="宋体" w:hAnsi="宋体"/>
          <w:b/>
          <w:bCs/>
          <w:szCs w:val="21"/>
        </w:rPr>
        <w:t>特别说明：</w:t>
      </w:r>
      <w:r>
        <w:rPr>
          <w:rFonts w:hint="eastAsia" w:ascii="宋体" w:hAnsi="宋体"/>
          <w:szCs w:val="21"/>
        </w:rPr>
        <w:t>如遇</w:t>
      </w:r>
      <w:r>
        <w:rPr>
          <w:rFonts w:hint="eastAsia" w:ascii="宋体" w:hAnsi="宋体"/>
          <w:bCs/>
          <w:szCs w:val="21"/>
        </w:rPr>
        <w:t>“广西政府采购云平台”</w:t>
      </w:r>
      <w:r>
        <w:rPr>
          <w:rFonts w:hint="eastAsia" w:ascii="宋体" w:hAnsi="宋体"/>
          <w:szCs w:val="21"/>
        </w:rPr>
        <w:t>电子化开标或评审程序调整的，按调整后执行。</w:t>
      </w:r>
    </w:p>
    <w:p w14:paraId="583EC4CE">
      <w:pPr>
        <w:snapToGrid w:val="0"/>
        <w:spacing w:line="400" w:lineRule="exact"/>
        <w:ind w:left="689" w:leftChars="228" w:hanging="210" w:hangingChars="100"/>
        <w:rPr>
          <w:rFonts w:ascii="宋体" w:hAnsi="宋体"/>
          <w:szCs w:val="20"/>
        </w:rPr>
      </w:pPr>
    </w:p>
    <w:p w14:paraId="7F7CB67F">
      <w:pPr>
        <w:spacing w:line="400" w:lineRule="exact"/>
        <w:ind w:firstLine="643" w:firstLineChars="200"/>
        <w:jc w:val="center"/>
        <w:outlineLvl w:val="2"/>
        <w:rPr>
          <w:b/>
          <w:bCs/>
          <w:sz w:val="32"/>
          <w:szCs w:val="32"/>
        </w:rPr>
      </w:pPr>
      <w:bookmarkStart w:id="36" w:name="_Toc25923"/>
      <w:bookmarkStart w:id="37" w:name="_Toc89075998"/>
      <w:bookmarkStart w:id="38" w:name="_Toc12685"/>
      <w:bookmarkStart w:id="39" w:name="_Toc110956113"/>
      <w:r>
        <w:rPr>
          <w:rFonts w:hint="eastAsia"/>
          <w:b/>
          <w:bCs/>
          <w:sz w:val="32"/>
          <w:szCs w:val="32"/>
        </w:rPr>
        <w:t>五、资格审查</w:t>
      </w:r>
      <w:bookmarkEnd w:id="36"/>
      <w:bookmarkEnd w:id="37"/>
      <w:bookmarkEnd w:id="38"/>
      <w:bookmarkEnd w:id="39"/>
    </w:p>
    <w:p w14:paraId="1741BD85">
      <w:pPr>
        <w:spacing w:line="360" w:lineRule="auto"/>
        <w:ind w:firstLine="482" w:firstLineChars="200"/>
        <w:rPr>
          <w:rFonts w:ascii="黑体" w:hAnsi="黑体" w:eastAsia="黑体"/>
          <w:b/>
          <w:bCs/>
          <w:sz w:val="24"/>
          <w:szCs w:val="28"/>
        </w:rPr>
      </w:pPr>
      <w:r>
        <w:rPr>
          <w:rFonts w:hint="eastAsia" w:ascii="黑体" w:hAnsi="黑体" w:eastAsia="黑体"/>
          <w:b/>
          <w:bCs/>
          <w:sz w:val="24"/>
          <w:szCs w:val="28"/>
        </w:rPr>
        <w:t>25.资格审查</w:t>
      </w:r>
    </w:p>
    <w:p w14:paraId="2C0BA15C">
      <w:pPr>
        <w:spacing w:line="360" w:lineRule="auto"/>
        <w:ind w:firstLine="422" w:firstLineChars="200"/>
        <w:rPr>
          <w:rFonts w:ascii="宋体" w:hAnsi="宋体"/>
          <w:b/>
          <w:bCs/>
          <w:szCs w:val="20"/>
        </w:rPr>
      </w:pPr>
      <w:r>
        <w:rPr>
          <w:rFonts w:hint="eastAsia" w:ascii="宋体" w:hAnsi="宋体"/>
          <w:b/>
          <w:bCs/>
          <w:szCs w:val="20"/>
        </w:rPr>
        <w:t xml:space="preserve"> 25.1开标结束后，采购人或采购机构依法通过电子投标文件对投标人的资格进行线上审查。</w:t>
      </w:r>
    </w:p>
    <w:p w14:paraId="1AD4899C">
      <w:pPr>
        <w:spacing w:line="360" w:lineRule="auto"/>
        <w:ind w:firstLine="422" w:firstLineChars="200"/>
        <w:rPr>
          <w:rFonts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59B94985">
      <w:pPr>
        <w:spacing w:line="360" w:lineRule="auto"/>
        <w:ind w:firstLine="420" w:firstLineChars="200"/>
        <w:rPr>
          <w:rFonts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0547FBCC">
      <w:pPr>
        <w:spacing w:line="360" w:lineRule="auto"/>
        <w:ind w:firstLine="422" w:firstLineChars="200"/>
        <w:rPr>
          <w:rFonts w:ascii="宋体" w:hAnsi="宋体"/>
          <w:b/>
          <w:bCs/>
          <w:szCs w:val="20"/>
        </w:rPr>
      </w:pPr>
      <w:r>
        <w:rPr>
          <w:rFonts w:hint="eastAsia" w:ascii="宋体" w:hAnsi="宋体"/>
          <w:b/>
          <w:bCs/>
          <w:szCs w:val="20"/>
        </w:rPr>
        <w:t>25.4投标人有下列情形之一的，资格审查不通过，作无效投标处理：</w:t>
      </w:r>
    </w:p>
    <w:p w14:paraId="340A3580">
      <w:pPr>
        <w:spacing w:line="360" w:lineRule="auto"/>
        <w:ind w:firstLine="420" w:firstLineChars="200"/>
        <w:rPr>
          <w:rFonts w:hAnsi="宋体"/>
        </w:rPr>
      </w:pPr>
      <w:r>
        <w:rPr>
          <w:rFonts w:hint="eastAsia" w:hAnsi="宋体"/>
        </w:rPr>
        <w:t>（</w:t>
      </w:r>
      <w:r>
        <w:rPr>
          <w:rFonts w:hAnsi="宋体"/>
        </w:rPr>
        <w:t>1</w:t>
      </w:r>
      <w:r>
        <w:rPr>
          <w:rFonts w:hint="eastAsia" w:hAnsi="宋体"/>
        </w:rPr>
        <w:t>）不具备招标文件中规定的资格要求的；（注：其中信用查询规则见“投标人须知前附表”，“广西政府采购云平台”已与“信用中国”平台做接口，审查专家可直接在线查询）</w:t>
      </w:r>
    </w:p>
    <w:p w14:paraId="024FDAD6">
      <w:pPr>
        <w:spacing w:line="360" w:lineRule="auto"/>
        <w:ind w:firstLine="420" w:firstLineChars="200"/>
        <w:rPr>
          <w:rFonts w:hAnsi="宋体"/>
        </w:rPr>
      </w:pPr>
      <w:r>
        <w:rPr>
          <w:rFonts w:hint="eastAsia" w:hAnsi="宋体"/>
        </w:rPr>
        <w:t>（</w:t>
      </w:r>
      <w:r>
        <w:rPr>
          <w:rFonts w:hAnsi="宋体"/>
        </w:rPr>
        <w:t>2</w:t>
      </w:r>
      <w:r>
        <w:rPr>
          <w:rFonts w:hint="eastAsia" w:hAnsi="宋体"/>
        </w:rPr>
        <w:t>）投标文件未提供任一项“投标人须知前附表”资格证明文件规定的“必须提供”的文件资料的；</w:t>
      </w:r>
    </w:p>
    <w:p w14:paraId="6E68C4EF">
      <w:pPr>
        <w:spacing w:line="360" w:lineRule="auto"/>
        <w:ind w:firstLine="420" w:firstLineChars="200"/>
        <w:rPr>
          <w:rFonts w:hAnsi="宋体"/>
        </w:rPr>
      </w:pPr>
      <w:r>
        <w:rPr>
          <w:rFonts w:hint="eastAsia" w:hAnsi="宋体"/>
        </w:rPr>
        <w:t>（</w:t>
      </w:r>
      <w:r>
        <w:rPr>
          <w:rFonts w:hAnsi="宋体"/>
        </w:rPr>
        <w:t>3</w:t>
      </w:r>
      <w:r>
        <w:rPr>
          <w:rFonts w:hint="eastAsia" w:hAnsi="宋体"/>
        </w:rPr>
        <w:t>）投标文件提供的资格证明文件出现任一项不符合“投标人须知前附表”资格证明文件规定的“必须提供”的文件资料要求或者无效的。</w:t>
      </w:r>
    </w:p>
    <w:p w14:paraId="788DB5AC">
      <w:pPr>
        <w:spacing w:line="360" w:lineRule="auto"/>
        <w:ind w:firstLine="420" w:firstLineChars="200"/>
        <w:rPr>
          <w:rFonts w:ascii="宋体" w:hAnsi="宋体"/>
          <w:szCs w:val="20"/>
        </w:rPr>
      </w:pPr>
      <w:r>
        <w:rPr>
          <w:rFonts w:hint="eastAsia" w:ascii="宋体" w:hAnsi="宋体"/>
          <w:szCs w:val="20"/>
        </w:rPr>
        <w:t>25.5资格审查的合格投标人不足3家的，不得评标。</w:t>
      </w:r>
    </w:p>
    <w:p w14:paraId="41794CBB">
      <w:pPr>
        <w:spacing w:line="360" w:lineRule="auto"/>
        <w:ind w:firstLine="643" w:firstLineChars="200"/>
        <w:jc w:val="center"/>
        <w:outlineLvl w:val="2"/>
        <w:rPr>
          <w:b/>
          <w:bCs/>
          <w:sz w:val="32"/>
          <w:szCs w:val="32"/>
        </w:rPr>
      </w:pPr>
      <w:bookmarkStart w:id="40" w:name="_Toc2217"/>
      <w:bookmarkStart w:id="41" w:name="_Toc110956114"/>
      <w:bookmarkStart w:id="42" w:name="_Toc7790"/>
      <w:bookmarkStart w:id="43" w:name="_Toc89075999"/>
      <w:r>
        <w:rPr>
          <w:rFonts w:hint="eastAsia"/>
          <w:b/>
          <w:bCs/>
          <w:sz w:val="32"/>
          <w:szCs w:val="32"/>
        </w:rPr>
        <w:t>六、评标</w:t>
      </w:r>
      <w:bookmarkEnd w:id="40"/>
      <w:bookmarkEnd w:id="41"/>
      <w:bookmarkEnd w:id="42"/>
      <w:bookmarkEnd w:id="43"/>
    </w:p>
    <w:p w14:paraId="7E32D200">
      <w:pPr>
        <w:spacing w:line="360" w:lineRule="auto"/>
        <w:ind w:firstLine="480" w:firstLineChars="200"/>
        <w:rPr>
          <w:rFonts w:ascii="黑体" w:hAnsi="黑体" w:eastAsia="黑体"/>
          <w:sz w:val="24"/>
        </w:rPr>
      </w:pPr>
      <w:r>
        <w:rPr>
          <w:rFonts w:hint="eastAsia" w:ascii="黑体" w:hAnsi="黑体" w:eastAsia="黑体"/>
          <w:sz w:val="24"/>
        </w:rPr>
        <w:t>26.组建评标委员会</w:t>
      </w:r>
    </w:p>
    <w:p w14:paraId="09B94265">
      <w:pPr>
        <w:spacing w:line="360" w:lineRule="auto"/>
        <w:ind w:firstLine="420" w:firstLineChars="200"/>
        <w:rPr>
          <w:rFonts w:hAnsi="宋体"/>
        </w:rPr>
      </w:pPr>
      <w:r>
        <w:rPr>
          <w:rFonts w:hint="eastAsia" w:hAnsi="宋体"/>
        </w:rPr>
        <w:t>评标委员会由采购人代表和评审专家组成，人数为</w:t>
      </w:r>
      <w:r>
        <w:rPr>
          <w:rFonts w:hAnsi="宋体"/>
        </w:rPr>
        <w:t>5</w:t>
      </w:r>
      <w:r>
        <w:rPr>
          <w:rFonts w:hint="eastAsia" w:hAnsi="宋体"/>
        </w:rPr>
        <w:t>人以上单数，其中评审专家不得少于成员总数的三分之二。</w:t>
      </w:r>
    </w:p>
    <w:p w14:paraId="5BA893C4">
      <w:pPr>
        <w:spacing w:line="360" w:lineRule="auto"/>
        <w:ind w:firstLine="420" w:firstLineChars="200"/>
        <w:rPr>
          <w:rFonts w:hAnsi="宋体"/>
        </w:rPr>
      </w:pPr>
      <w:r>
        <w:rPr>
          <w:rFonts w:hint="eastAsia" w:hAnsi="宋体"/>
        </w:rPr>
        <w:t>参加过采购项目前期咨询论证的专家，不得参加该采购项目的评审活动。</w:t>
      </w:r>
    </w:p>
    <w:p w14:paraId="56A94032">
      <w:pPr>
        <w:spacing w:line="360" w:lineRule="auto"/>
        <w:ind w:firstLine="480" w:firstLineChars="200"/>
        <w:rPr>
          <w:rFonts w:ascii="黑体" w:hAnsi="黑体" w:eastAsia="黑体"/>
          <w:sz w:val="24"/>
        </w:rPr>
      </w:pPr>
      <w:r>
        <w:rPr>
          <w:rFonts w:hint="eastAsia" w:ascii="黑体" w:hAnsi="黑体" w:eastAsia="黑体"/>
          <w:sz w:val="24"/>
        </w:rPr>
        <w:t>27.评标的依据</w:t>
      </w:r>
    </w:p>
    <w:p w14:paraId="4F9124D1">
      <w:pPr>
        <w:spacing w:line="360" w:lineRule="auto"/>
        <w:ind w:firstLine="420" w:firstLineChars="200"/>
        <w:rPr>
          <w:rFonts w:hAnsi="宋体"/>
        </w:rPr>
      </w:pPr>
      <w:r>
        <w:rPr>
          <w:rFonts w:hint="eastAsia" w:hAnsi="宋体"/>
        </w:rPr>
        <w:t>评标委员会以招标文件为依据对投标文件进行评审，</w:t>
      </w:r>
      <w:r>
        <w:rPr>
          <w:rFonts w:hint="eastAsia" w:hAnsi="宋体" w:cs="宋体"/>
        </w:rPr>
        <w:t>“第四章评标方法和评标标准”</w:t>
      </w:r>
      <w:r>
        <w:rPr>
          <w:rFonts w:hint="eastAsia" w:hAnsi="宋体"/>
        </w:rPr>
        <w:t>没有规定的方法、评审因素和标准，不作为评标依据。</w:t>
      </w:r>
    </w:p>
    <w:p w14:paraId="61BAC0D4">
      <w:pPr>
        <w:spacing w:line="360" w:lineRule="auto"/>
        <w:ind w:firstLine="480" w:firstLineChars="200"/>
        <w:rPr>
          <w:rFonts w:ascii="黑体" w:hAnsi="黑体" w:eastAsia="黑体"/>
          <w:sz w:val="24"/>
        </w:rPr>
      </w:pPr>
      <w:r>
        <w:rPr>
          <w:rFonts w:hint="eastAsia" w:ascii="黑体" w:hAnsi="黑体" w:eastAsia="黑体"/>
          <w:sz w:val="24"/>
        </w:rPr>
        <w:t>28.评标原则</w:t>
      </w:r>
    </w:p>
    <w:p w14:paraId="6A00FDA5">
      <w:pPr>
        <w:spacing w:line="360" w:lineRule="auto"/>
        <w:ind w:firstLine="420" w:firstLineChars="200"/>
        <w:rPr>
          <w:rFonts w:hAnsi="宋体"/>
        </w:rPr>
      </w:pPr>
      <w:r>
        <w:rPr>
          <w:rFonts w:hAnsi="宋体"/>
        </w:rPr>
        <w:t>28.1</w:t>
      </w:r>
      <w:r>
        <w:rPr>
          <w:rFonts w:hint="eastAsia" w:hAnsi="宋体"/>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3DCF0CE9">
      <w:pPr>
        <w:spacing w:line="360" w:lineRule="auto"/>
        <w:ind w:firstLine="420" w:firstLineChars="200"/>
        <w:rPr>
          <w:rFonts w:hAnsi="宋体"/>
        </w:rPr>
      </w:pPr>
      <w:r>
        <w:rPr>
          <w:rFonts w:hAnsi="宋体"/>
        </w:rPr>
        <w:t>28.2</w:t>
      </w:r>
      <w:r>
        <w:rPr>
          <w:rFonts w:hint="eastAsia" w:hAnsi="宋体"/>
        </w:rPr>
        <w:t>评委表决。在评标过程中出现法律法规和招标文件均没有明确规定的情形时，由评标委员会现场协商解决，协商不一致的，由全体评委投票表决，以得票率二分之一以上专家的意见为准并由采购代理机构作记录。</w:t>
      </w:r>
    </w:p>
    <w:p w14:paraId="6816B198">
      <w:pPr>
        <w:spacing w:line="360" w:lineRule="auto"/>
        <w:ind w:firstLine="420" w:firstLineChars="200"/>
        <w:rPr>
          <w:rFonts w:hAnsi="宋体"/>
        </w:rPr>
      </w:pPr>
      <w:r>
        <w:rPr>
          <w:rFonts w:hAnsi="宋体"/>
        </w:rPr>
        <w:t>28.3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DCBAB1F">
      <w:pPr>
        <w:spacing w:line="360" w:lineRule="auto"/>
        <w:ind w:firstLine="420" w:firstLineChars="200"/>
        <w:rPr>
          <w:rFonts w:hAnsi="宋体"/>
        </w:rPr>
      </w:pPr>
      <w:r>
        <w:rPr>
          <w:rFonts w:hAnsi="宋体"/>
        </w:rPr>
        <w:t>28.4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12AB251F">
      <w:pPr>
        <w:widowControl/>
        <w:spacing w:line="560" w:lineRule="exact"/>
        <w:ind w:firstLine="420" w:firstLineChars="200"/>
        <w:jc w:val="left"/>
        <w:textAlignment w:val="baseline"/>
        <w:rPr>
          <w:rFonts w:hAnsi="宋体"/>
        </w:rPr>
      </w:pPr>
      <w:r>
        <w:rPr>
          <w:rFonts w:hAnsi="宋体"/>
        </w:rPr>
        <w:t>28.5</w:t>
      </w:r>
      <w:r>
        <w:rPr>
          <w:rFonts w:hint="eastAsia" w:hAnsi="宋体"/>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33E3F2A">
      <w:pPr>
        <w:spacing w:line="360" w:lineRule="auto"/>
        <w:ind w:firstLine="480" w:firstLineChars="200"/>
        <w:rPr>
          <w:rFonts w:ascii="黑体" w:hAnsi="黑体" w:eastAsia="黑体"/>
          <w:sz w:val="24"/>
        </w:rPr>
      </w:pPr>
      <w:r>
        <w:rPr>
          <w:rFonts w:hint="eastAsia" w:ascii="黑体" w:hAnsi="黑体" w:eastAsia="黑体"/>
          <w:sz w:val="24"/>
        </w:rPr>
        <w:t>29.评标方法及评标标准</w:t>
      </w:r>
    </w:p>
    <w:p w14:paraId="7CB6226D">
      <w:pPr>
        <w:spacing w:line="360" w:lineRule="auto"/>
        <w:ind w:firstLine="420" w:firstLineChars="200"/>
        <w:rPr>
          <w:rFonts w:hAnsi="宋体"/>
        </w:rPr>
      </w:pPr>
      <w:r>
        <w:rPr>
          <w:rFonts w:hAnsi="宋体"/>
        </w:rPr>
        <w:t>29.1</w:t>
      </w:r>
      <w:r>
        <w:rPr>
          <w:rFonts w:hint="eastAsia" w:hAnsi="宋体"/>
        </w:rPr>
        <w:t>本项目的评标方法详见“投标人须知前附表”。</w:t>
      </w:r>
    </w:p>
    <w:p w14:paraId="0C9F2EFD">
      <w:pPr>
        <w:spacing w:line="360" w:lineRule="auto"/>
        <w:ind w:firstLine="420" w:firstLineChars="200"/>
        <w:rPr>
          <w:rFonts w:hAnsi="宋体"/>
        </w:rPr>
      </w:pPr>
      <w:r>
        <w:rPr>
          <w:rFonts w:hAnsi="宋体"/>
        </w:rPr>
        <w:t>29.2</w:t>
      </w:r>
      <w:r>
        <w:rPr>
          <w:rFonts w:hint="eastAsia" w:hAnsi="宋体"/>
        </w:rPr>
        <w:t>评标委员会按照</w:t>
      </w:r>
      <w:r>
        <w:rPr>
          <w:rFonts w:hint="eastAsia" w:hAnsi="宋体" w:cs="宋体"/>
          <w:b/>
        </w:rPr>
        <w:t>“第四章评标方法和评标标准”</w:t>
      </w:r>
      <w:r>
        <w:rPr>
          <w:rFonts w:hint="eastAsia" w:hAnsi="宋体"/>
        </w:rPr>
        <w:t>规定的方法、评审因素、标准和程序对投标文件进行评审。</w:t>
      </w:r>
    </w:p>
    <w:p w14:paraId="3AE8F8AB">
      <w:pPr>
        <w:spacing w:line="360" w:lineRule="auto"/>
        <w:ind w:firstLine="420" w:firstLineChars="200"/>
        <w:rPr>
          <w:rFonts w:hAnsi="宋体"/>
        </w:rPr>
      </w:pPr>
      <w:r>
        <w:rPr>
          <w:rFonts w:hAnsi="宋体"/>
        </w:rPr>
        <w:t xml:space="preserve">29.3 </w:t>
      </w:r>
      <w:r>
        <w:rPr>
          <w:rFonts w:hint="eastAsia" w:hAnsi="宋体"/>
        </w:rPr>
        <w:t>电子交易活动的中止。采购过程中出现以下情形，导致电子交易平台无法正常运行，或者无法保证电子交易的公平、公正和安全时，采购机构可中止电子交易活动：</w:t>
      </w:r>
    </w:p>
    <w:p w14:paraId="124798E3">
      <w:pPr>
        <w:spacing w:line="360" w:lineRule="auto"/>
        <w:ind w:firstLine="420" w:firstLineChars="200"/>
        <w:rPr>
          <w:rFonts w:hAnsi="宋体"/>
        </w:rPr>
      </w:pPr>
      <w:r>
        <w:rPr>
          <w:rFonts w:hint="eastAsia" w:hAnsi="宋体"/>
        </w:rPr>
        <w:t>（</w:t>
      </w:r>
      <w:r>
        <w:rPr>
          <w:rFonts w:hAnsi="宋体"/>
        </w:rPr>
        <w:t>1</w:t>
      </w:r>
      <w:r>
        <w:rPr>
          <w:rFonts w:hint="eastAsia" w:hAnsi="宋体"/>
        </w:rPr>
        <w:t>）电子交易平台发生故障而无法登录访问的；</w:t>
      </w:r>
    </w:p>
    <w:p w14:paraId="18708FA9">
      <w:pPr>
        <w:spacing w:line="360" w:lineRule="auto"/>
        <w:ind w:firstLine="420" w:firstLineChars="200"/>
        <w:rPr>
          <w:rFonts w:hAnsi="宋体"/>
        </w:rPr>
      </w:pPr>
      <w:r>
        <w:rPr>
          <w:rFonts w:hint="eastAsia" w:hAnsi="宋体"/>
        </w:rPr>
        <w:t>（</w:t>
      </w:r>
      <w:r>
        <w:rPr>
          <w:rFonts w:hAnsi="宋体"/>
        </w:rPr>
        <w:t>2</w:t>
      </w:r>
      <w:r>
        <w:rPr>
          <w:rFonts w:hint="eastAsia" w:hAnsi="宋体"/>
        </w:rPr>
        <w:t>）电子交易平台应用或数据库出现错误，不能进行正常操作的；</w:t>
      </w:r>
    </w:p>
    <w:p w14:paraId="64396ED0">
      <w:pPr>
        <w:spacing w:line="360" w:lineRule="auto"/>
        <w:ind w:firstLine="420" w:firstLineChars="200"/>
        <w:rPr>
          <w:rFonts w:hAnsi="宋体"/>
        </w:rPr>
      </w:pPr>
      <w:r>
        <w:rPr>
          <w:rFonts w:hint="eastAsia" w:hAnsi="宋体"/>
        </w:rPr>
        <w:t>（</w:t>
      </w:r>
      <w:r>
        <w:rPr>
          <w:rFonts w:hAnsi="宋体"/>
        </w:rPr>
        <w:t>3</w:t>
      </w:r>
      <w:r>
        <w:rPr>
          <w:rFonts w:hint="eastAsia" w:hAnsi="宋体"/>
        </w:rPr>
        <w:t>）电子交易平台发现严重安全漏洞，有潜在泄密危险的；</w:t>
      </w:r>
    </w:p>
    <w:p w14:paraId="3D237D67">
      <w:pPr>
        <w:spacing w:line="360" w:lineRule="auto"/>
        <w:ind w:firstLine="420" w:firstLineChars="200"/>
        <w:rPr>
          <w:rFonts w:hAnsi="宋体"/>
        </w:rPr>
      </w:pPr>
      <w:r>
        <w:rPr>
          <w:rFonts w:hint="eastAsia" w:hAnsi="宋体"/>
        </w:rPr>
        <w:t>（</w:t>
      </w:r>
      <w:r>
        <w:rPr>
          <w:rFonts w:hAnsi="宋体"/>
        </w:rPr>
        <w:t>4</w:t>
      </w:r>
      <w:r>
        <w:rPr>
          <w:rFonts w:hint="eastAsia" w:hAnsi="宋体"/>
        </w:rPr>
        <w:t>）病毒发作导致不能进行正常操作的；</w:t>
      </w:r>
    </w:p>
    <w:p w14:paraId="47F9A726">
      <w:pPr>
        <w:spacing w:line="360" w:lineRule="auto"/>
        <w:ind w:firstLine="420" w:firstLineChars="200"/>
        <w:rPr>
          <w:rFonts w:hAnsi="宋体"/>
        </w:rPr>
      </w:pPr>
      <w:r>
        <w:rPr>
          <w:rFonts w:hint="eastAsia" w:hAnsi="宋体"/>
        </w:rPr>
        <w:t>（</w:t>
      </w:r>
      <w:r>
        <w:rPr>
          <w:rFonts w:hAnsi="宋体"/>
        </w:rPr>
        <w:t>4</w:t>
      </w:r>
      <w:r>
        <w:rPr>
          <w:rFonts w:hint="eastAsia" w:hAnsi="宋体"/>
        </w:rPr>
        <w:t>）其他无法保证电子交易的公平、公正和安全的情况。</w:t>
      </w:r>
    </w:p>
    <w:p w14:paraId="28343BEA">
      <w:pPr>
        <w:spacing w:line="360" w:lineRule="auto"/>
        <w:ind w:firstLine="420" w:firstLineChars="200"/>
        <w:rPr>
          <w:rFonts w:hAnsi="宋体"/>
        </w:rPr>
      </w:pPr>
      <w:r>
        <w:rPr>
          <w:rFonts w:hAnsi="宋体"/>
        </w:rPr>
        <w:t>29.4</w:t>
      </w:r>
      <w:r>
        <w:rPr>
          <w:rFonts w:hint="eastAsia" w:hAnsi="宋体"/>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CBC7F29">
      <w:pPr>
        <w:snapToGrid w:val="0"/>
        <w:spacing w:line="400" w:lineRule="exact"/>
        <w:ind w:firstLine="420" w:firstLineChars="200"/>
        <w:rPr>
          <w:rFonts w:ascii="宋体" w:hAnsi="宋体"/>
          <w:szCs w:val="20"/>
        </w:rPr>
      </w:pPr>
    </w:p>
    <w:p w14:paraId="1324B7C4">
      <w:pPr>
        <w:spacing w:line="400" w:lineRule="exact"/>
        <w:ind w:firstLine="643" w:firstLineChars="200"/>
        <w:jc w:val="center"/>
        <w:outlineLvl w:val="2"/>
        <w:rPr>
          <w:b/>
          <w:bCs/>
          <w:sz w:val="32"/>
          <w:szCs w:val="32"/>
        </w:rPr>
      </w:pPr>
      <w:bookmarkStart w:id="44" w:name="_Toc110956115"/>
      <w:bookmarkStart w:id="45" w:name="_Toc89076000"/>
      <w:bookmarkStart w:id="46" w:name="_Toc1085"/>
      <w:bookmarkStart w:id="47" w:name="_Toc30524"/>
      <w:r>
        <w:rPr>
          <w:rFonts w:hint="eastAsia"/>
          <w:b/>
          <w:bCs/>
          <w:sz w:val="32"/>
          <w:szCs w:val="32"/>
        </w:rPr>
        <w:t>七、中标和合同</w:t>
      </w:r>
      <w:bookmarkEnd w:id="44"/>
      <w:bookmarkEnd w:id="45"/>
      <w:bookmarkEnd w:id="46"/>
      <w:bookmarkEnd w:id="47"/>
    </w:p>
    <w:p w14:paraId="4F45C05F">
      <w:pPr>
        <w:spacing w:line="360" w:lineRule="auto"/>
        <w:ind w:firstLine="480" w:firstLineChars="200"/>
        <w:rPr>
          <w:rFonts w:ascii="黑体" w:hAnsi="黑体" w:eastAsia="黑体"/>
          <w:sz w:val="24"/>
        </w:rPr>
      </w:pPr>
      <w:r>
        <w:rPr>
          <w:rFonts w:hint="eastAsia" w:ascii="黑体" w:hAnsi="黑体" w:eastAsia="黑体"/>
          <w:sz w:val="24"/>
        </w:rPr>
        <w:t>30.确定中标人</w:t>
      </w:r>
    </w:p>
    <w:p w14:paraId="7E9F972C">
      <w:pPr>
        <w:spacing w:line="360" w:lineRule="auto"/>
        <w:ind w:firstLine="422" w:firstLineChars="200"/>
        <w:rPr>
          <w:rFonts w:ascii="宋体" w:hAnsi="宋体" w:cs="Courier New"/>
          <w:b/>
          <w:bCs/>
          <w:szCs w:val="21"/>
        </w:rPr>
      </w:pPr>
      <w:r>
        <w:rPr>
          <w:rFonts w:hint="eastAsia" w:ascii="宋体" w:hAnsi="宋体" w:cs="Courier New"/>
          <w:b/>
          <w:bCs/>
          <w:szCs w:val="21"/>
        </w:rPr>
        <w:t>30.1本项目授权评标委员会直接按第四章“评标方法及标准”的规定排列中标候选人顺序，并依照次序确定中标人。</w:t>
      </w:r>
    </w:p>
    <w:p w14:paraId="29A9CF01">
      <w:pPr>
        <w:spacing w:line="360" w:lineRule="auto"/>
        <w:ind w:firstLine="420" w:firstLineChars="200"/>
        <w:rPr>
          <w:rFonts w:ascii="宋体" w:hAnsi="宋体" w:cs="Courier New"/>
          <w:szCs w:val="21"/>
        </w:rPr>
      </w:pPr>
      <w:r>
        <w:rPr>
          <w:rFonts w:hint="eastAsia" w:ascii="宋体" w:hAnsi="宋体" w:cs="Courier New"/>
          <w:szCs w:val="21"/>
        </w:rPr>
        <w:t>30.2采购人、采购代理机构认为投标人对采购过程、中标结果提出的质疑成立且影响或者可能影响中标结果的，合格投标人符合法定数量时，可以从合格的中标候选人中另行确定中标人的，应当依法另行确定中标人；否则应当重新开展采购活动。</w:t>
      </w:r>
    </w:p>
    <w:p w14:paraId="682D7EDE">
      <w:pPr>
        <w:spacing w:line="360" w:lineRule="auto"/>
        <w:ind w:firstLine="420" w:firstLineChars="200"/>
        <w:rPr>
          <w:rFonts w:ascii="宋体" w:hAnsi="宋体" w:cs="Courier New"/>
          <w:szCs w:val="21"/>
        </w:rPr>
      </w:pPr>
      <w:r>
        <w:rPr>
          <w:rFonts w:hint="eastAsia" w:ascii="宋体" w:hAnsi="宋体" w:cs="Courier New"/>
          <w:szCs w:val="21"/>
        </w:rPr>
        <w:t>30.3中标人无正当理由拒签合同的，根据《中华人民共和国政府采购法》第七十七条第一款规定处理。</w:t>
      </w:r>
    </w:p>
    <w:p w14:paraId="54434101">
      <w:pPr>
        <w:spacing w:line="360" w:lineRule="auto"/>
        <w:ind w:firstLine="420" w:firstLineChars="200"/>
        <w:rPr>
          <w:rFonts w:ascii="宋体" w:hAnsi="宋体" w:cs="Courier New"/>
          <w:szCs w:val="21"/>
        </w:rPr>
      </w:pPr>
      <w:r>
        <w:rPr>
          <w:rFonts w:hint="eastAsia" w:ascii="宋体" w:hAnsi="宋体" w:cs="Courier New"/>
          <w:szCs w:val="21"/>
        </w:rPr>
        <w:t>30.4根据《中华人民共和国民法典》</w:t>
      </w:r>
      <w:r>
        <w:rPr>
          <w:rFonts w:hint="eastAsia"/>
          <w:sz w:val="19"/>
          <w:szCs w:val="19"/>
        </w:rPr>
        <w:t>第五百六十三条</w:t>
      </w:r>
      <w:r>
        <w:rPr>
          <w:rFonts w:hint="eastAsia" w:ascii="宋体" w:hAnsi="宋体" w:cs="Courier New"/>
          <w:szCs w:val="21"/>
        </w:rPr>
        <w:t>，因不可抗力致使不能实现合同目的的，当事人可以解除合同。</w:t>
      </w:r>
    </w:p>
    <w:p w14:paraId="44541B6B">
      <w:pPr>
        <w:spacing w:line="360" w:lineRule="auto"/>
        <w:ind w:firstLine="480" w:firstLineChars="200"/>
        <w:rPr>
          <w:rFonts w:ascii="黑体" w:hAnsi="黑体" w:eastAsia="黑体"/>
          <w:sz w:val="24"/>
        </w:rPr>
      </w:pPr>
      <w:r>
        <w:rPr>
          <w:rFonts w:hint="eastAsia" w:ascii="黑体" w:hAnsi="黑体" w:eastAsia="黑体"/>
          <w:sz w:val="24"/>
        </w:rPr>
        <w:t>31. 结果公告</w:t>
      </w:r>
    </w:p>
    <w:p w14:paraId="05BF1807">
      <w:pPr>
        <w:spacing w:line="360" w:lineRule="auto"/>
        <w:ind w:firstLine="420" w:firstLineChars="200"/>
        <w:rPr>
          <w:rFonts w:hAnsi="宋体" w:cs="宋体"/>
        </w:rPr>
      </w:pPr>
      <w:r>
        <w:rPr>
          <w:rFonts w:hAnsi="宋体"/>
          <w:szCs w:val="21"/>
        </w:rPr>
        <w:t>31.1</w:t>
      </w:r>
      <w:r>
        <w:rPr>
          <w:rFonts w:hint="eastAsia" w:hAnsi="宋体" w:cs="宋体"/>
        </w:rPr>
        <w:t>在中标人</w:t>
      </w:r>
      <w:r>
        <w:rPr>
          <w:rFonts w:hint="eastAsia" w:hAnsi="宋体" w:cs="Arial"/>
        </w:rPr>
        <w:t>确定之日起</w:t>
      </w:r>
      <w:r>
        <w:rPr>
          <w:rFonts w:hAnsi="宋体" w:cs="宋体"/>
        </w:rPr>
        <w:t>2</w:t>
      </w:r>
      <w:r>
        <w:rPr>
          <w:rFonts w:hint="eastAsia" w:hAnsi="宋体" w:cs="宋体"/>
        </w:rPr>
        <w:t>个工作日内，由采购代理机构</w:t>
      </w:r>
      <w:r>
        <w:rPr>
          <w:rFonts w:hint="eastAsia" w:hAnsi="宋体"/>
          <w:b/>
          <w:szCs w:val="21"/>
        </w:rPr>
        <w:t>在招标公告发布媒体上</w:t>
      </w:r>
      <w:r>
        <w:rPr>
          <w:rFonts w:hint="eastAsia" w:hAnsi="宋体" w:cs="宋体"/>
        </w:rPr>
        <w:t>发布中标结果公告，中标结果公告期限为</w:t>
      </w:r>
      <w:r>
        <w:rPr>
          <w:rFonts w:hAnsi="宋体" w:cs="宋体"/>
        </w:rPr>
        <w:t>1</w:t>
      </w:r>
      <w:r>
        <w:rPr>
          <w:rFonts w:hint="eastAsia" w:hAnsi="宋体" w:cs="宋体"/>
        </w:rPr>
        <w:t>个工作日，发布中标结果公告的同时向中标人发出中标通知书。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58A1D283">
      <w:pPr>
        <w:spacing w:line="360" w:lineRule="auto"/>
        <w:ind w:firstLine="420" w:firstLineChars="200"/>
        <w:rPr>
          <w:rFonts w:ascii="宋体" w:hAnsi="宋体"/>
          <w:szCs w:val="21"/>
        </w:rPr>
      </w:pPr>
      <w:r>
        <w:rPr>
          <w:rFonts w:hint="eastAsia" w:ascii="宋体" w:hAnsi="宋体"/>
          <w:szCs w:val="21"/>
        </w:rPr>
        <w:t>以上信息查询记录及相关证据与招标文件一并保存。</w:t>
      </w:r>
    </w:p>
    <w:p w14:paraId="4CD5B150">
      <w:pPr>
        <w:spacing w:line="360" w:lineRule="auto"/>
        <w:ind w:firstLine="420" w:firstLineChars="200"/>
        <w:rPr>
          <w:rFonts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6AFF702B">
      <w:pPr>
        <w:spacing w:line="360" w:lineRule="auto"/>
        <w:ind w:firstLine="480" w:firstLineChars="200"/>
        <w:rPr>
          <w:rFonts w:ascii="黑体" w:hAnsi="黑体" w:eastAsia="黑体"/>
          <w:sz w:val="24"/>
        </w:rPr>
      </w:pPr>
      <w:r>
        <w:rPr>
          <w:rFonts w:hint="eastAsia" w:ascii="黑体" w:hAnsi="黑体" w:eastAsia="黑体"/>
          <w:sz w:val="24"/>
        </w:rPr>
        <w:t>32.发出中标通知书</w:t>
      </w:r>
    </w:p>
    <w:p w14:paraId="1837F6E3">
      <w:pPr>
        <w:spacing w:line="360" w:lineRule="auto"/>
        <w:ind w:firstLine="422" w:firstLineChars="200"/>
        <w:rPr>
          <w:rFonts w:ascii="宋体" w:hAnsi="宋体"/>
          <w:b/>
          <w:szCs w:val="21"/>
        </w:rPr>
      </w:pPr>
      <w:r>
        <w:rPr>
          <w:rFonts w:hint="eastAsia" w:ascii="宋体" w:hAnsi="宋体"/>
          <w:b/>
          <w:szCs w:val="21"/>
        </w:rPr>
        <w:t>32.1在发布中标公告的同时，采购代理机构向中标人通过“广西政府采购云平台”发出电子中标通知书。</w:t>
      </w:r>
    </w:p>
    <w:p w14:paraId="455B9E2B">
      <w:pPr>
        <w:spacing w:line="360" w:lineRule="auto"/>
        <w:ind w:firstLine="422" w:firstLineChars="200"/>
        <w:rPr>
          <w:rFonts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74B63970">
      <w:pPr>
        <w:spacing w:line="360" w:lineRule="auto"/>
        <w:ind w:firstLine="480" w:firstLineChars="200"/>
        <w:rPr>
          <w:rFonts w:ascii="黑体" w:hAnsi="黑体" w:eastAsia="黑体"/>
          <w:sz w:val="24"/>
        </w:rPr>
      </w:pPr>
      <w:r>
        <w:rPr>
          <w:rFonts w:hint="eastAsia" w:ascii="黑体" w:hAnsi="黑体" w:eastAsia="黑体"/>
          <w:sz w:val="24"/>
        </w:rPr>
        <w:t>33. 无义务解释未中标原因</w:t>
      </w:r>
    </w:p>
    <w:p w14:paraId="0B666229">
      <w:pPr>
        <w:spacing w:line="360" w:lineRule="auto"/>
        <w:ind w:firstLine="422" w:firstLineChars="200"/>
        <w:rPr>
          <w:rFonts w:ascii="宋体" w:hAnsi="宋体"/>
          <w:b/>
          <w:szCs w:val="21"/>
        </w:rPr>
      </w:pPr>
      <w:r>
        <w:rPr>
          <w:rFonts w:hint="eastAsia" w:ascii="宋体" w:hAnsi="宋体"/>
          <w:b/>
          <w:szCs w:val="21"/>
        </w:rPr>
        <w:t>采购代理机构无义务向未中标的投标人解释未中标原因和退还投标文件。</w:t>
      </w:r>
    </w:p>
    <w:p w14:paraId="4756F74C">
      <w:pPr>
        <w:spacing w:line="360" w:lineRule="auto"/>
        <w:ind w:firstLine="480" w:firstLineChars="200"/>
        <w:rPr>
          <w:rFonts w:ascii="黑体" w:hAnsi="黑体" w:eastAsia="黑体"/>
          <w:sz w:val="24"/>
        </w:rPr>
      </w:pPr>
      <w:r>
        <w:rPr>
          <w:rFonts w:hint="eastAsia" w:ascii="黑体" w:hAnsi="黑体" w:eastAsia="黑体"/>
          <w:sz w:val="24"/>
        </w:rPr>
        <w:t>34.合同授予标准</w:t>
      </w:r>
    </w:p>
    <w:p w14:paraId="0767BD7E">
      <w:pPr>
        <w:spacing w:line="360" w:lineRule="auto"/>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6C920934">
      <w:pPr>
        <w:spacing w:line="360" w:lineRule="auto"/>
        <w:ind w:firstLine="480" w:firstLineChars="200"/>
        <w:rPr>
          <w:rFonts w:ascii="黑体" w:hAnsi="黑体" w:eastAsia="黑体"/>
          <w:sz w:val="24"/>
        </w:rPr>
      </w:pPr>
      <w:r>
        <w:rPr>
          <w:rFonts w:hint="eastAsia" w:ascii="黑体" w:hAnsi="黑体" w:eastAsia="黑体"/>
          <w:sz w:val="24"/>
        </w:rPr>
        <w:t>35.履约保证金</w:t>
      </w:r>
    </w:p>
    <w:p w14:paraId="0303E76D">
      <w:pPr>
        <w:adjustRightInd w:val="0"/>
        <w:snapToGrid w:val="0"/>
        <w:spacing w:line="360" w:lineRule="auto"/>
        <w:ind w:firstLine="420" w:firstLineChars="200"/>
        <w:rPr>
          <w:rFonts w:ascii="宋体" w:hAnsi="宋体"/>
          <w:kern w:val="0"/>
          <w:szCs w:val="21"/>
          <w:lang w:val="zh-CN"/>
        </w:rPr>
      </w:pPr>
      <w:r>
        <w:rPr>
          <w:rFonts w:hint="eastAsia" w:ascii="宋体" w:hAnsi="宋体"/>
          <w:kern w:val="0"/>
          <w:szCs w:val="21"/>
          <w:lang w:val="zh-CN"/>
        </w:rPr>
        <w:t>见“投标人须知前附表”。</w:t>
      </w:r>
    </w:p>
    <w:p w14:paraId="0964A7E7">
      <w:pPr>
        <w:spacing w:line="360" w:lineRule="auto"/>
        <w:ind w:firstLine="480" w:firstLineChars="200"/>
        <w:rPr>
          <w:rFonts w:ascii="黑体" w:hAnsi="黑体" w:eastAsia="黑体"/>
          <w:sz w:val="24"/>
        </w:rPr>
      </w:pPr>
      <w:r>
        <w:rPr>
          <w:rFonts w:hint="eastAsia" w:ascii="黑体" w:hAnsi="黑体" w:eastAsia="黑体"/>
          <w:sz w:val="24"/>
        </w:rPr>
        <w:t>36.签订合同</w:t>
      </w:r>
    </w:p>
    <w:p w14:paraId="7FD34D0A">
      <w:pPr>
        <w:adjustRightInd w:val="0"/>
        <w:snapToGrid w:val="0"/>
        <w:spacing w:line="360" w:lineRule="auto"/>
        <w:ind w:firstLine="422" w:firstLineChars="200"/>
        <w:rPr>
          <w:rFonts w:ascii="宋体" w:hAnsi="宋体"/>
          <w:kern w:val="0"/>
          <w:szCs w:val="21"/>
          <w:lang w:val="zh-CN"/>
        </w:rPr>
      </w:pPr>
      <w:r>
        <w:rPr>
          <w:rFonts w:hint="eastAsia" w:ascii="宋体" w:hAnsi="宋体"/>
          <w:b/>
          <w:szCs w:val="21"/>
        </w:rPr>
        <w:t xml:space="preserve"> 36.1中标人领取电子中标通知书后，</w:t>
      </w:r>
      <w:r>
        <w:rPr>
          <w:rFonts w:hint="eastAsia" w:ascii="宋体" w:hAnsi="宋体"/>
          <w:kern w:val="0"/>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EB06ABB">
      <w:pPr>
        <w:adjustRightInd w:val="0"/>
        <w:snapToGrid w:val="0"/>
        <w:spacing w:line="360" w:lineRule="auto"/>
        <w:ind w:firstLine="420" w:firstLineChars="200"/>
        <w:rPr>
          <w:rFonts w:ascii="宋体" w:hAnsi="宋体"/>
          <w:kern w:val="0"/>
          <w:szCs w:val="21"/>
          <w:lang w:val="zh-CN"/>
        </w:rPr>
      </w:pPr>
      <w:r>
        <w:rPr>
          <w:rFonts w:hint="eastAsia" w:ascii="宋体" w:hAnsi="宋体"/>
          <w:kern w:val="0"/>
          <w:szCs w:val="21"/>
          <w:lang w:val="zh-CN"/>
        </w:rPr>
        <w:t>36.2</w:t>
      </w:r>
      <w:r>
        <w:rPr>
          <w:rFonts w:hint="eastAsia" w:ascii="宋体" w:hAnsi="宋体" w:cs="仿宋_GB2312"/>
          <w:szCs w:val="21"/>
        </w:rPr>
        <w:t>采购合同由采购人与中标人根据招标文件、投标文件等内容通过政府采购电子交易平台在线签订，自动备案。</w:t>
      </w:r>
    </w:p>
    <w:p w14:paraId="7F8F52F8">
      <w:pPr>
        <w:adjustRightInd w:val="0"/>
        <w:snapToGrid w:val="0"/>
        <w:spacing w:line="360" w:lineRule="auto"/>
        <w:ind w:firstLine="420" w:firstLineChars="200"/>
        <w:rPr>
          <w:rFonts w:ascii="宋体" w:hAnsi="宋体" w:cs="仿宋_GB2312"/>
          <w:szCs w:val="21"/>
        </w:rPr>
      </w:pPr>
      <w:r>
        <w:rPr>
          <w:rFonts w:hint="eastAsia" w:ascii="宋体" w:hAnsi="宋体"/>
          <w:szCs w:val="21"/>
        </w:rPr>
        <w:t>36.3签订合同时间：按中标通知书规定的时间与采购人签订合同（最长不能超过25日）。</w:t>
      </w:r>
    </w:p>
    <w:p w14:paraId="6D17B255">
      <w:pPr>
        <w:spacing w:line="360" w:lineRule="auto"/>
        <w:ind w:firstLine="420" w:firstLineChars="200"/>
        <w:rPr>
          <w:rFonts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3F723C27">
      <w:pPr>
        <w:spacing w:line="360" w:lineRule="auto"/>
        <w:ind w:firstLine="420" w:firstLineChars="200"/>
        <w:rPr>
          <w:rFonts w:ascii="宋体" w:hAnsi="宋体"/>
          <w:szCs w:val="21"/>
        </w:rPr>
      </w:pPr>
      <w:r>
        <w:rPr>
          <w:rFonts w:hint="eastAsia" w:ascii="宋体" w:hAnsi="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6A21E0A8">
      <w:pPr>
        <w:spacing w:line="360" w:lineRule="auto"/>
        <w:ind w:firstLine="420" w:firstLineChars="200"/>
        <w:rPr>
          <w:rFonts w:ascii="宋体" w:hAnsi="宋体"/>
          <w:szCs w:val="21"/>
        </w:rPr>
      </w:pPr>
      <w:r>
        <w:rPr>
          <w:rFonts w:hint="eastAsia" w:ascii="宋体" w:hAnsi="宋体"/>
          <w:szCs w:val="21"/>
        </w:rPr>
        <w:t>36.6采购人或中标人不得单方面向合同另一方提出任何招标文件没有约定的条件或不合理的要求，作为签订合同的条件；也不得协商另行订立背离招标文件和合同实质性内容的协议。</w:t>
      </w:r>
    </w:p>
    <w:p w14:paraId="6B6A0C71">
      <w:pPr>
        <w:spacing w:line="360" w:lineRule="auto"/>
        <w:ind w:firstLine="420" w:firstLineChars="200"/>
        <w:rPr>
          <w:rFonts w:ascii="宋体" w:hAnsi="宋体"/>
          <w:szCs w:val="21"/>
        </w:rPr>
      </w:pPr>
      <w:r>
        <w:rPr>
          <w:rFonts w:hint="eastAsia" w:ascii="宋体" w:hAnsi="宋体"/>
          <w:szCs w:val="21"/>
        </w:rPr>
        <w:t>36.7</w:t>
      </w:r>
      <w:r>
        <w:rPr>
          <w:rFonts w:hint="eastAsia" w:ascii="宋体" w:hAnsi="宋体" w:cs="仿宋_GB2312"/>
          <w:szCs w:val="21"/>
        </w:rPr>
        <w:t>如签订合同并生效后，投标人无故拒绝或延期，除按照合同条款处理外，将承担相应的法律责任。</w:t>
      </w:r>
    </w:p>
    <w:p w14:paraId="75181D8D">
      <w:pPr>
        <w:spacing w:line="360" w:lineRule="auto"/>
        <w:ind w:firstLine="422" w:firstLineChars="200"/>
        <w:rPr>
          <w:rFonts w:ascii="宋体" w:hAnsi="宋体"/>
          <w:b/>
          <w:szCs w:val="21"/>
        </w:rPr>
      </w:pPr>
      <w:r>
        <w:rPr>
          <w:rFonts w:hint="eastAsia" w:ascii="宋体" w:hAnsi="宋体"/>
          <w:b/>
          <w:szCs w:val="21"/>
        </w:rPr>
        <w:t>36.8采购人需追加与合同标的相同的货物或者货物的，在不改变原合同条款且已报财政部门批准落实资金的前提下，可从原中标人处添购，所签订的补充添置合同的采购资金总额不超过原采购合同金额的10%。</w:t>
      </w:r>
    </w:p>
    <w:p w14:paraId="39D9FA8B">
      <w:pPr>
        <w:spacing w:line="360" w:lineRule="auto"/>
        <w:ind w:firstLine="480" w:firstLineChars="200"/>
        <w:rPr>
          <w:rFonts w:ascii="黑体" w:hAnsi="黑体" w:eastAsia="黑体"/>
          <w:sz w:val="24"/>
        </w:rPr>
      </w:pPr>
      <w:r>
        <w:rPr>
          <w:rFonts w:hint="eastAsia" w:ascii="黑体" w:hAnsi="黑体" w:eastAsia="黑体"/>
          <w:sz w:val="24"/>
        </w:rPr>
        <w:t>37.政府采购合同公告</w:t>
      </w:r>
    </w:p>
    <w:p w14:paraId="75EE980C">
      <w:pPr>
        <w:spacing w:line="360" w:lineRule="auto"/>
        <w:ind w:firstLine="420" w:firstLineChars="200"/>
        <w:rPr>
          <w:rFonts w:hAnsi="宋体"/>
        </w:rPr>
      </w:pPr>
      <w:r>
        <w:rPr>
          <w:rFonts w:hint="eastAsia" w:hAnsi="宋体"/>
        </w:rPr>
        <w:t>采购人或者受托采购代理机构应当自政府采购合同签订之日起</w:t>
      </w:r>
      <w:r>
        <w:rPr>
          <w:rFonts w:hAnsi="宋体"/>
        </w:rPr>
        <w:t>2</w:t>
      </w:r>
      <w:r>
        <w:rPr>
          <w:rFonts w:hint="eastAsia" w:hAnsi="宋体"/>
        </w:rPr>
        <w:t>个工作日内，将政府采购合同</w:t>
      </w:r>
      <w:r>
        <w:rPr>
          <w:rFonts w:hint="eastAsia" w:ascii="宋体" w:hAnsi="宋体"/>
          <w:bCs/>
        </w:rPr>
        <w:t>在以下媒体上发布</w:t>
      </w:r>
      <w:r>
        <w:rPr>
          <w:rFonts w:hint="eastAsia" w:ascii="宋体" w:hAnsi="宋体" w:cs="宋体"/>
          <w:kern w:val="0"/>
          <w:szCs w:val="21"/>
        </w:rPr>
        <w:t>“广西政府采购网”（http://zfcg.gxzf.gov.cn）</w:t>
      </w:r>
      <w:r>
        <w:rPr>
          <w:rFonts w:hint="eastAsia" w:hAnsi="宋体"/>
        </w:rPr>
        <w:t>上公告，但政府采购合同中涉及国家秘密、商业秘密的内容除外。</w:t>
      </w:r>
    </w:p>
    <w:p w14:paraId="17028E07">
      <w:pPr>
        <w:spacing w:line="360" w:lineRule="auto"/>
        <w:ind w:firstLine="480" w:firstLineChars="200"/>
        <w:rPr>
          <w:rFonts w:ascii="黑体" w:hAnsi="黑体" w:eastAsia="黑体"/>
          <w:sz w:val="24"/>
        </w:rPr>
      </w:pPr>
      <w:r>
        <w:rPr>
          <w:rFonts w:hint="eastAsia" w:ascii="黑体" w:hAnsi="黑体" w:eastAsia="黑体"/>
          <w:sz w:val="24"/>
        </w:rPr>
        <w:t>38. 询问、质疑和投诉</w:t>
      </w:r>
    </w:p>
    <w:p w14:paraId="00C96DEE">
      <w:pPr>
        <w:spacing w:line="360" w:lineRule="auto"/>
        <w:ind w:firstLine="422" w:firstLineChars="200"/>
        <w:rPr>
          <w:rFonts w:hAnsi="宋体"/>
          <w:b/>
          <w:szCs w:val="21"/>
        </w:rPr>
      </w:pPr>
      <w:r>
        <w:rPr>
          <w:rFonts w:hAnsi="宋体"/>
          <w:b/>
          <w:szCs w:val="21"/>
        </w:rPr>
        <w:t>38.1</w:t>
      </w:r>
      <w:r>
        <w:rPr>
          <w:rFonts w:hint="eastAsia" w:hAnsi="宋体"/>
          <w:b/>
          <w:szCs w:val="21"/>
        </w:rPr>
        <w:t>询问</w:t>
      </w:r>
    </w:p>
    <w:p w14:paraId="1674836B">
      <w:pPr>
        <w:spacing w:line="360" w:lineRule="auto"/>
        <w:ind w:firstLine="420" w:firstLineChars="200"/>
        <w:rPr>
          <w:rFonts w:hAnsi="宋体"/>
          <w:bCs/>
          <w:szCs w:val="21"/>
        </w:rPr>
      </w:pPr>
      <w:r>
        <w:rPr>
          <w:rFonts w:hAnsi="宋体"/>
          <w:bCs/>
          <w:szCs w:val="21"/>
        </w:rPr>
        <w:t>38.1.1</w:t>
      </w:r>
      <w:r>
        <w:rPr>
          <w:rFonts w:hint="eastAsia" w:hAnsi="宋体"/>
          <w:bCs/>
          <w:szCs w:val="21"/>
        </w:rPr>
        <w:t>投标人在开标前对政府采购活动事项有疑问的，可以向采购人或采购代理机构项目负责人提出询问。</w:t>
      </w:r>
    </w:p>
    <w:p w14:paraId="09BE253A">
      <w:pPr>
        <w:spacing w:line="360" w:lineRule="auto"/>
        <w:ind w:firstLine="420" w:firstLineChars="200"/>
        <w:rPr>
          <w:rFonts w:hAnsi="宋体"/>
          <w:bCs/>
          <w:szCs w:val="21"/>
        </w:rPr>
      </w:pPr>
      <w:r>
        <w:rPr>
          <w:rFonts w:hAnsi="宋体"/>
          <w:bCs/>
          <w:szCs w:val="21"/>
        </w:rPr>
        <w:t>38.1.2</w:t>
      </w:r>
      <w:r>
        <w:rPr>
          <w:rFonts w:hint="eastAsia" w:hAnsi="宋体"/>
          <w:bCs/>
          <w:szCs w:val="21"/>
        </w:rPr>
        <w:t>采购人或采购人委托的采购代理机构自受理询问之日起</w:t>
      </w:r>
      <w:r>
        <w:rPr>
          <w:rFonts w:hAnsi="宋体"/>
          <w:bCs/>
          <w:szCs w:val="21"/>
        </w:rPr>
        <w:t>3</w:t>
      </w:r>
      <w:r>
        <w:rPr>
          <w:rFonts w:hint="eastAsia" w:hAnsi="宋体"/>
          <w:bCs/>
          <w:szCs w:val="21"/>
        </w:rPr>
        <w:t>个工作日内对投标人依法提出的询问作出答复，</w:t>
      </w:r>
      <w:r>
        <w:rPr>
          <w:rFonts w:hint="eastAsia"/>
        </w:rPr>
        <w:t>但答复内容不得涉及商业秘密</w:t>
      </w:r>
      <w:r>
        <w:rPr>
          <w:rFonts w:hint="eastAsia" w:hAnsi="宋体"/>
          <w:bCs/>
          <w:szCs w:val="21"/>
        </w:rPr>
        <w:t>。</w:t>
      </w:r>
    </w:p>
    <w:p w14:paraId="22569428">
      <w:pPr>
        <w:spacing w:line="360" w:lineRule="auto"/>
        <w:ind w:firstLine="420" w:firstLineChars="200"/>
        <w:rPr>
          <w:rFonts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182724C3">
      <w:pPr>
        <w:spacing w:line="360" w:lineRule="auto"/>
        <w:ind w:firstLine="420" w:firstLineChars="200"/>
        <w:rPr>
          <w:rFonts w:ascii="宋体" w:hAnsi="宋体"/>
          <w:szCs w:val="21"/>
        </w:rPr>
      </w:pPr>
      <w:r>
        <w:rPr>
          <w:rFonts w:hint="eastAsia" w:ascii="宋体" w:hAnsi="宋体"/>
          <w:szCs w:val="21"/>
        </w:rPr>
        <w:t>38.2质疑</w:t>
      </w:r>
    </w:p>
    <w:p w14:paraId="3F874AA1">
      <w:pPr>
        <w:spacing w:line="360" w:lineRule="auto"/>
        <w:ind w:firstLine="420" w:firstLineChars="200"/>
        <w:rPr>
          <w:rFonts w:ascii="宋体" w:hAnsi="宋体"/>
          <w:b/>
          <w:szCs w:val="21"/>
        </w:rPr>
      </w:pPr>
      <w:r>
        <w:rPr>
          <w:rFonts w:hint="eastAsia" w:ascii="宋体" w:hAnsi="宋体"/>
          <w:szCs w:val="21"/>
        </w:rPr>
        <w:t>38.2.1</w:t>
      </w:r>
      <w:r>
        <w:rPr>
          <w:rFonts w:hint="eastAsia" w:ascii="宋体" w:hAnsi="宋体"/>
          <w:b/>
          <w:szCs w:val="21"/>
        </w:rPr>
        <w:t>投标人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w:t>
      </w:r>
    </w:p>
    <w:p w14:paraId="05E7DECC">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）潜在投标人依法获取公开招标文件后，认为招标文件使自己的权益受到损害的，应当在公开招标文件公告期限届满之日起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045A0447">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）投标人认为采购过程使自己的权益受到损害的，应当在各采购程序环节结束之日起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AEE7FA9">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）投标人认为中标或者成交结果使自己的权益受到损害的，应当在中标或者成交结果公告期限届满之日起</w:t>
      </w:r>
      <w:r>
        <w:rPr>
          <w:rFonts w:hAnsi="宋体"/>
          <w:bCs/>
        </w:rPr>
        <w:t>7</w:t>
      </w:r>
      <w:r>
        <w:rPr>
          <w:rFonts w:hint="eastAsia" w:hAnsi="宋体"/>
          <w:bCs/>
        </w:rPr>
        <w:t>个工作日内提出质疑，由采购人受理并负责答复。</w:t>
      </w:r>
    </w:p>
    <w:p w14:paraId="2F69E33E">
      <w:pPr>
        <w:spacing w:line="360" w:lineRule="auto"/>
        <w:ind w:firstLine="422" w:firstLineChars="200"/>
        <w:rPr>
          <w:rFonts w:hAnsi="宋体"/>
          <w:bCs/>
          <w:szCs w:val="21"/>
        </w:rPr>
      </w:pPr>
      <w:r>
        <w:rPr>
          <w:rFonts w:hAnsi="宋体"/>
          <w:b/>
          <w:bCs/>
          <w:szCs w:val="21"/>
        </w:rPr>
        <w:t>38.2.2</w:t>
      </w:r>
      <w:r>
        <w:rPr>
          <w:rFonts w:hint="eastAsia" w:hAnsi="宋体"/>
          <w:bCs/>
          <w:szCs w:val="21"/>
        </w:rPr>
        <w:t>投标人质疑实行实名制，其质疑应当有具体的质疑事项及事实根据，质疑应当坚持依法依规、诚实信用原则，不得进行虚假、恶意质疑。</w:t>
      </w:r>
    </w:p>
    <w:p w14:paraId="3AC7F049">
      <w:pPr>
        <w:spacing w:line="360" w:lineRule="auto"/>
        <w:ind w:firstLine="422" w:firstLineChars="200"/>
        <w:rPr>
          <w:rFonts w:hAnsi="宋体"/>
          <w:bCs/>
        </w:rPr>
      </w:pPr>
      <w:r>
        <w:rPr>
          <w:rFonts w:hAnsi="宋体"/>
          <w:b/>
          <w:bCs/>
        </w:rPr>
        <w:t>38.2.3</w:t>
      </w:r>
      <w:r>
        <w:rPr>
          <w:rFonts w:hint="eastAsia" w:hAnsi="宋体"/>
          <w:bCs/>
        </w:rPr>
        <w:t>质疑投标人可以委托代理人办理质疑事务。委托代理人应熟悉相关业务情况。代理人办理质疑事务时，除提交质疑书外，还应当提交质疑投标人的授权委托书和委托代理人身份证明复印件</w:t>
      </w:r>
      <w:r>
        <w:rPr>
          <w:rFonts w:hint="eastAsia" w:hAnsi="宋体"/>
        </w:rPr>
        <w:t>。</w:t>
      </w:r>
    </w:p>
    <w:p w14:paraId="3FD861BD">
      <w:pPr>
        <w:spacing w:line="360" w:lineRule="auto"/>
        <w:ind w:firstLine="422" w:firstLineChars="200"/>
        <w:rPr>
          <w:rFonts w:hAnsi="宋体"/>
          <w:b/>
          <w:bCs/>
        </w:rPr>
      </w:pPr>
      <w:r>
        <w:rPr>
          <w:rFonts w:hAnsi="宋体"/>
          <w:b/>
          <w:bCs/>
        </w:rPr>
        <w:t xml:space="preserve">38.2.4 </w:t>
      </w:r>
      <w:r>
        <w:rPr>
          <w:rFonts w:hint="eastAsia" w:hAnsi="宋体"/>
          <w:b/>
          <w:bCs/>
        </w:rPr>
        <w:t>质疑投标人提起质疑应当符合下列条件：</w:t>
      </w:r>
    </w:p>
    <w:p w14:paraId="3440BE24">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）质疑投标人是参与所质疑</w:t>
      </w:r>
      <w:r>
        <w:rPr>
          <w:rFonts w:hint="eastAsia" w:hAnsi="宋体"/>
          <w:bCs/>
          <w:szCs w:val="21"/>
        </w:rPr>
        <w:t>项目</w:t>
      </w:r>
      <w:r>
        <w:rPr>
          <w:rFonts w:hint="eastAsia" w:hAnsi="宋体"/>
          <w:bCs/>
        </w:rPr>
        <w:t>采购活动的投标人（潜在投标人已依法获取可之一的招标文件的，可以对该招标文件质疑）；</w:t>
      </w:r>
    </w:p>
    <w:p w14:paraId="4207FF1D">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）质疑函内容符合本章第</w:t>
      </w:r>
      <w:r>
        <w:rPr>
          <w:rFonts w:hAnsi="宋体"/>
          <w:bCs/>
        </w:rPr>
        <w:t>38.2.5</w:t>
      </w:r>
      <w:r>
        <w:rPr>
          <w:rFonts w:hint="eastAsia" w:hAnsi="宋体"/>
          <w:bCs/>
        </w:rPr>
        <w:t>项的规定；</w:t>
      </w:r>
    </w:p>
    <w:p w14:paraId="05602A7D">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）在质疑有效期限内提起质疑；</w:t>
      </w:r>
    </w:p>
    <w:p w14:paraId="3F22BEDD">
      <w:pPr>
        <w:spacing w:line="360" w:lineRule="auto"/>
        <w:ind w:firstLine="420" w:firstLineChars="200"/>
        <w:rPr>
          <w:rFonts w:hAnsi="宋体"/>
          <w:bCs/>
        </w:rPr>
      </w:pPr>
      <w:r>
        <w:rPr>
          <w:rFonts w:hint="eastAsia" w:hAnsi="宋体"/>
          <w:bCs/>
        </w:rPr>
        <w:t>（</w:t>
      </w:r>
      <w:r>
        <w:rPr>
          <w:rFonts w:hAnsi="宋体"/>
          <w:bCs/>
        </w:rPr>
        <w:t>4</w:t>
      </w:r>
      <w:r>
        <w:rPr>
          <w:rFonts w:hint="eastAsia" w:hAnsi="宋体"/>
          <w:bCs/>
        </w:rPr>
        <w:t>）属于所质疑的采购人或采购人委托的采购代理机构组织的采购活动；</w:t>
      </w:r>
    </w:p>
    <w:p w14:paraId="1728FB00">
      <w:pPr>
        <w:spacing w:line="360" w:lineRule="auto"/>
        <w:ind w:firstLine="420" w:firstLineChars="200"/>
        <w:rPr>
          <w:rFonts w:hAnsi="宋体"/>
          <w:bCs/>
        </w:rPr>
      </w:pPr>
      <w:r>
        <w:rPr>
          <w:rFonts w:hint="eastAsia" w:hAnsi="宋体"/>
          <w:bCs/>
        </w:rPr>
        <w:t>（</w:t>
      </w:r>
      <w:r>
        <w:rPr>
          <w:rFonts w:hAnsi="宋体"/>
          <w:bCs/>
        </w:rPr>
        <w:t>5</w:t>
      </w:r>
      <w:r>
        <w:rPr>
          <w:rFonts w:hint="eastAsia" w:hAnsi="宋体"/>
          <w:bCs/>
        </w:rPr>
        <w:t>）同一质疑事项未经采购人或采购人委托的采购代理机构质疑处理；</w:t>
      </w:r>
    </w:p>
    <w:p w14:paraId="58F23A9B">
      <w:pPr>
        <w:spacing w:line="360" w:lineRule="auto"/>
        <w:ind w:firstLine="420" w:firstLineChars="200"/>
        <w:rPr>
          <w:rFonts w:hAnsi="宋体"/>
          <w:bCs/>
        </w:rPr>
      </w:pPr>
      <w:r>
        <w:rPr>
          <w:rFonts w:hint="eastAsia" w:hAnsi="宋体"/>
          <w:bCs/>
        </w:rPr>
        <w:t>（</w:t>
      </w:r>
      <w:r>
        <w:rPr>
          <w:rFonts w:hAnsi="宋体"/>
          <w:bCs/>
        </w:rPr>
        <w:t>6</w:t>
      </w:r>
      <w:r>
        <w:rPr>
          <w:rFonts w:hint="eastAsia" w:hAnsi="宋体"/>
          <w:bCs/>
        </w:rPr>
        <w:t>）投标人对同一采购程序环节的质疑应当在质疑有效期内一次性提出；</w:t>
      </w:r>
    </w:p>
    <w:p w14:paraId="1AD52FA0">
      <w:pPr>
        <w:spacing w:line="360" w:lineRule="auto"/>
        <w:ind w:firstLine="420" w:firstLineChars="200"/>
        <w:rPr>
          <w:rFonts w:hAnsi="宋体"/>
          <w:bCs/>
        </w:rPr>
      </w:pPr>
      <w:r>
        <w:rPr>
          <w:rFonts w:hint="eastAsia" w:hAnsi="宋体"/>
          <w:bCs/>
        </w:rPr>
        <w:t>（</w:t>
      </w:r>
      <w:r>
        <w:rPr>
          <w:rFonts w:hAnsi="宋体"/>
          <w:bCs/>
        </w:rPr>
        <w:t>7</w:t>
      </w:r>
      <w:r>
        <w:rPr>
          <w:rFonts w:hint="eastAsia" w:hAnsi="宋体"/>
          <w:bCs/>
        </w:rPr>
        <w:t>）投标人提交质疑应当提交必要的证明材料，证明材料应以合法手段取得；</w:t>
      </w:r>
    </w:p>
    <w:p w14:paraId="5E1F9CA8">
      <w:pPr>
        <w:spacing w:line="360" w:lineRule="auto"/>
        <w:ind w:firstLine="420" w:firstLineChars="200"/>
      </w:pPr>
      <w:r>
        <w:rPr>
          <w:rFonts w:hint="eastAsia" w:hAnsi="宋体"/>
          <w:bCs/>
        </w:rPr>
        <w:t>（</w:t>
      </w:r>
      <w:r>
        <w:rPr>
          <w:rFonts w:hAnsi="宋体"/>
          <w:bCs/>
        </w:rPr>
        <w:t>8</w:t>
      </w:r>
      <w:r>
        <w:rPr>
          <w:rFonts w:hint="eastAsia" w:hAnsi="宋体"/>
          <w:bCs/>
        </w:rPr>
        <w:t>）财政部门规定的其他条件。</w:t>
      </w:r>
    </w:p>
    <w:p w14:paraId="53742232">
      <w:pPr>
        <w:spacing w:line="360" w:lineRule="auto"/>
        <w:ind w:firstLine="420" w:firstLineChars="200"/>
        <w:rPr>
          <w:rFonts w:ascii="宋体" w:hAnsi="宋体"/>
          <w:b/>
          <w:szCs w:val="21"/>
        </w:rPr>
      </w:pPr>
      <w:r>
        <w:rPr>
          <w:rFonts w:hint="eastAsia" w:ascii="宋体" w:hAnsi="宋体"/>
          <w:szCs w:val="21"/>
        </w:rPr>
        <w:t xml:space="preserve"> 38.2.5 </w:t>
      </w:r>
      <w:r>
        <w:rPr>
          <w:rFonts w:hint="eastAsia" w:hAnsi="宋体"/>
          <w:bCs/>
        </w:rPr>
        <w:t>投标人提出质疑应当提交质疑函和必要的证明材料，针对同一采购程序环节的质疑必须在法定质疑期内一次性提出。质疑函应当包括下列内容（质疑函格式后附）：</w:t>
      </w:r>
    </w:p>
    <w:p w14:paraId="451D3497">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）投标人的姓名或者名称、地址、邮编、联系人及联系电话；</w:t>
      </w:r>
    </w:p>
    <w:p w14:paraId="036E0602">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）质疑项目的名称、编号；</w:t>
      </w:r>
    </w:p>
    <w:p w14:paraId="69817B2B">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）具体、明确的质疑事项和与质疑事项相关的请求；</w:t>
      </w:r>
    </w:p>
    <w:p w14:paraId="088A3970">
      <w:pPr>
        <w:spacing w:line="360" w:lineRule="auto"/>
        <w:ind w:firstLine="420" w:firstLineChars="200"/>
        <w:rPr>
          <w:rFonts w:hAnsi="宋体"/>
          <w:bCs/>
        </w:rPr>
      </w:pPr>
      <w:r>
        <w:rPr>
          <w:rFonts w:hint="eastAsia" w:hAnsi="宋体"/>
          <w:bCs/>
        </w:rPr>
        <w:t>（</w:t>
      </w:r>
      <w:r>
        <w:rPr>
          <w:rFonts w:hAnsi="宋体"/>
          <w:bCs/>
        </w:rPr>
        <w:t>4</w:t>
      </w:r>
      <w:r>
        <w:rPr>
          <w:rFonts w:hint="eastAsia" w:hAnsi="宋体"/>
          <w:bCs/>
        </w:rPr>
        <w:t>）事实依据（列明权益受到损害的事实和理由）；</w:t>
      </w:r>
    </w:p>
    <w:p w14:paraId="563D66BB">
      <w:pPr>
        <w:spacing w:line="360" w:lineRule="auto"/>
        <w:ind w:firstLine="420" w:firstLineChars="200"/>
        <w:rPr>
          <w:rFonts w:hAnsi="宋体"/>
          <w:bCs/>
        </w:rPr>
      </w:pPr>
      <w:r>
        <w:rPr>
          <w:rFonts w:hint="eastAsia" w:hAnsi="宋体"/>
          <w:bCs/>
        </w:rPr>
        <w:t>（</w:t>
      </w:r>
      <w:r>
        <w:rPr>
          <w:rFonts w:hAnsi="宋体"/>
          <w:bCs/>
        </w:rPr>
        <w:t>5</w:t>
      </w:r>
      <w:r>
        <w:rPr>
          <w:rFonts w:hint="eastAsia" w:hAnsi="宋体"/>
          <w:bCs/>
        </w:rPr>
        <w:t>）必要的法律依据；</w:t>
      </w:r>
    </w:p>
    <w:p w14:paraId="7252A43C">
      <w:pPr>
        <w:spacing w:line="360" w:lineRule="auto"/>
        <w:ind w:firstLine="420" w:firstLineChars="200"/>
        <w:rPr>
          <w:rFonts w:hAnsi="宋体"/>
          <w:bCs/>
        </w:rPr>
      </w:pPr>
      <w:r>
        <w:rPr>
          <w:rFonts w:hint="eastAsia" w:hAnsi="宋体"/>
          <w:bCs/>
        </w:rPr>
        <w:t>（</w:t>
      </w:r>
      <w:r>
        <w:rPr>
          <w:rFonts w:hAnsi="宋体"/>
          <w:bCs/>
        </w:rPr>
        <w:t>6</w:t>
      </w:r>
      <w:r>
        <w:rPr>
          <w:rFonts w:hint="eastAsia" w:hAnsi="宋体"/>
          <w:bCs/>
        </w:rPr>
        <w:t>）提出质疑的日期。</w:t>
      </w:r>
    </w:p>
    <w:p w14:paraId="48DC1CD4">
      <w:pPr>
        <w:spacing w:line="360" w:lineRule="auto"/>
        <w:ind w:firstLine="420" w:firstLineChars="200"/>
        <w:rPr>
          <w:rFonts w:hAnsi="宋体"/>
          <w:bCs/>
        </w:rPr>
      </w:pPr>
      <w:r>
        <w:rPr>
          <w:rFonts w:hint="eastAsia" w:hAnsi="宋体"/>
          <w:bCs/>
        </w:rPr>
        <w:t>投标人为自然人的，应当由本人签字；投标人为法人或者其他组织的，应当由法定代表人、主要负责人，或者其委托代理人签字或者盖章，并加盖公章。</w:t>
      </w:r>
    </w:p>
    <w:p w14:paraId="484E01DB">
      <w:pPr>
        <w:spacing w:line="360" w:lineRule="auto"/>
        <w:ind w:firstLine="422" w:firstLineChars="200"/>
        <w:rPr>
          <w:rFonts w:ascii="宋体" w:hAnsi="宋体"/>
          <w:b/>
          <w:szCs w:val="20"/>
        </w:rPr>
      </w:pPr>
      <w:r>
        <w:rPr>
          <w:rFonts w:hint="eastAsia" w:ascii="宋体" w:hAnsi="宋体"/>
          <w:b/>
          <w:szCs w:val="20"/>
        </w:rPr>
        <w:t>38.2.6采购人或采购人委托的采购代理机构在收到质疑函后7个工作日内作出答复，并以书面形式通知质疑投标人及其他有关投标人。对不符合质疑条件的质疑，答复不予受理，并说明理由；对符合质疑条件的质疑，对质疑事项作出答复</w:t>
      </w:r>
    </w:p>
    <w:p w14:paraId="4DFA0FB4">
      <w:pPr>
        <w:spacing w:line="360" w:lineRule="auto"/>
        <w:ind w:firstLine="420" w:firstLineChars="200"/>
        <w:rPr>
          <w:rFonts w:ascii="宋体" w:hAnsi="宋体"/>
          <w:bCs/>
          <w:szCs w:val="21"/>
        </w:rPr>
      </w:pPr>
      <w:r>
        <w:rPr>
          <w:rFonts w:hint="eastAsia" w:ascii="宋体" w:hAnsi="宋体"/>
          <w:szCs w:val="21"/>
        </w:rPr>
        <w:t>3</w:t>
      </w:r>
      <w:r>
        <w:rPr>
          <w:rFonts w:hint="eastAsia" w:ascii="宋体" w:hAnsi="宋体"/>
          <w:bCs/>
          <w:szCs w:val="21"/>
        </w:rPr>
        <w:t>8.2.7采购人、采购代理机构认为投标人质疑不成立，或者成立但未对中标结果构成影响的，继续开展采购活动；认为投标人质疑成立且影响或者可能影响中标结果的，按照下列情况处理：</w:t>
      </w:r>
    </w:p>
    <w:p w14:paraId="41449729">
      <w:pPr>
        <w:spacing w:line="360" w:lineRule="auto"/>
        <w:ind w:firstLine="420" w:firstLineChars="200"/>
        <w:rPr>
          <w:rFonts w:hAnsi="宋体"/>
          <w:bCs/>
        </w:rPr>
      </w:pPr>
      <w:r>
        <w:rPr>
          <w:rFonts w:hint="eastAsia" w:hAnsi="宋体"/>
          <w:bCs/>
        </w:rPr>
        <w:t>　　（一）对招标文件提出的质疑，依法通过澄清或者修改可以继续开展采购活动的，澄清或者修改招标文件后继续开展采购活动；否则应当修改招标文件后重新开展采购活动。</w:t>
      </w:r>
    </w:p>
    <w:p w14:paraId="54033D17">
      <w:pPr>
        <w:spacing w:line="360" w:lineRule="auto"/>
        <w:ind w:firstLine="420" w:firstLineChars="200"/>
        <w:rPr>
          <w:rFonts w:hAnsi="宋体"/>
          <w:bCs/>
        </w:rPr>
      </w:pPr>
      <w:r>
        <w:rPr>
          <w:rFonts w:hint="eastAsia" w:hAnsi="宋体"/>
          <w:bCs/>
        </w:rPr>
        <w:t>　　（二）对采购过程、中标结果提出的质疑，合格投标人符合法定数量时，可以从合格的中标候选人中另行确定中标人的，应当依法另行确定中标人；否则应当重新开展采购活动。</w:t>
      </w:r>
    </w:p>
    <w:p w14:paraId="65D2A809">
      <w:pPr>
        <w:spacing w:line="360" w:lineRule="auto"/>
        <w:ind w:firstLine="420" w:firstLineChars="200"/>
        <w:rPr>
          <w:rFonts w:hAnsi="宋体"/>
          <w:bCs/>
        </w:rPr>
      </w:pPr>
      <w:r>
        <w:rPr>
          <w:rFonts w:hint="eastAsia" w:hAnsi="宋体"/>
          <w:bCs/>
        </w:rPr>
        <w:t>质疑答复导致中标结果改变的，采购人或者采购代理机构应当将有关情况书面报告本级财政部门。</w:t>
      </w:r>
    </w:p>
    <w:p w14:paraId="39A253DF">
      <w:pPr>
        <w:spacing w:line="360" w:lineRule="auto"/>
        <w:ind w:firstLine="422" w:firstLineChars="200"/>
        <w:rPr>
          <w:rFonts w:hAnsi="宋体"/>
          <w:b/>
        </w:rPr>
      </w:pPr>
      <w:r>
        <w:rPr>
          <w:rFonts w:hAnsi="宋体"/>
          <w:b/>
        </w:rPr>
        <w:t>38.3</w:t>
      </w:r>
      <w:r>
        <w:rPr>
          <w:rFonts w:hint="eastAsia" w:hAnsi="宋体"/>
          <w:b/>
        </w:rPr>
        <w:t>投诉</w:t>
      </w:r>
    </w:p>
    <w:p w14:paraId="11C2130D">
      <w:pPr>
        <w:spacing w:line="360" w:lineRule="auto"/>
        <w:ind w:firstLine="422" w:firstLineChars="200"/>
        <w:rPr>
          <w:rFonts w:hAnsi="宋体"/>
          <w:bCs/>
        </w:rPr>
      </w:pPr>
      <w:r>
        <w:rPr>
          <w:rFonts w:hAnsi="宋体"/>
          <w:b/>
        </w:rPr>
        <w:t>38.3</w:t>
      </w:r>
      <w:r>
        <w:rPr>
          <w:rFonts w:hAnsi="宋体"/>
          <w:bCs/>
        </w:rPr>
        <w:t>.</w:t>
      </w:r>
      <w:r>
        <w:rPr>
          <w:rFonts w:hAnsi="宋体"/>
          <w:b/>
          <w:bCs/>
        </w:rPr>
        <w:t xml:space="preserve">1 </w:t>
      </w:r>
      <w:r>
        <w:rPr>
          <w:rFonts w:hint="eastAsia" w:hAnsi="宋体"/>
          <w:bCs/>
        </w:rPr>
        <w:t>投标人认为招标文件、采购过程、中标和成交结果使自己的合法权益受到损害的，应当首先依法向采购人或采购人委托的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未在规定期限内做出答复的，投标人可以在答复期满后</w:t>
      </w:r>
      <w:r>
        <w:rPr>
          <w:rFonts w:hAnsi="宋体"/>
          <w:bCs/>
        </w:rPr>
        <w:t>15</w:t>
      </w:r>
      <w:r>
        <w:rPr>
          <w:rFonts w:hint="eastAsia" w:hAnsi="宋体"/>
          <w:bCs/>
        </w:rPr>
        <w:t>个工作日内向南宁市政府采购监督管理部门提起投诉，投诉联系方式见“投标人须知前附表”。</w:t>
      </w:r>
    </w:p>
    <w:p w14:paraId="5A624DE5">
      <w:pPr>
        <w:spacing w:line="360" w:lineRule="auto"/>
        <w:ind w:firstLine="422" w:firstLineChars="200"/>
        <w:rPr>
          <w:rFonts w:hAnsi="宋体"/>
          <w:bCs/>
        </w:rPr>
      </w:pPr>
      <w:r>
        <w:rPr>
          <w:rFonts w:hAnsi="宋体"/>
          <w:b/>
        </w:rPr>
        <w:t>38.3</w:t>
      </w:r>
      <w:r>
        <w:rPr>
          <w:b/>
        </w:rPr>
        <w:t xml:space="preserve">.2 </w:t>
      </w:r>
      <w:r>
        <w:rPr>
          <w:rFonts w:hint="eastAsia"/>
        </w:rPr>
        <w:t>投诉人投诉时，应当提交投诉书，并按照被投诉采购人、</w:t>
      </w:r>
      <w:r>
        <w:rPr>
          <w:rFonts w:hint="eastAsia" w:hAnsi="宋体"/>
        </w:rPr>
        <w:t>采购代理机构</w:t>
      </w:r>
      <w:r>
        <w:rPr>
          <w:rFonts w:hint="eastAsia"/>
        </w:rPr>
        <w:t>和与投诉事项有关的投标人数量提供投诉书的副本。投诉书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5C3FB438">
      <w:pPr>
        <w:spacing w:line="360" w:lineRule="auto"/>
        <w:ind w:firstLine="420" w:firstLineChars="200"/>
      </w:pPr>
      <w:r>
        <w:rPr>
          <w:rFonts w:hint="eastAsia" w:hAnsi="宋体"/>
        </w:rPr>
        <w:t>（</w:t>
      </w:r>
      <w:r>
        <w:rPr>
          <w:rFonts w:hAnsi="宋体"/>
        </w:rPr>
        <w:t>1</w:t>
      </w:r>
      <w:r>
        <w:rPr>
          <w:rFonts w:hint="eastAsia" w:hAnsi="宋体"/>
        </w:rPr>
        <w:t>）投诉人和被投诉人的名称、地址、邮编、联系人及联系电话等；</w:t>
      </w:r>
    </w:p>
    <w:p w14:paraId="2477A369">
      <w:pPr>
        <w:spacing w:line="360" w:lineRule="auto"/>
        <w:ind w:firstLine="420" w:firstLineChars="200"/>
      </w:pPr>
      <w:r>
        <w:rPr>
          <w:rFonts w:hint="eastAsia" w:hAnsi="宋体"/>
        </w:rPr>
        <w:t>（</w:t>
      </w:r>
      <w:r>
        <w:rPr>
          <w:rFonts w:hAnsi="宋体"/>
        </w:rPr>
        <w:t>2</w:t>
      </w:r>
      <w:r>
        <w:rPr>
          <w:rFonts w:hint="eastAsia" w:hAnsi="宋体"/>
        </w:rPr>
        <w:t>）质疑和质疑答复情况及相关证明材料；</w:t>
      </w:r>
    </w:p>
    <w:p w14:paraId="024210E5">
      <w:pPr>
        <w:spacing w:line="360" w:lineRule="auto"/>
        <w:ind w:firstLine="420" w:firstLineChars="200"/>
        <w:rPr>
          <w:rFonts w:hAnsi="宋体"/>
        </w:rPr>
      </w:pPr>
      <w:r>
        <w:rPr>
          <w:rFonts w:hint="eastAsia" w:hAnsi="宋体"/>
        </w:rPr>
        <w:t>（</w:t>
      </w:r>
      <w:r>
        <w:rPr>
          <w:rFonts w:hAnsi="宋体"/>
        </w:rPr>
        <w:t>3</w:t>
      </w:r>
      <w:r>
        <w:rPr>
          <w:rFonts w:hint="eastAsia" w:hAnsi="宋体"/>
        </w:rPr>
        <w:t>）具体、明确的投诉事项和与投诉事项相关的投诉请求；</w:t>
      </w:r>
    </w:p>
    <w:p w14:paraId="15C25A2B">
      <w:pPr>
        <w:spacing w:line="360" w:lineRule="auto"/>
        <w:ind w:firstLine="420" w:firstLineChars="200"/>
        <w:rPr>
          <w:rFonts w:hAnsi="宋体"/>
        </w:rPr>
      </w:pPr>
      <w:r>
        <w:rPr>
          <w:rFonts w:hint="eastAsia" w:hAnsi="宋体"/>
        </w:rPr>
        <w:t>（</w:t>
      </w:r>
      <w:r>
        <w:rPr>
          <w:rFonts w:hAnsi="宋体"/>
        </w:rPr>
        <w:t>4</w:t>
      </w:r>
      <w:r>
        <w:rPr>
          <w:rFonts w:hint="eastAsia" w:hAnsi="宋体"/>
        </w:rPr>
        <w:t>）事实依据；</w:t>
      </w:r>
    </w:p>
    <w:p w14:paraId="6DF16C36">
      <w:pPr>
        <w:spacing w:line="360" w:lineRule="auto"/>
        <w:ind w:firstLine="420" w:firstLineChars="200"/>
      </w:pPr>
      <w:r>
        <w:rPr>
          <w:rFonts w:hint="eastAsia" w:hAnsi="宋体"/>
        </w:rPr>
        <w:t>（</w:t>
      </w:r>
      <w:r>
        <w:rPr>
          <w:rFonts w:hAnsi="宋体"/>
        </w:rPr>
        <w:t>5</w:t>
      </w:r>
      <w:r>
        <w:rPr>
          <w:rFonts w:hint="eastAsia" w:hAnsi="宋体"/>
        </w:rPr>
        <w:t>）法律依据；</w:t>
      </w:r>
    </w:p>
    <w:p w14:paraId="588E7384">
      <w:pPr>
        <w:spacing w:line="360" w:lineRule="auto"/>
        <w:ind w:firstLine="420" w:firstLineChars="200"/>
        <w:rPr>
          <w:rFonts w:hAnsi="宋体"/>
        </w:rPr>
      </w:pPr>
      <w:r>
        <w:rPr>
          <w:rFonts w:hint="eastAsia" w:hAnsi="宋体"/>
        </w:rPr>
        <w:t>（</w:t>
      </w:r>
      <w:r>
        <w:rPr>
          <w:rFonts w:hAnsi="宋体"/>
        </w:rPr>
        <w:t>6</w:t>
      </w:r>
      <w:r>
        <w:rPr>
          <w:rFonts w:hint="eastAsia" w:hAnsi="宋体"/>
        </w:rPr>
        <w:t>）提起投诉的日期。</w:t>
      </w:r>
    </w:p>
    <w:p w14:paraId="66DBF855">
      <w:pPr>
        <w:spacing w:line="360" w:lineRule="auto"/>
        <w:ind w:firstLine="420" w:firstLineChars="200"/>
        <w:rPr>
          <w:rFonts w:hAnsi="宋体"/>
        </w:rPr>
      </w:pPr>
      <w:r>
        <w:rPr>
          <w:rFonts w:hint="eastAsia" w:hAnsi="宋体"/>
        </w:rPr>
        <w:t>（</w:t>
      </w:r>
      <w:r>
        <w:rPr>
          <w:rFonts w:hAnsi="宋体"/>
        </w:rPr>
        <w:t>7</w:t>
      </w:r>
      <w:r>
        <w:rPr>
          <w:rFonts w:hint="eastAsia" w:hAnsi="宋体"/>
        </w:rPr>
        <w:t>）附件材料：营业执照副本内页复印件（要求证件有效并清晰反映企业法人经营范围；近期连续三个月依法缴纳税收和在职职工社会保障资金证明材料（复印件）。</w:t>
      </w:r>
      <w:r>
        <w:rPr>
          <w:rFonts w:hAnsi="宋体"/>
        </w:rPr>
        <w:tab/>
      </w:r>
    </w:p>
    <w:p w14:paraId="5A40DF69">
      <w:pPr>
        <w:spacing w:line="360" w:lineRule="auto"/>
        <w:ind w:firstLine="422" w:firstLineChars="200"/>
        <w:rPr>
          <w:rFonts w:hAnsi="宋体"/>
          <w:bCs/>
        </w:rPr>
      </w:pPr>
      <w:r>
        <w:rPr>
          <w:rFonts w:hAnsi="宋体"/>
          <w:b/>
        </w:rPr>
        <w:t>38.3</w:t>
      </w:r>
      <w:r>
        <w:rPr>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5B6D562B">
      <w:pPr>
        <w:spacing w:line="360" w:lineRule="auto"/>
        <w:ind w:firstLine="422" w:firstLineChars="200"/>
        <w:rPr>
          <w:rFonts w:hAnsi="宋体"/>
        </w:rPr>
      </w:pPr>
      <w:r>
        <w:rPr>
          <w:rFonts w:hAnsi="宋体"/>
          <w:b/>
        </w:rPr>
        <w:t>38.3</w:t>
      </w:r>
      <w:r>
        <w:rPr>
          <w:b/>
        </w:rPr>
        <w:t>.4</w:t>
      </w:r>
      <w:r>
        <w:rPr>
          <w:rFonts w:hint="eastAsia"/>
        </w:rPr>
        <w:t>投诉人提起投诉应当符合下列条件：</w:t>
      </w:r>
    </w:p>
    <w:p w14:paraId="4E5AAA0B">
      <w:pPr>
        <w:spacing w:line="360" w:lineRule="auto"/>
        <w:ind w:firstLine="420" w:firstLineChars="200"/>
        <w:rPr>
          <w:rFonts w:ascii="宋体" w:hAnsi="宋体"/>
        </w:rPr>
      </w:pPr>
      <w:r>
        <w:rPr>
          <w:rFonts w:hint="eastAsia" w:ascii="宋体" w:hAnsi="宋体"/>
        </w:rPr>
        <w:t>（1）投诉人是参与所投诉政府采购活动的投标人；</w:t>
      </w:r>
    </w:p>
    <w:p w14:paraId="045D9656">
      <w:pPr>
        <w:spacing w:line="360" w:lineRule="auto"/>
        <w:ind w:firstLine="420" w:firstLineChars="200"/>
        <w:rPr>
          <w:rFonts w:ascii="宋体" w:hAnsi="宋体"/>
        </w:rPr>
      </w:pPr>
      <w:r>
        <w:rPr>
          <w:rFonts w:hint="eastAsia" w:ascii="宋体" w:hAnsi="宋体"/>
        </w:rPr>
        <w:t>（2）提起投诉前已依法进行质疑；</w:t>
      </w:r>
    </w:p>
    <w:p w14:paraId="23B294FF">
      <w:pPr>
        <w:spacing w:line="360" w:lineRule="auto"/>
        <w:ind w:firstLine="420" w:firstLineChars="200"/>
        <w:rPr>
          <w:rFonts w:ascii="宋体" w:hAnsi="宋体"/>
        </w:rPr>
      </w:pPr>
      <w:r>
        <w:rPr>
          <w:rFonts w:hint="eastAsia" w:ascii="宋体" w:hAnsi="宋体"/>
        </w:rPr>
        <w:t>（3）投诉书内容符合本章第38.3.2项的规定；</w:t>
      </w:r>
    </w:p>
    <w:p w14:paraId="7D0B7F96">
      <w:pPr>
        <w:spacing w:line="360" w:lineRule="auto"/>
        <w:ind w:firstLine="420" w:firstLineChars="200"/>
        <w:rPr>
          <w:rFonts w:ascii="宋体" w:hAnsi="宋体"/>
        </w:rPr>
      </w:pPr>
      <w:r>
        <w:rPr>
          <w:rFonts w:hint="eastAsia" w:ascii="宋体" w:hAnsi="宋体"/>
        </w:rPr>
        <w:t>（4）在投诉有效期限内提起投诉；</w:t>
      </w:r>
    </w:p>
    <w:p w14:paraId="7DF768CF">
      <w:pPr>
        <w:spacing w:line="360" w:lineRule="auto"/>
        <w:ind w:firstLine="420" w:firstLineChars="200"/>
        <w:rPr>
          <w:rFonts w:ascii="宋体" w:hAnsi="宋体"/>
        </w:rPr>
      </w:pPr>
      <w:r>
        <w:rPr>
          <w:rFonts w:hint="eastAsia" w:ascii="宋体" w:hAnsi="宋体"/>
        </w:rPr>
        <w:t>（5）属于南宁市政府采购监督管理部门管辖；</w:t>
      </w:r>
    </w:p>
    <w:p w14:paraId="5FF5043D">
      <w:pPr>
        <w:spacing w:line="360" w:lineRule="auto"/>
        <w:ind w:firstLine="420" w:firstLineChars="200"/>
        <w:rPr>
          <w:rFonts w:ascii="宋体" w:hAnsi="宋体"/>
        </w:rPr>
      </w:pPr>
      <w:r>
        <w:rPr>
          <w:rFonts w:hint="eastAsia" w:ascii="宋体" w:hAnsi="宋体"/>
        </w:rPr>
        <w:t>（6）同一投诉事项未经</w:t>
      </w:r>
      <w:r>
        <w:rPr>
          <w:rFonts w:hint="eastAsia" w:ascii="宋体" w:hAnsi="宋体"/>
          <w:bCs/>
        </w:rPr>
        <w:t>南宁市政府采购监督管理部门</w:t>
      </w:r>
      <w:r>
        <w:rPr>
          <w:rFonts w:hint="eastAsia" w:ascii="宋体" w:hAnsi="宋体"/>
        </w:rPr>
        <w:t>投诉处理；</w:t>
      </w:r>
    </w:p>
    <w:p w14:paraId="41AC6C44">
      <w:pPr>
        <w:spacing w:line="360" w:lineRule="auto"/>
        <w:ind w:firstLine="420" w:firstLineChars="200"/>
        <w:rPr>
          <w:rFonts w:ascii="宋体"/>
        </w:rPr>
      </w:pPr>
      <w:r>
        <w:rPr>
          <w:rFonts w:hint="eastAsia" w:ascii="宋体"/>
        </w:rPr>
        <w:t>（7）国务院财政部门规定的其他条件。</w:t>
      </w:r>
    </w:p>
    <w:p w14:paraId="66C084D6">
      <w:pPr>
        <w:spacing w:line="360" w:lineRule="auto"/>
        <w:ind w:firstLine="422" w:firstLineChars="200"/>
      </w:pPr>
      <w:r>
        <w:rPr>
          <w:rFonts w:hAnsi="宋体"/>
          <w:b/>
        </w:rPr>
        <w:t>38.3</w:t>
      </w:r>
      <w:r>
        <w:rPr>
          <w:rFonts w:hint="eastAsia" w:ascii="宋体"/>
          <w:b/>
        </w:rPr>
        <w:t>.5</w:t>
      </w:r>
      <w:r>
        <w:rPr>
          <w:rFonts w:hint="eastAsia" w:ascii="宋体"/>
        </w:rPr>
        <w:t>南宁市政府采购监督管理部门</w:t>
      </w:r>
      <w:r>
        <w:rPr>
          <w:rFonts w:hint="eastAsia"/>
        </w:rPr>
        <w:t>自受理投诉之日起</w:t>
      </w:r>
      <w:r>
        <w:t>30</w:t>
      </w:r>
      <w:r>
        <w:rPr>
          <w:rFonts w:hint="eastAsia"/>
        </w:rPr>
        <w:t>个工作日内，对投诉事项作出处理决定，并以书面形式通知投诉人、被投诉人及其他与投诉处理结果有利害关系的政府采购当</w:t>
      </w:r>
      <w:r>
        <w:rPr>
          <w:rFonts w:hint="eastAsia" w:ascii="宋体"/>
        </w:rPr>
        <w:t>事人</w:t>
      </w:r>
      <w:r>
        <w:rPr>
          <w:rFonts w:hint="eastAsia"/>
        </w:rPr>
        <w:t>。并将投诉结果在</w:t>
      </w:r>
      <w:r>
        <w:t>http://zfcg.gxzf.gov.cn (</w:t>
      </w:r>
      <w:r>
        <w:rPr>
          <w:rFonts w:hint="eastAsia"/>
        </w:rPr>
        <w:t>广西壮族自治区政府采购网</w:t>
      </w:r>
      <w:r>
        <w:t>)</w:t>
      </w:r>
      <w:r>
        <w:rPr>
          <w:rFonts w:hint="eastAsia"/>
        </w:rPr>
        <w:t>发布。</w:t>
      </w:r>
    </w:p>
    <w:p w14:paraId="2462E381">
      <w:pPr>
        <w:spacing w:line="360" w:lineRule="auto"/>
        <w:ind w:firstLine="422" w:firstLineChars="200"/>
        <w:rPr>
          <w:rFonts w:ascii="宋体"/>
        </w:rPr>
      </w:pPr>
      <w:r>
        <w:rPr>
          <w:rFonts w:hAnsi="宋体"/>
          <w:b/>
        </w:rPr>
        <w:t>38.3</w:t>
      </w:r>
      <w:r>
        <w:rPr>
          <w:rFonts w:hint="eastAsia" w:ascii="宋体"/>
          <w:b/>
        </w:rPr>
        <w:t>.6</w:t>
      </w:r>
      <w:r>
        <w:rPr>
          <w:rFonts w:hint="eastAsia" w:ascii="宋体"/>
        </w:rPr>
        <w:t>南宁市政府采购监督管理部门在处理投诉事项期间，可以视具体情况暂停采购活动。</w:t>
      </w:r>
    </w:p>
    <w:p w14:paraId="2E1A8ABF">
      <w:pPr>
        <w:snapToGrid w:val="0"/>
        <w:spacing w:line="360" w:lineRule="auto"/>
        <w:ind w:left="120" w:leftChars="57" w:firstLine="482" w:firstLineChars="150"/>
        <w:jc w:val="center"/>
        <w:rPr>
          <w:b/>
          <w:bCs/>
          <w:sz w:val="32"/>
          <w:szCs w:val="32"/>
        </w:rPr>
      </w:pPr>
      <w:r>
        <w:rPr>
          <w:rFonts w:hint="eastAsia"/>
          <w:b/>
          <w:bCs/>
          <w:sz w:val="32"/>
          <w:szCs w:val="32"/>
        </w:rPr>
        <w:t>八、验收</w:t>
      </w:r>
    </w:p>
    <w:p w14:paraId="6FFB0358">
      <w:pPr>
        <w:spacing w:line="360" w:lineRule="auto"/>
        <w:ind w:firstLine="422" w:firstLineChars="200"/>
        <w:rPr>
          <w:rFonts w:hAnsi="宋体"/>
          <w:b/>
        </w:rPr>
      </w:pPr>
      <w:r>
        <w:rPr>
          <w:rFonts w:hAnsi="宋体"/>
          <w:b/>
        </w:rPr>
        <w:t>39.</w:t>
      </w:r>
      <w:r>
        <w:rPr>
          <w:rFonts w:hint="eastAsia" w:hAnsi="宋体"/>
          <w:b/>
        </w:rPr>
        <w:t>验收</w:t>
      </w:r>
    </w:p>
    <w:p w14:paraId="2D46D4C2">
      <w:pPr>
        <w:tabs>
          <w:tab w:val="left" w:pos="0"/>
        </w:tabs>
        <w:spacing w:line="360" w:lineRule="auto"/>
        <w:ind w:firstLine="480"/>
        <w:rPr>
          <w:rFonts w:hAnsi="宋体"/>
        </w:rPr>
      </w:pPr>
      <w:r>
        <w:rPr>
          <w:rFonts w:hAnsi="宋体"/>
        </w:rPr>
        <w:t>39.1</w:t>
      </w:r>
      <w:r>
        <w:rPr>
          <w:rFonts w:hint="eastAsia" w:hAnsi="宋体"/>
        </w:rPr>
        <w:t>采购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接受相应的处理。</w:t>
      </w:r>
    </w:p>
    <w:p w14:paraId="0FD0440E">
      <w:pPr>
        <w:tabs>
          <w:tab w:val="left" w:pos="0"/>
        </w:tabs>
        <w:spacing w:line="360" w:lineRule="auto"/>
        <w:ind w:firstLine="480"/>
        <w:rPr>
          <w:rFonts w:hAnsi="宋体"/>
        </w:rPr>
      </w:pPr>
      <w:r>
        <w:rPr>
          <w:rFonts w:hAnsi="宋体"/>
        </w:rPr>
        <w:t>39.2</w:t>
      </w:r>
      <w:r>
        <w:rPr>
          <w:rFonts w:hint="eastAsia" w:hAnsi="宋体"/>
        </w:rPr>
        <w:t>采购人可以邀请参加本项目的其他投标人或者第三方机构参与验收。参与验收的投标人或者第三方机构的意见作为验收书的参考资料一并存档。</w:t>
      </w:r>
    </w:p>
    <w:p w14:paraId="0E090FDD">
      <w:pPr>
        <w:tabs>
          <w:tab w:val="left" w:pos="0"/>
        </w:tabs>
        <w:spacing w:line="360" w:lineRule="auto"/>
        <w:ind w:firstLine="480"/>
        <w:rPr>
          <w:rFonts w:hAnsi="宋体"/>
        </w:rPr>
      </w:pPr>
      <w:r>
        <w:rPr>
          <w:rFonts w:hAnsi="宋体"/>
        </w:rPr>
        <w:t>39.3</w:t>
      </w:r>
      <w:r>
        <w:rPr>
          <w:rFonts w:hint="eastAsia" w:hAnsi="宋体"/>
        </w:rPr>
        <w:t>严格按照采购合同开展履约验收。采购人成立验收小组，按照采购合同的约定对投标人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F9F17F2">
      <w:pPr>
        <w:tabs>
          <w:tab w:val="left" w:pos="0"/>
        </w:tabs>
        <w:spacing w:line="360" w:lineRule="auto"/>
        <w:ind w:firstLine="480"/>
        <w:rPr>
          <w:rFonts w:hAnsi="宋体"/>
        </w:rPr>
      </w:pPr>
      <w:r>
        <w:rPr>
          <w:rFonts w:hAnsi="宋体"/>
        </w:rPr>
        <w:t>39.4</w:t>
      </w:r>
      <w:r>
        <w:rPr>
          <w:rFonts w:hint="eastAsia" w:hAnsi="宋体"/>
        </w:rPr>
        <w:t>验收合格的项目，采购人将根据采购合同的约定及时向投标人支付采购资金。验收不合格的项目，采购人将依法及时处理。采购合同的履行、违约责任和解决争议的方式等适用《中华人民共和国民法典》。投标人在履约过程中有政府采购法律法规规定的违法违规情形的，采购人应当及时报告本级财政部门。</w:t>
      </w:r>
    </w:p>
    <w:p w14:paraId="76D9EF03">
      <w:pPr>
        <w:rPr>
          <w:rFonts w:ascii="宋体" w:hAnsi="宋体"/>
          <w:szCs w:val="20"/>
        </w:rPr>
      </w:pPr>
      <w:r>
        <w:rPr>
          <w:rFonts w:ascii="宋体" w:hAnsi="宋体"/>
          <w:szCs w:val="20"/>
        </w:rPr>
        <w:br w:type="page"/>
      </w:r>
    </w:p>
    <w:p w14:paraId="367BE213">
      <w:pPr>
        <w:spacing w:line="360" w:lineRule="auto"/>
        <w:ind w:firstLine="643" w:firstLineChars="200"/>
        <w:jc w:val="center"/>
        <w:outlineLvl w:val="2"/>
        <w:rPr>
          <w:b/>
          <w:bCs/>
          <w:sz w:val="32"/>
          <w:szCs w:val="32"/>
        </w:rPr>
      </w:pPr>
      <w:bookmarkStart w:id="48" w:name="_Toc7290"/>
      <w:bookmarkStart w:id="49" w:name="_Toc89076001"/>
      <w:bookmarkStart w:id="50" w:name="_Toc20881"/>
      <w:bookmarkStart w:id="51" w:name="_Toc110956116"/>
      <w:r>
        <w:rPr>
          <w:rFonts w:hint="eastAsia"/>
          <w:b/>
          <w:bCs/>
          <w:sz w:val="32"/>
          <w:szCs w:val="32"/>
        </w:rPr>
        <w:t>九、其他事项</w:t>
      </w:r>
      <w:bookmarkEnd w:id="48"/>
      <w:bookmarkEnd w:id="49"/>
      <w:bookmarkEnd w:id="50"/>
      <w:bookmarkEnd w:id="51"/>
    </w:p>
    <w:p w14:paraId="7495C879">
      <w:pPr>
        <w:spacing w:line="360" w:lineRule="auto"/>
        <w:ind w:firstLine="480" w:firstLineChars="200"/>
        <w:rPr>
          <w:rFonts w:ascii="黑体" w:hAnsi="黑体" w:eastAsia="黑体"/>
          <w:sz w:val="24"/>
        </w:rPr>
      </w:pPr>
      <w:r>
        <w:rPr>
          <w:rFonts w:hint="eastAsia" w:ascii="黑体" w:hAnsi="黑体" w:eastAsia="黑体"/>
          <w:sz w:val="24"/>
        </w:rPr>
        <w:t>40.代理服务费</w:t>
      </w:r>
    </w:p>
    <w:p w14:paraId="7DAF9107">
      <w:pPr>
        <w:spacing w:line="360" w:lineRule="auto"/>
        <w:ind w:firstLine="422" w:firstLineChars="200"/>
        <w:rPr>
          <w:rFonts w:ascii="宋体" w:hAnsi="宋体"/>
          <w:b/>
          <w:szCs w:val="21"/>
        </w:rPr>
      </w:pPr>
      <w:r>
        <w:rPr>
          <w:rFonts w:hint="eastAsia" w:ascii="宋体" w:hAnsi="宋体"/>
          <w:b/>
          <w:szCs w:val="21"/>
        </w:rPr>
        <w:t>代理服务收费标准及缴费账户详见“投标人须知前附表”，投标人为联合体的，可以由联合体中的一方或者多方共同交纳代理服务费。</w:t>
      </w:r>
    </w:p>
    <w:p w14:paraId="4824287A">
      <w:pPr>
        <w:spacing w:line="360" w:lineRule="auto"/>
        <w:ind w:firstLine="480" w:firstLineChars="200"/>
        <w:rPr>
          <w:rFonts w:ascii="黑体" w:hAnsi="黑体" w:eastAsia="黑体"/>
          <w:sz w:val="24"/>
        </w:rPr>
      </w:pPr>
      <w:r>
        <w:rPr>
          <w:rFonts w:hint="eastAsia" w:ascii="黑体" w:hAnsi="黑体" w:eastAsia="黑体"/>
          <w:sz w:val="24"/>
        </w:rPr>
        <w:t>41. 需要补充的其他内容</w:t>
      </w:r>
    </w:p>
    <w:p w14:paraId="7C12C6FC">
      <w:pPr>
        <w:spacing w:line="360" w:lineRule="auto"/>
        <w:ind w:firstLine="420" w:firstLineChars="200"/>
        <w:rPr>
          <w:rFonts w:hAnsi="宋体"/>
        </w:rPr>
      </w:pPr>
      <w:r>
        <w:rPr>
          <w:rFonts w:hAnsi="宋体"/>
        </w:rPr>
        <w:t>41.1</w:t>
      </w:r>
      <w:r>
        <w:rPr>
          <w:rFonts w:hint="eastAsia" w:hAnsi="宋体" w:cs="宋体"/>
        </w:rPr>
        <w:t>本招标文件解释规则详见</w:t>
      </w:r>
      <w:r>
        <w:rPr>
          <w:rFonts w:hint="eastAsia" w:hAnsi="宋体"/>
        </w:rPr>
        <w:t>“投标人须知前附表”。</w:t>
      </w:r>
    </w:p>
    <w:p w14:paraId="79DE62D3">
      <w:pPr>
        <w:spacing w:line="360" w:lineRule="auto"/>
        <w:ind w:firstLine="420" w:firstLineChars="200"/>
        <w:rPr>
          <w:rFonts w:hAnsi="宋体"/>
        </w:rPr>
      </w:pPr>
      <w:r>
        <w:rPr>
          <w:rFonts w:hAnsi="宋体" w:cs="宋体"/>
        </w:rPr>
        <w:t xml:space="preserve">41.2 </w:t>
      </w:r>
      <w:r>
        <w:rPr>
          <w:rFonts w:hint="eastAsia" w:hAnsi="宋体"/>
        </w:rPr>
        <w:t>其他事项详见“投标人须知前附表”。</w:t>
      </w:r>
    </w:p>
    <w:p w14:paraId="351FF7E9">
      <w:pPr>
        <w:spacing w:line="360" w:lineRule="auto"/>
        <w:ind w:firstLine="420" w:firstLineChars="200"/>
        <w:rPr>
          <w:rFonts w:ascii="宋体" w:hAnsi="宋体"/>
          <w:szCs w:val="20"/>
        </w:rPr>
      </w:pPr>
      <w:r>
        <w:rPr>
          <w:rFonts w:hint="eastAsia" w:ascii="宋体" w:hAnsi="宋体"/>
          <w:szCs w:val="20"/>
        </w:rPr>
        <w:t>41.3</w:t>
      </w:r>
      <w:bookmarkStart w:id="52" w:name="_Hlk65857140"/>
      <w:r>
        <w:rPr>
          <w:rFonts w:hint="eastAsia" w:ascii="宋体" w:hAnsi="宋体"/>
          <w:szCs w:val="20"/>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投标人提供的货物由中小企业制造，即货物由中小企业生产且使用该中小企业商号或者注册商标，</w:t>
      </w:r>
      <w:r>
        <w:rPr>
          <w:rFonts w:hint="eastAsia" w:ascii="宋体" w:hAnsi="Courier New"/>
          <w:szCs w:val="20"/>
        </w:rPr>
        <w:t>不对其中涉及的工程承建商和服务的承接商作出要求</w:t>
      </w:r>
      <w:r>
        <w:rPr>
          <w:rFonts w:hint="eastAsia" w:ascii="宋体" w:hAnsi="宋体"/>
          <w:szCs w:val="20"/>
        </w:rPr>
        <w:t>的，享受本文件规定的中小企业扶持政策。</w:t>
      </w:r>
    </w:p>
    <w:p w14:paraId="2E17D2A6">
      <w:pPr>
        <w:spacing w:before="120" w:after="120" w:line="360" w:lineRule="auto"/>
        <w:ind w:firstLine="420" w:firstLineChars="200"/>
        <w:contextualSpacing/>
        <w:rPr>
          <w:rFonts w:ascii="宋体" w:hAnsi="宋体"/>
          <w:szCs w:val="20"/>
        </w:rPr>
      </w:pPr>
      <w:r>
        <w:rPr>
          <w:rFonts w:hint="eastAsia" w:ascii="宋体" w:hAnsi="宋体"/>
          <w:szCs w:val="20"/>
        </w:rPr>
        <w:t>在货物采购项目中，投标人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2F917FD1">
      <w:pPr>
        <w:spacing w:before="120" w:after="120" w:line="360" w:lineRule="auto"/>
        <w:ind w:firstLine="420" w:firstLineChars="200"/>
        <w:contextualSpacing/>
        <w:rPr>
          <w:rFonts w:ascii="宋体" w:hAnsi="宋体"/>
          <w:szCs w:val="20"/>
        </w:rPr>
      </w:pPr>
      <w:r>
        <w:rPr>
          <w:rFonts w:hint="eastAsia" w:ascii="宋体" w:hAnsi="宋体"/>
          <w:szCs w:val="20"/>
        </w:rPr>
        <w:t>依据本文件规定享受扶持政策获得政府采购合同的，小微企业不得将合同分包给大中型企业，中型企业不得将合同分包给大型企业。</w:t>
      </w:r>
      <w:bookmarkEnd w:id="52"/>
    </w:p>
    <w:p w14:paraId="02941202">
      <w:pPr>
        <w:spacing w:line="360" w:lineRule="auto"/>
        <w:ind w:firstLine="480" w:firstLineChars="200"/>
        <w:rPr>
          <w:rFonts w:ascii="黑体" w:hAnsi="黑体" w:eastAsia="黑体"/>
          <w:sz w:val="24"/>
        </w:rPr>
      </w:pPr>
      <w:r>
        <w:rPr>
          <w:rFonts w:hint="eastAsia" w:ascii="黑体" w:hAnsi="黑体" w:eastAsia="黑体"/>
          <w:sz w:val="24"/>
        </w:rPr>
        <w:t>42. 政采贷相关说明</w:t>
      </w:r>
    </w:p>
    <w:p w14:paraId="1D2C57E7">
      <w:pPr>
        <w:spacing w:line="360" w:lineRule="auto"/>
        <w:ind w:firstLine="420" w:firstLineChars="200"/>
        <w:jc w:val="left"/>
        <w:rPr>
          <w:rFonts w:hAnsi="宋体"/>
        </w:rPr>
      </w:pPr>
      <w:r>
        <w:rPr>
          <w:rFonts w:hint="eastAsia" w:hAnsi="宋体"/>
        </w:rPr>
        <w:t>为优化政府采购营商环境，缓解投标人资金难题，南宁市政府采购试行政府采购信用融资制度，中标人如有融资需求，可凭政府采购合同通过以下方式申请政府采购信用融资贷款：</w:t>
      </w:r>
    </w:p>
    <w:p w14:paraId="60E695EA">
      <w:pPr>
        <w:numPr>
          <w:ilvl w:val="0"/>
          <w:numId w:val="1"/>
        </w:numPr>
        <w:spacing w:line="360" w:lineRule="auto"/>
        <w:ind w:firstLine="420" w:firstLineChars="200"/>
        <w:jc w:val="left"/>
        <w:rPr>
          <w:rFonts w:hAnsi="宋体"/>
        </w:rPr>
      </w:pPr>
      <w:r>
        <w:rPr>
          <w:rFonts w:hint="eastAsia" w:hAnsi="宋体"/>
        </w:rPr>
        <w:t>线下渠道：在“南宁市公共资源交易中心”官网（网址：</w:t>
      </w:r>
      <w:r>
        <w:fldChar w:fldCharType="begin"/>
      </w:r>
      <w:r>
        <w:instrText xml:space="preserve"> HYPERLINK "http://www.nnggzy.org.cn）" </w:instrText>
      </w:r>
      <w:r>
        <w:fldChar w:fldCharType="separate"/>
      </w:r>
      <w:r>
        <w:rPr>
          <w:rFonts w:hAnsi="宋体"/>
          <w:u w:val="single"/>
        </w:rPr>
        <w:t>http://www.nnggzy.org.cn</w:t>
      </w:r>
      <w:r>
        <w:rPr>
          <w:rFonts w:hint="eastAsia" w:hAnsi="宋体"/>
          <w:u w:val="single"/>
        </w:rPr>
        <w:t>）“交易信息</w:t>
      </w:r>
      <w:r>
        <w:rPr>
          <w:rFonts w:hAnsi="宋体"/>
          <w:u w:val="single"/>
        </w:rPr>
        <w:t>-</w:t>
      </w:r>
      <w:r>
        <w:rPr>
          <w:rFonts w:hint="eastAsia" w:hAnsi="宋体"/>
          <w:u w:val="single"/>
        </w:rPr>
        <w:t>政府采购</w:t>
      </w:r>
      <w:r>
        <w:rPr>
          <w:rFonts w:hAnsi="宋体"/>
          <w:u w:val="single"/>
        </w:rPr>
        <w:t>-</w:t>
      </w:r>
      <w:r>
        <w:rPr>
          <w:rFonts w:hint="eastAsia" w:hAnsi="宋体"/>
          <w:u w:val="single"/>
        </w:rPr>
        <w:t>政府采购信用融资”中融资银行和南宁市企业融资货物中心专栏信息申请政府采购信用融资。</w:t>
      </w:r>
      <w:r>
        <w:rPr>
          <w:rFonts w:hint="eastAsia" w:hAnsi="宋体"/>
          <w:u w:val="single"/>
        </w:rPr>
        <w:fldChar w:fldCharType="end"/>
      </w:r>
    </w:p>
    <w:p w14:paraId="456C1A46">
      <w:pPr>
        <w:spacing w:line="360" w:lineRule="auto"/>
        <w:ind w:firstLine="420" w:firstLineChars="200"/>
        <w:jc w:val="left"/>
        <w:rPr>
          <w:rFonts w:hAnsi="宋体"/>
        </w:rPr>
      </w:pPr>
      <w:r>
        <w:rPr>
          <w:rFonts w:hint="eastAsia" w:hAnsi="宋体"/>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rPr>
        <w:br w:type="page"/>
      </w:r>
    </w:p>
    <w:p w14:paraId="29F86426">
      <w:pPr>
        <w:jc w:val="center"/>
        <w:outlineLvl w:val="0"/>
        <w:rPr>
          <w:b/>
          <w:sz w:val="36"/>
        </w:rPr>
      </w:pPr>
      <w:bookmarkStart w:id="53" w:name="_Toc32584"/>
      <w:bookmarkStart w:id="54" w:name="_Toc18648"/>
      <w:r>
        <w:rPr>
          <w:rFonts w:hint="eastAsia"/>
          <w:b/>
          <w:sz w:val="36"/>
        </w:rPr>
        <w:t>第四章</w:t>
      </w:r>
      <w:r>
        <w:rPr>
          <w:b/>
          <w:sz w:val="36"/>
        </w:rPr>
        <w:t xml:space="preserve">  </w:t>
      </w:r>
      <w:r>
        <w:rPr>
          <w:rFonts w:hint="eastAsia"/>
          <w:b/>
          <w:sz w:val="36"/>
        </w:rPr>
        <w:t>评标方法及评分标准</w:t>
      </w:r>
      <w:bookmarkEnd w:id="53"/>
      <w:bookmarkEnd w:id="54"/>
    </w:p>
    <w:p w14:paraId="79B8CCD1">
      <w:pPr>
        <w:jc w:val="center"/>
        <w:outlineLvl w:val="1"/>
        <w:rPr>
          <w:b/>
          <w:bCs/>
          <w:sz w:val="32"/>
          <w:szCs w:val="32"/>
        </w:rPr>
      </w:pPr>
      <w:bookmarkStart w:id="55" w:name="_Toc23293"/>
      <w:bookmarkStart w:id="56" w:name="_Toc16175"/>
      <w:r>
        <w:rPr>
          <w:rFonts w:hint="eastAsia"/>
          <w:b/>
          <w:bCs/>
          <w:sz w:val="32"/>
          <w:szCs w:val="32"/>
        </w:rPr>
        <w:t>第一节 评标方法</w:t>
      </w:r>
      <w:bookmarkEnd w:id="55"/>
      <w:bookmarkEnd w:id="56"/>
    </w:p>
    <w:p w14:paraId="0F4FD271">
      <w:pPr>
        <w:tabs>
          <w:tab w:val="left" w:pos="2472"/>
        </w:tabs>
        <w:spacing w:line="460" w:lineRule="exact"/>
        <w:ind w:firstLine="420" w:firstLineChars="200"/>
        <w:rPr>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0AD03FB1">
      <w:pPr>
        <w:spacing w:line="360" w:lineRule="auto"/>
        <w:ind w:firstLine="420"/>
        <w:rPr>
          <w:rFonts w:hAnsi="宋体"/>
        </w:rPr>
      </w:pPr>
      <w:r>
        <w:rPr>
          <w:rFonts w:hint="eastAsia" w:hAnsi="宋体"/>
          <w:szCs w:val="21"/>
        </w:rPr>
        <w:t>□最低评标价法，是指投标文件满足招标文件</w:t>
      </w:r>
      <w:r>
        <w:rPr>
          <w:rFonts w:hint="eastAsia" w:hAnsi="宋体"/>
        </w:rPr>
        <w:t>全部实质性要求，且投标报价最低的投标人为中标候选人的评标方法。</w:t>
      </w:r>
    </w:p>
    <w:p w14:paraId="56F6B5FC">
      <w:pPr>
        <w:autoSpaceDE w:val="0"/>
        <w:autoSpaceDN w:val="0"/>
        <w:adjustRightInd w:val="0"/>
        <w:spacing w:line="440" w:lineRule="exact"/>
        <w:ind w:firstLine="420" w:firstLineChars="200"/>
        <w:rPr>
          <w:rFonts w:ascii="宋体" w:hAnsi="宋体"/>
          <w:sz w:val="24"/>
        </w:rPr>
      </w:pPr>
      <w:r>
        <w:rPr>
          <w:rFonts w:hint="eastAsia" w:ascii="MS Gothic" w:hAnsi="MS Gothic" w:eastAsia="MS Gothic" w:cs="MS Gothic"/>
        </w:rPr>
        <w:t>☑</w:t>
      </w:r>
      <w:r>
        <w:rPr>
          <w:rFonts w:hint="eastAsia" w:hAnsi="宋体"/>
        </w:rPr>
        <w:t>综合评分法，</w:t>
      </w:r>
      <w:r>
        <w:rPr>
          <w:rFonts w:hint="eastAsia" w:ascii="宋体" w:hAnsi="宋体"/>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174DCE35">
      <w:pPr>
        <w:spacing w:line="360" w:lineRule="auto"/>
        <w:ind w:firstLine="420"/>
        <w:rPr>
          <w:rFonts w:hAnsi="宋体"/>
        </w:rPr>
      </w:pPr>
    </w:p>
    <w:p w14:paraId="4537CD3B">
      <w:pPr>
        <w:tabs>
          <w:tab w:val="left" w:pos="2472"/>
        </w:tabs>
        <w:spacing w:line="460" w:lineRule="exact"/>
        <w:jc w:val="center"/>
        <w:outlineLvl w:val="1"/>
        <w:rPr>
          <w:b/>
          <w:bCs/>
          <w:sz w:val="32"/>
          <w:szCs w:val="32"/>
        </w:rPr>
      </w:pPr>
      <w:bookmarkStart w:id="57" w:name="_Toc26306"/>
      <w:bookmarkStart w:id="58" w:name="_Toc10861"/>
      <w:r>
        <w:rPr>
          <w:rFonts w:hint="eastAsia"/>
          <w:b/>
          <w:bCs/>
          <w:sz w:val="32"/>
          <w:szCs w:val="32"/>
        </w:rPr>
        <w:t>第二节 评标程序</w:t>
      </w:r>
      <w:bookmarkEnd w:id="57"/>
      <w:bookmarkEnd w:id="58"/>
    </w:p>
    <w:p w14:paraId="3C1FFCB6">
      <w:pPr>
        <w:spacing w:line="360" w:lineRule="auto"/>
        <w:ind w:firstLine="422" w:firstLineChars="200"/>
        <w:rPr>
          <w:rFonts w:ascii="宋体" w:hAnsi="宋体"/>
          <w:b/>
          <w:szCs w:val="21"/>
        </w:rPr>
      </w:pPr>
      <w:r>
        <w:rPr>
          <w:rFonts w:hint="eastAsia" w:ascii="宋体" w:hAnsi="宋体"/>
          <w:b/>
          <w:szCs w:val="21"/>
        </w:rPr>
        <w:t>1.符合性审查</w:t>
      </w:r>
    </w:p>
    <w:p w14:paraId="0B8E2BD8">
      <w:pPr>
        <w:spacing w:line="360" w:lineRule="auto"/>
        <w:ind w:firstLine="420" w:firstLineChars="200"/>
        <w:rPr>
          <w:rFonts w:hAnsi="宋体"/>
        </w:rPr>
      </w:pPr>
      <w:r>
        <w:rPr>
          <w:rFonts w:hint="eastAsia" w:hAnsi="宋体"/>
        </w:rPr>
        <w:t>评标委员会应当对符合资格的投标人的投标文件进行投标报价、商务、技术等实质性内容符合性审查，以确定其是否满足招标文件的实质性要求。</w:t>
      </w:r>
    </w:p>
    <w:p w14:paraId="234F7804">
      <w:pPr>
        <w:spacing w:line="360" w:lineRule="auto"/>
        <w:ind w:firstLine="422" w:firstLineChars="200"/>
        <w:rPr>
          <w:rFonts w:ascii="宋体" w:hAnsi="宋体"/>
          <w:b/>
          <w:szCs w:val="21"/>
        </w:rPr>
      </w:pPr>
      <w:r>
        <w:rPr>
          <w:rFonts w:hint="eastAsia" w:ascii="宋体" w:hAnsi="宋体"/>
          <w:b/>
          <w:szCs w:val="21"/>
        </w:rPr>
        <w:t>2.符合性审查不通过而导致投标无效的情形</w:t>
      </w:r>
    </w:p>
    <w:p w14:paraId="18F64234">
      <w:pPr>
        <w:spacing w:line="360" w:lineRule="auto"/>
        <w:ind w:firstLine="420" w:firstLineChars="200"/>
        <w:rPr>
          <w:rFonts w:ascii="宋体" w:hAnsi="宋体"/>
          <w:szCs w:val="21"/>
        </w:rPr>
      </w:pPr>
      <w:r>
        <w:rPr>
          <w:rFonts w:hint="eastAsia" w:ascii="宋体" w:hAnsi="宋体"/>
          <w:szCs w:val="21"/>
        </w:rPr>
        <w:t>投标人的投标文件中存在对招标文件的任何实质性要求和条件的负偏离，将被视为投标无效。</w:t>
      </w:r>
    </w:p>
    <w:p w14:paraId="3A74AAA5">
      <w:pPr>
        <w:spacing w:line="360" w:lineRule="auto"/>
        <w:ind w:firstLine="420" w:firstLineChars="200"/>
        <w:rPr>
          <w:rFonts w:ascii="宋体" w:hAnsi="宋体"/>
          <w:szCs w:val="21"/>
        </w:rPr>
      </w:pPr>
      <w:r>
        <w:rPr>
          <w:rFonts w:hint="eastAsia" w:ascii="宋体" w:hAnsi="宋体"/>
          <w:szCs w:val="21"/>
        </w:rPr>
        <w:t>2.1在报价评审时，如发现下列情形之一的，将被视为投标无效：</w:t>
      </w:r>
    </w:p>
    <w:p w14:paraId="7CDFD147">
      <w:pPr>
        <w:spacing w:line="360" w:lineRule="auto"/>
        <w:ind w:firstLine="420" w:firstLineChars="200"/>
        <w:rPr>
          <w:rFonts w:ascii="宋体" w:hAnsi="宋体"/>
          <w:szCs w:val="21"/>
        </w:rPr>
      </w:pPr>
      <w:r>
        <w:rPr>
          <w:rFonts w:hint="eastAsia" w:ascii="宋体" w:hAnsi="宋体"/>
          <w:szCs w:val="21"/>
        </w:rPr>
        <w:t>（1）投标文件未提供“投标人须知前附表”第13.1条规定中“必须提供”的文件资料的;</w:t>
      </w:r>
    </w:p>
    <w:p w14:paraId="5F2FD5FF">
      <w:pPr>
        <w:spacing w:line="360" w:lineRule="auto"/>
        <w:ind w:firstLine="420" w:firstLineChars="200"/>
        <w:rPr>
          <w:rFonts w:ascii="宋体" w:hAnsi="宋体"/>
          <w:szCs w:val="21"/>
        </w:rPr>
      </w:pPr>
      <w:r>
        <w:rPr>
          <w:rFonts w:hint="eastAsia" w:ascii="宋体" w:hAnsi="宋体"/>
          <w:szCs w:val="21"/>
        </w:rPr>
        <w:t>（2）未采用人民币报价或者未按照招标文件标明的币种报价的；</w:t>
      </w:r>
    </w:p>
    <w:p w14:paraId="5B82F494">
      <w:pPr>
        <w:spacing w:line="360" w:lineRule="auto"/>
        <w:ind w:firstLine="420" w:firstLineChars="200"/>
        <w:rPr>
          <w:rFonts w:ascii="宋体" w:hAnsi="宋体"/>
          <w:szCs w:val="21"/>
        </w:rPr>
      </w:pPr>
      <w:r>
        <w:rPr>
          <w:rFonts w:hint="eastAsia" w:ascii="宋体" w:hAnsi="宋体"/>
          <w:szCs w:val="21"/>
        </w:rPr>
        <w:t>（3）报价超出招标文件规定最高限价，或者超出采购预算金额（包括分项预算）的；</w:t>
      </w:r>
    </w:p>
    <w:p w14:paraId="4818EF37">
      <w:pPr>
        <w:spacing w:line="360" w:lineRule="auto"/>
        <w:ind w:firstLine="420" w:firstLineChars="200"/>
        <w:rPr>
          <w:rFonts w:ascii="宋体" w:hAnsi="宋体"/>
          <w:szCs w:val="21"/>
        </w:rPr>
      </w:pPr>
      <w:r>
        <w:rPr>
          <w:rFonts w:hint="eastAsia" w:ascii="宋体" w:hAnsi="宋体"/>
          <w:szCs w:val="21"/>
        </w:rPr>
        <w:t>（4）投标人未就所投分标进行报价或者存在漏项报价；投标人未就所投分标的单项内容作唯一报价；投标人未就所投分标的全部内容做唯一总价报价；存在有选择、有条件报价的（招标文件允许有备选方案或者其他约定的除外）；</w:t>
      </w:r>
    </w:p>
    <w:p w14:paraId="01C43647">
      <w:pPr>
        <w:spacing w:line="360" w:lineRule="auto"/>
        <w:ind w:firstLine="420" w:firstLineChars="200"/>
        <w:rPr>
          <w:rFonts w:ascii="宋体" w:hAnsi="宋体"/>
          <w:szCs w:val="21"/>
        </w:rPr>
      </w:pPr>
      <w:r>
        <w:rPr>
          <w:rFonts w:hint="eastAsia" w:ascii="宋体" w:hAnsi="宋体"/>
          <w:szCs w:val="21"/>
        </w:rPr>
        <w:t>（5）修正后的报价，投标人不确认的；</w:t>
      </w:r>
    </w:p>
    <w:p w14:paraId="432693C0">
      <w:pPr>
        <w:spacing w:line="360" w:lineRule="auto"/>
        <w:ind w:firstLine="420" w:firstLineChars="200"/>
        <w:rPr>
          <w:rFonts w:ascii="宋体" w:hAnsi="宋体"/>
          <w:szCs w:val="21"/>
        </w:rPr>
      </w:pPr>
      <w:r>
        <w:rPr>
          <w:rFonts w:hint="eastAsia" w:ascii="宋体" w:hAnsi="宋体"/>
          <w:szCs w:val="21"/>
        </w:rPr>
        <w:t>（6）投标人属于本章第5条第（2）项情形的。</w:t>
      </w:r>
    </w:p>
    <w:p w14:paraId="3CFA4E38">
      <w:pPr>
        <w:spacing w:line="360" w:lineRule="auto"/>
        <w:ind w:firstLine="420" w:firstLineChars="200"/>
        <w:rPr>
          <w:rFonts w:ascii="宋体" w:hAnsi="宋体"/>
          <w:szCs w:val="21"/>
        </w:rPr>
      </w:pPr>
      <w:r>
        <w:rPr>
          <w:rFonts w:hint="eastAsia" w:ascii="宋体" w:hAnsi="宋体"/>
          <w:szCs w:val="21"/>
        </w:rPr>
        <w:t>2.2在商务评审时，如发现下列情形之一的，将被视为投标无效：</w:t>
      </w:r>
    </w:p>
    <w:p w14:paraId="1B0567E0">
      <w:pPr>
        <w:spacing w:line="360" w:lineRule="auto"/>
        <w:ind w:firstLine="420" w:firstLineChars="200"/>
        <w:rPr>
          <w:rFonts w:ascii="宋体" w:hAnsi="宋体"/>
          <w:szCs w:val="21"/>
        </w:rPr>
      </w:pPr>
      <w:r>
        <w:rPr>
          <w:rFonts w:hint="eastAsia" w:ascii="宋体" w:hAnsi="宋体"/>
          <w:szCs w:val="21"/>
        </w:rPr>
        <w:t>（1）投标文件未按招标文件要求签署、盖章的；</w:t>
      </w:r>
    </w:p>
    <w:p w14:paraId="3B993B72">
      <w:pPr>
        <w:spacing w:line="360" w:lineRule="auto"/>
        <w:ind w:firstLine="420" w:firstLineChars="200"/>
        <w:rPr>
          <w:rFonts w:ascii="宋体" w:hAnsi="宋体"/>
          <w:szCs w:val="21"/>
        </w:rPr>
      </w:pPr>
      <w:r>
        <w:rPr>
          <w:rFonts w:hint="eastAsia" w:ascii="宋体" w:hAnsi="宋体"/>
          <w:szCs w:val="21"/>
        </w:rPr>
        <w:t>（2）委托代理人未能出具有效身份证明或者出具的身份证明与授权委托书中的信息不符的；</w:t>
      </w:r>
    </w:p>
    <w:p w14:paraId="1AEC383D">
      <w:pPr>
        <w:spacing w:line="360" w:lineRule="auto"/>
        <w:ind w:firstLine="420" w:firstLineChars="200"/>
        <w:rPr>
          <w:rFonts w:ascii="宋体" w:hAnsi="宋体"/>
          <w:szCs w:val="21"/>
        </w:rPr>
      </w:pPr>
      <w:r>
        <w:rPr>
          <w:rFonts w:hint="eastAsia" w:ascii="宋体" w:hAnsi="宋体"/>
          <w:szCs w:val="21"/>
        </w:rPr>
        <w:t>（3）投标文件未提供“投标人须知前附表”第13.1条规定中“必须提供”或者“委托时必须提供”的文件资料的;</w:t>
      </w:r>
    </w:p>
    <w:p w14:paraId="1AB80F89">
      <w:pPr>
        <w:spacing w:line="360" w:lineRule="auto"/>
        <w:ind w:firstLine="420" w:firstLineChars="200"/>
        <w:rPr>
          <w:rFonts w:ascii="宋体" w:hAnsi="宋体"/>
          <w:szCs w:val="21"/>
        </w:rPr>
      </w:pPr>
      <w:r>
        <w:rPr>
          <w:rFonts w:hint="eastAsia" w:ascii="宋体" w:hAnsi="宋体"/>
          <w:szCs w:val="21"/>
        </w:rPr>
        <w:t>（4）投标有效期、项目完成时间（交货时间、货物完成时间或者货物期等）、质保期、售后服务等招标文件中标“▲”的商务条款发生负偏离的；</w:t>
      </w:r>
    </w:p>
    <w:p w14:paraId="7982EB9D">
      <w:pPr>
        <w:spacing w:line="360" w:lineRule="auto"/>
        <w:ind w:firstLine="420" w:firstLineChars="200"/>
        <w:rPr>
          <w:rFonts w:ascii="宋体" w:hAnsi="宋体"/>
          <w:szCs w:val="21"/>
        </w:rPr>
      </w:pPr>
      <w:r>
        <w:rPr>
          <w:rFonts w:hint="eastAsia" w:ascii="宋体" w:hAnsi="宋体"/>
          <w:szCs w:val="21"/>
        </w:rPr>
        <w:t>（5）商务条款评审允许负偏离的条款数超过“投标人须知前附表”规定项数的。</w:t>
      </w:r>
    </w:p>
    <w:p w14:paraId="482C7FB5">
      <w:pPr>
        <w:spacing w:line="360" w:lineRule="auto"/>
        <w:ind w:firstLine="420" w:firstLineChars="200"/>
        <w:rPr>
          <w:rFonts w:ascii="宋体" w:hAnsi="宋体"/>
          <w:szCs w:val="21"/>
        </w:rPr>
      </w:pPr>
      <w:r>
        <w:rPr>
          <w:rFonts w:hint="eastAsia" w:ascii="宋体" w:hAnsi="宋体"/>
          <w:szCs w:val="21"/>
        </w:rPr>
        <w:t>（6）投标文件的实质性内容未使用中文表述、使用计量单位不符合招标文件要求的；</w:t>
      </w:r>
    </w:p>
    <w:p w14:paraId="4D880AAE">
      <w:pPr>
        <w:spacing w:line="360" w:lineRule="auto"/>
        <w:ind w:firstLine="420" w:firstLineChars="200"/>
        <w:rPr>
          <w:rFonts w:ascii="宋体" w:hAnsi="宋体"/>
          <w:szCs w:val="21"/>
        </w:rPr>
      </w:pPr>
      <w:r>
        <w:rPr>
          <w:rFonts w:hint="eastAsia" w:ascii="宋体" w:hAnsi="宋体"/>
          <w:szCs w:val="21"/>
        </w:rPr>
        <w:t>（7）投标文件中的文件资料因填写不齐全或者内容虚假或者出现其他情形而导致被评标委员会认定无效的；</w:t>
      </w:r>
    </w:p>
    <w:p w14:paraId="13077CB5">
      <w:pPr>
        <w:spacing w:line="360" w:lineRule="auto"/>
        <w:ind w:firstLine="420" w:firstLineChars="200"/>
        <w:rPr>
          <w:rFonts w:ascii="宋体" w:hAnsi="宋体"/>
          <w:szCs w:val="21"/>
        </w:rPr>
      </w:pPr>
      <w:r>
        <w:rPr>
          <w:rFonts w:hint="eastAsia" w:ascii="宋体" w:hAnsi="宋体"/>
          <w:szCs w:val="21"/>
        </w:rPr>
        <w:t>（8）投标文件含有采购人不能接受的附加条件的；</w:t>
      </w:r>
    </w:p>
    <w:p w14:paraId="75E6D2B3">
      <w:pPr>
        <w:spacing w:line="360" w:lineRule="auto"/>
        <w:ind w:firstLine="420" w:firstLineChars="200"/>
        <w:rPr>
          <w:rFonts w:ascii="宋体" w:hAnsi="宋体"/>
          <w:szCs w:val="21"/>
        </w:rPr>
      </w:pPr>
      <w:r>
        <w:rPr>
          <w:rFonts w:hint="eastAsia" w:ascii="宋体" w:hAnsi="宋体"/>
          <w:szCs w:val="21"/>
        </w:rPr>
        <w:t>（9）未响应招标文件实质性要求的；</w:t>
      </w:r>
    </w:p>
    <w:p w14:paraId="24AE6297">
      <w:pPr>
        <w:spacing w:line="360" w:lineRule="auto"/>
        <w:ind w:firstLine="420" w:firstLineChars="200"/>
        <w:rPr>
          <w:rFonts w:ascii="宋体" w:hAnsi="宋体"/>
          <w:szCs w:val="21"/>
        </w:rPr>
      </w:pPr>
      <w:r>
        <w:rPr>
          <w:rFonts w:hint="eastAsia" w:ascii="宋体" w:hAnsi="宋体"/>
          <w:szCs w:val="21"/>
        </w:rPr>
        <w:t>（10）属于投标人须知正文第9.2条情形的；</w:t>
      </w:r>
    </w:p>
    <w:p w14:paraId="14CDFFB8">
      <w:pPr>
        <w:spacing w:line="360" w:lineRule="auto"/>
        <w:ind w:firstLine="420" w:firstLineChars="200"/>
        <w:rPr>
          <w:rFonts w:ascii="宋体" w:hAnsi="宋体"/>
          <w:szCs w:val="21"/>
        </w:rPr>
      </w:pPr>
      <w:r>
        <w:rPr>
          <w:rFonts w:hint="eastAsia" w:ascii="宋体" w:hAnsi="宋体"/>
          <w:szCs w:val="21"/>
        </w:rPr>
        <w:t>（11）法律、法规和招标文件规定的其他无效情形。</w:t>
      </w:r>
    </w:p>
    <w:p w14:paraId="4B4AEF70">
      <w:pPr>
        <w:spacing w:line="360" w:lineRule="auto"/>
        <w:ind w:firstLine="420" w:firstLineChars="200"/>
        <w:rPr>
          <w:rFonts w:ascii="宋体" w:hAnsi="宋体"/>
          <w:szCs w:val="21"/>
        </w:rPr>
      </w:pPr>
      <w:r>
        <w:rPr>
          <w:rFonts w:hint="eastAsia" w:ascii="宋体" w:hAnsi="宋体"/>
          <w:szCs w:val="21"/>
        </w:rPr>
        <w:t>2.3在技术评审时，如发现下列情形之一的，将被视为投标无效：</w:t>
      </w:r>
    </w:p>
    <w:p w14:paraId="4E06AEA0">
      <w:pPr>
        <w:spacing w:line="360" w:lineRule="auto"/>
        <w:ind w:firstLine="420" w:firstLineChars="200"/>
        <w:rPr>
          <w:rFonts w:hAnsi="宋体"/>
          <w:szCs w:val="21"/>
        </w:rPr>
      </w:pPr>
      <w:r>
        <w:rPr>
          <w:rFonts w:hint="eastAsia" w:hAnsi="宋体"/>
          <w:szCs w:val="21"/>
        </w:rPr>
        <w:t>（</w:t>
      </w:r>
      <w:r>
        <w:rPr>
          <w:rFonts w:hAnsi="宋体"/>
          <w:szCs w:val="21"/>
        </w:rPr>
        <w:t>1</w:t>
      </w:r>
      <w:r>
        <w:rPr>
          <w:rFonts w:hint="eastAsia" w:hAnsi="宋体"/>
          <w:szCs w:val="21"/>
        </w:rPr>
        <w:t>）不满足招标文件要求的货物内容、技术要求、安全、质量标准，或者与招标文件中标“▲”的技术需求发生负偏离的；</w:t>
      </w:r>
    </w:p>
    <w:p w14:paraId="57056241">
      <w:pPr>
        <w:spacing w:line="360" w:lineRule="auto"/>
        <w:ind w:firstLine="420" w:firstLineChars="200"/>
        <w:rPr>
          <w:rFonts w:hAnsi="宋体"/>
          <w:szCs w:val="21"/>
        </w:rPr>
      </w:pPr>
      <w:r>
        <w:rPr>
          <w:rFonts w:hint="eastAsia" w:hAnsi="宋体"/>
          <w:szCs w:val="21"/>
        </w:rPr>
        <w:t>（</w:t>
      </w:r>
      <w:r>
        <w:rPr>
          <w:rFonts w:hAnsi="宋体"/>
          <w:szCs w:val="21"/>
        </w:rPr>
        <w:t>2</w:t>
      </w:r>
      <w:r>
        <w:rPr>
          <w:rFonts w:hint="eastAsia" w:hAnsi="宋体"/>
          <w:szCs w:val="21"/>
        </w:rPr>
        <w:t>）技术需求评审允许负偏离的条款数超过“投标人须知前附表”规定项数的；</w:t>
      </w:r>
    </w:p>
    <w:p w14:paraId="4C9FEE54">
      <w:pPr>
        <w:spacing w:line="360" w:lineRule="auto"/>
        <w:ind w:firstLine="420" w:firstLineChars="200"/>
        <w:rPr>
          <w:rFonts w:hAnsi="宋体"/>
          <w:szCs w:val="21"/>
        </w:rPr>
      </w:pPr>
      <w:r>
        <w:rPr>
          <w:rFonts w:hint="eastAsia" w:hAnsi="宋体"/>
          <w:szCs w:val="21"/>
        </w:rPr>
        <w:t>（</w:t>
      </w:r>
      <w:r>
        <w:rPr>
          <w:rFonts w:hAnsi="宋体"/>
          <w:szCs w:val="21"/>
        </w:rPr>
        <w:t>3</w:t>
      </w:r>
      <w:r>
        <w:rPr>
          <w:rFonts w:hint="eastAsia" w:hAnsi="宋体"/>
          <w:szCs w:val="21"/>
        </w:rPr>
        <w:t>）投标文件未提供“投标人须知前附表”第</w:t>
      </w:r>
      <w:r>
        <w:rPr>
          <w:rFonts w:hAnsi="宋体"/>
          <w:szCs w:val="21"/>
        </w:rPr>
        <w:t>13.1</w:t>
      </w:r>
      <w:r>
        <w:rPr>
          <w:rFonts w:hint="eastAsia" w:hAnsi="宋体"/>
          <w:szCs w:val="21"/>
        </w:rPr>
        <w:t>条规定中“必须提供”的文件资料的</w:t>
      </w:r>
      <w:r>
        <w:rPr>
          <w:rFonts w:hAnsi="宋体"/>
          <w:szCs w:val="21"/>
        </w:rPr>
        <w:t>;</w:t>
      </w:r>
    </w:p>
    <w:p w14:paraId="0241934C">
      <w:pPr>
        <w:spacing w:line="360" w:lineRule="auto"/>
        <w:ind w:firstLine="420" w:firstLineChars="200"/>
        <w:rPr>
          <w:rFonts w:hAnsi="宋体"/>
          <w:szCs w:val="21"/>
        </w:rPr>
      </w:pPr>
      <w:r>
        <w:rPr>
          <w:rFonts w:hint="eastAsia" w:hAnsi="宋体"/>
          <w:szCs w:val="21"/>
        </w:rPr>
        <w:t>（</w:t>
      </w:r>
      <w:r>
        <w:rPr>
          <w:rFonts w:hAnsi="宋体"/>
          <w:szCs w:val="21"/>
        </w:rPr>
        <w:t>4</w:t>
      </w:r>
      <w:r>
        <w:rPr>
          <w:rFonts w:hint="eastAsia" w:hAnsi="宋体"/>
          <w:szCs w:val="21"/>
        </w:rPr>
        <w:t>）虚假投标，或者出现其他情形而导致被评标委员会认定无效的；</w:t>
      </w:r>
    </w:p>
    <w:p w14:paraId="7180B7DC">
      <w:pPr>
        <w:spacing w:line="360" w:lineRule="auto"/>
        <w:ind w:firstLine="420" w:firstLineChars="200"/>
        <w:rPr>
          <w:rFonts w:hAnsi="宋体"/>
          <w:szCs w:val="21"/>
        </w:rPr>
      </w:pPr>
      <w:r>
        <w:rPr>
          <w:rFonts w:hint="eastAsia" w:hAnsi="宋体"/>
          <w:szCs w:val="21"/>
        </w:rPr>
        <w:t>（</w:t>
      </w:r>
      <w:r>
        <w:rPr>
          <w:rFonts w:hAnsi="宋体"/>
          <w:szCs w:val="21"/>
        </w:rPr>
        <w:t>5</w:t>
      </w:r>
      <w:r>
        <w:rPr>
          <w:rFonts w:hint="eastAsia" w:hAnsi="宋体"/>
          <w:szCs w:val="21"/>
        </w:rPr>
        <w:t>）招标文件要求提供技术方案的，投标技术方案不明确，招标文件未允许但存在一个或者一个以上备选（替代）投标方案的。</w:t>
      </w:r>
    </w:p>
    <w:p w14:paraId="33E62958">
      <w:pPr>
        <w:spacing w:line="360" w:lineRule="auto"/>
        <w:ind w:firstLine="422" w:firstLineChars="200"/>
        <w:rPr>
          <w:rFonts w:ascii="宋体" w:hAnsi="宋体"/>
          <w:b/>
          <w:szCs w:val="21"/>
        </w:rPr>
      </w:pPr>
      <w:r>
        <w:rPr>
          <w:rFonts w:hint="eastAsia" w:ascii="宋体" w:hAnsi="宋体"/>
          <w:b/>
          <w:szCs w:val="21"/>
        </w:rPr>
        <w:t>3.澄清补正、说明或者补正</w:t>
      </w:r>
    </w:p>
    <w:p w14:paraId="0246E08D">
      <w:pPr>
        <w:spacing w:line="360" w:lineRule="auto"/>
        <w:ind w:firstLine="420" w:firstLineChars="200"/>
        <w:rPr>
          <w:rFonts w:ascii="宋体" w:hAnsi="宋体" w:cs="Courier New"/>
          <w:szCs w:val="21"/>
        </w:rPr>
      </w:pPr>
      <w:r>
        <w:rPr>
          <w:rFonts w:hint="eastAsia" w:ascii="宋体" w:hAnsi="宋体" w:cs="Courier New"/>
          <w:szCs w:val="21"/>
        </w:rPr>
        <w:t>对投标文件中含义不明确、同类问题表述不一致或者有明显文字和计算错误的内容，评标委员会应在“广西政府采购云平台”发布电子澄清函，要求投标人在规定时间内做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EDD2897">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做出必要的澄清、说明或者补正。投标人的澄清、说明或者补正必须采用书面形式，并加盖公章，或者由法定代表人或者其授权的代表签字。</w:t>
      </w:r>
    </w:p>
    <w:p w14:paraId="039F8146">
      <w:pPr>
        <w:spacing w:line="360" w:lineRule="auto"/>
        <w:ind w:firstLine="422" w:firstLineChars="200"/>
        <w:rPr>
          <w:rFonts w:ascii="宋体" w:hAnsi="宋体"/>
          <w:b/>
          <w:szCs w:val="21"/>
        </w:rPr>
      </w:pPr>
      <w:r>
        <w:rPr>
          <w:rFonts w:hint="eastAsia" w:ascii="宋体" w:hAnsi="宋体"/>
          <w:b/>
          <w:szCs w:val="21"/>
        </w:rPr>
        <w:t>4.投标文件修正</w:t>
      </w:r>
    </w:p>
    <w:p w14:paraId="22A3ED02">
      <w:pPr>
        <w:spacing w:line="360" w:lineRule="auto"/>
        <w:ind w:firstLine="420" w:firstLineChars="200"/>
        <w:rPr>
          <w:rFonts w:ascii="宋体" w:hAnsi="宋体"/>
          <w:szCs w:val="21"/>
        </w:rPr>
      </w:pPr>
      <w:r>
        <w:rPr>
          <w:rFonts w:hint="eastAsia" w:ascii="宋体" w:hAnsi="宋体"/>
          <w:szCs w:val="21"/>
        </w:rPr>
        <w:t>4.1投标文件报价出现前后不一致的，按照下列规定修正：</w:t>
      </w:r>
    </w:p>
    <w:p w14:paraId="4857D856">
      <w:pPr>
        <w:spacing w:line="360" w:lineRule="auto"/>
        <w:ind w:firstLine="420" w:firstLineChars="200"/>
        <w:rPr>
          <w:rFonts w:hAnsi="宋体"/>
        </w:rPr>
      </w:pPr>
      <w:r>
        <w:rPr>
          <w:rFonts w:hint="eastAsia" w:hAnsi="宋体"/>
        </w:rPr>
        <w:t>（</w:t>
      </w:r>
      <w:r>
        <w:rPr>
          <w:rFonts w:hAnsi="宋体"/>
        </w:rPr>
        <w:t>1</w:t>
      </w:r>
      <w:r>
        <w:rPr>
          <w:rFonts w:hint="eastAsia" w:hAnsi="宋体"/>
        </w:rPr>
        <w:t>）报价文件中“开标一览表”内容与投标文件中相应内容不一致的，以“开标一览表”为准；</w:t>
      </w:r>
    </w:p>
    <w:p w14:paraId="06B0FB1E">
      <w:pPr>
        <w:spacing w:line="360" w:lineRule="auto"/>
        <w:ind w:firstLine="420" w:firstLineChars="200"/>
        <w:rPr>
          <w:rFonts w:hAnsi="宋体"/>
        </w:rPr>
      </w:pPr>
      <w:r>
        <w:rPr>
          <w:rFonts w:hint="eastAsia" w:hAnsi="宋体"/>
        </w:rPr>
        <w:t>（</w:t>
      </w:r>
      <w:r>
        <w:rPr>
          <w:rFonts w:hAnsi="宋体"/>
        </w:rPr>
        <w:t>2</w:t>
      </w:r>
      <w:r>
        <w:rPr>
          <w:rFonts w:hint="eastAsia" w:hAnsi="宋体"/>
        </w:rPr>
        <w:t>）大写金额和小写金额不一致的，以大写金额为准；</w:t>
      </w:r>
    </w:p>
    <w:p w14:paraId="3198D249">
      <w:pPr>
        <w:spacing w:line="360" w:lineRule="auto"/>
        <w:ind w:firstLine="420" w:firstLineChars="200"/>
        <w:rPr>
          <w:rFonts w:hAnsi="宋体"/>
        </w:rPr>
      </w:pPr>
      <w:r>
        <w:rPr>
          <w:rFonts w:hint="eastAsia" w:hAnsi="宋体"/>
        </w:rPr>
        <w:t>（</w:t>
      </w:r>
      <w:r>
        <w:rPr>
          <w:rFonts w:hAnsi="宋体"/>
        </w:rPr>
        <w:t>3</w:t>
      </w:r>
      <w:r>
        <w:rPr>
          <w:rFonts w:hint="eastAsia" w:hAnsi="宋体"/>
        </w:rPr>
        <w:t>）单价金额小数点或者百分比有明显错位的，以开标一览表的总价为准，并修改单价；</w:t>
      </w:r>
    </w:p>
    <w:p w14:paraId="5EFDABB8">
      <w:pPr>
        <w:spacing w:line="360" w:lineRule="auto"/>
        <w:ind w:firstLine="420" w:firstLineChars="200"/>
        <w:rPr>
          <w:rFonts w:hAnsi="宋体"/>
        </w:rPr>
      </w:pPr>
      <w:r>
        <w:rPr>
          <w:rFonts w:hint="eastAsia" w:hAnsi="宋体"/>
        </w:rPr>
        <w:t>（</w:t>
      </w:r>
      <w:r>
        <w:rPr>
          <w:rFonts w:hAnsi="宋体"/>
        </w:rPr>
        <w:t>4</w:t>
      </w:r>
      <w:r>
        <w:rPr>
          <w:rFonts w:hint="eastAsia" w:hAnsi="宋体"/>
        </w:rPr>
        <w:t>）总价金额与按单价汇总金额不一致的，以单价金额计算结果为准。</w:t>
      </w:r>
    </w:p>
    <w:p w14:paraId="5941F0F5">
      <w:pPr>
        <w:spacing w:line="360" w:lineRule="auto"/>
        <w:ind w:firstLine="420" w:firstLineChars="200"/>
        <w:rPr>
          <w:rFonts w:hAnsi="宋体"/>
        </w:rPr>
      </w:pPr>
      <w:r>
        <w:rPr>
          <w:rFonts w:hint="eastAsia" w:hAnsi="宋体"/>
        </w:rPr>
        <w:t>同时出现两种以上不一致的，按照以上（</w:t>
      </w:r>
      <w:r>
        <w:rPr>
          <w:rFonts w:hAnsi="宋体"/>
        </w:rPr>
        <w:t>1</w:t>
      </w:r>
      <w:r>
        <w:rPr>
          <w:rFonts w:hint="eastAsia" w:hAnsi="宋体"/>
        </w:rPr>
        <w:t>）</w:t>
      </w:r>
      <w:r>
        <w:rPr>
          <w:rFonts w:hAnsi="宋体"/>
        </w:rPr>
        <w:t>-</w:t>
      </w:r>
      <w:r>
        <w:rPr>
          <w:rFonts w:hint="eastAsia" w:hAnsi="宋体"/>
        </w:rPr>
        <w:t>（</w:t>
      </w:r>
      <w:r>
        <w:rPr>
          <w:rFonts w:hAnsi="宋体"/>
        </w:rPr>
        <w:t>4</w:t>
      </w:r>
      <w:r>
        <w:rPr>
          <w:rFonts w:hint="eastAsia" w:hAnsi="宋体"/>
        </w:rPr>
        <w:t>）规定的顺序修正。修正后的报价经投标人确认后产生约束力，投标人不确认的，其投标无效。</w:t>
      </w:r>
    </w:p>
    <w:p w14:paraId="26F852E1">
      <w:pPr>
        <w:spacing w:line="360" w:lineRule="auto"/>
        <w:ind w:firstLine="420" w:firstLineChars="200"/>
        <w:rPr>
          <w:rFonts w:ascii="宋体" w:hAnsi="宋体"/>
          <w:szCs w:val="21"/>
        </w:rPr>
      </w:pPr>
      <w:r>
        <w:rPr>
          <w:rFonts w:hint="eastAsia" w:ascii="宋体" w:hAnsi="宋体"/>
          <w:szCs w:val="21"/>
        </w:rPr>
        <w:t>4.2经投标人确认修正后的报价若超过采购预算金额或者最高限价，投标人的投标文件作无效投标处理。</w:t>
      </w:r>
    </w:p>
    <w:p w14:paraId="4DF29CB5">
      <w:pPr>
        <w:spacing w:line="360" w:lineRule="auto"/>
        <w:ind w:firstLine="420" w:firstLineChars="200"/>
        <w:rPr>
          <w:rFonts w:ascii="宋体" w:hAnsi="宋体"/>
          <w:szCs w:val="21"/>
        </w:rPr>
      </w:pPr>
      <w:r>
        <w:rPr>
          <w:rFonts w:hint="eastAsia" w:ascii="宋体" w:hAnsi="宋体"/>
          <w:szCs w:val="21"/>
        </w:rPr>
        <w:t>4.3经投标人确认修正后的报价作为签订合同的依据，并以此报价计算价格分。</w:t>
      </w:r>
    </w:p>
    <w:p w14:paraId="40461782">
      <w:pPr>
        <w:spacing w:line="360" w:lineRule="auto"/>
        <w:ind w:firstLine="420" w:firstLineChars="200"/>
        <w:rPr>
          <w:rFonts w:ascii="宋体" w:hAnsi="宋体"/>
          <w:szCs w:val="21"/>
        </w:rPr>
      </w:pPr>
      <w:r>
        <w:rPr>
          <w:rFonts w:hint="eastAsia" w:ascii="宋体" w:hAnsi="宋体"/>
          <w:szCs w:val="21"/>
        </w:rPr>
        <w:t>5.比较与评价</w:t>
      </w:r>
    </w:p>
    <w:p w14:paraId="6A69F0F5">
      <w:pPr>
        <w:spacing w:line="360" w:lineRule="auto"/>
        <w:ind w:firstLine="420" w:firstLineChars="200"/>
        <w:rPr>
          <w:rFonts w:hAnsi="宋体"/>
        </w:rPr>
      </w:pPr>
      <w:r>
        <w:rPr>
          <w:rFonts w:hAnsi="宋体"/>
        </w:rPr>
        <w:t>5.1</w:t>
      </w:r>
      <w:r>
        <w:rPr>
          <w:rFonts w:hint="eastAsia" w:hAnsi="宋体"/>
        </w:rPr>
        <w:t>评标委员会按照招标文件中规定的评标方法和评标标准，对符合性审查合格的投标文件进行商务和技术评估，综合比较与评价。</w:t>
      </w:r>
    </w:p>
    <w:p w14:paraId="21D7BF8C">
      <w:pPr>
        <w:spacing w:line="360" w:lineRule="auto"/>
        <w:ind w:firstLine="420" w:firstLineChars="200"/>
        <w:rPr>
          <w:rFonts w:hAnsi="宋体"/>
        </w:rPr>
      </w:pPr>
      <w:r>
        <w:rPr>
          <w:rFonts w:hAnsi="宋体"/>
        </w:rPr>
        <w:t>5.2</w:t>
      </w:r>
      <w:r>
        <w:rPr>
          <w:rFonts w:hint="eastAsia" w:hAnsi="宋体"/>
        </w:rPr>
        <w:t>评标委员会独立对每个投标人的投标文件进行评价，并汇总每个投标人的得分。</w:t>
      </w:r>
    </w:p>
    <w:p w14:paraId="5EC319B9">
      <w:pPr>
        <w:widowControl/>
        <w:spacing w:after="150" w:line="480" w:lineRule="auto"/>
        <w:ind w:firstLine="420" w:firstLineChars="200"/>
        <w:jc w:val="left"/>
        <w:rPr>
          <w:rFonts w:hAnsi="宋体"/>
        </w:rPr>
      </w:pPr>
      <w:r>
        <w:rPr>
          <w:rFonts w:hAnsi="宋体"/>
        </w:rPr>
        <w:t>（1）</w:t>
      </w:r>
      <w:r>
        <w:rPr>
          <w:rFonts w:hint="eastAsia" w:hAnsi="宋体"/>
        </w:rPr>
        <w:t>评审委员会成员要根据政府采购法律法规和招标文件所载明的评审方法、标准进行评审。对投标人的价格分等客观评分项的评分应当一致，对其他需要借助专业知识评判的主观评分项，应当严格按照评分细则公正评分。</w:t>
      </w:r>
    </w:p>
    <w:p w14:paraId="34705BE6">
      <w:pPr>
        <w:widowControl/>
        <w:spacing w:after="150" w:line="480" w:lineRule="auto"/>
        <w:ind w:firstLine="420" w:firstLineChars="200"/>
        <w:jc w:val="left"/>
        <w:rPr>
          <w:rFonts w:hAnsi="宋体"/>
        </w:rPr>
      </w:pPr>
      <w:r>
        <w:rPr>
          <w:rFonts w:hAnsi="宋体"/>
        </w:rPr>
        <w:t>（2）</w:t>
      </w:r>
      <w:r>
        <w:rPr>
          <w:rFonts w:hint="eastAsia" w:hAnsi="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04D82D7">
      <w:pPr>
        <w:spacing w:line="360" w:lineRule="auto"/>
        <w:ind w:firstLine="420" w:firstLineChars="200"/>
        <w:rPr>
          <w:rFonts w:hAnsi="宋体"/>
        </w:rPr>
      </w:pPr>
      <w:r>
        <w:rPr>
          <w:rFonts w:hAnsi="宋体"/>
        </w:rPr>
        <w:t>5.3</w:t>
      </w:r>
      <w:r>
        <w:rPr>
          <w:rFonts w:hint="eastAsia" w:hAnsi="宋体"/>
        </w:rPr>
        <w:t>评标委员会按照招标文件中规定的评标方法和标准计算各投标人的报价得分。在计算过程中，不得去掉最高报价或者最低报价。</w:t>
      </w:r>
    </w:p>
    <w:p w14:paraId="79B6DD86">
      <w:pPr>
        <w:spacing w:line="360" w:lineRule="auto"/>
        <w:ind w:firstLine="420" w:firstLineChars="200"/>
        <w:rPr>
          <w:rFonts w:hAnsi="宋体"/>
        </w:rPr>
      </w:pPr>
      <w:r>
        <w:rPr>
          <w:rFonts w:hAnsi="宋体"/>
        </w:rPr>
        <w:t>5.4</w:t>
      </w:r>
      <w:r>
        <w:rPr>
          <w:rFonts w:hint="eastAsia" w:hAnsi="宋体"/>
        </w:rPr>
        <w:t>各投标人的得分为所有评委的有效评分的算术平均数。</w:t>
      </w:r>
    </w:p>
    <w:p w14:paraId="691C944A">
      <w:pPr>
        <w:spacing w:line="360" w:lineRule="auto"/>
        <w:ind w:firstLine="420" w:firstLineChars="200"/>
        <w:rPr>
          <w:rFonts w:hAnsi="宋体"/>
        </w:rPr>
      </w:pPr>
      <w:r>
        <w:rPr>
          <w:rFonts w:hAnsi="宋体"/>
        </w:rPr>
        <w:t>5.5</w:t>
      </w:r>
      <w:r>
        <w:rPr>
          <w:rFonts w:hint="eastAsia" w:hAnsi="宋体"/>
        </w:rPr>
        <w:t>评标委员会按照招标文件中的规定推荐中标候选人。</w:t>
      </w:r>
    </w:p>
    <w:p w14:paraId="37D6AED9">
      <w:pPr>
        <w:spacing w:line="360" w:lineRule="auto"/>
        <w:ind w:firstLine="420" w:firstLineChars="200"/>
        <w:rPr>
          <w:rFonts w:hAnsi="宋体"/>
        </w:rPr>
      </w:pPr>
      <w:r>
        <w:rPr>
          <w:rFonts w:hAnsi="宋体"/>
        </w:rPr>
        <w:t>5.6</w:t>
      </w:r>
      <w:r>
        <w:rPr>
          <w:rFonts w:hint="eastAsia" w:hAnsi="宋体"/>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980EE1F">
      <w:pPr>
        <w:spacing w:line="360" w:lineRule="auto"/>
        <w:ind w:firstLine="422" w:firstLineChars="200"/>
        <w:rPr>
          <w:rFonts w:ascii="宋体" w:hAnsi="宋体"/>
          <w:b/>
          <w:szCs w:val="21"/>
        </w:rPr>
      </w:pPr>
      <w:r>
        <w:rPr>
          <w:rFonts w:hint="eastAsia" w:ascii="宋体" w:hAnsi="宋体"/>
          <w:b/>
          <w:szCs w:val="21"/>
        </w:rPr>
        <w:t>6.评审复核</w:t>
      </w:r>
    </w:p>
    <w:p w14:paraId="115B613D">
      <w:pPr>
        <w:spacing w:line="360" w:lineRule="auto"/>
        <w:ind w:firstLine="420" w:firstLineChars="200"/>
        <w:rPr>
          <w:rFonts w:ascii="宋体" w:hAnsi="宋体"/>
          <w:szCs w:val="21"/>
        </w:rPr>
      </w:pPr>
      <w:r>
        <w:rPr>
          <w:rFonts w:hint="eastAsia" w:ascii="宋体" w:hAnsi="宋体"/>
          <w:szCs w:val="21"/>
        </w:rPr>
        <w:t>6.1评标报告签署前，评标委员会要对评审结果进行复核，复核意见要体现在评标报告中。</w:t>
      </w:r>
    </w:p>
    <w:p w14:paraId="085797AE">
      <w:pPr>
        <w:widowControl/>
        <w:spacing w:line="560" w:lineRule="exact"/>
        <w:ind w:firstLine="420" w:firstLineChars="200"/>
        <w:jc w:val="left"/>
        <w:textAlignment w:val="baseline"/>
        <w:rPr>
          <w:rFonts w:hAnsi="宋体"/>
        </w:rPr>
      </w:pPr>
      <w:r>
        <w:rPr>
          <w:rFonts w:hAnsi="宋体"/>
        </w:rPr>
        <w:t>6.2</w:t>
      </w:r>
      <w:r>
        <w:rPr>
          <w:rFonts w:hint="eastAsia" w:hAnsi="宋体"/>
        </w:rPr>
        <w:t>评标结果汇总完成后，除下列情形外，任何人不得修改评标结果：</w:t>
      </w:r>
    </w:p>
    <w:p w14:paraId="1F43315B">
      <w:pPr>
        <w:widowControl/>
        <w:spacing w:line="560" w:lineRule="exact"/>
        <w:jc w:val="left"/>
        <w:textAlignment w:val="baseline"/>
        <w:rPr>
          <w:rFonts w:hAnsi="宋体"/>
        </w:rPr>
      </w:pPr>
      <w:r>
        <w:rPr>
          <w:rFonts w:hint="eastAsia" w:hAnsi="宋体"/>
        </w:rPr>
        <w:t>　　（一）分值汇总计算错误的；</w:t>
      </w:r>
    </w:p>
    <w:p w14:paraId="7C7B74E2">
      <w:pPr>
        <w:widowControl/>
        <w:spacing w:line="560" w:lineRule="exact"/>
        <w:jc w:val="left"/>
        <w:textAlignment w:val="baseline"/>
        <w:rPr>
          <w:rFonts w:hAnsi="宋体"/>
        </w:rPr>
      </w:pPr>
      <w:r>
        <w:rPr>
          <w:rFonts w:hint="eastAsia" w:hAnsi="宋体"/>
        </w:rPr>
        <w:t>　　（二）分项评分超出评分标准范围的；</w:t>
      </w:r>
    </w:p>
    <w:p w14:paraId="01A7596F">
      <w:pPr>
        <w:widowControl/>
        <w:spacing w:line="560" w:lineRule="exact"/>
        <w:jc w:val="left"/>
        <w:textAlignment w:val="baseline"/>
        <w:rPr>
          <w:rFonts w:hAnsi="宋体"/>
        </w:rPr>
      </w:pPr>
      <w:r>
        <w:rPr>
          <w:rFonts w:hint="eastAsia" w:hAnsi="宋体"/>
        </w:rPr>
        <w:t>　　（三）评标委员会成员对客观评审因素评分不一致的；</w:t>
      </w:r>
    </w:p>
    <w:p w14:paraId="243BB65E">
      <w:pPr>
        <w:widowControl/>
        <w:spacing w:line="560" w:lineRule="exact"/>
        <w:jc w:val="left"/>
        <w:textAlignment w:val="baseline"/>
        <w:rPr>
          <w:rFonts w:hAnsi="宋体"/>
        </w:rPr>
      </w:pPr>
      <w:r>
        <w:rPr>
          <w:rFonts w:hint="eastAsia" w:hAnsi="宋体"/>
        </w:rPr>
        <w:t>　　（四）经评标委员会认定评分畸高、畸低的。</w:t>
      </w:r>
    </w:p>
    <w:p w14:paraId="1F3BBDF2">
      <w:pPr>
        <w:spacing w:line="360" w:lineRule="auto"/>
        <w:ind w:firstLine="420" w:firstLineChars="200"/>
        <w:rPr>
          <w:rFonts w:hAnsi="宋体"/>
        </w:rPr>
      </w:pPr>
      <w:r>
        <w:rPr>
          <w:rFonts w:hint="eastAsia" w:hAnsi="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8285E17">
      <w:pPr>
        <w:pStyle w:val="4"/>
        <w:jc w:val="center"/>
        <w:rPr>
          <w:b w:val="0"/>
          <w:sz w:val="30"/>
          <w:szCs w:val="30"/>
        </w:rPr>
      </w:pPr>
      <w:r>
        <w:rPr>
          <w:rFonts w:hint="eastAsia"/>
          <w:b w:val="0"/>
          <w:sz w:val="30"/>
          <w:szCs w:val="30"/>
        </w:rPr>
        <w:br w:type="page"/>
      </w:r>
      <w:bookmarkStart w:id="59" w:name="_Toc13029"/>
      <w:bookmarkStart w:id="60" w:name="_Toc1958"/>
      <w:r>
        <w:rPr>
          <w:rFonts w:hint="eastAsia"/>
          <w:b w:val="0"/>
          <w:sz w:val="30"/>
          <w:szCs w:val="30"/>
        </w:rPr>
        <w:t>第三节 评分标准</w:t>
      </w:r>
    </w:p>
    <w:p w14:paraId="36199759">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b w:val="0"/>
          <w:color w:val="000000"/>
        </w:rPr>
      </w:pPr>
      <w:r>
        <w:rPr>
          <w:rFonts w:hint="eastAsia"/>
          <w:b w:val="0"/>
          <w:color w:val="000000"/>
        </w:rPr>
        <w:t>综合评分法</w:t>
      </w:r>
    </w:p>
    <w:bookmarkEnd w:id="59"/>
    <w:bookmarkEnd w:id="60"/>
    <w:p w14:paraId="12B07D3A">
      <w:pPr>
        <w:spacing w:line="420" w:lineRule="exact"/>
        <w:ind w:firstLine="420"/>
        <w:rPr>
          <w:rFonts w:ascii="宋体" w:hAnsi="宋体" w:eastAsia="宋体"/>
          <w:color w:val="000000"/>
          <w:szCs w:val="21"/>
        </w:rPr>
      </w:pPr>
      <w:bookmarkStart w:id="61" w:name="_Hlk129872629"/>
      <w:r>
        <w:rPr>
          <w:rFonts w:hint="eastAsia" w:ascii="宋体" w:hAnsi="宋体" w:eastAsia="宋体"/>
          <w:color w:val="000000"/>
          <w:szCs w:val="21"/>
        </w:rPr>
        <w:t>（一）评标委员会以招标文件为依据，对投标文件进行评审，对投标人的报价文件、技术文件及商务文件等三部分内容按百分制打分，其中</w:t>
      </w:r>
      <w:r>
        <w:rPr>
          <w:rFonts w:hint="eastAsia" w:ascii="宋体" w:hAnsi="宋体" w:eastAsia="宋体"/>
          <w:b/>
          <w:color w:val="000000"/>
          <w:szCs w:val="21"/>
        </w:rPr>
        <w:t>价格分</w:t>
      </w:r>
      <w:r>
        <w:rPr>
          <w:rFonts w:ascii="宋体" w:hAnsi="宋体" w:eastAsia="宋体"/>
          <w:b/>
          <w:color w:val="000000"/>
          <w:szCs w:val="21"/>
        </w:rPr>
        <w:t>1</w:t>
      </w:r>
      <w:r>
        <w:rPr>
          <w:rFonts w:hint="eastAsia" w:ascii="宋体" w:hAnsi="宋体" w:eastAsia="宋体"/>
          <w:b/>
          <w:color w:val="000000"/>
          <w:szCs w:val="21"/>
        </w:rPr>
        <w:t>0分；技术分</w:t>
      </w:r>
      <w:r>
        <w:rPr>
          <w:rFonts w:hint="eastAsia" w:ascii="宋体" w:hAnsi="宋体"/>
          <w:b/>
          <w:color w:val="000000"/>
          <w:szCs w:val="21"/>
          <w:lang w:val="en-US" w:eastAsia="zh-CN"/>
        </w:rPr>
        <w:t>6</w:t>
      </w:r>
      <w:r>
        <w:rPr>
          <w:rFonts w:hint="eastAsia" w:ascii="宋体" w:hAnsi="宋体" w:eastAsia="宋体"/>
          <w:b/>
          <w:color w:val="000000"/>
          <w:szCs w:val="21"/>
        </w:rPr>
        <w:t>0分；商务分</w:t>
      </w:r>
      <w:r>
        <w:rPr>
          <w:rFonts w:hint="eastAsia" w:ascii="宋体" w:hAnsi="宋体"/>
          <w:b/>
          <w:color w:val="000000"/>
          <w:szCs w:val="21"/>
          <w:lang w:val="en-US" w:eastAsia="zh-CN"/>
        </w:rPr>
        <w:t>3</w:t>
      </w:r>
      <w:r>
        <w:rPr>
          <w:rFonts w:hint="eastAsia" w:ascii="宋体" w:hAnsi="宋体" w:eastAsia="宋体"/>
          <w:b/>
          <w:color w:val="000000"/>
          <w:szCs w:val="21"/>
        </w:rPr>
        <w:t>0分</w:t>
      </w:r>
      <w:r>
        <w:rPr>
          <w:rFonts w:hint="eastAsia" w:ascii="宋体" w:hAnsi="宋体" w:eastAsia="宋体"/>
          <w:color w:val="000000"/>
          <w:szCs w:val="21"/>
        </w:rPr>
        <w:t>。（评标时，由各评委独立进行评价、打分，不允许讨论。）</w:t>
      </w:r>
    </w:p>
    <w:p w14:paraId="0A894717">
      <w:pPr>
        <w:spacing w:line="420" w:lineRule="exact"/>
        <w:ind w:firstLine="420"/>
        <w:rPr>
          <w:rFonts w:ascii="宋体" w:hAnsi="宋体" w:eastAsia="宋体"/>
          <w:color w:val="000000"/>
          <w:szCs w:val="21"/>
        </w:rPr>
      </w:pPr>
      <w:r>
        <w:rPr>
          <w:rFonts w:hint="eastAsia" w:ascii="宋体" w:hAnsi="宋体" w:eastAsia="宋体"/>
          <w:bCs/>
          <w:color w:val="000000"/>
          <w:szCs w:val="21"/>
        </w:rPr>
        <w:t>（二）评分细则：</w:t>
      </w:r>
      <w:r>
        <w:rPr>
          <w:rFonts w:hint="eastAsia" w:ascii="宋体" w:hAnsi="宋体" w:eastAsia="宋体"/>
          <w:color w:val="000000"/>
          <w:szCs w:val="21"/>
        </w:rPr>
        <w:t>（按四舍五入取至小数点后四位）</w:t>
      </w:r>
    </w:p>
    <w:tbl>
      <w:tblPr>
        <w:tblStyle w:val="35"/>
        <w:tblW w:w="4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88"/>
        <w:gridCol w:w="6283"/>
        <w:gridCol w:w="963"/>
      </w:tblGrid>
      <w:tr w14:paraId="338E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tcPr>
          <w:p w14:paraId="6B471EA9">
            <w:pPr>
              <w:pStyle w:val="17"/>
              <w:spacing w:line="360" w:lineRule="auto"/>
              <w:rPr>
                <w:rFonts w:hAnsi="宋体"/>
                <w:bCs/>
                <w:color w:val="auto"/>
                <w:highlight w:val="none"/>
              </w:rPr>
            </w:pPr>
            <w:r>
              <w:rPr>
                <w:rFonts w:hint="eastAsia" w:hAnsi="宋体"/>
                <w:bCs/>
                <w:color w:val="auto"/>
                <w:highlight w:val="none"/>
              </w:rPr>
              <w:t>序号</w:t>
            </w:r>
          </w:p>
        </w:tc>
        <w:tc>
          <w:tcPr>
            <w:tcW w:w="739" w:type="pct"/>
          </w:tcPr>
          <w:p w14:paraId="495F3C00">
            <w:pPr>
              <w:pStyle w:val="17"/>
              <w:spacing w:line="360" w:lineRule="auto"/>
              <w:rPr>
                <w:rFonts w:hAnsi="宋体"/>
                <w:bCs/>
                <w:color w:val="auto"/>
                <w:highlight w:val="none"/>
              </w:rPr>
            </w:pPr>
            <w:r>
              <w:rPr>
                <w:rFonts w:hint="eastAsia" w:hAnsi="宋体"/>
                <w:bCs/>
                <w:color w:val="auto"/>
                <w:highlight w:val="none"/>
              </w:rPr>
              <w:t>评分类型</w:t>
            </w:r>
          </w:p>
        </w:tc>
        <w:tc>
          <w:tcPr>
            <w:tcW w:w="3346" w:type="pct"/>
            <w:vAlign w:val="center"/>
          </w:tcPr>
          <w:p w14:paraId="61C08F14">
            <w:pPr>
              <w:pStyle w:val="17"/>
              <w:spacing w:line="360" w:lineRule="auto"/>
              <w:jc w:val="center"/>
              <w:rPr>
                <w:rFonts w:hAnsi="宋体"/>
                <w:bCs/>
                <w:color w:val="auto"/>
                <w:highlight w:val="none"/>
              </w:rPr>
            </w:pPr>
            <w:r>
              <w:rPr>
                <w:rFonts w:hint="eastAsia" w:hAnsi="宋体"/>
                <w:bCs/>
                <w:color w:val="auto"/>
                <w:highlight w:val="none"/>
              </w:rPr>
              <w:t>评分标准</w:t>
            </w:r>
          </w:p>
        </w:tc>
        <w:tc>
          <w:tcPr>
            <w:tcW w:w="511" w:type="pct"/>
          </w:tcPr>
          <w:p w14:paraId="1B2EC43A">
            <w:pPr>
              <w:pStyle w:val="17"/>
              <w:spacing w:line="360" w:lineRule="auto"/>
              <w:rPr>
                <w:rFonts w:hAnsi="宋体"/>
                <w:bCs/>
                <w:color w:val="auto"/>
                <w:highlight w:val="none"/>
              </w:rPr>
            </w:pPr>
            <w:r>
              <w:rPr>
                <w:rFonts w:hint="eastAsia" w:hAnsi="宋体"/>
                <w:bCs/>
                <w:color w:val="auto"/>
                <w:highlight w:val="none"/>
              </w:rPr>
              <w:t>分值</w:t>
            </w:r>
          </w:p>
        </w:tc>
      </w:tr>
      <w:tr w14:paraId="7E04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2BEFB3FB">
            <w:pPr>
              <w:pStyle w:val="17"/>
              <w:spacing w:line="360" w:lineRule="auto"/>
              <w:jc w:val="center"/>
              <w:rPr>
                <w:rFonts w:hAnsi="宋体"/>
                <w:bCs/>
                <w:color w:val="auto"/>
                <w:highlight w:val="none"/>
              </w:rPr>
            </w:pPr>
            <w:r>
              <w:rPr>
                <w:rFonts w:hint="eastAsia" w:hAnsi="宋体"/>
                <w:bCs/>
                <w:color w:val="auto"/>
                <w:highlight w:val="none"/>
              </w:rPr>
              <w:t>1</w:t>
            </w:r>
          </w:p>
        </w:tc>
        <w:tc>
          <w:tcPr>
            <w:tcW w:w="739" w:type="pct"/>
            <w:vAlign w:val="center"/>
          </w:tcPr>
          <w:p w14:paraId="73686952">
            <w:pPr>
              <w:pStyle w:val="17"/>
              <w:spacing w:line="360" w:lineRule="auto"/>
              <w:jc w:val="center"/>
              <w:rPr>
                <w:rFonts w:hAnsi="宋体"/>
                <w:bCs/>
                <w:color w:val="auto"/>
                <w:highlight w:val="none"/>
              </w:rPr>
            </w:pPr>
            <w:r>
              <w:rPr>
                <w:rFonts w:hint="eastAsia" w:hAnsi="宋体"/>
                <w:bCs/>
                <w:color w:val="auto"/>
                <w:highlight w:val="none"/>
              </w:rPr>
              <w:t>报价（满分10分）</w:t>
            </w:r>
          </w:p>
        </w:tc>
        <w:tc>
          <w:tcPr>
            <w:tcW w:w="3346" w:type="pct"/>
          </w:tcPr>
          <w:p w14:paraId="01639D00">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（1）评标报价为投标人的投标报价进行政策性扣除后的价格，评标报价只是作为评标时使用。最终中标人的中标金额等于投标报价。</w:t>
            </w:r>
          </w:p>
          <w:p w14:paraId="31D21270">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（2）按照《政府采购促进中小企业发展管理办法》《桂财采〔2024〕55号》的规定，投标人在其投标文件中提供《中小企业声明函》，且其服务为小型和微型企业承接的，对其最后报价给予</w:t>
            </w:r>
            <w:r>
              <w:rPr>
                <w:rFonts w:ascii="宋体" w:hAnsi="宋体"/>
                <w:bCs/>
                <w:color w:val="auto"/>
                <w:szCs w:val="20"/>
                <w:highlight w:val="none"/>
              </w:rPr>
              <w:t>10</w:t>
            </w:r>
            <w:r>
              <w:rPr>
                <w:rFonts w:hint="eastAsia" w:ascii="宋体" w:hAnsi="宋体"/>
                <w:bCs/>
                <w:color w:val="auto"/>
                <w:szCs w:val="20"/>
                <w:highlight w:val="none"/>
              </w:rPr>
              <w:t>%的扣除。</w:t>
            </w:r>
          </w:p>
          <w:p w14:paraId="7DDA8554">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96C3406">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5B3B04EA">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（5）政策性扣除计算方法。</w:t>
            </w:r>
          </w:p>
          <w:p w14:paraId="09D66ABE">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在服务采购项目中，服务由小微企业承接；对符合上述要求的投标人的投标报价给予</w:t>
            </w:r>
            <w:r>
              <w:rPr>
                <w:rFonts w:ascii="宋体" w:hAnsi="宋体"/>
                <w:bCs/>
                <w:color w:val="auto"/>
                <w:szCs w:val="20"/>
                <w:highlight w:val="none"/>
              </w:rPr>
              <w:t>1</w:t>
            </w:r>
            <w:r>
              <w:rPr>
                <w:rFonts w:hint="eastAsia" w:ascii="宋体" w:hAnsi="宋体"/>
                <w:bCs/>
                <w:color w:val="auto"/>
                <w:szCs w:val="20"/>
                <w:highlight w:val="none"/>
              </w:rPr>
              <w:t>0%的扣除，扣除后的价格为评标报价，即评标报价=投标报价×（1-</w:t>
            </w:r>
            <w:r>
              <w:rPr>
                <w:rFonts w:ascii="宋体" w:hAnsi="宋体"/>
                <w:bCs/>
                <w:color w:val="auto"/>
                <w:szCs w:val="20"/>
                <w:highlight w:val="none"/>
              </w:rPr>
              <w:t>1</w:t>
            </w:r>
            <w:r>
              <w:rPr>
                <w:rFonts w:hint="eastAsia" w:ascii="宋体" w:hAnsi="宋体"/>
                <w:bCs/>
                <w:color w:val="auto"/>
                <w:szCs w:val="20"/>
                <w:highlight w:val="none"/>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2 %的扣除，用扣除后的价格参加评审，扣除后的价格为评标报价，即评标报价=投标报价×（1- 2%）。除上述情况外，评标报价=投标报价。</w:t>
            </w:r>
          </w:p>
          <w:p w14:paraId="296AF59C">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（6）满足招标文件要求且评标报价最低的评标报价为评标基准价，其价格分为满分。</w:t>
            </w:r>
          </w:p>
          <w:p w14:paraId="77A6ABDC">
            <w:pPr>
              <w:spacing w:line="420" w:lineRule="exact"/>
              <w:ind w:firstLine="840" w:firstLineChars="400"/>
              <w:rPr>
                <w:rFonts w:ascii="宋体" w:hAnsi="宋体"/>
                <w:bCs/>
                <w:color w:val="auto"/>
                <w:szCs w:val="20"/>
                <w:highlight w:val="none"/>
              </w:rPr>
            </w:pPr>
            <w:r>
              <w:rPr>
                <w:rFonts w:hint="eastAsia" w:ascii="宋体" w:hAnsi="宋体"/>
                <w:bCs/>
                <w:color w:val="auto"/>
                <w:szCs w:val="20"/>
                <w:highlight w:val="none"/>
              </w:rPr>
              <w:t xml:space="preserve">（7）价格分计算公式：        </w:t>
            </w:r>
          </w:p>
          <w:p w14:paraId="000F0FAD">
            <w:pPr>
              <w:spacing w:line="420" w:lineRule="exact"/>
              <w:ind w:firstLine="840" w:firstLineChars="400"/>
              <w:rPr>
                <w:rFonts w:hAnsi="宋体"/>
                <w:bCs/>
                <w:color w:val="auto"/>
                <w:highlight w:val="none"/>
              </w:rPr>
            </w:pPr>
            <w:r>
              <w:rPr>
                <w:rFonts w:hAnsi="宋体"/>
                <w:bCs/>
                <w:color w:val="auto"/>
                <w:szCs w:val="20"/>
                <w:highlight w:val="none"/>
              </w:rPr>
              <w:t>价格分=[评标基准价／评标报价]×10分</w:t>
            </w:r>
          </w:p>
        </w:tc>
        <w:tc>
          <w:tcPr>
            <w:tcW w:w="511" w:type="pct"/>
            <w:vAlign w:val="center"/>
          </w:tcPr>
          <w:p w14:paraId="0C9724DA">
            <w:pPr>
              <w:pStyle w:val="17"/>
              <w:spacing w:line="360" w:lineRule="auto"/>
              <w:jc w:val="center"/>
              <w:rPr>
                <w:rFonts w:hAnsi="宋体"/>
                <w:bCs/>
                <w:color w:val="auto"/>
                <w:highlight w:val="none"/>
              </w:rPr>
            </w:pPr>
            <w:r>
              <w:rPr>
                <w:rFonts w:hint="eastAsia" w:hAnsi="宋体"/>
                <w:bCs/>
                <w:color w:val="auto"/>
                <w:highlight w:val="none"/>
              </w:rPr>
              <w:t>0~10</w:t>
            </w:r>
          </w:p>
        </w:tc>
      </w:tr>
      <w:tr w14:paraId="5A51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7DC6D4BF">
            <w:pPr>
              <w:pStyle w:val="17"/>
              <w:spacing w:line="360" w:lineRule="auto"/>
              <w:jc w:val="center"/>
              <w:rPr>
                <w:rFonts w:hAnsi="宋体"/>
                <w:bCs/>
                <w:color w:val="auto"/>
                <w:highlight w:val="none"/>
              </w:rPr>
            </w:pPr>
            <w:r>
              <w:rPr>
                <w:rFonts w:hint="eastAsia" w:hAnsi="宋体"/>
                <w:bCs/>
                <w:color w:val="auto"/>
                <w:highlight w:val="none"/>
              </w:rPr>
              <w:t>2</w:t>
            </w:r>
          </w:p>
        </w:tc>
        <w:tc>
          <w:tcPr>
            <w:tcW w:w="739" w:type="pct"/>
            <w:vAlign w:val="center"/>
          </w:tcPr>
          <w:p w14:paraId="599AF828">
            <w:pPr>
              <w:pStyle w:val="17"/>
              <w:spacing w:line="360" w:lineRule="auto"/>
              <w:jc w:val="center"/>
              <w:rPr>
                <w:rFonts w:hAnsi="宋体"/>
                <w:bCs/>
                <w:color w:val="auto"/>
                <w:highlight w:val="none"/>
              </w:rPr>
            </w:pPr>
            <w:r>
              <w:rPr>
                <w:rFonts w:hint="eastAsia" w:hAnsi="宋体"/>
                <w:bCs/>
                <w:color w:val="auto"/>
                <w:highlight w:val="none"/>
              </w:rPr>
              <w:t>技术（满分60分）</w:t>
            </w:r>
          </w:p>
        </w:tc>
        <w:tc>
          <w:tcPr>
            <w:tcW w:w="3346" w:type="pct"/>
            <w:vAlign w:val="center"/>
          </w:tcPr>
          <w:p w14:paraId="3C153B40">
            <w:pPr>
              <w:pStyle w:val="17"/>
              <w:spacing w:line="360" w:lineRule="auto"/>
              <w:jc w:val="center"/>
              <w:rPr>
                <w:rFonts w:hAnsi="宋体"/>
                <w:bCs/>
                <w:color w:val="auto"/>
                <w:highlight w:val="none"/>
              </w:rPr>
            </w:pPr>
            <w:r>
              <w:rPr>
                <w:rFonts w:hint="eastAsia" w:hAnsi="宋体"/>
                <w:bCs/>
                <w:color w:val="auto"/>
                <w:highlight w:val="none"/>
              </w:rPr>
              <w:t>根据投标人提供的项目组织服务方案进行评分</w:t>
            </w:r>
          </w:p>
        </w:tc>
        <w:tc>
          <w:tcPr>
            <w:tcW w:w="511" w:type="pct"/>
            <w:vAlign w:val="center"/>
          </w:tcPr>
          <w:p w14:paraId="5FE52814">
            <w:pPr>
              <w:pStyle w:val="17"/>
              <w:spacing w:line="360" w:lineRule="auto"/>
              <w:jc w:val="center"/>
              <w:rPr>
                <w:rFonts w:hAnsi="宋体"/>
                <w:bCs/>
                <w:color w:val="auto"/>
                <w:highlight w:val="none"/>
              </w:rPr>
            </w:pPr>
            <w:r>
              <w:rPr>
                <w:rFonts w:hint="eastAsia" w:hAnsi="宋体"/>
                <w:bCs/>
                <w:color w:val="auto"/>
                <w:highlight w:val="none"/>
              </w:rPr>
              <w:t>0~60</w:t>
            </w:r>
          </w:p>
        </w:tc>
      </w:tr>
      <w:tr w14:paraId="7A9B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2175AAA7">
            <w:pPr>
              <w:pStyle w:val="17"/>
              <w:spacing w:line="360" w:lineRule="auto"/>
              <w:jc w:val="center"/>
              <w:rPr>
                <w:rFonts w:hAnsi="宋体"/>
                <w:bCs/>
                <w:color w:val="auto"/>
                <w:highlight w:val="none"/>
              </w:rPr>
            </w:pPr>
            <w:r>
              <w:rPr>
                <w:rFonts w:hint="eastAsia" w:hAnsi="宋体"/>
                <w:bCs/>
                <w:color w:val="auto"/>
                <w:highlight w:val="none"/>
              </w:rPr>
              <w:t>2.1</w:t>
            </w:r>
          </w:p>
        </w:tc>
        <w:tc>
          <w:tcPr>
            <w:tcW w:w="739" w:type="pct"/>
            <w:vAlign w:val="center"/>
          </w:tcPr>
          <w:p w14:paraId="41DD9ECB">
            <w:pPr>
              <w:spacing w:line="360" w:lineRule="auto"/>
              <w:jc w:val="center"/>
              <w:rPr>
                <w:rFonts w:ascii="宋体" w:hAnsi="宋体"/>
                <w:color w:val="auto"/>
                <w:highlight w:val="none"/>
              </w:rPr>
            </w:pPr>
            <w:r>
              <w:rPr>
                <w:rFonts w:hint="eastAsia" w:ascii="宋体" w:hAnsi="宋体"/>
                <w:color w:val="auto"/>
                <w:highlight w:val="none"/>
              </w:rPr>
              <w:t>项目计划（满分3分）</w:t>
            </w:r>
          </w:p>
          <w:p w14:paraId="5140269D">
            <w:pPr>
              <w:pStyle w:val="17"/>
              <w:spacing w:line="360" w:lineRule="auto"/>
              <w:jc w:val="center"/>
              <w:rPr>
                <w:rFonts w:hAnsi="宋体"/>
                <w:bCs/>
                <w:color w:val="auto"/>
                <w:highlight w:val="none"/>
              </w:rPr>
            </w:pPr>
          </w:p>
        </w:tc>
        <w:tc>
          <w:tcPr>
            <w:tcW w:w="3346" w:type="pct"/>
          </w:tcPr>
          <w:p w14:paraId="69B25751">
            <w:pPr>
              <w:spacing w:line="360" w:lineRule="auto"/>
              <w:ind w:firstLine="420" w:firstLineChars="200"/>
              <w:rPr>
                <w:rFonts w:hAnsi="宋体" w:cs="宋体"/>
                <w:bCs/>
                <w:color w:val="auto"/>
                <w:highlight w:val="none"/>
              </w:rPr>
            </w:pPr>
            <w:r>
              <w:rPr>
                <w:rFonts w:hint="eastAsia" w:hAnsi="宋体"/>
                <w:color w:val="auto"/>
                <w:highlight w:val="none"/>
              </w:rPr>
              <w:t>设计工作大纲及项目进度安排情况，对工作思路、内容大纲、计划安排等</w:t>
            </w:r>
            <w:r>
              <w:rPr>
                <w:rFonts w:hint="eastAsia" w:hAnsi="宋体" w:cs="宋体"/>
                <w:bCs/>
                <w:color w:val="auto"/>
                <w:highlight w:val="none"/>
              </w:rPr>
              <w:t>内容表达的完整性、详实性、可操作性等进行综合评分。</w:t>
            </w:r>
          </w:p>
          <w:p w14:paraId="3B6181B1">
            <w:pPr>
              <w:spacing w:line="360" w:lineRule="auto"/>
              <w:ind w:firstLine="420" w:firstLineChars="200"/>
              <w:rPr>
                <w:rFonts w:hAnsi="宋体" w:cs="宋体"/>
                <w:bCs/>
                <w:color w:val="auto"/>
                <w:highlight w:val="none"/>
              </w:rPr>
            </w:pPr>
            <w:r>
              <w:rPr>
                <w:rFonts w:hint="eastAsia" w:hAnsi="宋体" w:cs="宋体"/>
                <w:bCs/>
                <w:color w:val="auto"/>
                <w:highlight w:val="none"/>
              </w:rPr>
              <w:t>一档（1分）：项目工作思路表述不清晰，内容大纲与计划安排不明确。</w:t>
            </w:r>
          </w:p>
          <w:p w14:paraId="3D730B8E">
            <w:pPr>
              <w:spacing w:line="360" w:lineRule="auto"/>
              <w:ind w:firstLine="420" w:firstLineChars="200"/>
              <w:rPr>
                <w:rFonts w:hAnsi="宋体" w:cs="宋体"/>
                <w:bCs/>
                <w:color w:val="auto"/>
                <w:highlight w:val="none"/>
              </w:rPr>
            </w:pPr>
            <w:r>
              <w:rPr>
                <w:rFonts w:hint="eastAsia" w:hAnsi="宋体" w:cs="宋体"/>
                <w:bCs/>
                <w:color w:val="auto"/>
                <w:highlight w:val="none"/>
              </w:rPr>
              <w:t>二档（2分）：项目工作思路表述较为简单，内容大纲与计划安排较为准确。</w:t>
            </w:r>
          </w:p>
          <w:p w14:paraId="43344C13">
            <w:pPr>
              <w:spacing w:line="360" w:lineRule="auto"/>
              <w:ind w:firstLine="420" w:firstLineChars="200"/>
              <w:rPr>
                <w:color w:val="auto"/>
                <w:highlight w:val="none"/>
              </w:rPr>
            </w:pPr>
            <w:r>
              <w:rPr>
                <w:rFonts w:hint="eastAsia" w:hAnsi="宋体" w:cs="宋体"/>
                <w:bCs/>
                <w:color w:val="auto"/>
                <w:highlight w:val="none"/>
              </w:rPr>
              <w:t>三档（3分）：项目工作思路清晰明确，内容大纲表述完善明确，工作计划安排得当有序，整体工作统筹方案准确合理。</w:t>
            </w:r>
          </w:p>
        </w:tc>
        <w:tc>
          <w:tcPr>
            <w:tcW w:w="511" w:type="pct"/>
            <w:vAlign w:val="center"/>
          </w:tcPr>
          <w:p w14:paraId="27199292">
            <w:pPr>
              <w:pStyle w:val="17"/>
              <w:spacing w:line="360" w:lineRule="auto"/>
              <w:jc w:val="center"/>
              <w:rPr>
                <w:rFonts w:hAnsi="宋体"/>
                <w:bCs/>
                <w:color w:val="auto"/>
                <w:highlight w:val="none"/>
              </w:rPr>
            </w:pPr>
            <w:r>
              <w:rPr>
                <w:rFonts w:hint="eastAsia" w:hAnsi="宋体"/>
                <w:bCs/>
                <w:color w:val="auto"/>
                <w:highlight w:val="none"/>
              </w:rPr>
              <w:t>0~3</w:t>
            </w:r>
          </w:p>
        </w:tc>
      </w:tr>
      <w:tr w14:paraId="7F14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7B38F124">
            <w:pPr>
              <w:pStyle w:val="17"/>
              <w:spacing w:line="360" w:lineRule="auto"/>
              <w:jc w:val="center"/>
              <w:rPr>
                <w:rFonts w:hAnsi="宋体"/>
                <w:bCs/>
                <w:color w:val="auto"/>
                <w:highlight w:val="none"/>
              </w:rPr>
            </w:pPr>
            <w:r>
              <w:rPr>
                <w:rFonts w:hint="eastAsia" w:hAnsi="宋体"/>
                <w:bCs/>
                <w:color w:val="auto"/>
                <w:highlight w:val="none"/>
              </w:rPr>
              <w:t>2.2</w:t>
            </w:r>
          </w:p>
        </w:tc>
        <w:tc>
          <w:tcPr>
            <w:tcW w:w="739" w:type="pct"/>
            <w:vAlign w:val="center"/>
          </w:tcPr>
          <w:p w14:paraId="0E7A9F45">
            <w:pPr>
              <w:pStyle w:val="17"/>
              <w:spacing w:line="360" w:lineRule="auto"/>
              <w:jc w:val="center"/>
              <w:rPr>
                <w:rFonts w:hAnsi="宋体"/>
                <w:bCs/>
                <w:color w:val="auto"/>
                <w:highlight w:val="none"/>
              </w:rPr>
            </w:pPr>
            <w:r>
              <w:rPr>
                <w:rFonts w:hint="eastAsia" w:hAnsi="宋体"/>
                <w:color w:val="auto"/>
                <w:highlight w:val="none"/>
              </w:rPr>
              <w:t>现状分析（满分9分）</w:t>
            </w:r>
          </w:p>
          <w:p w14:paraId="5D91A79A">
            <w:pPr>
              <w:pStyle w:val="17"/>
              <w:spacing w:line="360" w:lineRule="auto"/>
              <w:jc w:val="center"/>
              <w:rPr>
                <w:rFonts w:hAnsi="宋体"/>
                <w:bCs/>
                <w:color w:val="auto"/>
                <w:highlight w:val="none"/>
              </w:rPr>
            </w:pPr>
          </w:p>
        </w:tc>
        <w:tc>
          <w:tcPr>
            <w:tcW w:w="3346" w:type="pct"/>
          </w:tcPr>
          <w:p w14:paraId="734F25C0">
            <w:pPr>
              <w:pStyle w:val="17"/>
              <w:spacing w:line="360" w:lineRule="auto"/>
              <w:rPr>
                <w:rFonts w:hAnsi="宋体"/>
                <w:color w:val="auto"/>
                <w:highlight w:val="none"/>
              </w:rPr>
            </w:pPr>
            <w:r>
              <w:rPr>
                <w:rFonts w:hint="eastAsia" w:hAnsi="宋体"/>
                <w:color w:val="auto"/>
                <w:highlight w:val="none"/>
              </w:rPr>
              <w:t>针对项目现状调查情况分析，对区位条件特征、现状用地状况、道路交通与公服设施等现状分析内容进行</w:t>
            </w:r>
            <w:r>
              <w:rPr>
                <w:rFonts w:hint="eastAsia" w:hAnsi="宋体" w:cs="宋体"/>
                <w:bCs/>
                <w:color w:val="auto"/>
                <w:highlight w:val="none"/>
              </w:rPr>
              <w:t>综合评分</w:t>
            </w:r>
            <w:r>
              <w:rPr>
                <w:rFonts w:hint="eastAsia" w:hAnsi="宋体"/>
                <w:color w:val="auto"/>
                <w:highlight w:val="none"/>
              </w:rPr>
              <w:t>。</w:t>
            </w:r>
          </w:p>
          <w:p w14:paraId="5964BA4C">
            <w:pPr>
              <w:spacing w:line="360" w:lineRule="auto"/>
              <w:ind w:firstLine="420" w:firstLineChars="200"/>
              <w:rPr>
                <w:rFonts w:hAnsi="宋体" w:cs="宋体"/>
                <w:bCs/>
                <w:color w:val="auto"/>
                <w:highlight w:val="none"/>
              </w:rPr>
            </w:pPr>
            <w:r>
              <w:rPr>
                <w:rFonts w:hint="eastAsia" w:hAnsi="宋体" w:cs="宋体"/>
                <w:bCs/>
                <w:color w:val="auto"/>
                <w:highlight w:val="none"/>
              </w:rPr>
              <w:t>一档（3分）：对项目现状情况的分析比较简单，对现状问题总结梳理不够准确。</w:t>
            </w:r>
          </w:p>
          <w:p w14:paraId="391DE382">
            <w:pPr>
              <w:spacing w:line="360" w:lineRule="auto"/>
              <w:ind w:firstLine="420" w:firstLineChars="200"/>
              <w:rPr>
                <w:rFonts w:hAnsi="宋体" w:cs="宋体"/>
                <w:bCs/>
                <w:color w:val="auto"/>
                <w:highlight w:val="none"/>
              </w:rPr>
            </w:pPr>
            <w:r>
              <w:rPr>
                <w:rFonts w:hint="eastAsia" w:hAnsi="宋体" w:cs="宋体"/>
                <w:bCs/>
                <w:color w:val="auto"/>
                <w:highlight w:val="none"/>
              </w:rPr>
              <w:t>二档（6分）：对项目现状情况有一定分析，对现状问题总结梳理较为准确。</w:t>
            </w:r>
          </w:p>
          <w:p w14:paraId="3CEE14D7">
            <w:pPr>
              <w:spacing w:line="360" w:lineRule="auto"/>
              <w:ind w:firstLine="420" w:firstLineChars="200"/>
              <w:rPr>
                <w:rFonts w:hAnsi="宋体" w:cs="宋体"/>
                <w:bCs/>
                <w:color w:val="auto"/>
                <w:highlight w:val="none"/>
              </w:rPr>
            </w:pPr>
            <w:r>
              <w:rPr>
                <w:rFonts w:hint="eastAsia" w:hAnsi="宋体" w:cs="宋体"/>
                <w:bCs/>
                <w:color w:val="auto"/>
                <w:highlight w:val="none"/>
              </w:rPr>
              <w:t>三档（9分）：对项目现状情况与区域综合情况的分析全面详实，同时对现状问题总结梳理准确到位。</w:t>
            </w:r>
          </w:p>
        </w:tc>
        <w:tc>
          <w:tcPr>
            <w:tcW w:w="511" w:type="pct"/>
            <w:vAlign w:val="center"/>
          </w:tcPr>
          <w:p w14:paraId="36AF1CC3">
            <w:pPr>
              <w:pStyle w:val="17"/>
              <w:spacing w:line="360" w:lineRule="auto"/>
              <w:jc w:val="center"/>
              <w:rPr>
                <w:rFonts w:hAnsi="宋体"/>
                <w:bCs/>
                <w:color w:val="auto"/>
                <w:highlight w:val="none"/>
              </w:rPr>
            </w:pPr>
            <w:r>
              <w:rPr>
                <w:rFonts w:hint="eastAsia" w:hAnsi="宋体"/>
                <w:bCs/>
                <w:color w:val="auto"/>
                <w:highlight w:val="none"/>
              </w:rPr>
              <w:t>0~9</w:t>
            </w:r>
          </w:p>
        </w:tc>
      </w:tr>
      <w:tr w14:paraId="2FB8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420ACD28">
            <w:pPr>
              <w:pStyle w:val="17"/>
              <w:spacing w:line="360" w:lineRule="auto"/>
              <w:jc w:val="center"/>
              <w:rPr>
                <w:rFonts w:hAnsi="宋体"/>
                <w:bCs/>
                <w:color w:val="auto"/>
                <w:highlight w:val="none"/>
              </w:rPr>
            </w:pPr>
            <w:r>
              <w:rPr>
                <w:rFonts w:hint="eastAsia" w:hAnsi="宋体"/>
                <w:bCs/>
                <w:color w:val="auto"/>
                <w:highlight w:val="none"/>
              </w:rPr>
              <w:t>2.3</w:t>
            </w:r>
          </w:p>
        </w:tc>
        <w:tc>
          <w:tcPr>
            <w:tcW w:w="739" w:type="pct"/>
            <w:vAlign w:val="center"/>
          </w:tcPr>
          <w:p w14:paraId="569CF6DE">
            <w:pPr>
              <w:pStyle w:val="17"/>
              <w:spacing w:line="360" w:lineRule="auto"/>
              <w:jc w:val="center"/>
              <w:rPr>
                <w:rFonts w:hAnsi="宋体"/>
                <w:bCs/>
                <w:color w:val="auto"/>
                <w:highlight w:val="none"/>
              </w:rPr>
            </w:pPr>
            <w:r>
              <w:rPr>
                <w:rFonts w:hint="eastAsia" w:hAnsi="宋体"/>
                <w:color w:val="auto"/>
                <w:highlight w:val="none"/>
              </w:rPr>
              <w:t>规划解读与评估（满分9分）</w:t>
            </w:r>
          </w:p>
        </w:tc>
        <w:tc>
          <w:tcPr>
            <w:tcW w:w="3346" w:type="pct"/>
          </w:tcPr>
          <w:p w14:paraId="60308EE6">
            <w:pPr>
              <w:spacing w:line="360" w:lineRule="auto"/>
              <w:rPr>
                <w:color w:val="auto"/>
                <w:highlight w:val="none"/>
              </w:rPr>
            </w:pPr>
            <w:r>
              <w:rPr>
                <w:rFonts w:hint="eastAsia"/>
                <w:color w:val="auto"/>
                <w:szCs w:val="21"/>
                <w:highlight w:val="none"/>
              </w:rPr>
              <w:t>对上位规划及相关规划进行分析与总结，提出</w:t>
            </w:r>
            <w:r>
              <w:rPr>
                <w:color w:val="auto"/>
                <w:szCs w:val="21"/>
                <w:highlight w:val="none"/>
              </w:rPr>
              <w:t>与上位规划及相关规划的衔接</w:t>
            </w:r>
            <w:r>
              <w:rPr>
                <w:rFonts w:hint="eastAsia"/>
                <w:color w:val="auto"/>
                <w:szCs w:val="21"/>
                <w:highlight w:val="none"/>
              </w:rPr>
              <w:t>重点</w:t>
            </w:r>
            <w:r>
              <w:rPr>
                <w:rFonts w:hint="eastAsia"/>
                <w:color w:val="auto"/>
                <w:highlight w:val="none"/>
              </w:rPr>
              <w:t>。</w:t>
            </w:r>
          </w:p>
          <w:p w14:paraId="7A4415BF">
            <w:pPr>
              <w:spacing w:line="360" w:lineRule="auto"/>
              <w:ind w:firstLine="420" w:firstLineChars="200"/>
              <w:rPr>
                <w:rFonts w:hAnsi="宋体" w:cs="宋体"/>
                <w:bCs/>
                <w:color w:val="auto"/>
                <w:highlight w:val="none"/>
              </w:rPr>
            </w:pPr>
            <w:r>
              <w:rPr>
                <w:rFonts w:hint="eastAsia" w:hAnsi="宋体" w:cs="宋体"/>
                <w:bCs/>
                <w:color w:val="auto"/>
                <w:highlight w:val="none"/>
              </w:rPr>
              <w:t>一档（3分）：对上位规划、相关规划、现行控规实施情况的论述较为简单。</w:t>
            </w:r>
          </w:p>
          <w:p w14:paraId="2E72A4BC">
            <w:pPr>
              <w:spacing w:line="360" w:lineRule="auto"/>
              <w:ind w:firstLine="420" w:firstLineChars="200"/>
              <w:rPr>
                <w:rFonts w:hAnsi="宋体" w:cs="宋体"/>
                <w:bCs/>
                <w:color w:val="auto"/>
                <w:highlight w:val="none"/>
              </w:rPr>
            </w:pPr>
            <w:r>
              <w:rPr>
                <w:rFonts w:hint="eastAsia" w:hAnsi="宋体" w:cs="宋体"/>
                <w:bCs/>
                <w:color w:val="auto"/>
                <w:highlight w:val="none"/>
              </w:rPr>
              <w:t>二档（6分）：对上位规划、相关规划、现行控规实施情况有一定论述，但与项目衔接论证不清晰。</w:t>
            </w:r>
          </w:p>
          <w:p w14:paraId="53D393B2">
            <w:pPr>
              <w:spacing w:line="360" w:lineRule="auto"/>
              <w:ind w:firstLine="420" w:firstLineChars="200"/>
              <w:rPr>
                <w:rFonts w:hAnsi="宋体" w:cs="宋体"/>
                <w:bCs/>
                <w:color w:val="auto"/>
                <w:highlight w:val="none"/>
              </w:rPr>
            </w:pPr>
            <w:r>
              <w:rPr>
                <w:rFonts w:hint="eastAsia" w:hAnsi="宋体" w:cs="宋体"/>
                <w:bCs/>
                <w:color w:val="auto"/>
                <w:highlight w:val="none"/>
              </w:rPr>
              <w:t>三档（9分）：对上位规划与相关规划的指引分析透彻，衔接与</w:t>
            </w:r>
            <w:r>
              <w:rPr>
                <w:rFonts w:hAnsi="宋体" w:cs="宋体"/>
                <w:bCs/>
                <w:color w:val="auto"/>
                <w:highlight w:val="none"/>
              </w:rPr>
              <w:t>落实相关规划的</w:t>
            </w:r>
            <w:r>
              <w:rPr>
                <w:rFonts w:hint="eastAsia" w:hAnsi="宋体" w:cs="宋体"/>
                <w:bCs/>
                <w:color w:val="auto"/>
                <w:highlight w:val="none"/>
              </w:rPr>
              <w:t>问题总结明确，相关规划对</w:t>
            </w:r>
            <w:r>
              <w:rPr>
                <w:rFonts w:hAnsi="宋体" w:cs="宋体"/>
                <w:bCs/>
                <w:color w:val="auto"/>
                <w:highlight w:val="none"/>
              </w:rPr>
              <w:t>本次规划的引导</w:t>
            </w:r>
            <w:r>
              <w:rPr>
                <w:rFonts w:hint="eastAsia" w:hAnsi="宋体" w:cs="宋体"/>
                <w:bCs/>
                <w:color w:val="auto"/>
                <w:highlight w:val="none"/>
              </w:rPr>
              <w:t>分析准确到位。</w:t>
            </w:r>
          </w:p>
        </w:tc>
        <w:tc>
          <w:tcPr>
            <w:tcW w:w="511" w:type="pct"/>
            <w:vAlign w:val="center"/>
          </w:tcPr>
          <w:p w14:paraId="54A5371B">
            <w:pPr>
              <w:pStyle w:val="17"/>
              <w:spacing w:line="360" w:lineRule="auto"/>
              <w:jc w:val="center"/>
              <w:rPr>
                <w:rFonts w:hAnsi="宋体"/>
                <w:bCs/>
                <w:color w:val="auto"/>
                <w:highlight w:val="none"/>
              </w:rPr>
            </w:pPr>
            <w:r>
              <w:rPr>
                <w:rFonts w:hint="eastAsia" w:hAnsi="宋体"/>
                <w:bCs/>
                <w:color w:val="auto"/>
                <w:highlight w:val="none"/>
              </w:rPr>
              <w:t>0~9</w:t>
            </w:r>
          </w:p>
        </w:tc>
      </w:tr>
      <w:tr w14:paraId="3967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61CEAC22">
            <w:pPr>
              <w:pStyle w:val="17"/>
              <w:spacing w:line="360" w:lineRule="auto"/>
              <w:jc w:val="center"/>
              <w:rPr>
                <w:rFonts w:hAnsi="宋体"/>
                <w:bCs/>
                <w:color w:val="auto"/>
                <w:highlight w:val="none"/>
              </w:rPr>
            </w:pPr>
            <w:r>
              <w:rPr>
                <w:rFonts w:hint="eastAsia" w:hAnsi="宋体"/>
                <w:bCs/>
                <w:color w:val="auto"/>
                <w:highlight w:val="none"/>
              </w:rPr>
              <w:t>2.4</w:t>
            </w:r>
          </w:p>
        </w:tc>
        <w:tc>
          <w:tcPr>
            <w:tcW w:w="739" w:type="pct"/>
            <w:vAlign w:val="center"/>
          </w:tcPr>
          <w:p w14:paraId="240762E3">
            <w:pPr>
              <w:pStyle w:val="17"/>
              <w:spacing w:line="360" w:lineRule="auto"/>
              <w:jc w:val="center"/>
              <w:rPr>
                <w:rFonts w:hAnsi="宋体"/>
                <w:color w:val="auto"/>
                <w:highlight w:val="none"/>
              </w:rPr>
            </w:pPr>
            <w:r>
              <w:rPr>
                <w:rFonts w:hint="eastAsia" w:hAnsi="宋体"/>
                <w:color w:val="auto"/>
                <w:highlight w:val="none"/>
              </w:rPr>
              <w:t>规划目标与方案思路（满分12分）</w:t>
            </w:r>
          </w:p>
        </w:tc>
        <w:tc>
          <w:tcPr>
            <w:tcW w:w="3346" w:type="pct"/>
          </w:tcPr>
          <w:p w14:paraId="7FC8DB11">
            <w:pPr>
              <w:spacing w:line="360" w:lineRule="auto"/>
              <w:rPr>
                <w:color w:val="auto"/>
                <w:szCs w:val="21"/>
                <w:highlight w:val="none"/>
              </w:rPr>
            </w:pPr>
            <w:r>
              <w:rPr>
                <w:rFonts w:hint="eastAsia" w:hAnsi="宋体"/>
                <w:color w:val="auto"/>
                <w:highlight w:val="none"/>
              </w:rPr>
              <w:t>结合片区实际，</w:t>
            </w:r>
            <w:r>
              <w:rPr>
                <w:rFonts w:hint="eastAsia"/>
                <w:color w:val="auto"/>
                <w:szCs w:val="21"/>
                <w:highlight w:val="none"/>
              </w:rPr>
              <w:t>提出规划目标与发展规模，并从区域协调、空间结构、规划策略等方面，提出合理的方案思路，结合项目方案实施的科学性、可操作性进行综合评分。</w:t>
            </w:r>
          </w:p>
          <w:p w14:paraId="035B55F7">
            <w:pPr>
              <w:spacing w:line="360" w:lineRule="auto"/>
              <w:ind w:firstLine="420" w:firstLineChars="200"/>
              <w:rPr>
                <w:rFonts w:hAnsi="宋体" w:cs="宋体"/>
                <w:bCs/>
                <w:color w:val="auto"/>
                <w:highlight w:val="none"/>
              </w:rPr>
            </w:pPr>
            <w:r>
              <w:rPr>
                <w:rFonts w:hint="eastAsia" w:hAnsi="宋体" w:cs="宋体"/>
                <w:bCs/>
                <w:color w:val="auto"/>
                <w:highlight w:val="none"/>
              </w:rPr>
              <w:t>一档（4分）：</w:t>
            </w:r>
            <w:r>
              <w:rPr>
                <w:rFonts w:hint="eastAsia"/>
                <w:color w:val="auto"/>
                <w:szCs w:val="21"/>
                <w:highlight w:val="none"/>
              </w:rPr>
              <w:t>规划目标与发展规模</w:t>
            </w:r>
            <w:r>
              <w:rPr>
                <w:rFonts w:hint="eastAsia" w:hAnsi="宋体" w:cs="宋体"/>
                <w:bCs/>
                <w:color w:val="auto"/>
                <w:highlight w:val="none"/>
              </w:rPr>
              <w:t>理解认识不全，规划内容单薄，</w:t>
            </w:r>
            <w:r>
              <w:rPr>
                <w:rFonts w:hint="eastAsia" w:hAnsi="宋体" w:cs="宋体"/>
                <w:bCs/>
                <w:color w:val="auto"/>
                <w:highlight w:val="none"/>
                <w:lang w:eastAsia="zh-CN"/>
              </w:rPr>
              <w:t>方案思路不够清晰</w:t>
            </w:r>
            <w:r>
              <w:rPr>
                <w:rFonts w:hint="eastAsia" w:hAnsi="宋体" w:cs="宋体"/>
                <w:bCs/>
                <w:color w:val="auto"/>
                <w:highlight w:val="none"/>
              </w:rPr>
              <w:t>。</w:t>
            </w:r>
          </w:p>
          <w:p w14:paraId="57E3D8D0">
            <w:pPr>
              <w:spacing w:line="360" w:lineRule="auto"/>
              <w:ind w:firstLine="420" w:firstLineChars="200"/>
              <w:rPr>
                <w:rFonts w:hAnsi="宋体" w:cs="宋体"/>
                <w:bCs/>
                <w:color w:val="auto"/>
                <w:highlight w:val="none"/>
              </w:rPr>
            </w:pPr>
            <w:r>
              <w:rPr>
                <w:rFonts w:hint="eastAsia" w:hAnsi="宋体" w:cs="宋体"/>
                <w:bCs/>
                <w:color w:val="auto"/>
                <w:highlight w:val="none"/>
              </w:rPr>
              <w:t>二档（8分）：对</w:t>
            </w:r>
            <w:r>
              <w:rPr>
                <w:rFonts w:hint="eastAsia"/>
                <w:color w:val="auto"/>
                <w:szCs w:val="21"/>
                <w:highlight w:val="none"/>
              </w:rPr>
              <w:t>片区规划目标与发展规模</w:t>
            </w:r>
            <w:r>
              <w:rPr>
                <w:rFonts w:hint="eastAsia" w:hAnsi="宋体" w:cs="宋体"/>
                <w:bCs/>
                <w:color w:val="auto"/>
                <w:highlight w:val="none"/>
              </w:rPr>
              <w:t>有一定的理解认识，具有</w:t>
            </w:r>
            <w:r>
              <w:rPr>
                <w:rFonts w:hint="eastAsia" w:ascii="宋体" w:hAnsi="宋体"/>
                <w:color w:val="auto"/>
                <w:highlight w:val="none"/>
              </w:rPr>
              <w:t>空间结构、</w:t>
            </w:r>
            <w:r>
              <w:rPr>
                <w:rFonts w:hint="eastAsia"/>
                <w:color w:val="auto"/>
                <w:szCs w:val="21"/>
                <w:highlight w:val="none"/>
              </w:rPr>
              <w:t>规划策略</w:t>
            </w:r>
            <w:r>
              <w:rPr>
                <w:rFonts w:hint="eastAsia" w:hAnsi="宋体" w:cs="宋体"/>
                <w:bCs/>
                <w:color w:val="auto"/>
                <w:highlight w:val="none"/>
              </w:rPr>
              <w:t>等内容但不全，规划基本可行但针对性不强。</w:t>
            </w:r>
          </w:p>
          <w:p w14:paraId="1C328B45">
            <w:pPr>
              <w:spacing w:line="360" w:lineRule="auto"/>
              <w:ind w:firstLine="420" w:firstLineChars="200"/>
              <w:rPr>
                <w:rFonts w:ascii="宋体" w:hAnsi="宋体"/>
                <w:color w:val="auto"/>
                <w:highlight w:val="none"/>
              </w:rPr>
            </w:pPr>
            <w:r>
              <w:rPr>
                <w:rFonts w:hint="eastAsia" w:hAnsi="宋体" w:cs="宋体"/>
                <w:bCs/>
                <w:color w:val="auto"/>
                <w:highlight w:val="none"/>
              </w:rPr>
              <w:t>三档（12分）：对</w:t>
            </w:r>
            <w:r>
              <w:rPr>
                <w:rFonts w:hint="eastAsia"/>
                <w:color w:val="auto"/>
                <w:szCs w:val="21"/>
                <w:highlight w:val="none"/>
              </w:rPr>
              <w:t>片区规划目标与发展规模</w:t>
            </w:r>
            <w:r>
              <w:rPr>
                <w:rFonts w:hint="eastAsia" w:hAnsi="宋体" w:cs="宋体"/>
                <w:bCs/>
                <w:color w:val="auto"/>
                <w:highlight w:val="none"/>
              </w:rPr>
              <w:t>理解有一定深度，规划内容充实，包括但不限于</w:t>
            </w:r>
            <w:r>
              <w:rPr>
                <w:rFonts w:hint="eastAsia"/>
                <w:color w:val="auto"/>
                <w:szCs w:val="21"/>
                <w:highlight w:val="none"/>
              </w:rPr>
              <w:t>区域协调、空间结构、规划策略</w:t>
            </w:r>
            <w:r>
              <w:rPr>
                <w:rFonts w:hint="eastAsia" w:hAnsi="宋体" w:cs="宋体"/>
                <w:bCs/>
                <w:color w:val="auto"/>
                <w:highlight w:val="none"/>
              </w:rPr>
              <w:t>等，方案思路明确且符合实际，具有一定深度和可实施性，能满足采购方的采购目的。</w:t>
            </w:r>
          </w:p>
        </w:tc>
        <w:tc>
          <w:tcPr>
            <w:tcW w:w="511" w:type="pct"/>
            <w:vAlign w:val="center"/>
          </w:tcPr>
          <w:p w14:paraId="1E5F3528">
            <w:pPr>
              <w:pStyle w:val="17"/>
              <w:spacing w:line="360" w:lineRule="auto"/>
              <w:jc w:val="center"/>
              <w:rPr>
                <w:rFonts w:hAnsi="宋体"/>
                <w:bCs/>
                <w:color w:val="auto"/>
                <w:highlight w:val="none"/>
              </w:rPr>
            </w:pPr>
            <w:r>
              <w:rPr>
                <w:rFonts w:hint="eastAsia" w:hAnsi="宋体"/>
                <w:bCs/>
                <w:color w:val="auto"/>
                <w:highlight w:val="none"/>
              </w:rPr>
              <w:t>0~12</w:t>
            </w:r>
          </w:p>
        </w:tc>
      </w:tr>
      <w:tr w14:paraId="0B28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1D29D03B">
            <w:pPr>
              <w:pStyle w:val="17"/>
              <w:spacing w:line="360" w:lineRule="auto"/>
              <w:jc w:val="center"/>
              <w:rPr>
                <w:rFonts w:hAnsi="宋体"/>
                <w:bCs/>
                <w:color w:val="auto"/>
                <w:highlight w:val="none"/>
              </w:rPr>
            </w:pPr>
            <w:r>
              <w:rPr>
                <w:rFonts w:hint="eastAsia" w:hAnsi="宋体"/>
                <w:bCs/>
                <w:color w:val="auto"/>
                <w:highlight w:val="none"/>
              </w:rPr>
              <w:t>2.5</w:t>
            </w:r>
          </w:p>
        </w:tc>
        <w:tc>
          <w:tcPr>
            <w:tcW w:w="739" w:type="pct"/>
            <w:vAlign w:val="center"/>
          </w:tcPr>
          <w:p w14:paraId="398DBCFC">
            <w:pPr>
              <w:pStyle w:val="17"/>
              <w:spacing w:line="360" w:lineRule="auto"/>
              <w:jc w:val="center"/>
              <w:rPr>
                <w:rFonts w:hAnsi="宋体"/>
                <w:bCs/>
                <w:color w:val="auto"/>
                <w:highlight w:val="none"/>
              </w:rPr>
            </w:pPr>
            <w:r>
              <w:rPr>
                <w:rFonts w:hint="eastAsia" w:hAnsi="宋体"/>
                <w:color w:val="auto"/>
                <w:highlight w:val="none"/>
              </w:rPr>
              <w:t>公服设施及市政设施规划（满分12分）</w:t>
            </w:r>
          </w:p>
        </w:tc>
        <w:tc>
          <w:tcPr>
            <w:tcW w:w="3346" w:type="pct"/>
          </w:tcPr>
          <w:p w14:paraId="7661E836">
            <w:pPr>
              <w:pStyle w:val="17"/>
              <w:spacing w:line="360" w:lineRule="auto"/>
              <w:rPr>
                <w:rFonts w:hAnsi="宋体"/>
                <w:color w:val="auto"/>
                <w:highlight w:val="none"/>
              </w:rPr>
            </w:pPr>
            <w:r>
              <w:rPr>
                <w:rFonts w:hint="eastAsia" w:hAnsi="宋体"/>
                <w:color w:val="auto"/>
                <w:highlight w:val="none"/>
              </w:rPr>
              <w:t>针对片区设施需求，提出公共服务设施及市政设施规划布局思路等内容，并就其科学性、合理性、可操作性进行评分。</w:t>
            </w:r>
          </w:p>
          <w:p w14:paraId="25CF93B8">
            <w:pPr>
              <w:spacing w:line="360" w:lineRule="auto"/>
              <w:ind w:firstLine="420" w:firstLineChars="200"/>
              <w:rPr>
                <w:rFonts w:hAnsi="宋体" w:cs="宋体"/>
                <w:bCs/>
                <w:color w:val="auto"/>
                <w:highlight w:val="none"/>
              </w:rPr>
            </w:pPr>
            <w:r>
              <w:rPr>
                <w:rFonts w:hint="eastAsia" w:hAnsi="宋体" w:cs="宋体"/>
                <w:bCs/>
                <w:color w:val="auto"/>
                <w:highlight w:val="none"/>
              </w:rPr>
              <w:t>一档（4分）：</w:t>
            </w:r>
            <w:r>
              <w:rPr>
                <w:rFonts w:hint="eastAsia" w:hAnsi="宋体"/>
                <w:color w:val="auto"/>
                <w:highlight w:val="none"/>
              </w:rPr>
              <w:t>提出公共服务设施及市政设施规划布局思路等内容</w:t>
            </w:r>
            <w:r>
              <w:rPr>
                <w:rFonts w:hint="eastAsia" w:hAnsi="宋体" w:cs="宋体"/>
                <w:bCs/>
                <w:color w:val="auto"/>
                <w:highlight w:val="none"/>
                <w:lang w:eastAsia="zh-CN"/>
              </w:rPr>
              <w:t>，但内容较为简单</w:t>
            </w:r>
            <w:r>
              <w:rPr>
                <w:rFonts w:hint="eastAsia" w:hAnsi="宋体" w:cs="宋体"/>
                <w:bCs/>
                <w:color w:val="auto"/>
                <w:highlight w:val="none"/>
              </w:rPr>
              <w:t>。</w:t>
            </w:r>
          </w:p>
          <w:p w14:paraId="19AA2CC0">
            <w:pPr>
              <w:spacing w:line="360" w:lineRule="auto"/>
              <w:ind w:firstLine="420" w:firstLineChars="200"/>
              <w:rPr>
                <w:rFonts w:hAnsi="宋体" w:cs="宋体"/>
                <w:bCs/>
                <w:color w:val="auto"/>
                <w:highlight w:val="none"/>
              </w:rPr>
            </w:pPr>
            <w:r>
              <w:rPr>
                <w:rFonts w:hint="eastAsia" w:hAnsi="宋体" w:cs="宋体"/>
                <w:bCs/>
                <w:color w:val="auto"/>
                <w:highlight w:val="none"/>
              </w:rPr>
              <w:t>二档（8分）：具有一定的公共服务</w:t>
            </w:r>
            <w:r>
              <w:rPr>
                <w:rFonts w:hint="eastAsia" w:hAnsi="宋体" w:cs="宋体"/>
                <w:bCs/>
                <w:color w:val="auto"/>
                <w:highlight w:val="none"/>
                <w:lang w:eastAsia="zh-CN"/>
              </w:rPr>
              <w:t>设施</w:t>
            </w:r>
            <w:r>
              <w:rPr>
                <w:rFonts w:hint="eastAsia" w:hAnsi="宋体" w:cs="宋体"/>
                <w:bCs/>
                <w:color w:val="auto"/>
                <w:highlight w:val="none"/>
              </w:rPr>
              <w:t>及市政设施布局规划内容，</w:t>
            </w:r>
            <w:r>
              <w:rPr>
                <w:rFonts w:hint="eastAsia" w:hAnsi="宋体" w:cs="宋体"/>
                <w:bCs/>
                <w:color w:val="auto"/>
                <w:highlight w:val="none"/>
                <w:lang w:eastAsia="zh-CN"/>
              </w:rPr>
              <w:t>布局基本合理，有相应的</w:t>
            </w:r>
            <w:r>
              <w:rPr>
                <w:rFonts w:hint="eastAsia" w:hAnsi="宋体" w:cs="宋体"/>
                <w:bCs/>
                <w:color w:val="auto"/>
                <w:highlight w:val="none"/>
              </w:rPr>
              <w:t>设施配套</w:t>
            </w:r>
            <w:r>
              <w:rPr>
                <w:rFonts w:hint="eastAsia" w:hAnsi="宋体" w:cs="宋体"/>
                <w:bCs/>
                <w:color w:val="auto"/>
                <w:highlight w:val="none"/>
                <w:lang w:eastAsia="zh-CN"/>
              </w:rPr>
              <w:t>，</w:t>
            </w:r>
            <w:r>
              <w:rPr>
                <w:rFonts w:hint="eastAsia" w:hAnsi="宋体" w:cs="宋体"/>
                <w:bCs/>
                <w:color w:val="auto"/>
                <w:highlight w:val="none"/>
              </w:rPr>
              <w:t>但针对性不足。</w:t>
            </w:r>
          </w:p>
          <w:p w14:paraId="2789C4B6">
            <w:pPr>
              <w:spacing w:line="360" w:lineRule="auto"/>
              <w:ind w:firstLine="420" w:firstLineChars="200"/>
              <w:rPr>
                <w:color w:val="auto"/>
                <w:highlight w:val="none"/>
              </w:rPr>
            </w:pPr>
            <w:r>
              <w:rPr>
                <w:rFonts w:hint="eastAsia" w:hAnsi="宋体" w:cs="宋体"/>
                <w:bCs/>
                <w:color w:val="auto"/>
                <w:highlight w:val="none"/>
              </w:rPr>
              <w:t>三档（12分）：规划内容包括但不限于各类公共服务及市政设施布局思路等，内容体系充实完善，设施配置适应性及针对性强，能满足采购方的采购目的。</w:t>
            </w:r>
          </w:p>
        </w:tc>
        <w:tc>
          <w:tcPr>
            <w:tcW w:w="511" w:type="pct"/>
            <w:vAlign w:val="center"/>
          </w:tcPr>
          <w:p w14:paraId="743BF0E4">
            <w:pPr>
              <w:pStyle w:val="17"/>
              <w:spacing w:line="360" w:lineRule="auto"/>
              <w:jc w:val="center"/>
              <w:rPr>
                <w:rFonts w:hAnsi="宋体"/>
                <w:bCs/>
                <w:color w:val="auto"/>
                <w:highlight w:val="none"/>
              </w:rPr>
            </w:pPr>
            <w:r>
              <w:rPr>
                <w:rFonts w:hint="eastAsia" w:hAnsi="宋体"/>
                <w:bCs/>
                <w:color w:val="auto"/>
                <w:highlight w:val="none"/>
              </w:rPr>
              <w:t>0~12</w:t>
            </w:r>
          </w:p>
        </w:tc>
      </w:tr>
      <w:tr w14:paraId="0057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2FB6F226">
            <w:pPr>
              <w:pStyle w:val="17"/>
              <w:spacing w:line="360" w:lineRule="auto"/>
              <w:jc w:val="center"/>
              <w:rPr>
                <w:rFonts w:hAnsi="宋体"/>
                <w:bCs/>
                <w:color w:val="auto"/>
                <w:highlight w:val="none"/>
              </w:rPr>
            </w:pPr>
            <w:r>
              <w:rPr>
                <w:rFonts w:hint="eastAsia" w:hAnsi="宋体"/>
                <w:bCs/>
                <w:color w:val="auto"/>
                <w:highlight w:val="none"/>
              </w:rPr>
              <w:t>2.6</w:t>
            </w:r>
          </w:p>
        </w:tc>
        <w:tc>
          <w:tcPr>
            <w:tcW w:w="739" w:type="pct"/>
            <w:vAlign w:val="center"/>
          </w:tcPr>
          <w:p w14:paraId="4A3D3E55">
            <w:pPr>
              <w:pStyle w:val="17"/>
              <w:spacing w:line="360" w:lineRule="auto"/>
              <w:jc w:val="center"/>
              <w:rPr>
                <w:rFonts w:hAnsi="宋体"/>
                <w:bCs/>
                <w:color w:val="auto"/>
                <w:highlight w:val="none"/>
              </w:rPr>
            </w:pPr>
            <w:r>
              <w:rPr>
                <w:rFonts w:hint="eastAsia" w:hAnsi="宋体"/>
                <w:color w:val="auto"/>
                <w:highlight w:val="none"/>
              </w:rPr>
              <w:t>道路交通规划（满分9分）</w:t>
            </w:r>
          </w:p>
        </w:tc>
        <w:tc>
          <w:tcPr>
            <w:tcW w:w="3346" w:type="pct"/>
          </w:tcPr>
          <w:p w14:paraId="375FA8FB">
            <w:pPr>
              <w:pStyle w:val="17"/>
              <w:spacing w:line="360" w:lineRule="auto"/>
              <w:rPr>
                <w:rFonts w:hAnsi="宋体"/>
                <w:color w:val="auto"/>
                <w:highlight w:val="none"/>
              </w:rPr>
            </w:pPr>
            <w:r>
              <w:rPr>
                <w:rFonts w:hint="eastAsia" w:hAnsi="宋体"/>
                <w:color w:val="auto"/>
                <w:highlight w:val="none"/>
              </w:rPr>
              <w:t>结合片区交通特征，对区域交通协调、内部交通、公共交通等方面规划策略的科学性、合理性、可操作性进行评分。</w:t>
            </w:r>
          </w:p>
          <w:p w14:paraId="79AB24C0">
            <w:pPr>
              <w:spacing w:line="360" w:lineRule="auto"/>
              <w:ind w:firstLine="420" w:firstLineChars="200"/>
              <w:rPr>
                <w:rFonts w:hAnsi="宋体" w:cs="宋体"/>
                <w:bCs/>
                <w:color w:val="auto"/>
                <w:highlight w:val="none"/>
              </w:rPr>
            </w:pPr>
            <w:r>
              <w:rPr>
                <w:rFonts w:hint="eastAsia" w:hAnsi="宋体" w:cs="宋体"/>
                <w:bCs/>
                <w:color w:val="auto"/>
                <w:highlight w:val="none"/>
              </w:rPr>
              <w:t>一档（3分）：</w:t>
            </w:r>
            <w:r>
              <w:rPr>
                <w:rFonts w:hint="eastAsia" w:hAnsi="宋体" w:cs="宋体"/>
                <w:bCs/>
                <w:color w:val="auto"/>
                <w:highlight w:val="none"/>
                <w:lang w:eastAsia="zh-CN"/>
              </w:rPr>
              <w:t>有</w:t>
            </w:r>
            <w:r>
              <w:rPr>
                <w:rFonts w:hint="eastAsia" w:hAnsi="宋体"/>
                <w:color w:val="auto"/>
                <w:highlight w:val="none"/>
              </w:rPr>
              <w:t>区域交通协调、内部交通、公共交通等方面</w:t>
            </w:r>
            <w:r>
              <w:rPr>
                <w:rFonts w:hint="eastAsia" w:hAnsi="宋体"/>
                <w:color w:val="auto"/>
                <w:highlight w:val="none"/>
                <w:lang w:eastAsia="zh-CN"/>
              </w:rPr>
              <w:t>的</w:t>
            </w:r>
            <w:r>
              <w:rPr>
                <w:rFonts w:hint="eastAsia" w:hAnsi="宋体" w:cs="宋体"/>
                <w:bCs/>
                <w:color w:val="auto"/>
                <w:highlight w:val="none"/>
              </w:rPr>
              <w:t>道路交通规划</w:t>
            </w:r>
            <w:r>
              <w:rPr>
                <w:rFonts w:hint="eastAsia" w:hAnsi="宋体" w:cs="宋体"/>
                <w:bCs/>
                <w:color w:val="auto"/>
                <w:highlight w:val="none"/>
                <w:lang w:eastAsia="zh-CN"/>
              </w:rPr>
              <w:t>内容，但</w:t>
            </w:r>
            <w:r>
              <w:rPr>
                <w:rFonts w:hint="eastAsia" w:hAnsi="宋体" w:cs="宋体"/>
                <w:bCs/>
                <w:color w:val="auto"/>
                <w:highlight w:val="none"/>
              </w:rPr>
              <w:t>内容</w:t>
            </w:r>
            <w:r>
              <w:rPr>
                <w:rFonts w:hint="eastAsia" w:hAnsi="宋体" w:cs="宋体"/>
                <w:bCs/>
                <w:color w:val="auto"/>
                <w:highlight w:val="none"/>
                <w:lang w:eastAsia="zh-CN"/>
              </w:rPr>
              <w:t>较为简单</w:t>
            </w:r>
            <w:r>
              <w:rPr>
                <w:rFonts w:hint="eastAsia" w:hAnsi="宋体" w:cs="宋体"/>
                <w:bCs/>
                <w:color w:val="auto"/>
                <w:highlight w:val="none"/>
              </w:rPr>
              <w:t>。</w:t>
            </w:r>
          </w:p>
          <w:p w14:paraId="08AD67C9">
            <w:pPr>
              <w:spacing w:line="360" w:lineRule="auto"/>
              <w:ind w:firstLine="420" w:firstLineChars="200"/>
              <w:rPr>
                <w:rFonts w:hAnsi="宋体" w:cs="宋体"/>
                <w:bCs/>
                <w:color w:val="auto"/>
                <w:highlight w:val="none"/>
              </w:rPr>
            </w:pPr>
            <w:r>
              <w:rPr>
                <w:rFonts w:hint="eastAsia" w:hAnsi="宋体" w:cs="宋体"/>
                <w:bCs/>
                <w:color w:val="auto"/>
                <w:highlight w:val="none"/>
              </w:rPr>
              <w:t>二档（6分）：</w:t>
            </w:r>
            <w:r>
              <w:rPr>
                <w:rFonts w:hint="eastAsia" w:hAnsi="宋体" w:cs="宋体"/>
                <w:bCs/>
                <w:color w:val="auto"/>
                <w:highlight w:val="none"/>
                <w:lang w:eastAsia="zh-CN"/>
              </w:rPr>
              <w:t>有针对</w:t>
            </w:r>
            <w:r>
              <w:rPr>
                <w:rFonts w:hint="eastAsia" w:hAnsi="宋体" w:cs="宋体"/>
                <w:bCs/>
                <w:color w:val="auto"/>
                <w:highlight w:val="none"/>
              </w:rPr>
              <w:t>包括</w:t>
            </w:r>
            <w:r>
              <w:rPr>
                <w:rFonts w:hint="eastAsia" w:ascii="宋体" w:hAnsi="宋体"/>
                <w:color w:val="auto"/>
                <w:highlight w:val="none"/>
              </w:rPr>
              <w:t>区域交通协调、内部交通、公共交通</w:t>
            </w:r>
            <w:r>
              <w:rPr>
                <w:rFonts w:hint="eastAsia" w:hAnsi="宋体" w:cs="宋体"/>
                <w:bCs/>
                <w:color w:val="auto"/>
                <w:highlight w:val="none"/>
              </w:rPr>
              <w:t>等</w:t>
            </w:r>
            <w:r>
              <w:rPr>
                <w:rFonts w:hint="eastAsia" w:hAnsi="宋体" w:cs="宋体"/>
                <w:bCs/>
                <w:color w:val="auto"/>
                <w:highlight w:val="none"/>
                <w:lang w:eastAsia="zh-CN"/>
              </w:rPr>
              <w:t>方面的</w:t>
            </w:r>
            <w:r>
              <w:rPr>
                <w:rFonts w:hint="eastAsia" w:hAnsi="宋体" w:cs="宋体"/>
                <w:bCs/>
                <w:color w:val="auto"/>
                <w:highlight w:val="none"/>
              </w:rPr>
              <w:t>规划内容</w:t>
            </w:r>
            <w:r>
              <w:rPr>
                <w:rFonts w:hint="eastAsia" w:hAnsi="宋体" w:cs="宋体"/>
                <w:bCs/>
                <w:color w:val="auto"/>
                <w:highlight w:val="none"/>
                <w:lang w:eastAsia="zh-CN"/>
              </w:rPr>
              <w:t>，路网布局基本合理</w:t>
            </w:r>
            <w:r>
              <w:rPr>
                <w:rFonts w:hint="eastAsia" w:hAnsi="宋体" w:cs="宋体"/>
                <w:bCs/>
                <w:color w:val="auto"/>
                <w:highlight w:val="none"/>
              </w:rPr>
              <w:t>，提出的交通规划策略</w:t>
            </w:r>
            <w:r>
              <w:rPr>
                <w:rFonts w:hint="eastAsia" w:hAnsi="宋体" w:cs="宋体"/>
                <w:bCs/>
                <w:color w:val="auto"/>
                <w:highlight w:val="none"/>
                <w:lang w:eastAsia="zh-CN"/>
              </w:rPr>
              <w:t>有一定的</w:t>
            </w:r>
            <w:r>
              <w:rPr>
                <w:rFonts w:hint="eastAsia" w:hAnsi="宋体" w:cs="宋体"/>
                <w:bCs/>
                <w:color w:val="auto"/>
                <w:highlight w:val="none"/>
              </w:rPr>
              <w:t>操作性。</w:t>
            </w:r>
          </w:p>
          <w:p w14:paraId="0B15F6A6">
            <w:pPr>
              <w:spacing w:line="360" w:lineRule="auto"/>
              <w:ind w:firstLine="420" w:firstLineChars="200"/>
              <w:rPr>
                <w:rFonts w:ascii="宋体" w:hAnsi="宋体"/>
                <w:b/>
                <w:bCs/>
                <w:color w:val="auto"/>
                <w:highlight w:val="none"/>
              </w:rPr>
            </w:pPr>
            <w:r>
              <w:rPr>
                <w:rFonts w:hint="eastAsia" w:hAnsi="宋体" w:cs="宋体"/>
                <w:bCs/>
                <w:color w:val="auto"/>
                <w:highlight w:val="none"/>
              </w:rPr>
              <w:t>三档（9分）：规划内容包括但不限于</w:t>
            </w:r>
            <w:r>
              <w:rPr>
                <w:rFonts w:hint="eastAsia" w:ascii="宋体" w:hAnsi="宋体"/>
                <w:color w:val="auto"/>
                <w:highlight w:val="none"/>
              </w:rPr>
              <w:t>区域交通协调、内部交通、公共交通</w:t>
            </w:r>
            <w:r>
              <w:rPr>
                <w:rFonts w:hint="eastAsia" w:hAnsi="宋体" w:cs="宋体"/>
                <w:bCs/>
                <w:color w:val="auto"/>
                <w:highlight w:val="none"/>
              </w:rPr>
              <w:t>等，内容充实完善，提出的交通规划策略可操作性及针对性较强，能满足采购方的采购目的。</w:t>
            </w:r>
          </w:p>
        </w:tc>
        <w:tc>
          <w:tcPr>
            <w:tcW w:w="511" w:type="pct"/>
            <w:vAlign w:val="center"/>
          </w:tcPr>
          <w:p w14:paraId="56992210">
            <w:pPr>
              <w:pStyle w:val="17"/>
              <w:spacing w:line="360" w:lineRule="auto"/>
              <w:jc w:val="center"/>
              <w:rPr>
                <w:rFonts w:hAnsi="宋体"/>
                <w:bCs/>
                <w:color w:val="auto"/>
                <w:highlight w:val="none"/>
              </w:rPr>
            </w:pPr>
            <w:r>
              <w:rPr>
                <w:rFonts w:hint="eastAsia" w:hAnsi="宋体"/>
                <w:bCs/>
                <w:color w:val="auto"/>
                <w:highlight w:val="none"/>
              </w:rPr>
              <w:t>0~9</w:t>
            </w:r>
          </w:p>
        </w:tc>
      </w:tr>
      <w:tr w14:paraId="102F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4B9483E8">
            <w:pPr>
              <w:pStyle w:val="17"/>
              <w:spacing w:line="360" w:lineRule="auto"/>
              <w:jc w:val="center"/>
              <w:rPr>
                <w:rFonts w:hAnsi="宋体"/>
                <w:bCs/>
                <w:color w:val="auto"/>
                <w:highlight w:val="none"/>
              </w:rPr>
            </w:pPr>
            <w:r>
              <w:rPr>
                <w:rFonts w:hint="eastAsia" w:hAnsi="宋体"/>
                <w:bCs/>
                <w:color w:val="auto"/>
                <w:highlight w:val="none"/>
              </w:rPr>
              <w:t>2.7</w:t>
            </w:r>
          </w:p>
        </w:tc>
        <w:tc>
          <w:tcPr>
            <w:tcW w:w="739" w:type="pct"/>
            <w:vAlign w:val="center"/>
          </w:tcPr>
          <w:p w14:paraId="4A73B0C6">
            <w:pPr>
              <w:pStyle w:val="17"/>
              <w:spacing w:line="360" w:lineRule="auto"/>
              <w:jc w:val="center"/>
              <w:rPr>
                <w:rFonts w:hAnsi="宋体"/>
                <w:bCs/>
                <w:color w:val="auto"/>
                <w:highlight w:val="none"/>
              </w:rPr>
            </w:pPr>
            <w:r>
              <w:rPr>
                <w:rFonts w:hint="eastAsia" w:hAnsi="宋体"/>
                <w:color w:val="auto"/>
                <w:highlight w:val="none"/>
              </w:rPr>
              <w:t>城市设计引导（满分6分）</w:t>
            </w:r>
          </w:p>
        </w:tc>
        <w:tc>
          <w:tcPr>
            <w:tcW w:w="3346" w:type="pct"/>
          </w:tcPr>
          <w:p w14:paraId="2CBA0613">
            <w:pPr>
              <w:pStyle w:val="17"/>
              <w:spacing w:line="360" w:lineRule="auto"/>
              <w:rPr>
                <w:rFonts w:hAnsi="宋体"/>
                <w:color w:val="auto"/>
                <w:highlight w:val="none"/>
              </w:rPr>
            </w:pPr>
            <w:r>
              <w:rPr>
                <w:rFonts w:hint="eastAsia" w:hAnsi="宋体"/>
                <w:color w:val="auto"/>
                <w:highlight w:val="none"/>
              </w:rPr>
              <w:t>结合片区资源特征，提出城市设计策略及建议，对总体空间</w:t>
            </w:r>
            <w:r>
              <w:rPr>
                <w:rFonts w:hAnsi="宋体"/>
                <w:color w:val="auto"/>
                <w:highlight w:val="none"/>
              </w:rPr>
              <w:t>布局</w:t>
            </w:r>
            <w:r>
              <w:rPr>
                <w:rFonts w:hint="eastAsia" w:hAnsi="宋体"/>
                <w:color w:val="auto"/>
                <w:highlight w:val="none"/>
              </w:rPr>
              <w:t>、分区风貌</w:t>
            </w:r>
            <w:r>
              <w:rPr>
                <w:rFonts w:hAnsi="宋体"/>
                <w:color w:val="auto"/>
                <w:highlight w:val="none"/>
              </w:rPr>
              <w:t>引导</w:t>
            </w:r>
            <w:r>
              <w:rPr>
                <w:rFonts w:hint="eastAsia" w:hAnsi="宋体"/>
                <w:color w:val="auto"/>
                <w:highlight w:val="none"/>
              </w:rPr>
              <w:t>、重要界面导控等内容的科学性、合理性、可操作性进行评分。</w:t>
            </w:r>
          </w:p>
          <w:p w14:paraId="1648209F">
            <w:pPr>
              <w:spacing w:line="360" w:lineRule="auto"/>
              <w:ind w:firstLine="420" w:firstLineChars="200"/>
              <w:rPr>
                <w:rFonts w:hAnsi="宋体" w:cs="宋体"/>
                <w:bCs/>
                <w:color w:val="auto"/>
                <w:highlight w:val="none"/>
              </w:rPr>
            </w:pPr>
            <w:r>
              <w:rPr>
                <w:rFonts w:hint="eastAsia" w:hAnsi="宋体" w:cs="宋体"/>
                <w:bCs/>
                <w:color w:val="auto"/>
                <w:highlight w:val="none"/>
              </w:rPr>
              <w:t>一档（2分）：</w:t>
            </w:r>
            <w:r>
              <w:rPr>
                <w:rFonts w:hint="eastAsia" w:hAnsi="宋体" w:cs="宋体"/>
                <w:bCs/>
                <w:color w:val="auto"/>
                <w:highlight w:val="none"/>
                <w:lang w:eastAsia="zh-CN"/>
              </w:rPr>
              <w:t>有</w:t>
            </w:r>
            <w:r>
              <w:rPr>
                <w:rFonts w:hint="eastAsia" w:hAnsi="宋体" w:cs="宋体"/>
                <w:bCs/>
                <w:color w:val="auto"/>
                <w:highlight w:val="none"/>
              </w:rPr>
              <w:t>城市设计引导内容</w:t>
            </w:r>
            <w:r>
              <w:rPr>
                <w:rFonts w:hint="eastAsia" w:hAnsi="宋体" w:cs="宋体"/>
                <w:bCs/>
                <w:color w:val="auto"/>
                <w:highlight w:val="none"/>
                <w:lang w:eastAsia="zh-CN"/>
              </w:rPr>
              <w:t>，但</w:t>
            </w:r>
            <w:r>
              <w:rPr>
                <w:rFonts w:hint="eastAsia" w:hAnsi="宋体" w:cs="宋体"/>
                <w:bCs/>
                <w:color w:val="auto"/>
                <w:highlight w:val="none"/>
              </w:rPr>
              <w:t>不</w:t>
            </w:r>
            <w:r>
              <w:rPr>
                <w:rFonts w:hint="eastAsia" w:hAnsi="宋体" w:cs="宋体"/>
                <w:bCs/>
                <w:color w:val="auto"/>
                <w:highlight w:val="none"/>
                <w:lang w:eastAsia="zh-CN"/>
              </w:rPr>
              <w:t>够</w:t>
            </w:r>
            <w:r>
              <w:rPr>
                <w:rFonts w:hint="eastAsia" w:hAnsi="宋体" w:cs="宋体"/>
                <w:bCs/>
                <w:color w:val="auto"/>
                <w:highlight w:val="none"/>
              </w:rPr>
              <w:t>全面。</w:t>
            </w:r>
          </w:p>
          <w:p w14:paraId="7055552B">
            <w:pPr>
              <w:spacing w:line="360" w:lineRule="auto"/>
              <w:ind w:firstLine="420" w:firstLineChars="200"/>
              <w:rPr>
                <w:rFonts w:hAnsi="宋体" w:cs="宋体"/>
                <w:bCs/>
                <w:color w:val="auto"/>
                <w:highlight w:val="none"/>
              </w:rPr>
            </w:pPr>
            <w:r>
              <w:rPr>
                <w:rFonts w:hint="eastAsia" w:hAnsi="宋体" w:cs="宋体"/>
                <w:bCs/>
                <w:color w:val="auto"/>
                <w:highlight w:val="none"/>
              </w:rPr>
              <w:t>二档（4分）：有一定的城市设计引导内容，</w:t>
            </w:r>
            <w:r>
              <w:rPr>
                <w:rFonts w:hint="eastAsia" w:hAnsi="宋体" w:cs="宋体"/>
                <w:bCs/>
                <w:color w:val="auto"/>
                <w:highlight w:val="none"/>
                <w:lang w:eastAsia="zh-CN"/>
              </w:rPr>
              <w:t>有</w:t>
            </w:r>
            <w:r>
              <w:rPr>
                <w:rFonts w:hint="eastAsia" w:hAnsi="宋体"/>
                <w:color w:val="auto"/>
                <w:highlight w:val="none"/>
              </w:rPr>
              <w:t>提出城市设计策略及建议，</w:t>
            </w:r>
            <w:r>
              <w:rPr>
                <w:rFonts w:hint="eastAsia" w:hAnsi="宋体" w:cs="宋体"/>
                <w:bCs/>
                <w:color w:val="auto"/>
                <w:highlight w:val="none"/>
              </w:rPr>
              <w:t>但针对性不足。</w:t>
            </w:r>
          </w:p>
          <w:p w14:paraId="115C3150">
            <w:pPr>
              <w:spacing w:line="360" w:lineRule="auto"/>
              <w:ind w:firstLine="420" w:firstLineChars="200"/>
              <w:rPr>
                <w:b/>
                <w:bCs/>
                <w:color w:val="auto"/>
                <w:highlight w:val="none"/>
              </w:rPr>
            </w:pPr>
            <w:r>
              <w:rPr>
                <w:rFonts w:hint="eastAsia" w:hAnsi="宋体" w:cs="宋体"/>
                <w:bCs/>
                <w:color w:val="auto"/>
                <w:highlight w:val="none"/>
              </w:rPr>
              <w:t>三档（6分）：提出的城市设计引导策略可操作性及针对性较强，</w:t>
            </w:r>
            <w:r>
              <w:rPr>
                <w:rFonts w:hint="eastAsia" w:hAnsi="宋体"/>
                <w:color w:val="auto"/>
                <w:highlight w:val="none"/>
              </w:rPr>
              <w:t>总体空间</w:t>
            </w:r>
            <w:r>
              <w:rPr>
                <w:rFonts w:hAnsi="宋体"/>
                <w:color w:val="auto"/>
                <w:highlight w:val="none"/>
              </w:rPr>
              <w:t>布局</w:t>
            </w:r>
            <w:r>
              <w:rPr>
                <w:rFonts w:hint="eastAsia" w:hAnsi="宋体"/>
                <w:color w:val="auto"/>
                <w:highlight w:val="none"/>
              </w:rPr>
              <w:t>、分区风貌</w:t>
            </w:r>
            <w:r>
              <w:rPr>
                <w:rFonts w:hAnsi="宋体"/>
                <w:color w:val="auto"/>
                <w:highlight w:val="none"/>
              </w:rPr>
              <w:t>引导</w:t>
            </w:r>
            <w:r>
              <w:rPr>
                <w:rFonts w:hint="eastAsia" w:hAnsi="宋体"/>
                <w:color w:val="auto"/>
                <w:highlight w:val="none"/>
              </w:rPr>
              <w:t>、重要界面导控等内容</w:t>
            </w:r>
            <w:r>
              <w:rPr>
                <w:rFonts w:hint="eastAsia" w:hAnsi="宋体" w:cs="宋体"/>
                <w:bCs/>
                <w:color w:val="auto"/>
                <w:highlight w:val="none"/>
              </w:rPr>
              <w:t>全面完善，表达准确清晰，能满足采购方的采购目的。</w:t>
            </w:r>
          </w:p>
        </w:tc>
        <w:tc>
          <w:tcPr>
            <w:tcW w:w="511" w:type="pct"/>
            <w:vAlign w:val="center"/>
          </w:tcPr>
          <w:p w14:paraId="145A77C8">
            <w:pPr>
              <w:pStyle w:val="17"/>
              <w:spacing w:line="360" w:lineRule="auto"/>
              <w:jc w:val="center"/>
              <w:rPr>
                <w:rFonts w:hAnsi="宋体"/>
                <w:bCs/>
                <w:color w:val="auto"/>
                <w:highlight w:val="none"/>
              </w:rPr>
            </w:pPr>
            <w:r>
              <w:rPr>
                <w:rFonts w:hint="eastAsia" w:hAnsi="宋体"/>
                <w:bCs/>
                <w:color w:val="auto"/>
                <w:highlight w:val="none"/>
              </w:rPr>
              <w:t>0~6</w:t>
            </w:r>
          </w:p>
        </w:tc>
      </w:tr>
      <w:tr w14:paraId="452B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7C4FF212">
            <w:pPr>
              <w:pStyle w:val="17"/>
              <w:spacing w:line="360" w:lineRule="auto"/>
              <w:jc w:val="center"/>
              <w:rPr>
                <w:rFonts w:hAnsi="宋体"/>
                <w:bCs/>
                <w:color w:val="auto"/>
                <w:highlight w:val="none"/>
              </w:rPr>
            </w:pPr>
            <w:r>
              <w:rPr>
                <w:rFonts w:hint="eastAsia" w:hAnsi="宋体"/>
                <w:bCs/>
                <w:color w:val="auto"/>
                <w:highlight w:val="none"/>
              </w:rPr>
              <w:t>3</w:t>
            </w:r>
          </w:p>
        </w:tc>
        <w:tc>
          <w:tcPr>
            <w:tcW w:w="739" w:type="pct"/>
            <w:vAlign w:val="center"/>
          </w:tcPr>
          <w:p w14:paraId="20AFDE91">
            <w:pPr>
              <w:pStyle w:val="17"/>
              <w:spacing w:line="360" w:lineRule="auto"/>
              <w:jc w:val="center"/>
              <w:rPr>
                <w:rFonts w:hAnsi="宋体"/>
                <w:bCs/>
                <w:color w:val="auto"/>
                <w:highlight w:val="none"/>
              </w:rPr>
            </w:pPr>
            <w:r>
              <w:rPr>
                <w:rFonts w:hint="eastAsia" w:hAnsi="宋体"/>
                <w:bCs/>
                <w:color w:val="auto"/>
                <w:highlight w:val="none"/>
              </w:rPr>
              <w:t>商务资信（满分30分）</w:t>
            </w:r>
          </w:p>
        </w:tc>
        <w:tc>
          <w:tcPr>
            <w:tcW w:w="3346" w:type="pct"/>
            <w:vAlign w:val="center"/>
          </w:tcPr>
          <w:p w14:paraId="0B9FBFA6">
            <w:pPr>
              <w:pStyle w:val="17"/>
              <w:spacing w:line="360" w:lineRule="auto"/>
              <w:jc w:val="center"/>
              <w:rPr>
                <w:rFonts w:hAnsi="宋体"/>
                <w:bCs/>
                <w:color w:val="auto"/>
                <w:highlight w:val="none"/>
              </w:rPr>
            </w:pPr>
            <w:r>
              <w:rPr>
                <w:rFonts w:hint="eastAsia" w:hAnsi="宋体"/>
                <w:bCs/>
                <w:color w:val="auto"/>
                <w:highlight w:val="none"/>
              </w:rPr>
              <w:t>评分标准</w:t>
            </w:r>
          </w:p>
        </w:tc>
        <w:tc>
          <w:tcPr>
            <w:tcW w:w="511" w:type="pct"/>
            <w:vAlign w:val="center"/>
          </w:tcPr>
          <w:p w14:paraId="6D68DA68">
            <w:pPr>
              <w:pStyle w:val="17"/>
              <w:spacing w:line="360" w:lineRule="auto"/>
              <w:jc w:val="center"/>
              <w:rPr>
                <w:rFonts w:hAnsi="宋体"/>
                <w:bCs/>
                <w:color w:val="auto"/>
                <w:highlight w:val="none"/>
              </w:rPr>
            </w:pPr>
            <w:r>
              <w:rPr>
                <w:rFonts w:hint="eastAsia" w:hAnsi="宋体"/>
                <w:bCs/>
                <w:color w:val="auto"/>
                <w:highlight w:val="none"/>
              </w:rPr>
              <w:t>0~30</w:t>
            </w:r>
          </w:p>
        </w:tc>
      </w:tr>
      <w:tr w14:paraId="5E8A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2740580D">
            <w:pPr>
              <w:pStyle w:val="17"/>
              <w:spacing w:line="360" w:lineRule="auto"/>
              <w:jc w:val="center"/>
              <w:rPr>
                <w:rFonts w:hAnsi="宋体"/>
                <w:bCs/>
                <w:color w:val="auto"/>
                <w:highlight w:val="none"/>
              </w:rPr>
            </w:pPr>
            <w:r>
              <w:rPr>
                <w:rFonts w:hint="eastAsia" w:hAnsi="宋体"/>
                <w:bCs/>
                <w:color w:val="auto"/>
                <w:highlight w:val="none"/>
              </w:rPr>
              <w:t>3.1</w:t>
            </w:r>
          </w:p>
        </w:tc>
        <w:tc>
          <w:tcPr>
            <w:tcW w:w="739" w:type="pct"/>
            <w:vAlign w:val="center"/>
          </w:tcPr>
          <w:p w14:paraId="492341BC">
            <w:pPr>
              <w:spacing w:line="360" w:lineRule="auto"/>
              <w:jc w:val="center"/>
              <w:rPr>
                <w:rFonts w:hAnsi="宋体" w:cs="宋体"/>
                <w:bCs/>
                <w:color w:val="auto"/>
                <w:highlight w:val="none"/>
              </w:rPr>
            </w:pPr>
            <w:r>
              <w:rPr>
                <w:rFonts w:hint="eastAsia" w:hAnsi="宋体" w:cs="宋体"/>
                <w:bCs/>
                <w:color w:val="auto"/>
                <w:highlight w:val="none"/>
              </w:rPr>
              <w:t>质量管理体系认证证书（满分2分）</w:t>
            </w:r>
          </w:p>
        </w:tc>
        <w:tc>
          <w:tcPr>
            <w:tcW w:w="3346" w:type="pct"/>
            <w:vAlign w:val="center"/>
          </w:tcPr>
          <w:p w14:paraId="3C11025D">
            <w:pPr>
              <w:spacing w:line="360" w:lineRule="auto"/>
              <w:ind w:firstLine="420" w:firstLineChars="200"/>
              <w:rPr>
                <w:rFonts w:hAnsi="宋体" w:cs="宋体"/>
                <w:bCs/>
                <w:color w:val="auto"/>
                <w:highlight w:val="none"/>
              </w:rPr>
            </w:pPr>
            <w:r>
              <w:rPr>
                <w:rFonts w:hint="eastAsia" w:hAnsi="宋体" w:cs="宋体"/>
                <w:bCs/>
                <w:color w:val="auto"/>
                <w:highlight w:val="none"/>
              </w:rPr>
              <w:t>投标人具有有效的ISO质量管理体系认证证书的得2分。（投标时在投标文件提供证书扫描件）</w:t>
            </w:r>
          </w:p>
        </w:tc>
        <w:tc>
          <w:tcPr>
            <w:tcW w:w="511" w:type="pct"/>
            <w:vAlign w:val="center"/>
          </w:tcPr>
          <w:p w14:paraId="6F1B9384">
            <w:pPr>
              <w:pStyle w:val="17"/>
              <w:spacing w:line="360" w:lineRule="auto"/>
              <w:jc w:val="center"/>
              <w:rPr>
                <w:rFonts w:hAnsi="宋体"/>
                <w:bCs/>
                <w:color w:val="auto"/>
                <w:highlight w:val="none"/>
              </w:rPr>
            </w:pPr>
            <w:r>
              <w:rPr>
                <w:rFonts w:hint="eastAsia" w:hAnsi="宋体"/>
                <w:bCs/>
                <w:color w:val="auto"/>
                <w:highlight w:val="none"/>
              </w:rPr>
              <w:t>0~</w:t>
            </w:r>
            <w:r>
              <w:rPr>
                <w:rFonts w:hAnsi="宋体"/>
                <w:bCs/>
                <w:color w:val="auto"/>
                <w:highlight w:val="none"/>
              </w:rPr>
              <w:t>2</w:t>
            </w:r>
          </w:p>
        </w:tc>
      </w:tr>
      <w:tr w14:paraId="081E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3BB2FAAD">
            <w:pPr>
              <w:pStyle w:val="17"/>
              <w:spacing w:line="360" w:lineRule="auto"/>
              <w:jc w:val="center"/>
              <w:rPr>
                <w:rFonts w:hAnsi="宋体"/>
                <w:bCs/>
                <w:color w:val="auto"/>
                <w:highlight w:val="none"/>
              </w:rPr>
            </w:pPr>
            <w:r>
              <w:rPr>
                <w:rFonts w:hint="eastAsia" w:hAnsi="宋体"/>
                <w:bCs/>
                <w:color w:val="auto"/>
                <w:highlight w:val="none"/>
              </w:rPr>
              <w:t>3.2</w:t>
            </w:r>
          </w:p>
        </w:tc>
        <w:tc>
          <w:tcPr>
            <w:tcW w:w="739" w:type="pct"/>
            <w:vAlign w:val="center"/>
          </w:tcPr>
          <w:p w14:paraId="1561B714">
            <w:pPr>
              <w:spacing w:line="360" w:lineRule="auto"/>
              <w:jc w:val="center"/>
              <w:rPr>
                <w:rFonts w:hAnsi="宋体" w:cs="宋体"/>
                <w:bCs/>
                <w:color w:val="auto"/>
                <w:highlight w:val="none"/>
              </w:rPr>
            </w:pPr>
            <w:r>
              <w:rPr>
                <w:rFonts w:hint="eastAsia" w:hAnsi="宋体" w:cs="宋体"/>
                <w:bCs/>
                <w:color w:val="auto"/>
                <w:highlight w:val="none"/>
              </w:rPr>
              <w:t>投入人员配备分（满分</w:t>
            </w:r>
            <w:r>
              <w:rPr>
                <w:rFonts w:hAnsi="宋体" w:cs="宋体"/>
                <w:bCs/>
                <w:color w:val="auto"/>
                <w:highlight w:val="none"/>
              </w:rPr>
              <w:t>14</w:t>
            </w:r>
            <w:r>
              <w:rPr>
                <w:rFonts w:hint="eastAsia" w:hAnsi="宋体" w:cs="宋体"/>
                <w:bCs/>
                <w:color w:val="auto"/>
                <w:highlight w:val="none"/>
              </w:rPr>
              <w:t>分）</w:t>
            </w:r>
          </w:p>
        </w:tc>
        <w:tc>
          <w:tcPr>
            <w:tcW w:w="3346" w:type="pct"/>
          </w:tcPr>
          <w:p w14:paraId="7FEF0A29">
            <w:pPr>
              <w:spacing w:line="360" w:lineRule="auto"/>
              <w:ind w:firstLine="420" w:firstLineChars="200"/>
              <w:rPr>
                <w:rFonts w:hAnsi="宋体" w:cs="宋体"/>
                <w:bCs/>
                <w:color w:val="auto"/>
                <w:highlight w:val="none"/>
              </w:rPr>
            </w:pPr>
            <w:r>
              <w:rPr>
                <w:rFonts w:hint="eastAsia" w:hAnsi="宋体" w:cs="宋体"/>
                <w:bCs/>
                <w:color w:val="auto"/>
                <w:highlight w:val="none"/>
              </w:rPr>
              <w:t>（1）投标人拟投入的项目负责人，具备注册城市规划师的得1分；具备城乡规划专业正高级职称的得2分，不具备上述两项不加分（投标时在投标文件提供证书扫描件），满分3分。</w:t>
            </w:r>
          </w:p>
          <w:p w14:paraId="2307FB5B">
            <w:pPr>
              <w:spacing w:line="360" w:lineRule="auto"/>
              <w:ind w:firstLine="420" w:firstLineChars="200"/>
              <w:rPr>
                <w:rFonts w:hAnsi="宋体" w:cs="宋体"/>
                <w:bCs/>
                <w:color w:val="auto"/>
                <w:highlight w:val="none"/>
              </w:rPr>
            </w:pPr>
            <w:r>
              <w:rPr>
                <w:rFonts w:hint="eastAsia" w:hAnsi="宋体" w:cs="宋体"/>
                <w:bCs/>
                <w:color w:val="auto"/>
                <w:highlight w:val="none"/>
              </w:rPr>
              <w:t>（2）投标人除项目负责人投入具有注册城市规划师或注册咨询工程师（投资）资格的每人得1分（投标时在投标文件提供证书扫描件），满分4分。</w:t>
            </w:r>
          </w:p>
          <w:p w14:paraId="0A6FC26A">
            <w:pPr>
              <w:spacing w:line="360" w:lineRule="auto"/>
              <w:ind w:firstLine="420" w:firstLineChars="200"/>
              <w:rPr>
                <w:rFonts w:hAnsi="宋体" w:cs="宋体"/>
                <w:bCs/>
                <w:color w:val="auto"/>
                <w:highlight w:val="none"/>
              </w:rPr>
            </w:pPr>
            <w:r>
              <w:rPr>
                <w:rFonts w:hint="eastAsia" w:hAnsi="宋体" w:cs="宋体"/>
                <w:bCs/>
                <w:color w:val="auto"/>
                <w:highlight w:val="none"/>
              </w:rPr>
              <w:t>（3）投标人每投入1名高级职称技术人员（规划类专业）得1分，每投入1名中级职称技术人员（规划类专业）得0.5分，满分</w:t>
            </w:r>
            <w:r>
              <w:rPr>
                <w:rFonts w:hAnsi="宋体" w:cs="宋体"/>
                <w:bCs/>
                <w:color w:val="auto"/>
                <w:highlight w:val="none"/>
              </w:rPr>
              <w:t>7</w:t>
            </w:r>
            <w:r>
              <w:rPr>
                <w:rFonts w:hint="eastAsia" w:hAnsi="宋体" w:cs="宋体"/>
                <w:bCs/>
                <w:color w:val="auto"/>
                <w:highlight w:val="none"/>
              </w:rPr>
              <w:t>分。</w:t>
            </w:r>
          </w:p>
          <w:p w14:paraId="2B166962">
            <w:pPr>
              <w:spacing w:line="360" w:lineRule="auto"/>
              <w:ind w:firstLine="420" w:firstLineChars="200"/>
              <w:rPr>
                <w:rFonts w:hAnsi="宋体" w:cs="宋体"/>
                <w:bCs/>
                <w:color w:val="auto"/>
                <w:highlight w:val="none"/>
              </w:rPr>
            </w:pPr>
            <w:r>
              <w:rPr>
                <w:rFonts w:hint="eastAsia" w:hAnsi="宋体" w:cs="宋体"/>
                <w:bCs/>
                <w:color w:val="auto"/>
                <w:highlight w:val="none"/>
              </w:rPr>
              <w:t>在投标文件中提供实施人员职称证书原件（投标时在投标文件提供证书扫描件）、实施人员在职在岗证明材料（投标时在投标文件提供证书扫描件）（如：与投标人签订的劳动合同或投标人为其缴纳的投标截止之日前半年内投标人任意1个月社保证明），投入人员按得分最高的证件计算得分，不重复计分）</w:t>
            </w:r>
          </w:p>
        </w:tc>
        <w:tc>
          <w:tcPr>
            <w:tcW w:w="511" w:type="pct"/>
            <w:vAlign w:val="center"/>
          </w:tcPr>
          <w:p w14:paraId="350CC4FE">
            <w:pPr>
              <w:pStyle w:val="17"/>
              <w:spacing w:line="360" w:lineRule="auto"/>
              <w:jc w:val="center"/>
              <w:rPr>
                <w:rFonts w:hAnsi="宋体"/>
                <w:bCs/>
                <w:color w:val="auto"/>
                <w:highlight w:val="none"/>
              </w:rPr>
            </w:pPr>
            <w:r>
              <w:rPr>
                <w:rFonts w:hint="eastAsia" w:hAnsi="宋体"/>
                <w:bCs/>
                <w:color w:val="auto"/>
                <w:highlight w:val="none"/>
              </w:rPr>
              <w:t>0~</w:t>
            </w:r>
            <w:r>
              <w:rPr>
                <w:rFonts w:hAnsi="宋体"/>
                <w:bCs/>
                <w:color w:val="auto"/>
                <w:highlight w:val="none"/>
              </w:rPr>
              <w:t>14</w:t>
            </w:r>
          </w:p>
        </w:tc>
      </w:tr>
      <w:tr w14:paraId="46E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 w:type="pct"/>
            <w:vAlign w:val="center"/>
          </w:tcPr>
          <w:p w14:paraId="28C7EEA1">
            <w:pPr>
              <w:pStyle w:val="17"/>
              <w:spacing w:line="360" w:lineRule="auto"/>
              <w:jc w:val="center"/>
              <w:rPr>
                <w:rFonts w:hAnsi="宋体"/>
                <w:bCs/>
                <w:color w:val="auto"/>
                <w:highlight w:val="none"/>
              </w:rPr>
            </w:pPr>
            <w:r>
              <w:rPr>
                <w:rFonts w:hint="eastAsia" w:hAnsi="宋体"/>
                <w:bCs/>
                <w:color w:val="auto"/>
                <w:highlight w:val="none"/>
              </w:rPr>
              <w:t>3.3</w:t>
            </w:r>
          </w:p>
        </w:tc>
        <w:tc>
          <w:tcPr>
            <w:tcW w:w="739" w:type="pct"/>
            <w:vAlign w:val="center"/>
          </w:tcPr>
          <w:p w14:paraId="7FCDCAFC">
            <w:pPr>
              <w:spacing w:line="360" w:lineRule="auto"/>
              <w:jc w:val="center"/>
              <w:rPr>
                <w:rFonts w:hAnsi="宋体" w:cs="宋体"/>
                <w:bCs/>
                <w:color w:val="auto"/>
                <w:highlight w:val="none"/>
              </w:rPr>
            </w:pPr>
            <w:r>
              <w:rPr>
                <w:rFonts w:hint="eastAsia" w:hAnsi="宋体" w:cs="宋体"/>
                <w:bCs/>
                <w:color w:val="auto"/>
                <w:highlight w:val="none"/>
              </w:rPr>
              <w:t>业绩（满分</w:t>
            </w:r>
            <w:r>
              <w:rPr>
                <w:rFonts w:hAnsi="宋体" w:cs="宋体"/>
                <w:bCs/>
                <w:color w:val="auto"/>
                <w:highlight w:val="none"/>
              </w:rPr>
              <w:t>14</w:t>
            </w:r>
            <w:r>
              <w:rPr>
                <w:rFonts w:hint="eastAsia" w:hAnsi="宋体" w:cs="宋体"/>
                <w:bCs/>
                <w:color w:val="auto"/>
                <w:highlight w:val="none"/>
              </w:rPr>
              <w:t>分）</w:t>
            </w:r>
          </w:p>
        </w:tc>
        <w:tc>
          <w:tcPr>
            <w:tcW w:w="3346" w:type="pct"/>
          </w:tcPr>
          <w:p w14:paraId="243D566F">
            <w:pPr>
              <w:spacing w:line="360" w:lineRule="auto"/>
              <w:ind w:firstLine="420" w:firstLineChars="200"/>
              <w:rPr>
                <w:rFonts w:hAnsi="宋体" w:cs="宋体"/>
                <w:bCs/>
                <w:color w:val="auto"/>
                <w:highlight w:val="none"/>
              </w:rPr>
            </w:pPr>
            <w:r>
              <w:rPr>
                <w:rFonts w:hint="eastAsia" w:hAnsi="宋体" w:cs="宋体"/>
                <w:bCs/>
                <w:color w:val="auto"/>
                <w:highlight w:val="none"/>
              </w:rPr>
              <w:t>投标人</w:t>
            </w:r>
            <w:r>
              <w:rPr>
                <w:rFonts w:hint="eastAsia" w:hAnsi="宋体" w:cs="宋体"/>
                <w:bCs/>
                <w:color w:val="auto"/>
                <w:highlight w:val="none"/>
                <w:lang w:val="en-US" w:eastAsia="zh-CN"/>
              </w:rPr>
              <w:t>自2022年1月1日起</w:t>
            </w:r>
            <w:r>
              <w:rPr>
                <w:rFonts w:hint="eastAsia" w:hAnsi="宋体" w:cs="宋体"/>
                <w:bCs/>
                <w:color w:val="auto"/>
                <w:highlight w:val="none"/>
              </w:rPr>
              <w:t>承担过类似项目业绩的，每个业绩得2分，满分</w:t>
            </w:r>
            <w:r>
              <w:rPr>
                <w:rFonts w:hAnsi="宋体" w:cs="宋体"/>
                <w:bCs/>
                <w:color w:val="auto"/>
                <w:highlight w:val="none"/>
              </w:rPr>
              <w:t>14</w:t>
            </w:r>
            <w:r>
              <w:rPr>
                <w:rFonts w:hint="eastAsia" w:hAnsi="宋体" w:cs="宋体"/>
                <w:bCs/>
                <w:color w:val="auto"/>
                <w:highlight w:val="none"/>
              </w:rPr>
              <w:t>分。（</w:t>
            </w:r>
            <w:r>
              <w:rPr>
                <w:rFonts w:hint="eastAsia" w:ascii="宋体" w:hAnsi="宋体" w:cs="宋体"/>
                <w:bCs/>
                <w:color w:val="auto"/>
                <w:kern w:val="0"/>
                <w:szCs w:val="21"/>
                <w:lang w:eastAsia="zh-CN"/>
              </w:rPr>
              <w:t>投标</w:t>
            </w:r>
            <w:r>
              <w:rPr>
                <w:rFonts w:hint="eastAsia" w:ascii="宋体" w:hAnsi="宋体" w:cs="宋体"/>
                <w:bCs/>
                <w:color w:val="auto"/>
                <w:kern w:val="0"/>
                <w:szCs w:val="21"/>
              </w:rPr>
              <w:t>文件中提供中标</w:t>
            </w:r>
            <w:r>
              <w:rPr>
                <w:rFonts w:hint="eastAsia" w:ascii="宋体" w:hAnsi="宋体" w:cs="宋体"/>
                <w:bCs/>
                <w:color w:val="auto"/>
                <w:kern w:val="0"/>
                <w:szCs w:val="21"/>
                <w:lang w:val="en-US" w:eastAsia="zh-CN"/>
              </w:rPr>
              <w:t>/成交</w:t>
            </w:r>
            <w:r>
              <w:rPr>
                <w:rFonts w:hint="eastAsia" w:ascii="宋体" w:hAnsi="宋体" w:cs="宋体"/>
                <w:bCs/>
                <w:color w:val="auto"/>
                <w:kern w:val="0"/>
                <w:szCs w:val="21"/>
              </w:rPr>
              <w:t>通知书或合同复印件，合同要素包括日期、项目名称等并加盖公章</w:t>
            </w:r>
            <w:r>
              <w:rPr>
                <w:rFonts w:hint="eastAsia" w:hAnsi="宋体" w:cs="宋体"/>
                <w:bCs/>
                <w:color w:val="auto"/>
                <w:highlight w:val="none"/>
              </w:rPr>
              <w:t>）</w:t>
            </w:r>
          </w:p>
        </w:tc>
        <w:tc>
          <w:tcPr>
            <w:tcW w:w="511" w:type="pct"/>
            <w:vAlign w:val="center"/>
          </w:tcPr>
          <w:p w14:paraId="70CEA7FA">
            <w:pPr>
              <w:pStyle w:val="17"/>
              <w:spacing w:line="360" w:lineRule="auto"/>
              <w:jc w:val="center"/>
              <w:rPr>
                <w:rFonts w:hAnsi="宋体"/>
                <w:bCs/>
                <w:color w:val="auto"/>
                <w:highlight w:val="none"/>
              </w:rPr>
            </w:pPr>
            <w:r>
              <w:rPr>
                <w:rFonts w:hint="eastAsia" w:hAnsi="宋体"/>
                <w:bCs/>
                <w:color w:val="auto"/>
                <w:highlight w:val="none"/>
              </w:rPr>
              <w:t>0~</w:t>
            </w:r>
            <w:r>
              <w:rPr>
                <w:rFonts w:hAnsi="宋体"/>
                <w:bCs/>
                <w:color w:val="auto"/>
                <w:highlight w:val="none"/>
              </w:rPr>
              <w:t>14</w:t>
            </w:r>
          </w:p>
        </w:tc>
      </w:tr>
      <w:tr w14:paraId="7EF9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Pr>
          <w:p w14:paraId="0D8589E3">
            <w:pPr>
              <w:pStyle w:val="17"/>
              <w:tabs>
                <w:tab w:val="left" w:pos="838"/>
              </w:tabs>
              <w:spacing w:line="360" w:lineRule="auto"/>
              <w:rPr>
                <w:rFonts w:hAnsi="宋体"/>
                <w:bCs/>
                <w:color w:val="auto"/>
                <w:highlight w:val="none"/>
              </w:rPr>
            </w:pPr>
            <w:r>
              <w:rPr>
                <w:rFonts w:hAnsi="宋体"/>
                <w:bCs/>
                <w:color w:val="auto"/>
                <w:highlight w:val="none"/>
              </w:rPr>
              <w:tab/>
            </w:r>
            <w:r>
              <w:rPr>
                <w:rFonts w:hint="eastAsia" w:hAnsi="宋体" w:cs="宋体"/>
                <w:bCs/>
                <w:color w:val="auto"/>
                <w:szCs w:val="21"/>
                <w:highlight w:val="none"/>
              </w:rPr>
              <w:t>总得分＝</w:t>
            </w:r>
            <w:r>
              <w:rPr>
                <w:rFonts w:hAnsi="宋体" w:cs="宋体"/>
                <w:bCs/>
                <w:color w:val="auto"/>
                <w:szCs w:val="21"/>
                <w:highlight w:val="none"/>
              </w:rPr>
              <w:t>1</w:t>
            </w:r>
            <w:r>
              <w:rPr>
                <w:rFonts w:hint="eastAsia" w:hAnsi="宋体" w:cs="宋体"/>
                <w:bCs/>
                <w:color w:val="auto"/>
                <w:szCs w:val="21"/>
                <w:highlight w:val="none"/>
              </w:rPr>
              <w:t>＋</w:t>
            </w:r>
            <w:r>
              <w:rPr>
                <w:rFonts w:hAnsi="宋体" w:cs="宋体"/>
                <w:bCs/>
                <w:color w:val="auto"/>
                <w:szCs w:val="21"/>
                <w:highlight w:val="none"/>
              </w:rPr>
              <w:t>2</w:t>
            </w:r>
            <w:r>
              <w:rPr>
                <w:rFonts w:hint="eastAsia" w:hAnsi="宋体" w:cs="宋体"/>
                <w:bCs/>
                <w:color w:val="auto"/>
                <w:szCs w:val="21"/>
                <w:highlight w:val="none"/>
              </w:rPr>
              <w:t>＋</w:t>
            </w:r>
            <w:r>
              <w:rPr>
                <w:rFonts w:hAnsi="宋体" w:cs="宋体"/>
                <w:bCs/>
                <w:color w:val="auto"/>
                <w:szCs w:val="21"/>
                <w:highlight w:val="none"/>
              </w:rPr>
              <w:t>3</w:t>
            </w:r>
          </w:p>
        </w:tc>
      </w:tr>
      <w:bookmarkEnd w:id="61"/>
    </w:tbl>
    <w:p w14:paraId="039DE44A">
      <w:pPr>
        <w:pStyle w:val="4"/>
        <w:jc w:val="center"/>
        <w:rPr>
          <w:b w:val="0"/>
          <w:sz w:val="30"/>
          <w:szCs w:val="30"/>
        </w:rPr>
      </w:pPr>
      <w:bookmarkStart w:id="62" w:name="_Toc20306"/>
      <w:bookmarkStart w:id="63" w:name="_Toc23510"/>
      <w:r>
        <w:rPr>
          <w:rFonts w:hint="eastAsia"/>
          <w:b w:val="0"/>
          <w:sz w:val="30"/>
          <w:szCs w:val="30"/>
        </w:rPr>
        <w:t>第四节 中标候选人推荐原则</w:t>
      </w:r>
      <w:bookmarkEnd w:id="62"/>
      <w:bookmarkEnd w:id="63"/>
    </w:p>
    <w:p w14:paraId="670440FA">
      <w:pPr>
        <w:tabs>
          <w:tab w:val="left" w:pos="2472"/>
        </w:tabs>
        <w:spacing w:line="360" w:lineRule="auto"/>
        <w:ind w:firstLine="422" w:firstLineChars="200"/>
        <w:rPr>
          <w:rFonts w:hAnsi="宋体"/>
        </w:rPr>
      </w:pPr>
      <w:r>
        <w:rPr>
          <w:rFonts w:hint="eastAsia" w:ascii="宋体" w:hAnsi="宋体"/>
          <w:b/>
          <w:bCs/>
        </w:rPr>
        <w:t>（一）综合评分法</w:t>
      </w:r>
      <w:bookmarkStart w:id="64" w:name="_Toc21619"/>
      <w:bookmarkStart w:id="65" w:name="_Toc30503"/>
    </w:p>
    <w:p w14:paraId="629F8C24">
      <w:pPr>
        <w:tabs>
          <w:tab w:val="left" w:pos="2472"/>
        </w:tabs>
        <w:spacing w:line="360" w:lineRule="auto"/>
        <w:ind w:firstLine="420" w:firstLineChars="200"/>
        <w:rPr>
          <w:rFonts w:hAnsi="宋体"/>
        </w:rPr>
      </w:pPr>
      <w:r>
        <w:rPr>
          <w:rFonts w:hint="eastAsia" w:hAnsi="宋体"/>
        </w:rPr>
        <w:t>评标委员会将按总得分由高到低排列中标候选人顺序（总得分相同时，依次按投标报价低优先、技术分高优先、质量保证期长优先、提交服务成果时间短优先、处理问题到达时间短优先的顺序排列），并依照次序确定中标人。</w:t>
      </w:r>
    </w:p>
    <w:p w14:paraId="70BCDECE">
      <w:pPr>
        <w:pStyle w:val="4"/>
        <w:spacing w:before="0" w:after="0" w:line="360" w:lineRule="auto"/>
        <w:ind w:firstLine="600" w:firstLineChars="200"/>
        <w:jc w:val="center"/>
        <w:rPr>
          <w:b w:val="0"/>
          <w:sz w:val="30"/>
          <w:szCs w:val="30"/>
        </w:rPr>
      </w:pPr>
      <w:r>
        <w:rPr>
          <w:rFonts w:hint="eastAsia"/>
          <w:b w:val="0"/>
          <w:sz w:val="30"/>
          <w:szCs w:val="30"/>
        </w:rPr>
        <w:t>第五节 评标报告</w:t>
      </w:r>
      <w:bookmarkEnd w:id="64"/>
      <w:bookmarkEnd w:id="65"/>
    </w:p>
    <w:p w14:paraId="0BBFE37B">
      <w:pPr>
        <w:ind w:firstLine="480"/>
        <w:rPr>
          <w:rFonts w:ascii="宋体" w:hAnsi="宋体"/>
          <w:b/>
          <w:bCs/>
        </w:rPr>
      </w:pPr>
      <w:r>
        <w:rPr>
          <w:rFonts w:hint="eastAsia" w:ascii="宋体" w:hAnsi="宋体"/>
          <w:b/>
          <w:bCs/>
        </w:rPr>
        <w:t>（一）评标报告与推荐中标候选人</w:t>
      </w:r>
    </w:p>
    <w:p w14:paraId="5783A0CD">
      <w:pPr>
        <w:tabs>
          <w:tab w:val="left" w:pos="2472"/>
        </w:tabs>
        <w:spacing w:line="360" w:lineRule="auto"/>
        <w:ind w:firstLine="420" w:firstLineChars="200"/>
        <w:rPr>
          <w:rFonts w:hAnsi="宋体"/>
        </w:rPr>
      </w:pPr>
      <w:r>
        <w:rPr>
          <w:rFonts w:hint="eastAsia" w:hAnsi="宋体"/>
        </w:rPr>
        <w:t>评标委员会根据原始评标记录和评标结果编写评标报告，并通过电子交易平台向采购人、采购代理机构提交。</w:t>
      </w:r>
    </w:p>
    <w:p w14:paraId="727F633A">
      <w:pPr>
        <w:widowControl/>
        <w:spacing w:line="360" w:lineRule="auto"/>
        <w:ind w:firstLine="482" w:firstLineChars="200"/>
        <w:jc w:val="left"/>
        <w:rPr>
          <w:rFonts w:ascii="宋体" w:hAnsi="宋体"/>
          <w:b/>
          <w:bCs/>
          <w:sz w:val="24"/>
        </w:rPr>
      </w:pPr>
      <w:r>
        <w:rPr>
          <w:rFonts w:hint="eastAsia" w:ascii="宋体" w:hAnsi="宋体"/>
          <w:b/>
          <w:bCs/>
          <w:sz w:val="24"/>
        </w:rPr>
        <w:t>（二）评标争议事项处理</w:t>
      </w:r>
    </w:p>
    <w:p w14:paraId="5FDA054E">
      <w:pPr>
        <w:tabs>
          <w:tab w:val="left" w:pos="2472"/>
        </w:tabs>
        <w:spacing w:line="360" w:lineRule="auto"/>
        <w:ind w:firstLine="420" w:firstLineChars="200"/>
        <w:rPr>
          <w:b/>
          <w:sz w:val="36"/>
        </w:rPr>
      </w:pPr>
      <w:r>
        <w:rPr>
          <w:rFonts w:hint="eastAsia" w:hAnsi="宋体"/>
        </w:rPr>
        <w:t>评标委员会成员对需要共同认定的事项存在争议的，应当按照少数服从多数的原则做出结论。持不同意见的评标委员会成员应当在评标报告上签署不同意见及理由，否则视为同意评标报告。</w:t>
      </w:r>
    </w:p>
    <w:p w14:paraId="0BEE6624">
      <w:pPr>
        <w:tabs>
          <w:tab w:val="left" w:pos="2472"/>
        </w:tabs>
        <w:spacing w:line="460" w:lineRule="exact"/>
        <w:jc w:val="center"/>
        <w:rPr>
          <w:b/>
          <w:sz w:val="36"/>
        </w:rPr>
      </w:pPr>
      <w:r>
        <w:rPr>
          <w:b/>
          <w:sz w:val="36"/>
        </w:rPr>
        <w:br w:type="page"/>
      </w:r>
    </w:p>
    <w:p w14:paraId="58DC99BE">
      <w:pPr>
        <w:tabs>
          <w:tab w:val="left" w:pos="2472"/>
        </w:tabs>
        <w:spacing w:line="460" w:lineRule="exact"/>
        <w:jc w:val="center"/>
        <w:outlineLvl w:val="0"/>
        <w:rPr>
          <w:b/>
          <w:sz w:val="36"/>
        </w:rPr>
      </w:pPr>
      <w:bookmarkStart w:id="66" w:name="_Toc26684"/>
      <w:bookmarkStart w:id="67" w:name="_Toc21439"/>
      <w:r>
        <w:rPr>
          <w:rFonts w:hint="eastAsia"/>
          <w:b/>
          <w:sz w:val="36"/>
        </w:rPr>
        <w:t xml:space="preserve">第五章 </w:t>
      </w:r>
      <w:bookmarkStart w:id="68" w:name="_Hlk197517477"/>
      <w:r>
        <w:rPr>
          <w:rFonts w:hint="eastAsia"/>
          <w:b/>
          <w:sz w:val="36"/>
        </w:rPr>
        <w:t>拟签订的合同文本</w:t>
      </w:r>
      <w:bookmarkEnd w:id="66"/>
      <w:bookmarkEnd w:id="67"/>
      <w:bookmarkEnd w:id="68"/>
    </w:p>
    <w:p w14:paraId="6E7A8FAF">
      <w:pPr>
        <w:tabs>
          <w:tab w:val="left" w:pos="720"/>
        </w:tabs>
        <w:spacing w:line="460" w:lineRule="exact"/>
        <w:rPr>
          <w:bCs/>
        </w:rPr>
        <w:sectPr>
          <w:pgSz w:w="11906" w:h="16838"/>
          <w:pgMar w:top="1134" w:right="1134" w:bottom="1134" w:left="1134" w:header="720" w:footer="720" w:gutter="0"/>
          <w:cols w:space="720" w:num="1"/>
          <w:docGrid w:type="lines" w:linePitch="331" w:charSpace="0"/>
        </w:sectPr>
      </w:pPr>
    </w:p>
    <w:p w14:paraId="65140DCE">
      <w:pPr>
        <w:spacing w:line="360" w:lineRule="auto"/>
        <w:rPr>
          <w:rFonts w:ascii="仿宋_GB2312" w:hAnsi="楷体" w:eastAsia="仿宋_GB2312"/>
          <w:sz w:val="24"/>
          <w:u w:val="single"/>
        </w:rPr>
      </w:pPr>
      <w:r>
        <w:rPr>
          <w:rFonts w:hint="eastAsia" w:ascii="仿宋_GB2312" w:hAnsi="楷体" w:eastAsia="仿宋_GB2312"/>
          <w:sz w:val="24"/>
        </w:rPr>
        <w:t>“广西政府采购云平台”合同编号：</w:t>
      </w:r>
      <w:r>
        <w:rPr>
          <w:rFonts w:hint="eastAsia" w:ascii="仿宋_GB2312" w:hAnsi="楷体" w:eastAsia="仿宋_GB2312"/>
          <w:sz w:val="24"/>
          <w:u w:val="single"/>
        </w:rPr>
        <w:t xml:space="preserve">           </w:t>
      </w:r>
    </w:p>
    <w:p w14:paraId="32399B40">
      <w:pPr>
        <w:spacing w:line="360" w:lineRule="auto"/>
        <w:jc w:val="center"/>
        <w:rPr>
          <w:rFonts w:ascii="宋体"/>
          <w:b/>
          <w:bCs/>
          <w:sz w:val="52"/>
        </w:rPr>
      </w:pPr>
      <w:r>
        <w:rPr>
          <w:rFonts w:hint="eastAsia" w:ascii="宋体"/>
          <w:b/>
          <w:bCs/>
          <w:sz w:val="52"/>
        </w:rPr>
        <w:t>南 宁 市 政 府 采 购</w:t>
      </w:r>
    </w:p>
    <w:p w14:paraId="63C7A73D">
      <w:pPr>
        <w:spacing w:line="360" w:lineRule="auto"/>
        <w:ind w:firstLine="420" w:firstLineChars="200"/>
        <w:rPr>
          <w:rFonts w:ascii="宋体"/>
        </w:rPr>
      </w:pPr>
    </w:p>
    <w:p w14:paraId="45DCF2A1">
      <w:pPr>
        <w:spacing w:line="360" w:lineRule="auto"/>
        <w:ind w:firstLine="420" w:firstLineChars="200"/>
        <w:rPr>
          <w:rFonts w:ascii="宋体"/>
        </w:rPr>
      </w:pPr>
      <w:r>
        <w:rPr>
          <w:rFonts w:hint="eastAsia" w:ascii="宋体"/>
        </w:rPr>
        <w:t xml:space="preserve">                                                 </w:t>
      </w:r>
    </w:p>
    <w:p w14:paraId="0B2DADC4">
      <w:pPr>
        <w:spacing w:line="360" w:lineRule="auto"/>
        <w:jc w:val="center"/>
        <w:rPr>
          <w:rFonts w:ascii="宋体"/>
          <w:b/>
          <w:bCs/>
          <w:sz w:val="44"/>
        </w:rPr>
      </w:pPr>
      <w:r>
        <w:rPr>
          <w:rFonts w:hint="eastAsia" w:ascii="宋体"/>
          <w:b/>
          <w:bCs/>
          <w:sz w:val="44"/>
          <w:u w:val="single"/>
          <w:lang w:eastAsia="zh-CN"/>
        </w:rPr>
        <w:t>《南宁市中心城区新城片区XC-01（桃源桥北）单元控制性详细规划及城市设计》修编</w:t>
      </w:r>
      <w:r>
        <w:rPr>
          <w:rFonts w:hint="eastAsia" w:ascii="宋体"/>
          <w:b/>
          <w:bCs/>
          <w:sz w:val="44"/>
        </w:rPr>
        <w:t>合同</w:t>
      </w:r>
    </w:p>
    <w:p w14:paraId="3BA66DE7">
      <w:pPr>
        <w:spacing w:line="360" w:lineRule="auto"/>
        <w:jc w:val="center"/>
        <w:rPr>
          <w:rFonts w:ascii="宋体"/>
          <w:b/>
          <w:bCs/>
          <w:sz w:val="44"/>
        </w:rPr>
      </w:pPr>
    </w:p>
    <w:p w14:paraId="76B61160">
      <w:pPr>
        <w:spacing w:line="360" w:lineRule="auto"/>
        <w:jc w:val="center"/>
        <w:rPr>
          <w:rFonts w:ascii="宋体"/>
          <w:b/>
          <w:bCs/>
          <w:sz w:val="44"/>
        </w:rPr>
      </w:pPr>
    </w:p>
    <w:p w14:paraId="743D4E5C">
      <w:pPr>
        <w:spacing w:line="360" w:lineRule="auto"/>
        <w:ind w:firstLine="3507" w:firstLineChars="794"/>
        <w:rPr>
          <w:rFonts w:ascii="宋体"/>
          <w:b/>
          <w:bCs/>
          <w:sz w:val="44"/>
        </w:rPr>
      </w:pPr>
    </w:p>
    <w:p w14:paraId="69539105">
      <w:pPr>
        <w:spacing w:line="360" w:lineRule="auto"/>
        <w:ind w:firstLine="3507" w:firstLineChars="794"/>
        <w:rPr>
          <w:rFonts w:ascii="宋体"/>
          <w:b/>
          <w:bCs/>
          <w:sz w:val="44"/>
        </w:rPr>
      </w:pPr>
    </w:p>
    <w:p w14:paraId="1337EBFB">
      <w:pPr>
        <w:ind w:firstLine="1995" w:firstLineChars="552"/>
        <w:jc w:val="left"/>
        <w:rPr>
          <w:rFonts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1DAB9578">
      <w:pPr>
        <w:ind w:firstLine="1995" w:firstLineChars="552"/>
        <w:jc w:val="left"/>
        <w:rPr>
          <w:rFonts w:ascii="宋体" w:hAnsi="宋体"/>
          <w:b/>
          <w:sz w:val="36"/>
          <w:szCs w:val="36"/>
        </w:rPr>
      </w:pPr>
      <w:r>
        <w:rPr>
          <w:rFonts w:hint="eastAsia" w:ascii="宋体" w:hAnsi="宋体"/>
          <w:b/>
          <w:sz w:val="36"/>
          <w:szCs w:val="36"/>
        </w:rPr>
        <w:t>计划编号：</w:t>
      </w:r>
      <w:r>
        <w:rPr>
          <w:rFonts w:hint="eastAsia" w:ascii="宋体" w:hAnsi="宋体"/>
          <w:b/>
          <w:sz w:val="36"/>
          <w:szCs w:val="36"/>
          <w:u w:val="single"/>
        </w:rPr>
        <w:t xml:space="preserve">                     </w:t>
      </w:r>
    </w:p>
    <w:p w14:paraId="60642648">
      <w:pPr>
        <w:ind w:firstLine="1970" w:firstLineChars="545"/>
        <w:rPr>
          <w:rFonts w:ascii="宋体" w:hAnsi="宋体"/>
          <w:b/>
          <w:sz w:val="36"/>
          <w:szCs w:val="36"/>
          <w:u w:val="single"/>
        </w:rPr>
      </w:pPr>
    </w:p>
    <w:p w14:paraId="3A62B250">
      <w:pPr>
        <w:ind w:firstLine="1995" w:firstLineChars="552"/>
        <w:rPr>
          <w:rFonts w:ascii="宋体" w:hAnsi="宋体"/>
          <w:b/>
          <w:sz w:val="36"/>
          <w:szCs w:val="36"/>
          <w:u w:val="single"/>
        </w:rPr>
      </w:pPr>
    </w:p>
    <w:p w14:paraId="266D03DF">
      <w:pPr>
        <w:ind w:firstLine="1995" w:firstLineChars="552"/>
        <w:rPr>
          <w:rFonts w:ascii="宋体" w:hAnsi="宋体"/>
          <w:b/>
          <w:sz w:val="36"/>
          <w:szCs w:val="36"/>
          <w:u w:val="single"/>
        </w:rPr>
      </w:pPr>
    </w:p>
    <w:p w14:paraId="0D277F7B">
      <w:pPr>
        <w:tabs>
          <w:tab w:val="left" w:pos="7200"/>
        </w:tabs>
        <w:spacing w:line="360" w:lineRule="auto"/>
        <w:ind w:firstLine="1995" w:firstLineChars="552"/>
        <w:rPr>
          <w:rFonts w:ascii="宋体" w:hAnsi="宋体"/>
          <w:b/>
          <w:sz w:val="36"/>
          <w:szCs w:val="36"/>
          <w:u w:val="single"/>
        </w:rPr>
      </w:pPr>
      <w:r>
        <w:rPr>
          <w:rFonts w:hint="eastAsia" w:ascii="宋体" w:hAnsi="宋体"/>
          <w:b/>
          <w:sz w:val="36"/>
          <w:szCs w:val="36"/>
        </w:rPr>
        <w:t>采  购  人：</w:t>
      </w:r>
      <w:r>
        <w:rPr>
          <w:rFonts w:hint="eastAsia" w:ascii="宋体" w:hAnsi="宋体"/>
          <w:b/>
          <w:sz w:val="36"/>
          <w:szCs w:val="36"/>
          <w:u w:val="single"/>
          <w:lang w:eastAsia="zh-CN"/>
        </w:rPr>
        <w:t>南宁市自然资源局</w:t>
      </w:r>
    </w:p>
    <w:p w14:paraId="5AA6885A">
      <w:pPr>
        <w:tabs>
          <w:tab w:val="left" w:pos="7380"/>
        </w:tabs>
        <w:spacing w:line="360" w:lineRule="auto"/>
        <w:ind w:firstLine="1995" w:firstLineChars="552"/>
        <w:rPr>
          <w:rFonts w:ascii="宋体"/>
          <w:b/>
          <w:bCs/>
          <w:sz w:val="44"/>
        </w:rPr>
      </w:pPr>
      <w:r>
        <w:rPr>
          <w:rFonts w:hint="eastAsia" w:ascii="宋体" w:hAnsi="宋体"/>
          <w:b/>
          <w:sz w:val="36"/>
          <w:szCs w:val="36"/>
        </w:rPr>
        <w:t>中  标  人：</w:t>
      </w:r>
      <w:r>
        <w:rPr>
          <w:rFonts w:hint="eastAsia" w:ascii="宋体" w:hAnsi="宋体"/>
          <w:b/>
          <w:sz w:val="36"/>
          <w:szCs w:val="36"/>
          <w:u w:val="single"/>
        </w:rPr>
        <w:t xml:space="preserve">                   </w:t>
      </w:r>
    </w:p>
    <w:p w14:paraId="35D53EA3">
      <w:pPr>
        <w:tabs>
          <w:tab w:val="left" w:pos="7380"/>
        </w:tabs>
        <w:spacing w:line="360" w:lineRule="auto"/>
        <w:rPr>
          <w:rFonts w:ascii="宋体"/>
          <w:b/>
          <w:bCs/>
          <w:sz w:val="44"/>
        </w:rPr>
      </w:pPr>
    </w:p>
    <w:p w14:paraId="3983DB68">
      <w:pPr>
        <w:spacing w:before="120" w:line="360" w:lineRule="auto"/>
        <w:ind w:firstLine="960" w:firstLineChars="400"/>
        <w:rPr>
          <w:rFonts w:ascii="仿宋_GB2312" w:hAnsi="楷体" w:eastAsia="仿宋_GB2312"/>
          <w:sz w:val="24"/>
        </w:rPr>
      </w:pPr>
    </w:p>
    <w:p w14:paraId="3A3C5CDC">
      <w:pPr>
        <w:spacing w:before="120" w:line="360" w:lineRule="auto"/>
        <w:ind w:firstLine="960" w:firstLineChars="400"/>
        <w:rPr>
          <w:rFonts w:ascii="仿宋_GB2312" w:hAnsi="楷体" w:eastAsia="仿宋_GB2312"/>
          <w:sz w:val="24"/>
        </w:rPr>
      </w:pPr>
    </w:p>
    <w:p w14:paraId="785C1B04">
      <w:pPr>
        <w:spacing w:before="120" w:line="360" w:lineRule="auto"/>
        <w:ind w:firstLine="2280" w:firstLineChars="950"/>
        <w:rPr>
          <w:rFonts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14:paraId="5A1D1A2D">
      <w:pPr>
        <w:pStyle w:val="109"/>
        <w:ind w:firstLine="883"/>
        <w:jc w:val="center"/>
        <w:rPr>
          <w:rFonts w:ascii="宋体"/>
          <w:b/>
          <w:bCs/>
          <w:sz w:val="44"/>
        </w:rPr>
      </w:pPr>
    </w:p>
    <w:p w14:paraId="2D401341">
      <w:pPr>
        <w:spacing w:line="360" w:lineRule="auto"/>
        <w:ind w:firstLine="883" w:firstLineChars="200"/>
        <w:rPr>
          <w:rFonts w:ascii="仿宋_GB2312" w:hAnsi="楷体" w:eastAsia="仿宋_GB2312"/>
          <w:sz w:val="24"/>
          <w:u w:val="single"/>
        </w:rPr>
      </w:pPr>
      <w:r>
        <w:rPr>
          <w:rFonts w:hint="eastAsia" w:ascii="宋体"/>
          <w:b/>
          <w:bCs/>
          <w:sz w:val="44"/>
        </w:rPr>
        <w:br w:type="page"/>
      </w:r>
    </w:p>
    <w:p w14:paraId="0CD68D8C">
      <w:pPr>
        <w:snapToGrid w:val="0"/>
        <w:spacing w:line="360" w:lineRule="auto"/>
        <w:jc w:val="center"/>
        <w:rPr>
          <w:rFonts w:ascii="仿宋_GB2312" w:hAnsi="楷体" w:eastAsia="仿宋_GB2312"/>
          <w:b/>
          <w:sz w:val="24"/>
        </w:rPr>
      </w:pPr>
      <w:r>
        <w:rPr>
          <w:rFonts w:hint="eastAsia" w:ascii="仿宋_GB2312" w:hAnsi="楷体" w:eastAsia="仿宋_GB2312"/>
          <w:b/>
          <w:sz w:val="24"/>
        </w:rPr>
        <w:t>合同目录</w:t>
      </w:r>
    </w:p>
    <w:p w14:paraId="79328909">
      <w:pPr>
        <w:snapToGrid w:val="0"/>
        <w:spacing w:line="360" w:lineRule="auto"/>
        <w:jc w:val="center"/>
        <w:rPr>
          <w:rFonts w:ascii="宋体"/>
          <w:b/>
          <w:bCs/>
          <w:sz w:val="44"/>
        </w:rPr>
      </w:pPr>
    </w:p>
    <w:p w14:paraId="3751B8C3">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5106BFF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3A57D04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12CC6BC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6D471A5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4.1中标通知书 ………………………………………………………………（页码）</w:t>
      </w:r>
    </w:p>
    <w:p w14:paraId="0064691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4.2招标文件服务需求一览表 ………………………………………………（页码）</w:t>
      </w:r>
    </w:p>
    <w:p w14:paraId="601747F6">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4.3招标文件的更改通知（如有） …………………………………………（页码）</w:t>
      </w:r>
    </w:p>
    <w:p w14:paraId="0786B8F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4.4投标函 ……………………………………………………………………（页码）</w:t>
      </w:r>
    </w:p>
    <w:p w14:paraId="7E0A310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4.5报价表 ……………………………………………………………………（页码）</w:t>
      </w:r>
    </w:p>
    <w:p w14:paraId="70DBB88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4.6投标服务技术资料表 ……………………………………………………（页码）</w:t>
      </w:r>
    </w:p>
    <w:p w14:paraId="1C399CDB">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0669E4D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4.8中标人澄清函（如有请提供） …………………………………………（页码）</w:t>
      </w:r>
    </w:p>
    <w:p w14:paraId="002FD06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33B5206B">
      <w:pPr>
        <w:snapToGrid w:val="0"/>
        <w:spacing w:line="360" w:lineRule="auto"/>
        <w:rPr>
          <w:rFonts w:ascii="仿宋_GB2312" w:hAnsi="仿宋" w:eastAsia="仿宋_GB2312" w:cs="仿宋_GB2312"/>
          <w:kern w:val="0"/>
          <w:sz w:val="24"/>
        </w:rPr>
      </w:pPr>
    </w:p>
    <w:p w14:paraId="32A81287">
      <w:pPr>
        <w:widowControl/>
        <w:jc w:val="left"/>
        <w:rPr>
          <w:rFonts w:ascii="宋体" w:hAnsi="Courier New"/>
          <w:spacing w:val="-4"/>
          <w:sz w:val="18"/>
          <w:szCs w:val="20"/>
        </w:rPr>
        <w:sectPr>
          <w:footerReference r:id="rId7" w:type="default"/>
          <w:pgSz w:w="11906" w:h="16838"/>
          <w:pgMar w:top="1134" w:right="1134" w:bottom="1134" w:left="1134" w:header="720" w:footer="720" w:gutter="0"/>
          <w:cols w:space="720" w:num="1"/>
          <w:docGrid w:type="lines" w:linePitch="331" w:charSpace="0"/>
        </w:sectPr>
      </w:pPr>
    </w:p>
    <w:p w14:paraId="6711C529">
      <w:pPr>
        <w:autoSpaceDE w:val="0"/>
        <w:autoSpaceDN w:val="0"/>
        <w:adjustRightInd w:val="0"/>
        <w:snapToGrid w:val="0"/>
        <w:spacing w:after="120" w:line="360" w:lineRule="auto"/>
        <w:ind w:left="420" w:leftChars="200" w:firstLine="562" w:firstLineChars="200"/>
        <w:jc w:val="center"/>
        <w:rPr>
          <w:rFonts w:ascii="仿宋_GB2312" w:hAnsi="楷体" w:eastAsia="仿宋_GB2312"/>
          <w:b/>
          <w:sz w:val="28"/>
          <w:szCs w:val="28"/>
        </w:rPr>
      </w:pPr>
      <w:bookmarkStart w:id="69" w:name="_Hlk197517497"/>
      <w:r>
        <w:rPr>
          <w:rFonts w:hint="eastAsia" w:ascii="仿宋_GB2312" w:hAnsi="楷体" w:eastAsia="仿宋_GB2312"/>
          <w:b/>
          <w:sz w:val="28"/>
          <w:szCs w:val="28"/>
        </w:rPr>
        <w:t>第一部分 合同书</w:t>
      </w:r>
    </w:p>
    <w:bookmarkEnd w:id="69"/>
    <w:p w14:paraId="0911DD27">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bookmarkStart w:id="70" w:name="PO_3000001866_PM026_6"/>
      <w:r>
        <w:rPr>
          <w:rFonts w:hint="eastAsia" w:ascii="仿宋_GB2312" w:hAnsi="仿宋" w:eastAsia="仿宋_GB2312"/>
          <w:color w:val="0D0D0D"/>
          <w:sz w:val="24"/>
          <w:u w:val="single"/>
        </w:rPr>
        <w:t>南宁市自然资源局</w:t>
      </w:r>
      <w:bookmarkEnd w:id="70"/>
      <w:r>
        <w:rPr>
          <w:rFonts w:hint="eastAsia" w:ascii="仿宋_GB2312" w:hAnsi="仿宋" w:eastAsia="仿宋_GB2312"/>
          <w:sz w:val="24"/>
        </w:rPr>
        <w:t>以</w:t>
      </w:r>
      <w:r>
        <w:rPr>
          <w:rFonts w:hint="eastAsia" w:ascii="仿宋_GB2312" w:hAnsi="仿宋" w:eastAsia="仿宋_GB2312"/>
          <w:sz w:val="24"/>
          <w:u w:val="single"/>
        </w:rPr>
        <w:t xml:space="preserve"> 公开招标方式 </w:t>
      </w:r>
      <w:r>
        <w:rPr>
          <w:rFonts w:hint="eastAsia" w:ascii="仿宋_GB2312" w:hAnsi="仿宋" w:eastAsia="仿宋_GB2312"/>
          <w:sz w:val="24"/>
        </w:rPr>
        <w:t>对</w:t>
      </w:r>
      <w:r>
        <w:rPr>
          <w:rFonts w:hint="eastAsia" w:ascii="仿宋_GB2312" w:hAnsi="仿宋" w:eastAsia="仿宋_GB2312"/>
          <w:sz w:val="24"/>
          <w:u w:val="single"/>
          <w:lang w:eastAsia="zh-CN"/>
        </w:rPr>
        <w:t>《南宁市中心城区新城片区XC-01（桃源桥北）单元控制性详细规划及城市设计》修编</w:t>
      </w:r>
      <w:r>
        <w:rPr>
          <w:rFonts w:hint="eastAsia" w:ascii="仿宋_GB2312" w:hAnsi="楷体" w:eastAsia="仿宋_GB2312"/>
          <w:sz w:val="24"/>
        </w:rPr>
        <w:t>进行了采购。经</w:t>
      </w:r>
      <w:r>
        <w:rPr>
          <w:rFonts w:hint="eastAsia" w:ascii="仿宋_GB2312" w:hAnsi="楷体" w:eastAsia="仿宋_GB2312"/>
          <w:sz w:val="24"/>
          <w:u w:val="single"/>
        </w:rPr>
        <w:t xml:space="preserve"> 评标委员会 </w:t>
      </w:r>
      <w:r>
        <w:rPr>
          <w:rFonts w:hint="eastAsia" w:ascii="仿宋_GB2312" w:hAnsi="楷体" w:eastAsia="仿宋_GB2312"/>
          <w:sz w:val="24"/>
        </w:rPr>
        <w:t>评定，</w:t>
      </w:r>
      <w:r>
        <w:rPr>
          <w:rFonts w:hint="eastAsia" w:ascii="仿宋_GB2312" w:hAnsi="楷体" w:eastAsia="仿宋_GB2312"/>
          <w:sz w:val="24"/>
          <w:u w:val="single"/>
        </w:rPr>
        <w:t xml:space="preserve">   （中标人名称）</w:t>
      </w:r>
      <w:r>
        <w:rPr>
          <w:rFonts w:hint="eastAsia" w:ascii="仿宋_GB2312" w:hAnsi="楷体" w:eastAsia="仿宋_GB2312"/>
          <w:sz w:val="24"/>
        </w:rPr>
        <w:t>为该项目中标人。现于中标通知书发出之日起</w:t>
      </w:r>
      <w:r>
        <w:rPr>
          <w:rFonts w:hint="eastAsia" w:ascii="仿宋_GB2312" w:hAnsi="楷体" w:eastAsia="仿宋_GB2312"/>
          <w:sz w:val="24"/>
          <w:u w:val="single"/>
        </w:rPr>
        <w:t>25</w:t>
      </w:r>
      <w:r>
        <w:rPr>
          <w:rFonts w:hint="eastAsia" w:ascii="仿宋_GB2312" w:hAnsi="楷体" w:eastAsia="仿宋_GB2312"/>
          <w:sz w:val="24"/>
        </w:rPr>
        <w:t>日内，按照招标文件确定的事项签订本合同。</w:t>
      </w:r>
    </w:p>
    <w:p w14:paraId="79DD919D">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 xml:space="preserve">南宁市自然资源局  </w:t>
      </w:r>
      <w:r>
        <w:rPr>
          <w:rFonts w:hint="eastAsia" w:ascii="仿宋_GB2312" w:hAnsi="楷体" w:eastAsia="仿宋_GB2312"/>
          <w:sz w:val="24"/>
          <w:u w:val="single"/>
        </w:rPr>
        <w:t xml:space="preserve">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（中标人名称）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3B5A6716">
      <w:pPr>
        <w:spacing w:line="360" w:lineRule="auto"/>
        <w:ind w:firstLine="482" w:firstLineChars="200"/>
        <w:rPr>
          <w:rFonts w:ascii="仿宋_GB2312" w:hAnsi="楷体" w:eastAsia="仿宋_GB2312"/>
          <w:b/>
          <w:sz w:val="24"/>
        </w:rPr>
      </w:pPr>
      <w:r>
        <w:rPr>
          <w:rFonts w:hint="eastAsia" w:ascii="仿宋_GB2312" w:hAnsi="楷体" w:eastAsia="仿宋_GB2312"/>
          <w:b/>
          <w:sz w:val="24"/>
        </w:rPr>
        <w:t>1.1 合同组成部分</w:t>
      </w:r>
    </w:p>
    <w:p w14:paraId="475B7A2D">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下列文件为本合同的组成部分，并构成一个整体，需综合解释、相互补充。如果下列文件内容出现不一致的情形，在保证按照招标文件确定的事项的前提下，组成本合同的多个文件的优先适用顺序如下：</w:t>
      </w:r>
    </w:p>
    <w:p w14:paraId="098405CB">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14:paraId="4885170F">
      <w:pPr>
        <w:spacing w:line="360" w:lineRule="auto"/>
        <w:ind w:firstLine="480" w:firstLineChars="200"/>
        <w:rPr>
          <w:rFonts w:ascii="仿宋_GB2312" w:hAnsi="楷体" w:eastAsia="仿宋_GB2312"/>
          <w:sz w:val="24"/>
        </w:rPr>
      </w:pPr>
      <w:r>
        <w:rPr>
          <w:rFonts w:hint="eastAsia" w:ascii="仿宋_GB2312" w:hAnsi="楷体" w:eastAsia="仿宋_GB2312"/>
          <w:sz w:val="24"/>
        </w:rPr>
        <w:t>1.1.2 中标通知书；</w:t>
      </w:r>
    </w:p>
    <w:p w14:paraId="77725F47">
      <w:pPr>
        <w:spacing w:line="360" w:lineRule="auto"/>
        <w:ind w:firstLine="480" w:firstLineChars="200"/>
        <w:rPr>
          <w:rFonts w:ascii="仿宋_GB2312" w:hAnsi="楷体" w:eastAsia="仿宋_GB2312"/>
          <w:sz w:val="24"/>
        </w:rPr>
      </w:pPr>
      <w:r>
        <w:rPr>
          <w:rFonts w:hint="eastAsia" w:ascii="仿宋_GB2312" w:hAnsi="楷体" w:eastAsia="仿宋_GB2312"/>
          <w:sz w:val="24"/>
        </w:rPr>
        <w:t>1.1.3 投标文件及“投标报价”（含澄清或者说明文件）；</w:t>
      </w:r>
    </w:p>
    <w:p w14:paraId="3E7B86FB">
      <w:pPr>
        <w:spacing w:line="360" w:lineRule="auto"/>
        <w:ind w:firstLine="480" w:firstLineChars="200"/>
        <w:rPr>
          <w:rFonts w:ascii="仿宋_GB2312" w:hAnsi="楷体" w:eastAsia="仿宋_GB2312"/>
          <w:sz w:val="24"/>
        </w:rPr>
      </w:pPr>
      <w:r>
        <w:rPr>
          <w:rFonts w:hint="eastAsia" w:ascii="仿宋_GB2312" w:hAnsi="楷体" w:eastAsia="仿宋_GB2312"/>
          <w:sz w:val="24"/>
        </w:rPr>
        <w:t>1.1.4 招标文件（含澄清或者修改文件）；</w:t>
      </w:r>
    </w:p>
    <w:p w14:paraId="02FBCCF2">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其他相关招标文件。</w:t>
      </w:r>
    </w:p>
    <w:p w14:paraId="2D510350">
      <w:pPr>
        <w:spacing w:line="360" w:lineRule="auto"/>
        <w:ind w:firstLine="482" w:firstLineChars="200"/>
        <w:rPr>
          <w:rFonts w:ascii="仿宋_GB2312" w:hAnsi="楷体" w:eastAsia="仿宋_GB2312"/>
          <w:b/>
          <w:sz w:val="24"/>
        </w:rPr>
      </w:pPr>
      <w:r>
        <w:rPr>
          <w:rFonts w:hint="eastAsia" w:ascii="仿宋_GB2312" w:hAnsi="楷体" w:eastAsia="仿宋_GB2312"/>
          <w:b/>
          <w:sz w:val="24"/>
        </w:rPr>
        <w:t>1.2 标的物</w:t>
      </w:r>
    </w:p>
    <w:p w14:paraId="21139ABD">
      <w:pPr>
        <w:spacing w:line="360" w:lineRule="auto"/>
        <w:ind w:firstLine="480" w:firstLineChars="200"/>
        <w:rPr>
          <w:rFonts w:ascii="仿宋_GB2312" w:hAnsi="楷体" w:eastAsia="仿宋_GB2312"/>
          <w:sz w:val="24"/>
        </w:rPr>
      </w:pPr>
      <w:r>
        <w:rPr>
          <w:rFonts w:hint="eastAsia" w:ascii="仿宋_GB2312" w:hAnsi="楷体" w:eastAsia="仿宋_GB2312"/>
          <w:sz w:val="24"/>
        </w:rPr>
        <w:t>1.2.1 标的物1信息</w:t>
      </w:r>
    </w:p>
    <w:p w14:paraId="52B99AF3">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lang w:val="en-US" w:eastAsia="zh-CN"/>
        </w:rPr>
        <w:t xml:space="preserve">         </w:t>
      </w:r>
      <w:r>
        <w:rPr>
          <w:rFonts w:hint="eastAsia" w:ascii="仿宋_GB2312" w:hAnsi="楷体" w:eastAsia="仿宋_GB2312"/>
          <w:sz w:val="24"/>
          <w:u w:val="single"/>
        </w:rPr>
        <w:t xml:space="preserve"> </w:t>
      </w:r>
      <w:r>
        <w:rPr>
          <w:rFonts w:hint="eastAsia" w:ascii="仿宋_GB2312" w:hAnsi="楷体" w:eastAsia="仿宋_GB2312"/>
          <w:sz w:val="24"/>
        </w:rPr>
        <w:t>；</w:t>
      </w:r>
    </w:p>
    <w:p w14:paraId="7AC8678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1.2.1.2数量：</w:t>
      </w:r>
      <w:r>
        <w:rPr>
          <w:rFonts w:hint="eastAsia" w:ascii="仿宋_GB2312" w:hAnsi="楷体" w:eastAsia="仿宋_GB2312"/>
          <w:sz w:val="24"/>
          <w:u w:val="single"/>
        </w:rPr>
        <w:t xml:space="preserve">   </w:t>
      </w:r>
      <w:r>
        <w:rPr>
          <w:rFonts w:hint="eastAsia" w:ascii="仿宋_GB2312" w:hAnsi="楷体" w:eastAsia="仿宋_GB2312"/>
          <w:sz w:val="24"/>
          <w:u w:val="single"/>
          <w:lang w:val="en-US" w:eastAsia="zh-CN"/>
        </w:rPr>
        <w:t xml:space="preserve">   </w:t>
      </w:r>
      <w:r>
        <w:rPr>
          <w:rFonts w:hint="eastAsia" w:ascii="仿宋_GB2312" w:hAnsi="楷体" w:eastAsia="仿宋_GB2312"/>
          <w:sz w:val="24"/>
          <w:u w:val="single"/>
        </w:rPr>
        <w:t xml:space="preserve">    </w:t>
      </w:r>
      <w:r>
        <w:rPr>
          <w:rFonts w:hint="eastAsia" w:ascii="仿宋_GB2312" w:hAnsi="楷体" w:eastAsia="仿宋_GB2312"/>
          <w:sz w:val="24"/>
        </w:rPr>
        <w:t>；</w:t>
      </w:r>
    </w:p>
    <w:p w14:paraId="28836762">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1.2.1.3质量：</w:t>
      </w:r>
      <w:r>
        <w:rPr>
          <w:rFonts w:hint="eastAsia" w:ascii="仿宋_GB2312" w:hAnsi="楷体" w:eastAsia="仿宋_GB2312"/>
          <w:color w:val="0D0D0D"/>
          <w:sz w:val="24"/>
          <w:u w:val="single"/>
        </w:rPr>
        <w:t xml:space="preserve">　        </w:t>
      </w:r>
      <w:r>
        <w:rPr>
          <w:rFonts w:hint="eastAsia" w:ascii="仿宋_GB2312" w:hAnsi="楷体" w:eastAsia="仿宋_GB2312"/>
          <w:color w:val="0D0D0D"/>
          <w:sz w:val="24"/>
        </w:rPr>
        <w:t>。</w:t>
      </w:r>
    </w:p>
    <w:p w14:paraId="5B0AC896">
      <w:pPr>
        <w:spacing w:line="360" w:lineRule="auto"/>
        <w:ind w:firstLine="480" w:firstLineChars="200"/>
        <w:rPr>
          <w:rFonts w:hint="eastAsia" w:ascii="仿宋_GB2312" w:hAnsi="楷体" w:eastAsia="仿宋_GB2312"/>
          <w:sz w:val="24"/>
        </w:rPr>
      </w:pPr>
      <w:r>
        <w:rPr>
          <w:rFonts w:hint="eastAsia" w:ascii="仿宋_GB2312" w:hAnsi="楷体" w:eastAsia="仿宋_GB2312"/>
          <w:color w:val="0D0D0D"/>
          <w:sz w:val="24"/>
        </w:rPr>
        <w:t>……</w:t>
      </w:r>
    </w:p>
    <w:p w14:paraId="0A6DB0E7">
      <w:pPr>
        <w:spacing w:line="360" w:lineRule="auto"/>
        <w:ind w:firstLine="482" w:firstLineChars="200"/>
        <w:rPr>
          <w:rFonts w:ascii="仿宋_GB2312" w:hAnsi="楷体" w:eastAsia="仿宋_GB2312"/>
          <w:b/>
          <w:sz w:val="24"/>
        </w:rPr>
      </w:pPr>
      <w:r>
        <w:rPr>
          <w:rFonts w:hint="eastAsia" w:ascii="仿宋_GB2312" w:hAnsi="楷体" w:eastAsia="仿宋_GB2312"/>
          <w:b/>
          <w:sz w:val="24"/>
        </w:rPr>
        <w:t>1.3 价款</w:t>
      </w:r>
    </w:p>
    <w:p w14:paraId="34B509E4">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元人民币，含税）。</w:t>
      </w:r>
    </w:p>
    <w:p w14:paraId="2939239F">
      <w:pPr>
        <w:spacing w:line="360" w:lineRule="auto"/>
        <w:ind w:firstLine="480" w:firstLineChars="200"/>
        <w:rPr>
          <w:rFonts w:ascii="仿宋" w:hAnsi="仿宋" w:eastAsia="仿宋" w:cs="仿宋"/>
          <w:sz w:val="24"/>
        </w:rPr>
      </w:pPr>
      <w:r>
        <w:rPr>
          <w:rFonts w:hint="eastAsia" w:ascii="仿宋" w:hAnsi="仿宋" w:eastAsia="仿宋" w:cs="仿宋"/>
          <w:sz w:val="24"/>
          <w:lang w:bidi="ar"/>
        </w:rPr>
        <w:t>其中增值税税款为</w:t>
      </w:r>
      <w:r>
        <w:rPr>
          <w:rFonts w:hint="eastAsia" w:ascii="仿宋" w:hAnsi="仿宋" w:eastAsia="仿宋" w:cs="仿宋"/>
          <w:sz w:val="24"/>
          <w:u w:val="single"/>
          <w:lang w:bidi="ar"/>
        </w:rPr>
        <w:t xml:space="preserve">                        </w:t>
      </w:r>
      <w:r>
        <w:rPr>
          <w:rFonts w:hint="eastAsia" w:ascii="仿宋" w:hAnsi="仿宋" w:eastAsia="仿宋" w:cs="仿宋"/>
          <w:sz w:val="24"/>
          <w:lang w:bidi="ar"/>
        </w:rPr>
        <w:t>元。如国家税收政策变化，导致增值税税率调整的，则按照调整后的税率开具增值税发票。</w:t>
      </w:r>
    </w:p>
    <w:p w14:paraId="47959051">
      <w:pPr>
        <w:spacing w:line="360" w:lineRule="auto"/>
        <w:ind w:firstLine="480" w:firstLineChars="200"/>
        <w:rPr>
          <w:rFonts w:ascii="仿宋" w:hAnsi="仿宋" w:eastAsia="仿宋" w:cs="仿宋"/>
          <w:color w:val="FF0000"/>
          <w:sz w:val="24"/>
          <w:lang w:bidi="ar"/>
        </w:rPr>
      </w:pPr>
      <w:r>
        <w:rPr>
          <w:rFonts w:hint="eastAsia" w:ascii="仿宋" w:hAnsi="仿宋" w:eastAsia="仿宋" w:cs="仿宋"/>
          <w:sz w:val="24"/>
          <w:lang w:bidi="ar"/>
        </w:rPr>
        <w:t>（增值税税款金额由中标人根据本公司实际情况填写）</w:t>
      </w:r>
    </w:p>
    <w:p w14:paraId="1681B452">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35"/>
        <w:tblW w:w="8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4440"/>
        <w:gridCol w:w="2341"/>
      </w:tblGrid>
      <w:tr w14:paraId="527E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13A68B53">
            <w:pPr>
              <w:spacing w:line="360" w:lineRule="auto"/>
              <w:ind w:firstLine="480" w:firstLineChars="200"/>
              <w:rPr>
                <w:rFonts w:ascii="仿宋_GB2312" w:hAnsi="楷体" w:eastAsia="仿宋_GB2312"/>
                <w:sz w:val="24"/>
              </w:rPr>
            </w:pPr>
            <w:r>
              <w:rPr>
                <w:rFonts w:hint="eastAsia" w:ascii="仿宋_GB2312" w:hAnsi="楷体" w:eastAsia="仿宋_GB2312"/>
                <w:sz w:val="24"/>
              </w:rPr>
              <w:t>序号</w:t>
            </w:r>
          </w:p>
        </w:tc>
        <w:tc>
          <w:tcPr>
            <w:tcW w:w="4440" w:type="dxa"/>
            <w:tcBorders>
              <w:top w:val="single" w:color="auto" w:sz="4" w:space="0"/>
              <w:left w:val="single" w:color="auto" w:sz="4" w:space="0"/>
              <w:bottom w:val="single" w:color="auto" w:sz="4" w:space="0"/>
              <w:right w:val="single" w:color="auto" w:sz="4" w:space="0"/>
            </w:tcBorders>
            <w:vAlign w:val="center"/>
          </w:tcPr>
          <w:p w14:paraId="6E8DDD80">
            <w:pPr>
              <w:spacing w:line="360" w:lineRule="auto"/>
              <w:ind w:firstLine="480" w:firstLineChars="200"/>
              <w:rPr>
                <w:rFonts w:ascii="仿宋_GB2312" w:hAnsi="楷体" w:eastAsia="仿宋_GB2312"/>
                <w:sz w:val="24"/>
              </w:rPr>
            </w:pPr>
            <w:r>
              <w:rPr>
                <w:rFonts w:hint="eastAsia" w:ascii="仿宋_GB2312" w:hAnsi="楷体" w:eastAsia="仿宋_GB2312"/>
                <w:sz w:val="24"/>
              </w:rPr>
              <w:t>分项名称</w:t>
            </w:r>
          </w:p>
        </w:tc>
        <w:tc>
          <w:tcPr>
            <w:tcW w:w="2341" w:type="dxa"/>
            <w:tcBorders>
              <w:top w:val="single" w:color="auto" w:sz="4" w:space="0"/>
              <w:left w:val="single" w:color="auto" w:sz="4" w:space="0"/>
              <w:bottom w:val="single" w:color="auto" w:sz="4" w:space="0"/>
              <w:right w:val="single" w:color="auto" w:sz="4" w:space="0"/>
            </w:tcBorders>
            <w:vAlign w:val="center"/>
          </w:tcPr>
          <w:p w14:paraId="6D34F749">
            <w:pPr>
              <w:spacing w:line="360" w:lineRule="auto"/>
              <w:ind w:firstLine="480" w:firstLineChars="200"/>
              <w:rPr>
                <w:rFonts w:ascii="仿宋_GB2312" w:hAnsi="楷体" w:eastAsia="仿宋_GB2312"/>
                <w:sz w:val="24"/>
              </w:rPr>
            </w:pPr>
            <w:r>
              <w:rPr>
                <w:rFonts w:hint="eastAsia" w:ascii="仿宋_GB2312" w:hAnsi="楷体" w:eastAsia="仿宋_GB2312"/>
                <w:sz w:val="24"/>
              </w:rPr>
              <w:t>分项价格</w:t>
            </w:r>
          </w:p>
        </w:tc>
      </w:tr>
      <w:tr w14:paraId="3369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3FAEEEB7">
            <w:pPr>
              <w:spacing w:line="360" w:lineRule="auto"/>
              <w:ind w:firstLine="480" w:firstLineChars="200"/>
              <w:rPr>
                <w:rFonts w:ascii="仿宋_GB2312" w:hAnsi="楷体" w:eastAsia="仿宋_GB2312"/>
                <w:sz w:val="24"/>
              </w:rPr>
            </w:pPr>
            <w:r>
              <w:rPr>
                <w:rFonts w:hint="eastAsia" w:ascii="仿宋_GB2312" w:hAnsi="楷体" w:eastAsia="仿宋_GB2312"/>
                <w:sz w:val="24"/>
              </w:rPr>
              <w:t>1</w:t>
            </w:r>
          </w:p>
        </w:tc>
        <w:tc>
          <w:tcPr>
            <w:tcW w:w="4440" w:type="dxa"/>
            <w:tcBorders>
              <w:top w:val="single" w:color="auto" w:sz="4" w:space="0"/>
              <w:left w:val="single" w:color="auto" w:sz="4" w:space="0"/>
              <w:bottom w:val="single" w:color="auto" w:sz="4" w:space="0"/>
              <w:right w:val="single" w:color="auto" w:sz="4" w:space="0"/>
            </w:tcBorders>
            <w:vAlign w:val="center"/>
          </w:tcPr>
          <w:p w14:paraId="0ADC1B9F">
            <w:pPr>
              <w:spacing w:line="360" w:lineRule="auto"/>
              <w:rPr>
                <w:rFonts w:ascii="仿宋_GB2312" w:hAnsi="楷体" w:eastAsia="仿宋_GB2312"/>
                <w:sz w:val="24"/>
              </w:rPr>
            </w:pPr>
          </w:p>
        </w:tc>
        <w:tc>
          <w:tcPr>
            <w:tcW w:w="2341" w:type="dxa"/>
            <w:tcBorders>
              <w:top w:val="single" w:color="auto" w:sz="4" w:space="0"/>
              <w:left w:val="single" w:color="auto" w:sz="4" w:space="0"/>
              <w:bottom w:val="single" w:color="auto" w:sz="4" w:space="0"/>
              <w:right w:val="single" w:color="auto" w:sz="4" w:space="0"/>
            </w:tcBorders>
            <w:vAlign w:val="center"/>
          </w:tcPr>
          <w:p w14:paraId="18B60E22">
            <w:pPr>
              <w:spacing w:line="360" w:lineRule="auto"/>
              <w:ind w:firstLine="480" w:firstLineChars="200"/>
              <w:rPr>
                <w:rFonts w:ascii="仿宋_GB2312" w:hAnsi="楷体" w:eastAsia="仿宋_GB2312"/>
                <w:sz w:val="24"/>
              </w:rPr>
            </w:pPr>
          </w:p>
        </w:tc>
      </w:tr>
      <w:tr w14:paraId="4B78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7" w:type="dxa"/>
            <w:tcBorders>
              <w:top w:val="single" w:color="auto" w:sz="4" w:space="0"/>
              <w:left w:val="single" w:color="auto" w:sz="4" w:space="0"/>
              <w:bottom w:val="single" w:color="auto" w:sz="4" w:space="0"/>
              <w:right w:val="single" w:color="auto" w:sz="4" w:space="0"/>
            </w:tcBorders>
            <w:vAlign w:val="center"/>
          </w:tcPr>
          <w:p w14:paraId="7594457E">
            <w:pPr>
              <w:spacing w:line="360" w:lineRule="auto"/>
              <w:ind w:firstLine="480" w:firstLineChars="200"/>
              <w:rPr>
                <w:rFonts w:ascii="仿宋_GB2312" w:hAnsi="楷体" w:eastAsia="仿宋_GB2312"/>
                <w:sz w:val="24"/>
              </w:rPr>
            </w:pPr>
            <w:r>
              <w:rPr>
                <w:rFonts w:hint="eastAsia" w:ascii="仿宋_GB2312" w:hAnsi="楷体" w:eastAsia="仿宋_GB2312"/>
                <w:sz w:val="24"/>
              </w:rPr>
              <w:t>2</w:t>
            </w:r>
          </w:p>
        </w:tc>
        <w:tc>
          <w:tcPr>
            <w:tcW w:w="4440" w:type="dxa"/>
            <w:tcBorders>
              <w:top w:val="single" w:color="auto" w:sz="4" w:space="0"/>
              <w:left w:val="single" w:color="auto" w:sz="4" w:space="0"/>
              <w:bottom w:val="single" w:color="auto" w:sz="4" w:space="0"/>
              <w:right w:val="single" w:color="auto" w:sz="4" w:space="0"/>
            </w:tcBorders>
            <w:vAlign w:val="center"/>
          </w:tcPr>
          <w:p w14:paraId="7EA379BA">
            <w:pPr>
              <w:spacing w:line="360" w:lineRule="auto"/>
              <w:rPr>
                <w:rFonts w:ascii="仿宋_GB2312" w:hAnsi="楷体" w:eastAsia="仿宋_GB2312"/>
                <w:sz w:val="24"/>
              </w:rPr>
            </w:pPr>
          </w:p>
        </w:tc>
        <w:tc>
          <w:tcPr>
            <w:tcW w:w="2341" w:type="dxa"/>
            <w:tcBorders>
              <w:top w:val="single" w:color="auto" w:sz="4" w:space="0"/>
              <w:left w:val="single" w:color="auto" w:sz="4" w:space="0"/>
              <w:bottom w:val="single" w:color="auto" w:sz="4" w:space="0"/>
              <w:right w:val="single" w:color="auto" w:sz="4" w:space="0"/>
            </w:tcBorders>
            <w:vAlign w:val="center"/>
          </w:tcPr>
          <w:p w14:paraId="34433336">
            <w:pPr>
              <w:spacing w:line="360" w:lineRule="auto"/>
              <w:ind w:firstLine="480" w:firstLineChars="200"/>
              <w:rPr>
                <w:rFonts w:ascii="仿宋_GB2312" w:hAnsi="楷体" w:eastAsia="仿宋_GB2312"/>
                <w:sz w:val="24"/>
              </w:rPr>
            </w:pPr>
          </w:p>
        </w:tc>
      </w:tr>
      <w:tr w14:paraId="2116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07" w:type="dxa"/>
            <w:gridSpan w:val="2"/>
            <w:tcBorders>
              <w:top w:val="single" w:color="auto" w:sz="4" w:space="0"/>
              <w:left w:val="single" w:color="auto" w:sz="4" w:space="0"/>
              <w:bottom w:val="single" w:color="auto" w:sz="4" w:space="0"/>
              <w:right w:val="single" w:color="auto" w:sz="4" w:space="0"/>
            </w:tcBorders>
            <w:vAlign w:val="center"/>
          </w:tcPr>
          <w:p w14:paraId="58E37748">
            <w:pPr>
              <w:spacing w:line="360" w:lineRule="auto"/>
              <w:ind w:firstLine="480" w:firstLineChars="200"/>
              <w:rPr>
                <w:rFonts w:ascii="仿宋_GB2312" w:hAnsi="楷体" w:eastAsia="仿宋_GB2312"/>
                <w:sz w:val="24"/>
              </w:rPr>
            </w:pPr>
            <w:r>
              <w:rPr>
                <w:rFonts w:hint="eastAsia" w:ascii="仿宋_GB2312" w:hAnsi="楷体" w:eastAsia="仿宋_GB2312"/>
                <w:sz w:val="24"/>
              </w:rPr>
              <w:t>总价</w:t>
            </w:r>
          </w:p>
        </w:tc>
        <w:tc>
          <w:tcPr>
            <w:tcW w:w="2341" w:type="dxa"/>
            <w:tcBorders>
              <w:top w:val="single" w:color="auto" w:sz="4" w:space="0"/>
              <w:left w:val="single" w:color="auto" w:sz="4" w:space="0"/>
              <w:bottom w:val="single" w:color="auto" w:sz="4" w:space="0"/>
              <w:right w:val="single" w:color="auto" w:sz="4" w:space="0"/>
            </w:tcBorders>
            <w:vAlign w:val="center"/>
          </w:tcPr>
          <w:p w14:paraId="0144346C">
            <w:pPr>
              <w:spacing w:line="360" w:lineRule="auto"/>
              <w:ind w:firstLine="480" w:firstLineChars="200"/>
              <w:rPr>
                <w:rFonts w:ascii="仿宋_GB2312" w:hAnsi="楷体" w:eastAsia="仿宋_GB2312"/>
                <w:sz w:val="24"/>
              </w:rPr>
            </w:pPr>
          </w:p>
        </w:tc>
      </w:tr>
    </w:tbl>
    <w:p w14:paraId="6371489D">
      <w:pPr>
        <w:spacing w:line="360" w:lineRule="auto"/>
        <w:ind w:firstLine="482" w:firstLineChars="200"/>
        <w:rPr>
          <w:rFonts w:ascii="仿宋_GB2312" w:hAnsi="楷体" w:eastAsia="仿宋_GB2312"/>
          <w:b/>
          <w:sz w:val="24"/>
        </w:rPr>
      </w:pPr>
      <w:r>
        <w:rPr>
          <w:rFonts w:hint="eastAsia" w:ascii="仿宋_GB2312" w:hAnsi="楷体" w:eastAsia="仿宋_GB2312"/>
          <w:b/>
          <w:sz w:val="24"/>
        </w:rPr>
        <w:t>1.4 付款方式和发票开具方式</w:t>
      </w:r>
    </w:p>
    <w:p w14:paraId="3C19896B">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1.4.1 付款方式：本项目无预付款，按项目进度分四次支付合同款，具体如下：</w:t>
      </w:r>
    </w:p>
    <w:p w14:paraId="43C88DCA">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第一次付款：提交规划中期成果，通过中期成果评审会审查，经</w:t>
      </w:r>
      <w:r>
        <w:rPr>
          <w:rFonts w:hint="eastAsia" w:ascii="仿宋_GB2312" w:hAnsi="楷体" w:eastAsia="仿宋_GB2312"/>
          <w:color w:val="0D0D0D"/>
          <w:sz w:val="24"/>
          <w:lang w:val="en-US" w:eastAsia="zh-CN"/>
        </w:rPr>
        <w:t>甲方</w:t>
      </w:r>
      <w:r>
        <w:rPr>
          <w:rFonts w:hint="eastAsia" w:ascii="仿宋_GB2312" w:hAnsi="楷体" w:eastAsia="仿宋_GB2312"/>
          <w:color w:val="0D0D0D"/>
          <w:sz w:val="24"/>
        </w:rPr>
        <w:t>确认，付合同款的40%；</w:t>
      </w:r>
    </w:p>
    <w:p w14:paraId="35C2AC7D">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第二次付款：提交规划成果，通过南宁市城市规划和自然资源专项委员会审查，经</w:t>
      </w:r>
      <w:r>
        <w:rPr>
          <w:rFonts w:hint="eastAsia" w:ascii="仿宋_GB2312" w:hAnsi="楷体" w:eastAsia="仿宋_GB2312"/>
          <w:color w:val="0D0D0D"/>
          <w:sz w:val="24"/>
          <w:lang w:val="en-US" w:eastAsia="zh-CN"/>
        </w:rPr>
        <w:t>甲方</w:t>
      </w:r>
      <w:r>
        <w:rPr>
          <w:rFonts w:hint="eastAsia" w:ascii="仿宋_GB2312" w:hAnsi="楷体" w:eastAsia="仿宋_GB2312"/>
          <w:color w:val="0D0D0D"/>
          <w:sz w:val="24"/>
        </w:rPr>
        <w:t>确认，付合同款的30%；</w:t>
      </w:r>
    </w:p>
    <w:p w14:paraId="34F21CF7">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第三次付款：获得市人民政府批复并提交最终成果，经</w:t>
      </w:r>
      <w:r>
        <w:rPr>
          <w:rFonts w:hint="eastAsia" w:ascii="仿宋_GB2312" w:hAnsi="楷体" w:eastAsia="仿宋_GB2312"/>
          <w:color w:val="0D0D0D"/>
          <w:sz w:val="24"/>
          <w:lang w:val="en-US" w:eastAsia="zh-CN"/>
        </w:rPr>
        <w:t>甲方</w:t>
      </w:r>
      <w:r>
        <w:rPr>
          <w:rFonts w:hint="eastAsia" w:ascii="仿宋_GB2312" w:hAnsi="楷体" w:eastAsia="仿宋_GB2312"/>
          <w:color w:val="0D0D0D"/>
          <w:sz w:val="24"/>
        </w:rPr>
        <w:t>确认，付合同款的20%。</w:t>
      </w:r>
    </w:p>
    <w:p w14:paraId="31F54B6B">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第四次付款：规划成果使用中未发现有重大错误，获得市人民政府批复满1年后，经</w:t>
      </w:r>
      <w:r>
        <w:rPr>
          <w:rFonts w:hint="eastAsia" w:ascii="仿宋_GB2312" w:hAnsi="楷体" w:eastAsia="仿宋_GB2312"/>
          <w:color w:val="0D0D0D"/>
          <w:sz w:val="24"/>
          <w:lang w:val="en-US" w:eastAsia="zh-CN"/>
        </w:rPr>
        <w:t>甲方</w:t>
      </w:r>
      <w:r>
        <w:rPr>
          <w:rFonts w:hint="eastAsia" w:ascii="仿宋_GB2312" w:hAnsi="楷体" w:eastAsia="仿宋_GB2312"/>
          <w:color w:val="0D0D0D"/>
          <w:sz w:val="24"/>
        </w:rPr>
        <w:t>确认，付合同款的10%。</w:t>
      </w:r>
    </w:p>
    <w:p w14:paraId="2DD1B6D4">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注：具体付费事宜，以最终合同确定为准。；</w:t>
      </w:r>
    </w:p>
    <w:p w14:paraId="753F40F0">
      <w:pPr>
        <w:spacing w:line="360" w:lineRule="auto"/>
        <w:ind w:firstLine="480" w:firstLineChars="200"/>
        <w:rPr>
          <w:rFonts w:ascii="仿宋_GB2312" w:hAnsi="楷体" w:eastAsia="仿宋_GB2312"/>
          <w:sz w:val="24"/>
        </w:rPr>
      </w:pPr>
      <w:r>
        <w:rPr>
          <w:rFonts w:hint="eastAsia" w:ascii="仿宋_GB2312" w:hAnsi="楷体" w:eastAsia="仿宋_GB2312"/>
          <w:color w:val="0D0D0D"/>
          <w:sz w:val="24"/>
        </w:rPr>
        <w:t>1.4.2 发票开具方式：</w:t>
      </w:r>
      <w:r>
        <w:rPr>
          <w:rFonts w:hint="eastAsia" w:ascii="仿宋_GB2312" w:hAnsi="楷体" w:eastAsia="仿宋_GB2312"/>
          <w:color w:val="0D0D0D"/>
          <w:sz w:val="24"/>
          <w:u w:val="single"/>
        </w:rPr>
        <w:t xml:space="preserve">                                            </w:t>
      </w:r>
      <w:r>
        <w:rPr>
          <w:rFonts w:hint="eastAsia" w:ascii="仿宋_GB2312" w:hAnsi="楷体" w:eastAsia="仿宋_GB2312"/>
          <w:color w:val="0D0D0D"/>
          <w:sz w:val="24"/>
        </w:rPr>
        <w:t>。</w:t>
      </w:r>
    </w:p>
    <w:p w14:paraId="41AF1511">
      <w:pPr>
        <w:spacing w:line="360" w:lineRule="auto"/>
        <w:ind w:firstLine="482" w:firstLineChars="200"/>
        <w:rPr>
          <w:rFonts w:ascii="仿宋_GB2312" w:hAnsi="楷体" w:eastAsia="仿宋_GB2312"/>
          <w:b/>
          <w:sz w:val="24"/>
        </w:rPr>
      </w:pPr>
      <w:r>
        <w:rPr>
          <w:rFonts w:hint="eastAsia" w:ascii="仿宋_GB2312" w:hAnsi="楷体" w:eastAsia="仿宋_GB2312"/>
          <w:b/>
          <w:sz w:val="24"/>
        </w:rPr>
        <w:t>1.5 服务期限、地点</w:t>
      </w:r>
    </w:p>
    <w:p w14:paraId="1192B6CC">
      <w:pPr>
        <w:spacing w:line="360" w:lineRule="auto"/>
        <w:ind w:firstLine="480" w:firstLineChars="200"/>
        <w:rPr>
          <w:rFonts w:hint="eastAsia" w:ascii="仿宋_GB2312" w:hAnsi="楷体" w:eastAsia="仿宋_GB2312"/>
          <w:color w:val="0D0D0D"/>
          <w:sz w:val="24"/>
          <w:u w:val="single"/>
        </w:rPr>
      </w:pPr>
      <w:r>
        <w:rPr>
          <w:rFonts w:hint="eastAsia" w:ascii="仿宋_GB2312" w:hAnsi="楷体" w:eastAsia="仿宋_GB2312"/>
          <w:color w:val="0D0D0D"/>
          <w:sz w:val="24"/>
        </w:rPr>
        <w:t>1.5.1 交付期限：</w:t>
      </w:r>
      <w:r>
        <w:rPr>
          <w:rFonts w:hint="eastAsia" w:ascii="仿宋_GB2312" w:hAnsi="楷体" w:eastAsia="仿宋_GB2312"/>
          <w:color w:val="0D0D0D"/>
          <w:sz w:val="24"/>
          <w:u w:val="single"/>
        </w:rPr>
        <w:t xml:space="preserve">                                                 ；</w:t>
      </w:r>
    </w:p>
    <w:p w14:paraId="0FA9F1FB">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1.5.2 交付地点：</w:t>
      </w:r>
      <w:r>
        <w:rPr>
          <w:rFonts w:hint="eastAsia" w:ascii="仿宋_GB2312" w:hAnsi="楷体" w:eastAsia="仿宋_GB2312"/>
          <w:color w:val="0D0D0D"/>
          <w:sz w:val="24"/>
          <w:u w:val="single"/>
        </w:rPr>
        <w:t xml:space="preserve">                                                </w:t>
      </w:r>
      <w:r>
        <w:rPr>
          <w:rFonts w:hint="eastAsia" w:ascii="仿宋_GB2312" w:hAnsi="楷体" w:eastAsia="仿宋_GB2312"/>
          <w:color w:val="0D0D0D"/>
          <w:sz w:val="24"/>
        </w:rPr>
        <w:t>；</w:t>
      </w:r>
    </w:p>
    <w:p w14:paraId="799F0776">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1.5.3 交付方式：</w:t>
      </w:r>
      <w:r>
        <w:rPr>
          <w:rFonts w:hint="eastAsia" w:ascii="仿宋_GB2312" w:hAnsi="楷体" w:eastAsia="仿宋_GB2312"/>
          <w:color w:val="0D0D0D"/>
          <w:sz w:val="24"/>
          <w:u w:val="single"/>
        </w:rPr>
        <w:t xml:space="preserve">                                        　      </w:t>
      </w:r>
      <w:r>
        <w:rPr>
          <w:rFonts w:hint="eastAsia" w:ascii="仿宋_GB2312" w:hAnsi="楷体" w:eastAsia="仿宋_GB2312"/>
          <w:color w:val="0D0D0D"/>
          <w:sz w:val="24"/>
        </w:rPr>
        <w:t>；</w:t>
      </w:r>
    </w:p>
    <w:p w14:paraId="555B5035">
      <w:pPr>
        <w:spacing w:line="360" w:lineRule="auto"/>
        <w:ind w:firstLine="480" w:firstLineChars="200"/>
        <w:rPr>
          <w:rFonts w:hint="eastAsia" w:ascii="仿宋_GB2312" w:hAnsi="楷体" w:eastAsia="仿宋_GB2312"/>
          <w:color w:val="0D0D0D"/>
          <w:sz w:val="24"/>
        </w:rPr>
      </w:pPr>
      <w:r>
        <w:rPr>
          <w:rFonts w:hint="eastAsia" w:ascii="仿宋_GB2312" w:hAnsi="楷体" w:eastAsia="仿宋_GB2312"/>
          <w:color w:val="0D0D0D"/>
          <w:sz w:val="24"/>
        </w:rPr>
        <w:t>1.5.4 服务及质保期限：</w:t>
      </w:r>
      <w:r>
        <w:rPr>
          <w:rFonts w:hint="eastAsia" w:ascii="仿宋_GB2312" w:hAnsi="楷体" w:eastAsia="仿宋_GB2312"/>
          <w:color w:val="0D0D0D"/>
          <w:sz w:val="24"/>
          <w:u w:val="single"/>
        </w:rPr>
        <w:t xml:space="preserve">                                           </w:t>
      </w:r>
      <w:r>
        <w:rPr>
          <w:rFonts w:hint="eastAsia" w:ascii="仿宋_GB2312" w:hAnsi="楷体" w:eastAsia="仿宋_GB2312"/>
          <w:color w:val="0D0D0D"/>
          <w:sz w:val="24"/>
        </w:rPr>
        <w:t>。</w:t>
      </w:r>
    </w:p>
    <w:p w14:paraId="63F37E31">
      <w:pPr>
        <w:spacing w:line="360" w:lineRule="auto"/>
        <w:ind w:firstLine="482" w:firstLineChars="200"/>
        <w:rPr>
          <w:rFonts w:ascii="仿宋_GB2312" w:hAnsi="楷体" w:eastAsia="仿宋_GB2312"/>
          <w:b/>
          <w:sz w:val="24"/>
        </w:rPr>
      </w:pPr>
      <w:r>
        <w:rPr>
          <w:rFonts w:hint="eastAsia" w:ascii="仿宋_GB2312" w:hAnsi="楷体" w:eastAsia="仿宋_GB2312"/>
          <w:b/>
          <w:sz w:val="24"/>
        </w:rPr>
        <w:t>1.6 违约责任</w:t>
      </w:r>
    </w:p>
    <w:p w14:paraId="16C9A619">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除不可抗力外，如果乙方没有按照本合同约定的服务期限、地点提供服务，甲方可要求乙方支付违约金，每迟延提供服务一日的违约金按合同总价的</w:t>
      </w:r>
      <w:r>
        <w:rPr>
          <w:rFonts w:hint="eastAsia" w:ascii="仿宋_GB2312" w:hAnsi="楷体" w:eastAsia="仿宋_GB2312"/>
          <w:sz w:val="24"/>
          <w:u w:val="single"/>
        </w:rPr>
        <w:t>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20</w:t>
      </w:r>
      <w:r>
        <w:rPr>
          <w:rFonts w:hint="eastAsia" w:ascii="仿宋_GB2312" w:hAnsi="楷体" w:eastAsia="仿宋_GB2312"/>
          <w:sz w:val="24"/>
        </w:rPr>
        <w:t>%；迟延超过【20】日的，甲方有权在要求乙方支付违约金的同时，书面通知乙方解除本合同，乙方应退回全部已收取的合同价款并按合同总金额的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20%</w:t>
      </w:r>
      <w:r>
        <w:rPr>
          <w:rFonts w:hint="eastAsia" w:ascii="仿宋_GB2312" w:hAnsi="楷体" w:eastAsia="仿宋_GB2312"/>
          <w:sz w:val="24"/>
        </w:rPr>
        <w:t>向甲方支付违约金；</w:t>
      </w:r>
    </w:p>
    <w:p w14:paraId="0AF42461">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sz w:val="24"/>
        </w:rPr>
        <w:t>计算，最高限额为欠付金额的</w:t>
      </w:r>
      <w:r>
        <w:rPr>
          <w:rFonts w:hint="eastAsia" w:ascii="仿宋_GB2312" w:hAnsi="楷体" w:eastAsia="仿宋_GB2312"/>
          <w:sz w:val="24"/>
          <w:u w:val="single"/>
        </w:rPr>
        <w:t>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73B6D7CF">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05A4B8">
      <w:pPr>
        <w:spacing w:line="360" w:lineRule="auto"/>
        <w:ind w:firstLine="480" w:firstLineChars="200"/>
        <w:rPr>
          <w:rFonts w:ascii="仿宋_GB2312" w:hAnsi="楷体" w:eastAsia="仿宋_GB2312"/>
          <w:sz w:val="24"/>
        </w:rPr>
      </w:pPr>
      <w:r>
        <w:rPr>
          <w:rFonts w:hint="eastAsia" w:ascii="仿宋_GB2312" w:hAnsi="楷体" w:eastAsia="仿宋_GB2312"/>
          <w:sz w:val="24"/>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4F139F4">
      <w:pPr>
        <w:spacing w:line="360" w:lineRule="auto"/>
        <w:ind w:firstLine="480" w:firstLineChars="200"/>
        <w:rPr>
          <w:rFonts w:ascii="仿宋_GB2312" w:hAnsi="楷体" w:eastAsia="仿宋_GB2312"/>
          <w:sz w:val="24"/>
        </w:rPr>
      </w:pPr>
      <w:r>
        <w:rPr>
          <w:rFonts w:hint="eastAsia" w:ascii="仿宋_GB2312" w:hAnsi="楷体"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1537E35">
      <w:pPr>
        <w:spacing w:line="360" w:lineRule="auto"/>
        <w:ind w:firstLine="480" w:firstLineChars="200"/>
        <w:rPr>
          <w:rFonts w:ascii="仿宋_GB2312" w:hAnsi="楷体" w:eastAsia="仿宋_GB2312"/>
          <w:sz w:val="24"/>
        </w:rPr>
      </w:pPr>
      <w:r>
        <w:rPr>
          <w:rFonts w:hint="eastAsia" w:ascii="仿宋_GB2312" w:hAnsi="楷体" w:eastAsia="仿宋_GB2312"/>
          <w:sz w:val="24"/>
        </w:rPr>
        <w:t>1.6.6 如果出现政府采购监督管理部门在处理投诉事项期间，书面通知甲方暂停采购活动的情形，或者询问或质疑事项可能影响中标结果的，导致甲方中止履行合同的情形，均不视为甲方违约。</w:t>
      </w:r>
    </w:p>
    <w:p w14:paraId="13812B81">
      <w:pPr>
        <w:ind w:firstLine="480" w:firstLineChars="200"/>
        <w:rPr>
          <w:rFonts w:ascii="仿宋_GB2312" w:hAnsi="楷体" w:eastAsia="仿宋_GB2312"/>
          <w:sz w:val="24"/>
        </w:rPr>
      </w:pPr>
      <w:r>
        <w:rPr>
          <w:rFonts w:hint="eastAsia" w:ascii="仿宋_GB2312" w:hAnsi="楷体" w:eastAsia="仿宋_GB2312"/>
          <w:sz w:val="24"/>
        </w:rPr>
        <w:t>1.6.7 如果乙方在服务期间不按照合同内容的约定履行服务和经甲方考核不合格的，甲方有权终止合同。</w:t>
      </w:r>
    </w:p>
    <w:p w14:paraId="146FDA71">
      <w:pPr>
        <w:spacing w:line="360" w:lineRule="auto"/>
        <w:ind w:firstLine="482" w:firstLineChars="200"/>
        <w:rPr>
          <w:rFonts w:ascii="仿宋_GB2312" w:hAnsi="楷体" w:eastAsia="仿宋_GB2312"/>
          <w:b/>
          <w:sz w:val="24"/>
        </w:rPr>
      </w:pPr>
      <w:r>
        <w:rPr>
          <w:rFonts w:hint="eastAsia" w:ascii="仿宋_GB2312" w:hAnsi="楷体" w:eastAsia="仿宋_GB2312"/>
          <w:b/>
          <w:sz w:val="24"/>
        </w:rPr>
        <w:t>1.7 合同争议的解决</w:t>
      </w:r>
    </w:p>
    <w:p w14:paraId="433E433D">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sz w:val="24"/>
          <w:u w:val="single"/>
        </w:rPr>
        <w:t>1.7.2</w:t>
      </w:r>
      <w:r>
        <w:rPr>
          <w:rFonts w:hint="eastAsia" w:ascii="仿宋_GB2312" w:hAnsi="楷体" w:eastAsia="仿宋_GB2312"/>
          <w:sz w:val="24"/>
        </w:rPr>
        <w:t>种方式解决：</w:t>
      </w:r>
    </w:p>
    <w:p w14:paraId="6206D10F">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南宁市</w:t>
      </w:r>
      <w:r>
        <w:rPr>
          <w:rFonts w:hint="eastAsia" w:ascii="仿宋_GB2312" w:hAnsi="楷体" w:eastAsia="仿宋_GB2312"/>
          <w:sz w:val="24"/>
        </w:rPr>
        <w:t>仲裁委员会依申请仲裁时其现行有效的仲裁规则裁决；</w:t>
      </w:r>
    </w:p>
    <w:p w14:paraId="73B07CE2">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甲方所在地有管辖权 的</w:t>
      </w:r>
      <w:r>
        <w:rPr>
          <w:rFonts w:hint="eastAsia" w:ascii="仿宋_GB2312" w:hAnsi="楷体" w:eastAsia="仿宋_GB2312"/>
          <w:sz w:val="24"/>
        </w:rPr>
        <w:t>人民法院起诉。</w:t>
      </w:r>
    </w:p>
    <w:p w14:paraId="2052F70B">
      <w:pPr>
        <w:spacing w:line="360" w:lineRule="auto"/>
        <w:ind w:firstLine="482" w:firstLineChars="200"/>
        <w:rPr>
          <w:rFonts w:ascii="仿宋_GB2312" w:hAnsi="楷体" w:eastAsia="仿宋_GB2312"/>
          <w:b/>
          <w:sz w:val="24"/>
        </w:rPr>
      </w:pPr>
      <w:r>
        <w:rPr>
          <w:rFonts w:hint="eastAsia" w:ascii="仿宋_GB2312" w:hAnsi="楷体" w:eastAsia="仿宋_GB2312"/>
          <w:b/>
          <w:sz w:val="24"/>
        </w:rPr>
        <w:t>1.8 合同生效</w:t>
      </w:r>
    </w:p>
    <w:p w14:paraId="15B8C3E1">
      <w:pPr>
        <w:spacing w:line="360" w:lineRule="auto"/>
        <w:ind w:firstLine="480" w:firstLineChars="200"/>
        <w:rPr>
          <w:rFonts w:ascii="仿宋_GB2312" w:hAnsi="楷体" w:eastAsia="仿宋_GB2312"/>
          <w:sz w:val="24"/>
        </w:rPr>
      </w:pPr>
      <w:r>
        <w:rPr>
          <w:rFonts w:hint="eastAsia" w:ascii="仿宋_GB2312" w:hAnsi="楷体" w:eastAsia="仿宋_GB2312"/>
          <w:sz w:val="24"/>
        </w:rPr>
        <w:t>本合同自双方当事人加盖有效公章时生效。</w:t>
      </w:r>
    </w:p>
    <w:p w14:paraId="66554468">
      <w:pPr>
        <w:widowControl/>
        <w:adjustRightInd w:val="0"/>
        <w:snapToGrid w:val="0"/>
        <w:spacing w:line="360" w:lineRule="auto"/>
        <w:ind w:firstLine="482" w:firstLineChars="200"/>
        <w:jc w:val="left"/>
        <w:rPr>
          <w:rFonts w:ascii="宋体" w:hAnsi="宋体" w:cs="宋体"/>
          <w:b/>
          <w:bCs/>
          <w:kern w:val="0"/>
          <w:sz w:val="24"/>
        </w:rPr>
      </w:pPr>
      <w:bookmarkStart w:id="71" w:name="_Hlk197517520"/>
      <w:r>
        <w:rPr>
          <w:rFonts w:hint="eastAsia" w:ascii="仿宋_GB2312" w:hAnsi="楷体" w:eastAsia="仿宋_GB2312"/>
          <w:b/>
          <w:sz w:val="24"/>
        </w:rPr>
        <w:t>1</w:t>
      </w:r>
      <w:r>
        <w:rPr>
          <w:rFonts w:ascii="仿宋_GB2312" w:hAnsi="楷体" w:eastAsia="仿宋_GB2312"/>
          <w:b/>
          <w:sz w:val="24"/>
        </w:rPr>
        <w:t>.9</w:t>
      </w:r>
      <w:r>
        <w:rPr>
          <w:rFonts w:hint="eastAsia" w:ascii="仿宋_GB2312" w:hAnsi="楷体" w:eastAsia="仿宋_GB2312"/>
          <w:b/>
          <w:sz w:val="24"/>
        </w:rPr>
        <w:t>合同延续年限、条件和方式</w:t>
      </w:r>
    </w:p>
    <w:p w14:paraId="7F549BF0">
      <w:pPr>
        <w:widowControl/>
        <w:adjustRightInd w:val="0"/>
        <w:snapToGrid w:val="0"/>
        <w:spacing w:line="360" w:lineRule="auto"/>
        <w:ind w:firstLine="480" w:firstLineChars="200"/>
        <w:jc w:val="left"/>
        <w:rPr>
          <w:rFonts w:ascii="宋体" w:hAnsi="宋体" w:cs="宋体"/>
          <w:kern w:val="0"/>
          <w:sz w:val="24"/>
        </w:rPr>
      </w:pPr>
      <w:r>
        <w:rPr>
          <w:rFonts w:hint="eastAsia" w:ascii="仿宋_GB2312" w:hAnsi="楷体" w:eastAsia="仿宋_GB2312"/>
          <w:sz w:val="24"/>
        </w:rPr>
        <w:t>本项目合同履约期到期后，甲方依据本项目的服务履约评价情况及实际需求，并根据《财政部关于推进和完善服务项目政府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w:t>
      </w:r>
    </w:p>
    <w:bookmarkEnd w:id="71"/>
    <w:p w14:paraId="256CDE67">
      <w:pPr>
        <w:spacing w:line="360" w:lineRule="auto"/>
        <w:ind w:firstLine="482" w:firstLineChars="200"/>
        <w:rPr>
          <w:rFonts w:ascii="仿宋_GB2312" w:hAnsi="楷体" w:eastAsia="仿宋_GB2312"/>
          <w:b/>
          <w:sz w:val="24"/>
        </w:rPr>
      </w:pPr>
    </w:p>
    <w:p w14:paraId="731B9F0B">
      <w:pPr>
        <w:spacing w:line="360" w:lineRule="auto"/>
        <w:ind w:firstLine="482" w:firstLineChars="200"/>
        <w:rPr>
          <w:rFonts w:ascii="仿宋_GB2312" w:hAnsi="楷体" w:eastAsia="仿宋_GB2312"/>
          <w:b/>
          <w:sz w:val="24"/>
        </w:rPr>
      </w:pPr>
    </w:p>
    <w:p w14:paraId="4CCC5C4C">
      <w:pPr>
        <w:spacing w:line="360" w:lineRule="auto"/>
        <w:ind w:firstLine="482" w:firstLineChars="200"/>
        <w:rPr>
          <w:rFonts w:ascii="仿宋_GB2312" w:hAnsi="楷体" w:eastAsia="仿宋_GB2312"/>
          <w:b/>
          <w:sz w:val="24"/>
        </w:rPr>
      </w:pPr>
    </w:p>
    <w:p w14:paraId="262BE2BE">
      <w:pPr>
        <w:spacing w:line="360" w:lineRule="auto"/>
        <w:ind w:firstLine="482" w:firstLineChars="200"/>
        <w:rPr>
          <w:rFonts w:ascii="仿宋_GB2312" w:hAnsi="楷体" w:eastAsia="仿宋_GB2312"/>
          <w:b/>
          <w:sz w:val="24"/>
        </w:rPr>
      </w:pPr>
    </w:p>
    <w:p w14:paraId="35E14581">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甲方：                                  乙方：</w:t>
      </w:r>
    </w:p>
    <w:p w14:paraId="5C3232EC">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78FD75C0">
      <w:pPr>
        <w:spacing w:line="360" w:lineRule="auto"/>
        <w:ind w:firstLine="200"/>
        <w:rPr>
          <w:rFonts w:ascii="仿宋_GB2312" w:hAnsi="楷体" w:eastAsia="仿宋_GB2312"/>
          <w:sz w:val="24"/>
          <w:lang w:val="zh-CN"/>
        </w:rPr>
      </w:pPr>
    </w:p>
    <w:p w14:paraId="0FDC11F5">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住所：                                   住所：</w:t>
      </w:r>
    </w:p>
    <w:p w14:paraId="20606A57">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法定代表人或                             法定代表人</w:t>
      </w:r>
    </w:p>
    <w:p w14:paraId="71579A07">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14:paraId="73666BE1">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联系人：                                 联系人：</w:t>
      </w:r>
    </w:p>
    <w:p w14:paraId="7EC3BB6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约定送达地址：                           约定送达地址：</w:t>
      </w:r>
    </w:p>
    <w:p w14:paraId="265A707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邮政编码：                               邮政编码：</w:t>
      </w:r>
    </w:p>
    <w:p w14:paraId="6E40323E">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                                    电话: </w:t>
      </w:r>
    </w:p>
    <w:p w14:paraId="7E3216E6">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                                    传真:</w:t>
      </w:r>
    </w:p>
    <w:p w14:paraId="32BEFC66">
      <w:pPr>
        <w:spacing w:line="360" w:lineRule="auto"/>
        <w:ind w:firstLine="200"/>
        <w:rPr>
          <w:rFonts w:ascii="仿宋_GB2312" w:hAnsi="楷体" w:eastAsia="仿宋_GB2312"/>
          <w:sz w:val="24"/>
        </w:rPr>
      </w:pPr>
      <w:r>
        <w:rPr>
          <w:rFonts w:hint="eastAsia" w:ascii="仿宋_GB2312" w:hAnsi="楷体" w:eastAsia="仿宋_GB2312"/>
          <w:sz w:val="24"/>
          <w:lang w:val="zh-CN"/>
        </w:rPr>
        <w:t>电子邮箱：                               电子邮箱：</w:t>
      </w:r>
    </w:p>
    <w:p w14:paraId="14203325">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开户银行： </w:t>
      </w:r>
    </w:p>
    <w:p w14:paraId="56FC1643">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开户名称： </w:t>
      </w:r>
    </w:p>
    <w:p w14:paraId="4E2A6D3A">
      <w:pPr>
        <w:spacing w:line="360" w:lineRule="auto"/>
        <w:ind w:firstLine="200"/>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14:paraId="54734312">
      <w:pPr>
        <w:spacing w:line="360" w:lineRule="auto"/>
        <w:ind w:firstLine="200"/>
        <w:jc w:val="center"/>
        <w:rPr>
          <w:rFonts w:ascii="仿宋_GB2312" w:hAnsi="楷体" w:eastAsia="仿宋_GB2312"/>
          <w:b/>
          <w:sz w:val="28"/>
          <w:szCs w:val="28"/>
        </w:rPr>
      </w:pPr>
      <w:r>
        <w:rPr>
          <w:rFonts w:hint="eastAsia" w:ascii="仿宋_GB2312" w:hAnsi="楷体" w:eastAsia="仿宋_GB2312"/>
          <w:b/>
        </w:rPr>
        <w:br w:type="page"/>
      </w:r>
      <w:r>
        <w:rPr>
          <w:rFonts w:hint="eastAsia" w:ascii="仿宋_GB2312" w:hAnsi="楷体" w:eastAsia="仿宋_GB2312"/>
          <w:b/>
          <w:sz w:val="28"/>
          <w:szCs w:val="28"/>
        </w:rPr>
        <w:t>第二部分 合同一般条款</w:t>
      </w:r>
    </w:p>
    <w:p w14:paraId="62611461">
      <w:pPr>
        <w:spacing w:line="360" w:lineRule="auto"/>
        <w:ind w:firstLine="482" w:firstLineChars="200"/>
        <w:rPr>
          <w:rFonts w:ascii="仿宋_GB2312" w:hAnsi="楷体" w:eastAsia="仿宋_GB2312"/>
          <w:b/>
          <w:sz w:val="24"/>
        </w:rPr>
      </w:pPr>
      <w:r>
        <w:rPr>
          <w:rFonts w:hint="eastAsia" w:ascii="仿宋_GB2312" w:hAnsi="楷体" w:eastAsia="仿宋_GB2312"/>
          <w:b/>
          <w:sz w:val="24"/>
        </w:rPr>
        <w:t>2.1 定义</w:t>
      </w:r>
    </w:p>
    <w:p w14:paraId="65DAED05">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14:paraId="5CC0E0AC">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“合同”系指采购人和中标人签订的载明双方当事人所达成的协议，并包括所有的附件、附录和构成合同的其他文件。</w:t>
      </w:r>
    </w:p>
    <w:p w14:paraId="159E3B5E">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“合同价”系指根据合同约定，中标人在完全履行合同义务后，采购人应支付给中标人的价格。</w:t>
      </w:r>
    </w:p>
    <w:p w14:paraId="7513A03E">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4364C53">
      <w:pPr>
        <w:spacing w:line="360" w:lineRule="auto"/>
        <w:ind w:firstLine="480" w:firstLineChars="200"/>
        <w:rPr>
          <w:rFonts w:ascii="仿宋_GB2312" w:hAnsi="楷体" w:eastAsia="仿宋_GB2312"/>
          <w:sz w:val="24"/>
        </w:rPr>
      </w:pPr>
      <w:r>
        <w:rPr>
          <w:rFonts w:hint="eastAsia" w:ascii="仿宋_GB2312" w:hAnsi="楷体" w:eastAsia="仿宋_GB2312"/>
          <w:sz w:val="24"/>
        </w:rPr>
        <w:t>2.1.4 “甲方”系指与中标人签署合同的采购人；采购人委托采购机构代表其与乙方签订合同的，采购人的授权委托书作为合同附件。</w:t>
      </w:r>
    </w:p>
    <w:p w14:paraId="0FE37590">
      <w:pPr>
        <w:spacing w:line="360" w:lineRule="auto"/>
        <w:ind w:firstLine="480" w:firstLineChars="200"/>
        <w:rPr>
          <w:rFonts w:ascii="仿宋_GB2312" w:hAnsi="楷体" w:eastAsia="仿宋_GB2312"/>
          <w:sz w:val="24"/>
        </w:rPr>
      </w:pPr>
      <w:r>
        <w:rPr>
          <w:rFonts w:hint="eastAsia" w:ascii="仿宋_GB2312" w:hAnsi="楷体" w:eastAsia="仿宋_GB2312"/>
          <w:sz w:val="24"/>
        </w:rPr>
        <w:t>2.1.5 “乙方”系指根据合同约定交付标的物的中标人；两个以上的自然人、法人或者其他组织组成一个联合体，以一个投标人的身份共同参加政府采购的，联合体各方均应为乙方或者与乙方相同地位的合同当事人，并就合同约定的事项对甲方承担连带责任。</w:t>
      </w:r>
    </w:p>
    <w:p w14:paraId="3C50526D">
      <w:pPr>
        <w:spacing w:line="360" w:lineRule="auto"/>
        <w:ind w:firstLine="480" w:firstLineChars="200"/>
        <w:rPr>
          <w:rFonts w:ascii="仿宋_GB2312" w:hAnsi="楷体" w:eastAsia="仿宋_GB2312"/>
          <w:sz w:val="24"/>
        </w:rPr>
      </w:pPr>
      <w:r>
        <w:rPr>
          <w:rFonts w:hint="eastAsia" w:ascii="仿宋_GB2312" w:hAnsi="楷体" w:eastAsia="仿宋_GB2312"/>
          <w:sz w:val="24"/>
        </w:rPr>
        <w:t>2.1.6 “现场”系指合同约定标的物将要运至或者实施或者安装的地点。</w:t>
      </w:r>
    </w:p>
    <w:p w14:paraId="7FD13893">
      <w:pPr>
        <w:spacing w:line="360" w:lineRule="auto"/>
        <w:ind w:firstLine="482" w:firstLineChars="200"/>
        <w:rPr>
          <w:rFonts w:ascii="仿宋_GB2312" w:hAnsi="楷体" w:eastAsia="仿宋_GB2312"/>
          <w:b/>
          <w:sz w:val="24"/>
        </w:rPr>
      </w:pPr>
      <w:r>
        <w:rPr>
          <w:rFonts w:hint="eastAsia" w:ascii="仿宋_GB2312" w:hAnsi="楷体" w:eastAsia="仿宋_GB2312"/>
          <w:b/>
          <w:sz w:val="24"/>
        </w:rPr>
        <w:t>2.2 技术规范</w:t>
      </w:r>
    </w:p>
    <w:p w14:paraId="3D095F2D">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招标文件规定的技术规范和技术规范附件(如果有的话)及其技术规范偏差表(如果被甲方接受的话)相一致；如果招标文件中没有技术规范的相应说明，应以国家有关部门最新颁布的相应标准和规范为准。</w:t>
      </w:r>
    </w:p>
    <w:p w14:paraId="509E48F7">
      <w:pPr>
        <w:spacing w:line="360" w:lineRule="auto"/>
        <w:ind w:firstLine="482" w:firstLineChars="200"/>
        <w:rPr>
          <w:rFonts w:ascii="仿宋_GB2312" w:hAnsi="楷体" w:eastAsia="仿宋_GB2312"/>
          <w:b/>
          <w:sz w:val="24"/>
        </w:rPr>
      </w:pPr>
      <w:r>
        <w:rPr>
          <w:rFonts w:hint="eastAsia" w:ascii="仿宋_GB2312" w:hAnsi="楷体" w:eastAsia="仿宋_GB2312"/>
          <w:b/>
          <w:sz w:val="24"/>
        </w:rPr>
        <w:t>2.3 知识产权</w:t>
      </w:r>
    </w:p>
    <w:p w14:paraId="2492FDB1">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0489DB78">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F19F50C">
      <w:pPr>
        <w:spacing w:line="360" w:lineRule="auto"/>
        <w:ind w:firstLine="482" w:firstLineChars="200"/>
        <w:rPr>
          <w:rFonts w:ascii="仿宋_GB2312" w:hAnsi="楷体" w:eastAsia="仿宋_GB2312"/>
          <w:b/>
          <w:sz w:val="24"/>
        </w:rPr>
      </w:pPr>
      <w:r>
        <w:rPr>
          <w:rFonts w:hint="eastAsia" w:ascii="仿宋_GB2312" w:hAnsi="楷体" w:eastAsia="仿宋_GB2312"/>
          <w:b/>
          <w:sz w:val="24"/>
        </w:rPr>
        <w:t>2.4 包装和装运</w:t>
      </w:r>
    </w:p>
    <w:p w14:paraId="094610EC">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021D865">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1A1F9376">
      <w:pPr>
        <w:spacing w:line="360" w:lineRule="auto"/>
        <w:ind w:firstLine="482" w:firstLineChars="200"/>
        <w:rPr>
          <w:rFonts w:ascii="仿宋_GB2312" w:hAnsi="楷体" w:eastAsia="仿宋_GB2312"/>
          <w:b/>
          <w:sz w:val="24"/>
        </w:rPr>
      </w:pPr>
      <w:r>
        <w:rPr>
          <w:rFonts w:hint="eastAsia" w:ascii="仿宋_GB2312" w:hAnsi="楷体" w:eastAsia="仿宋_GB2312"/>
          <w:b/>
          <w:sz w:val="24"/>
        </w:rPr>
        <w:t>2.5 履约检查和问题反馈</w:t>
      </w:r>
    </w:p>
    <w:p w14:paraId="2AF74F53">
      <w:pPr>
        <w:spacing w:line="360" w:lineRule="auto"/>
        <w:ind w:firstLine="480" w:firstLineChars="200"/>
        <w:rPr>
          <w:rFonts w:ascii="仿宋_GB2312" w:hAnsi="楷体" w:eastAsia="仿宋_GB2312"/>
          <w:sz w:val="24"/>
        </w:rPr>
      </w:pPr>
      <w:r>
        <w:rPr>
          <w:rFonts w:hint="eastAsia" w:ascii="仿宋_GB2312" w:hAnsi="楷体" w:eastAsia="仿宋_GB2312"/>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22C8E03B">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p>
    <w:p w14:paraId="149F6A84">
      <w:pPr>
        <w:spacing w:line="360" w:lineRule="auto"/>
        <w:ind w:firstLine="482" w:firstLineChars="200"/>
        <w:rPr>
          <w:rFonts w:ascii="仿宋_GB2312" w:hAnsi="楷体" w:eastAsia="仿宋_GB2312"/>
          <w:b/>
          <w:sz w:val="24"/>
        </w:rPr>
      </w:pPr>
      <w:r>
        <w:rPr>
          <w:rFonts w:hint="eastAsia" w:ascii="仿宋_GB2312" w:hAnsi="楷体" w:eastAsia="仿宋_GB2312"/>
          <w:b/>
          <w:sz w:val="24"/>
        </w:rPr>
        <w:t>2.6 结算方式和付款条件</w:t>
      </w:r>
    </w:p>
    <w:p w14:paraId="214D63EF">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53F17BE">
      <w:pPr>
        <w:spacing w:line="360" w:lineRule="auto"/>
        <w:ind w:firstLine="482" w:firstLineChars="200"/>
        <w:rPr>
          <w:rFonts w:ascii="仿宋_GB2312" w:hAnsi="楷体" w:eastAsia="仿宋_GB2312"/>
          <w:b/>
          <w:sz w:val="24"/>
        </w:rPr>
      </w:pPr>
      <w:r>
        <w:rPr>
          <w:rFonts w:hint="eastAsia" w:ascii="仿宋_GB2312" w:hAnsi="楷体" w:eastAsia="仿宋_GB2312"/>
          <w:b/>
          <w:sz w:val="24"/>
        </w:rPr>
        <w:t>2.7 技术资料和保密义务</w:t>
      </w:r>
    </w:p>
    <w:p w14:paraId="6537F07E">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4D7A1D3C">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03FF3442">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81A69C8">
      <w:pPr>
        <w:spacing w:line="360" w:lineRule="auto"/>
        <w:ind w:firstLine="482" w:firstLineChars="200"/>
        <w:rPr>
          <w:rFonts w:ascii="仿宋_GB2312" w:hAnsi="楷体" w:eastAsia="仿宋_GB2312"/>
          <w:b/>
          <w:sz w:val="24"/>
        </w:rPr>
      </w:pPr>
      <w:r>
        <w:rPr>
          <w:rFonts w:hint="eastAsia" w:ascii="仿宋_GB2312" w:hAnsi="楷体" w:eastAsia="仿宋_GB2312"/>
          <w:b/>
          <w:sz w:val="24"/>
        </w:rPr>
        <w:t>2.8 质量保证</w:t>
      </w:r>
    </w:p>
    <w:p w14:paraId="7678A57C">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13880AB1">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2EFFC533">
      <w:pPr>
        <w:spacing w:line="360" w:lineRule="auto"/>
        <w:ind w:firstLine="480" w:firstLineChars="200"/>
        <w:rPr>
          <w:rFonts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甲方有权放弃或终止合同，并没收履约保证金。</w:t>
      </w:r>
    </w:p>
    <w:p w14:paraId="2A6AF59A">
      <w:pPr>
        <w:spacing w:line="360" w:lineRule="auto"/>
        <w:ind w:firstLine="480" w:firstLineChars="20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 xml:space="preserve"> 30% ，</w:t>
      </w:r>
      <w:r>
        <w:rPr>
          <w:rFonts w:hint="eastAsia" w:ascii="仿宋_GB2312" w:hAnsi="楷体" w:eastAsia="仿宋_GB2312"/>
          <w:sz w:val="24"/>
        </w:rPr>
        <w:t>甲方可从未支付的合同款中扣减赔偿金额</w:t>
      </w:r>
      <w:r>
        <w:rPr>
          <w:rFonts w:hint="eastAsia" w:ascii="仿宋_GB2312" w:hAnsi="仿宋" w:eastAsia="仿宋_GB2312"/>
          <w:sz w:val="24"/>
        </w:rPr>
        <w:t>。</w:t>
      </w:r>
    </w:p>
    <w:p w14:paraId="4EFAF969">
      <w:pPr>
        <w:spacing w:line="360" w:lineRule="auto"/>
        <w:ind w:firstLine="482" w:firstLineChars="200"/>
        <w:rPr>
          <w:rFonts w:ascii="仿宋_GB2312" w:hAnsi="楷体" w:eastAsia="仿宋_GB2312"/>
          <w:b/>
          <w:sz w:val="24"/>
        </w:rPr>
      </w:pPr>
      <w:r>
        <w:rPr>
          <w:rFonts w:hint="eastAsia" w:ascii="仿宋_GB2312" w:hAnsi="楷体" w:eastAsia="仿宋_GB2312"/>
          <w:b/>
          <w:sz w:val="24"/>
        </w:rPr>
        <w:t>2.9 标的物的风险负担</w:t>
      </w:r>
    </w:p>
    <w:p w14:paraId="0092773F">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0F69371F">
      <w:pPr>
        <w:spacing w:line="360" w:lineRule="auto"/>
        <w:ind w:firstLine="482" w:firstLineChars="200"/>
        <w:rPr>
          <w:rFonts w:ascii="仿宋_GB2312" w:hAnsi="楷体" w:eastAsia="仿宋_GB2312"/>
          <w:b/>
          <w:sz w:val="24"/>
        </w:rPr>
      </w:pPr>
      <w:r>
        <w:rPr>
          <w:rFonts w:hint="eastAsia" w:ascii="仿宋_GB2312" w:hAnsi="楷体" w:eastAsia="仿宋_GB2312"/>
          <w:b/>
          <w:sz w:val="24"/>
        </w:rPr>
        <w:t>2.10 延迟交货/交付</w:t>
      </w:r>
    </w:p>
    <w:p w14:paraId="7632BE6A">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17346BE4">
      <w:pPr>
        <w:spacing w:line="360" w:lineRule="auto"/>
        <w:ind w:firstLine="482" w:firstLineChars="200"/>
        <w:rPr>
          <w:rFonts w:ascii="仿宋_GB2312" w:hAnsi="楷体" w:eastAsia="仿宋_GB2312"/>
          <w:b/>
          <w:sz w:val="24"/>
        </w:rPr>
      </w:pPr>
      <w:r>
        <w:rPr>
          <w:rFonts w:hint="eastAsia" w:ascii="仿宋_GB2312" w:hAnsi="楷体" w:eastAsia="仿宋_GB2312"/>
          <w:b/>
          <w:sz w:val="24"/>
        </w:rPr>
        <w:t>2.11 合同变更</w:t>
      </w:r>
    </w:p>
    <w:p w14:paraId="043AB51B">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招标文件确定的事项。如果系追加与合同标的相同的标的物的，那么需经采购监督管理部门同意，且所有补充合同的采购金额不得超过原合同价的10%；</w:t>
      </w:r>
    </w:p>
    <w:p w14:paraId="2419C2AC">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p>
    <w:p w14:paraId="351E2880">
      <w:pPr>
        <w:spacing w:line="360" w:lineRule="auto"/>
        <w:ind w:firstLine="482" w:firstLineChars="200"/>
        <w:rPr>
          <w:rFonts w:ascii="仿宋_GB2312" w:hAnsi="楷体" w:eastAsia="仿宋_GB2312"/>
          <w:b/>
          <w:sz w:val="24"/>
        </w:rPr>
      </w:pPr>
      <w:r>
        <w:rPr>
          <w:rFonts w:hint="eastAsia" w:ascii="仿宋_GB2312" w:hAnsi="楷体" w:eastAsia="仿宋_GB2312"/>
          <w:b/>
          <w:sz w:val="24"/>
        </w:rPr>
        <w:t>2.12 合同转让和分包</w:t>
      </w:r>
    </w:p>
    <w:p w14:paraId="5BA3E3A5">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投标人应当具备相应的资格条件，并不得再次分包，且乙方应就分包项目向甲方负责，并与分包投标人就分包项目向甲方承担连带责任。</w:t>
      </w:r>
    </w:p>
    <w:p w14:paraId="383AE50B">
      <w:pPr>
        <w:spacing w:line="360" w:lineRule="auto"/>
        <w:ind w:firstLine="482" w:firstLineChars="200"/>
        <w:rPr>
          <w:rFonts w:ascii="仿宋_GB2312" w:hAnsi="楷体" w:eastAsia="仿宋_GB2312"/>
          <w:b/>
          <w:sz w:val="24"/>
        </w:rPr>
      </w:pPr>
      <w:r>
        <w:rPr>
          <w:rFonts w:hint="eastAsia" w:ascii="仿宋_GB2312" w:hAnsi="楷体" w:eastAsia="仿宋_GB2312"/>
          <w:b/>
          <w:sz w:val="24"/>
        </w:rPr>
        <w:t>2.13 不可抗力</w:t>
      </w:r>
    </w:p>
    <w:p w14:paraId="5EF03AC4">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5F707F80">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4C2D91B5">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7E99776A">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2CED43DB">
      <w:pPr>
        <w:spacing w:line="360" w:lineRule="auto"/>
        <w:ind w:firstLine="482" w:firstLineChars="200"/>
        <w:rPr>
          <w:rFonts w:ascii="仿宋_GB2312" w:hAnsi="楷体" w:eastAsia="仿宋_GB2312"/>
          <w:b/>
          <w:sz w:val="24"/>
        </w:rPr>
      </w:pPr>
      <w:r>
        <w:rPr>
          <w:rFonts w:hint="eastAsia" w:ascii="仿宋_GB2312" w:hAnsi="楷体" w:eastAsia="仿宋_GB2312"/>
          <w:b/>
          <w:sz w:val="24"/>
        </w:rPr>
        <w:t>2.14 税费</w:t>
      </w:r>
    </w:p>
    <w:p w14:paraId="54349062">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32FCDB08">
      <w:pPr>
        <w:spacing w:line="360" w:lineRule="auto"/>
        <w:ind w:firstLine="482" w:firstLineChars="200"/>
        <w:rPr>
          <w:rFonts w:ascii="仿宋_GB2312" w:hAnsi="楷体" w:eastAsia="仿宋_GB2312"/>
          <w:b/>
          <w:sz w:val="24"/>
        </w:rPr>
      </w:pPr>
      <w:r>
        <w:rPr>
          <w:rFonts w:hint="eastAsia" w:ascii="仿宋_GB2312" w:hAnsi="楷体" w:eastAsia="仿宋_GB2312"/>
          <w:b/>
          <w:sz w:val="24"/>
        </w:rPr>
        <w:t>2.15 乙方破产</w:t>
      </w:r>
    </w:p>
    <w:p w14:paraId="4A4F3737">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C0C49C">
      <w:pPr>
        <w:spacing w:line="360" w:lineRule="auto"/>
        <w:ind w:firstLine="482" w:firstLineChars="200"/>
        <w:rPr>
          <w:rFonts w:ascii="仿宋_GB2312" w:hAnsi="楷体" w:eastAsia="仿宋_GB2312"/>
          <w:b/>
          <w:sz w:val="24"/>
        </w:rPr>
      </w:pPr>
      <w:r>
        <w:rPr>
          <w:rFonts w:hint="eastAsia" w:ascii="仿宋_GB2312" w:hAnsi="楷体" w:eastAsia="仿宋_GB2312"/>
          <w:b/>
          <w:sz w:val="24"/>
        </w:rPr>
        <w:t>2.16 合同中止、终止</w:t>
      </w:r>
    </w:p>
    <w:p w14:paraId="6DDC9185">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14:paraId="24B4C8F6">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49727D56">
      <w:pPr>
        <w:spacing w:line="360" w:lineRule="auto"/>
        <w:ind w:firstLine="482" w:firstLineChars="200"/>
        <w:rPr>
          <w:rFonts w:ascii="仿宋_GB2312" w:hAnsi="楷体" w:eastAsia="仿宋_GB2312"/>
          <w:b/>
          <w:sz w:val="24"/>
        </w:rPr>
      </w:pPr>
      <w:r>
        <w:rPr>
          <w:rFonts w:hint="eastAsia" w:ascii="仿宋_GB2312" w:hAnsi="楷体" w:eastAsia="仿宋_GB2312"/>
          <w:b/>
          <w:sz w:val="24"/>
        </w:rPr>
        <w:t>2.17 检验和验收</w:t>
      </w:r>
    </w:p>
    <w:p w14:paraId="306455B8">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4A085545">
      <w:pPr>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F2F1C0B">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p w14:paraId="70CDA613">
      <w:pPr>
        <w:spacing w:line="360" w:lineRule="auto"/>
        <w:ind w:firstLine="482" w:firstLineChars="200"/>
        <w:rPr>
          <w:rFonts w:ascii="仿宋_GB2312" w:hAnsi="楷体" w:eastAsia="仿宋_GB2312"/>
          <w:b/>
          <w:sz w:val="24"/>
        </w:rPr>
      </w:pPr>
      <w:r>
        <w:rPr>
          <w:rFonts w:hint="eastAsia" w:ascii="仿宋_GB2312" w:hAnsi="楷体" w:eastAsia="仿宋_GB2312"/>
          <w:b/>
          <w:sz w:val="24"/>
        </w:rPr>
        <w:t>2.18 通知和送达</w:t>
      </w:r>
    </w:p>
    <w:p w14:paraId="553B4756">
      <w:pPr>
        <w:spacing w:line="360" w:lineRule="auto"/>
        <w:ind w:firstLine="480" w:firstLineChars="200"/>
        <w:rPr>
          <w:rFonts w:ascii="仿宋_GB2312" w:hAnsi="楷体" w:eastAsia="仿宋_GB2312"/>
          <w:sz w:val="24"/>
        </w:rPr>
      </w:pPr>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5 </w:t>
      </w:r>
      <w:r>
        <w:rPr>
          <w:rFonts w:hint="eastAsia" w:ascii="仿宋_GB2312" w:hAnsi="楷体" w:eastAsia="仿宋_GB2312"/>
          <w:sz w:val="24"/>
        </w:rPr>
        <w:t>个工作日内书面通知对方当事人，在对方当事人收到有关变更通知之前，变更前的约定送达方式或者地址仍视为有效。</w:t>
      </w:r>
    </w:p>
    <w:p w14:paraId="651C6066">
      <w:pPr>
        <w:spacing w:line="360" w:lineRule="auto"/>
        <w:ind w:firstLine="480" w:firstLineChars="200"/>
        <w:rPr>
          <w:rFonts w:ascii="仿宋_GB2312" w:hAnsi="楷体" w:eastAsia="仿宋_GB2312"/>
          <w:sz w:val="24"/>
        </w:rPr>
      </w:pPr>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9166DE1">
      <w:pPr>
        <w:spacing w:line="360" w:lineRule="auto"/>
        <w:ind w:firstLine="482" w:firstLineChars="200"/>
        <w:rPr>
          <w:rFonts w:ascii="仿宋_GB2312" w:hAnsi="楷体" w:eastAsia="仿宋_GB2312"/>
          <w:b/>
          <w:sz w:val="24"/>
        </w:rPr>
      </w:pPr>
      <w:r>
        <w:rPr>
          <w:rFonts w:hint="eastAsia" w:ascii="仿宋_GB2312" w:hAnsi="楷体" w:eastAsia="仿宋_GB2312"/>
          <w:b/>
          <w:sz w:val="24"/>
        </w:rPr>
        <w:t>2.19 计量单位</w:t>
      </w:r>
    </w:p>
    <w:p w14:paraId="563E1371">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6131A25A">
      <w:pPr>
        <w:spacing w:line="360" w:lineRule="auto"/>
        <w:ind w:firstLine="482" w:firstLineChars="200"/>
        <w:rPr>
          <w:rFonts w:ascii="仿宋_GB2312" w:hAnsi="楷体" w:eastAsia="仿宋_GB2312"/>
          <w:b/>
          <w:sz w:val="24"/>
        </w:rPr>
      </w:pPr>
      <w:r>
        <w:rPr>
          <w:rFonts w:hint="eastAsia" w:ascii="仿宋_GB2312" w:hAnsi="楷体" w:eastAsia="仿宋_GB2312"/>
          <w:b/>
          <w:sz w:val="24"/>
        </w:rPr>
        <w:t>2.20 合同使用的文字和适用的法律</w:t>
      </w:r>
    </w:p>
    <w:p w14:paraId="10AB84AC">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合同使用汉语书写、变更和解释；</w:t>
      </w:r>
    </w:p>
    <w:p w14:paraId="1C90E1DD">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14:paraId="0DB4E745">
      <w:pPr>
        <w:spacing w:line="360" w:lineRule="auto"/>
        <w:ind w:firstLine="482" w:firstLineChars="200"/>
        <w:rPr>
          <w:rFonts w:ascii="仿宋_GB2312" w:hAnsi="楷体" w:eastAsia="仿宋_GB2312"/>
          <w:b/>
          <w:sz w:val="24"/>
        </w:rPr>
      </w:pPr>
      <w:r>
        <w:rPr>
          <w:rFonts w:hint="eastAsia" w:ascii="仿宋_GB2312" w:hAnsi="楷体" w:eastAsia="仿宋_GB2312"/>
          <w:b/>
          <w:sz w:val="24"/>
        </w:rPr>
        <w:t>2.21 履约保证金</w:t>
      </w:r>
    </w:p>
    <w:p w14:paraId="5E5DCD24">
      <w:pPr>
        <w:spacing w:line="360" w:lineRule="auto"/>
        <w:ind w:firstLine="480" w:firstLineChars="200"/>
        <w:rPr>
          <w:rFonts w:ascii="仿宋_GB2312" w:hAnsi="仿宋" w:eastAsia="仿宋_GB2312" w:cs="Arial"/>
          <w:snapToGrid w:val="0"/>
          <w:kern w:val="0"/>
          <w:sz w:val="24"/>
        </w:rPr>
      </w:pPr>
      <w:r>
        <w:rPr>
          <w:rFonts w:hint="eastAsia" w:ascii="仿宋_GB2312" w:hAnsi="楷体" w:eastAsia="仿宋_GB2312"/>
          <w:sz w:val="24"/>
        </w:rPr>
        <w:t>本项目不收取履约保证金</w:t>
      </w:r>
    </w:p>
    <w:p w14:paraId="375AA7ED">
      <w:pPr>
        <w:spacing w:line="360" w:lineRule="auto"/>
        <w:ind w:firstLine="482" w:firstLineChars="200"/>
        <w:rPr>
          <w:rFonts w:ascii="仿宋_GB2312" w:hAnsi="仿宋" w:eastAsia="仿宋_GB2312"/>
          <w:kern w:val="0"/>
          <w:sz w:val="24"/>
          <w:lang w:val="zh-CN"/>
        </w:rPr>
      </w:pPr>
      <w:r>
        <w:rPr>
          <w:rFonts w:hint="eastAsia" w:ascii="仿宋_GB2312" w:hAnsi="楷体" w:eastAsia="仿宋_GB2312"/>
          <w:b/>
          <w:sz w:val="24"/>
        </w:rPr>
        <w:t>2.22 中小企业政策</w:t>
      </w:r>
    </w:p>
    <w:p w14:paraId="69D4DF91">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 xml:space="preserve">2.22.1本合同（□是  </w:t>
      </w:r>
      <w:r>
        <w:rPr>
          <w:rFonts w:hint="eastAsia" w:ascii="仿宋_GB2312" w:hAnsi="宋体" w:eastAsia="仿宋_GB2312"/>
          <w:sz w:val="24"/>
        </w:rPr>
        <w:sym w:font="Wingdings 2" w:char="00A3"/>
      </w:r>
      <w:r>
        <w:rPr>
          <w:rFonts w:hint="eastAsia" w:ascii="仿宋_GB2312" w:hAnsi="仿宋" w:eastAsia="仿宋_GB2312"/>
          <w:kern w:val="0"/>
          <w:sz w:val="24"/>
          <w:lang w:val="zh-CN"/>
        </w:rPr>
        <w:t>否）为中小企业“政采贷”可融资合同，关于中小企业信用融资事项见招标文件“投标人须知正文”。</w:t>
      </w:r>
    </w:p>
    <w:p w14:paraId="01723B93">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 xml:space="preserve">2.22.2本合同（□是  </w:t>
      </w:r>
      <w:r>
        <w:rPr>
          <w:rFonts w:hint="eastAsia" w:ascii="仿宋_GB2312" w:hAnsi="宋体" w:eastAsia="仿宋_GB2312"/>
          <w:sz w:val="24"/>
        </w:rPr>
        <w:sym w:font="Wingdings 2" w:char="0052"/>
      </w:r>
      <w:r>
        <w:rPr>
          <w:rFonts w:hint="eastAsia" w:ascii="仿宋_GB2312" w:hAnsi="仿宋" w:eastAsia="仿宋_GB2312"/>
          <w:kern w:val="0"/>
          <w:sz w:val="24"/>
          <w:lang w:val="zh-CN"/>
        </w:rPr>
        <w:t>否）为中小企业预留合同。</w:t>
      </w:r>
    </w:p>
    <w:p w14:paraId="34B3EF1C">
      <w:pPr>
        <w:spacing w:line="360" w:lineRule="auto"/>
        <w:ind w:firstLine="482" w:firstLineChars="200"/>
        <w:rPr>
          <w:rFonts w:ascii="仿宋_GB2312" w:hAnsi="楷体" w:eastAsia="仿宋_GB2312"/>
          <w:b/>
          <w:sz w:val="24"/>
        </w:rPr>
      </w:pPr>
      <w:r>
        <w:rPr>
          <w:rFonts w:hint="eastAsia" w:ascii="仿宋_GB2312" w:hAnsi="楷体" w:eastAsia="仿宋_GB2312"/>
          <w:b/>
          <w:sz w:val="24"/>
        </w:rPr>
        <w:t>2.23 合同份数</w:t>
      </w:r>
    </w:p>
    <w:p w14:paraId="5BB78428">
      <w:pPr>
        <w:spacing w:line="360" w:lineRule="auto"/>
        <w:ind w:firstLine="480" w:firstLineChars="200"/>
        <w:rPr>
          <w:rFonts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份，乙方执</w:t>
      </w:r>
      <w:r>
        <w:rPr>
          <w:rFonts w:hint="eastAsia" w:ascii="仿宋_GB2312" w:hAnsi="仿宋"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份，代理机构执</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164C2F92">
      <w:pPr>
        <w:spacing w:line="360" w:lineRule="auto"/>
        <w:jc w:val="center"/>
        <w:rPr>
          <w:rFonts w:ascii="仿宋_GB2312" w:hAnsi="楷体" w:eastAsia="仿宋_GB2312"/>
          <w:b/>
          <w:sz w:val="28"/>
          <w:szCs w:val="28"/>
        </w:rPr>
      </w:pPr>
      <w:r>
        <w:rPr>
          <w:rFonts w:hint="eastAsia" w:ascii="仿宋_GB2312" w:hAnsi="楷体" w:eastAsia="仿宋_GB2312"/>
        </w:rPr>
        <w:br w:type="page"/>
      </w:r>
      <w:r>
        <w:rPr>
          <w:rFonts w:hint="eastAsia" w:ascii="仿宋_GB2312" w:hAnsi="楷体" w:eastAsia="仿宋_GB2312"/>
          <w:b/>
          <w:sz w:val="28"/>
          <w:szCs w:val="28"/>
        </w:rPr>
        <w:t>第三部分  合同专用条款</w:t>
      </w:r>
    </w:p>
    <w:p w14:paraId="426751A7">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4674C914">
      <w:pPr>
        <w:spacing w:line="360" w:lineRule="auto"/>
        <w:ind w:firstLine="480" w:firstLineChars="200"/>
        <w:rPr>
          <w:rFonts w:ascii="仿宋_GB2312" w:hAnsi="楷体" w:eastAsia="仿宋_GB2312"/>
          <w:sz w:val="24"/>
        </w:rPr>
      </w:pPr>
      <w:r>
        <w:rPr>
          <w:rFonts w:ascii="仿宋_GB2312" w:hAnsi="楷体" w:eastAsia="仿宋_GB2312"/>
          <w:sz w:val="24"/>
        </w:rPr>
        <w:t>3</w:t>
      </w:r>
      <w:r>
        <w:rPr>
          <w:rFonts w:hint="eastAsia" w:ascii="仿宋_GB2312" w:hAnsi="楷体" w:eastAsia="仿宋_GB2312"/>
          <w:sz w:val="24"/>
        </w:rPr>
        <w:t>.</w:t>
      </w:r>
      <w:r>
        <w:rPr>
          <w:rFonts w:ascii="仿宋_GB2312" w:hAnsi="楷体" w:eastAsia="仿宋_GB2312"/>
          <w:sz w:val="24"/>
        </w:rPr>
        <w:t>1</w:t>
      </w:r>
      <w:r>
        <w:rPr>
          <w:rFonts w:hint="eastAsia" w:ascii="仿宋_GB2312" w:hAnsi="楷体" w:eastAsia="仿宋_GB2312"/>
          <w:sz w:val="24"/>
        </w:rPr>
        <w:t>具有知识产权的标的物知识产权归属：</w:t>
      </w:r>
    </w:p>
    <w:p w14:paraId="135515F6">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 xml:space="preserve">南宁市自然资源局  </w:t>
      </w:r>
      <w:r>
        <w:rPr>
          <w:rFonts w:hint="eastAsia" w:ascii="仿宋_GB2312" w:hAnsi="楷体" w:eastAsia="仿宋_GB2312"/>
          <w:sz w:val="24"/>
          <w:u w:val="single"/>
        </w:rPr>
        <w:t xml:space="preserve">                           </w:t>
      </w:r>
      <w:r>
        <w:rPr>
          <w:rFonts w:hint="eastAsia" w:ascii="仿宋_GB2312" w:hAnsi="楷体" w:eastAsia="仿宋_GB2312"/>
          <w:sz w:val="24"/>
        </w:rPr>
        <w:t xml:space="preserve">           </w:t>
      </w:r>
    </w:p>
    <w:p w14:paraId="2CA8E6C8">
      <w:pPr>
        <w:spacing w:line="360" w:lineRule="auto"/>
        <w:ind w:firstLine="480" w:firstLineChars="200"/>
        <w:rPr>
          <w:rFonts w:ascii="仿宋_GB2312" w:hAnsi="楷体" w:eastAsia="仿宋_GB2312"/>
          <w:sz w:val="24"/>
        </w:rPr>
      </w:pPr>
      <w:r>
        <w:rPr>
          <w:rFonts w:ascii="仿宋_GB2312" w:hAnsi="楷体" w:eastAsia="仿宋_GB2312"/>
          <w:sz w:val="24"/>
        </w:rPr>
        <w:t>3</w:t>
      </w:r>
      <w:r>
        <w:rPr>
          <w:rFonts w:hint="eastAsia" w:ascii="仿宋_GB2312" w:hAnsi="楷体" w:eastAsia="仿宋_GB2312"/>
          <w:sz w:val="24"/>
        </w:rPr>
        <w:t>.</w:t>
      </w:r>
      <w:r>
        <w:rPr>
          <w:rFonts w:ascii="仿宋_GB2312" w:hAnsi="楷体" w:eastAsia="仿宋_GB2312"/>
          <w:sz w:val="24"/>
        </w:rPr>
        <w:t>2</w:t>
      </w:r>
      <w:r>
        <w:rPr>
          <w:rFonts w:hint="eastAsia" w:ascii="仿宋_GB2312" w:hAnsi="楷体" w:eastAsia="仿宋_GB2312"/>
          <w:sz w:val="24"/>
        </w:rPr>
        <w:t>包装和装运专用条款（如果有）：</w:t>
      </w:r>
    </w:p>
    <w:p w14:paraId="0F3AD219">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无                                             </w:t>
      </w:r>
    </w:p>
    <w:p w14:paraId="22033E1C">
      <w:pPr>
        <w:spacing w:line="360" w:lineRule="auto"/>
        <w:ind w:firstLine="480" w:firstLineChars="200"/>
        <w:rPr>
          <w:rFonts w:ascii="仿宋_GB2312" w:hAnsi="楷体" w:eastAsia="仿宋_GB2312"/>
          <w:sz w:val="24"/>
        </w:rPr>
      </w:pPr>
      <w:r>
        <w:rPr>
          <w:rFonts w:ascii="仿宋_GB2312" w:hAnsi="楷体" w:eastAsia="仿宋_GB2312"/>
          <w:sz w:val="24"/>
        </w:rPr>
        <w:t>3.3</w:t>
      </w:r>
      <w:r>
        <w:rPr>
          <w:rFonts w:hint="eastAsia" w:ascii="仿宋_GB2312" w:hAnsi="楷体" w:eastAsia="仿宋_GB2312"/>
          <w:sz w:val="24"/>
        </w:rPr>
        <w:t>装运标的物的要求和通知：</w:t>
      </w:r>
    </w:p>
    <w:p w14:paraId="684E759E">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 xml:space="preserve">     无                                             </w:t>
      </w:r>
    </w:p>
    <w:p w14:paraId="5FDD80FE">
      <w:pPr>
        <w:spacing w:line="360" w:lineRule="auto"/>
        <w:ind w:firstLine="480" w:firstLineChars="200"/>
        <w:rPr>
          <w:rFonts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0ACB9A30">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本次项目合同总价为大写人民币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lang w:val="zh-CN"/>
        </w:rPr>
        <w:t>￥    元）。</w:t>
      </w:r>
    </w:p>
    <w:p w14:paraId="2628BD90">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本项目采用以下勾选结算方式进行支付：</w:t>
      </w:r>
    </w:p>
    <w:p w14:paraId="010FC51E">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□采用一次性支付方式，付款条件为：</w:t>
      </w:r>
      <w:r>
        <w:rPr>
          <w:rFonts w:hint="eastAsia" w:ascii="仿宋_GB2312" w:eastAsia="仿宋_GB2312" w:cs="仿宋_GB2312"/>
          <w:kern w:val="0"/>
          <w:sz w:val="24"/>
          <w:u w:val="single"/>
        </w:rPr>
        <w:t xml:space="preserve">           </w:t>
      </w:r>
    </w:p>
    <w:p w14:paraId="0F2E1D2C">
      <w:pPr>
        <w:spacing w:line="360" w:lineRule="auto"/>
        <w:ind w:firstLine="420" w:firstLineChars="200"/>
        <w:rPr>
          <w:rFonts w:hint="eastAsia" w:ascii="仿宋_GB2312" w:eastAsia="仿宋_GB2312" w:cs="仿宋_GB2312"/>
          <w:kern w:val="0"/>
          <w:sz w:val="24"/>
          <w:highlight w:val="none"/>
        </w:rPr>
      </w:pPr>
      <w:r>
        <w:rPr>
          <w:rFonts w:ascii="MS Gothic" w:hAnsi="MS Gothic" w:eastAsia="MS Gothic" w:cs="MS Gothic"/>
          <w:color w:val="000000"/>
          <w:szCs w:val="21"/>
        </w:rPr>
        <w:t>☑</w:t>
      </w:r>
      <w:r>
        <w:rPr>
          <w:rFonts w:hint="eastAsia" w:ascii="仿宋_GB2312" w:eastAsia="仿宋_GB2312" w:cs="仿宋_GB2312"/>
          <w:kern w:val="0"/>
          <w:sz w:val="24"/>
          <w:lang w:val="zh-CN"/>
        </w:rPr>
        <w:t>采用分期付款方式，付款条件为</w:t>
      </w:r>
      <w:r>
        <w:rPr>
          <w:rFonts w:hint="eastAsia" w:ascii="仿宋_GB2312" w:eastAsia="仿宋_GB2312" w:cs="仿宋_GB2312"/>
          <w:kern w:val="0"/>
          <w:sz w:val="24"/>
          <w:highlight w:val="none"/>
        </w:rPr>
        <w:t>：本项目无预付款，按项目进度分四次支付合同款，具体如下：</w:t>
      </w:r>
    </w:p>
    <w:p w14:paraId="35113AC5">
      <w:pPr>
        <w:spacing w:line="360" w:lineRule="auto"/>
        <w:ind w:firstLine="480" w:firstLineChars="200"/>
        <w:rPr>
          <w:rFonts w:hint="eastAsia" w:ascii="仿宋_GB2312" w:eastAsia="仿宋_GB2312" w:cs="仿宋_GB2312"/>
          <w:kern w:val="0"/>
          <w:sz w:val="24"/>
          <w:highlight w:val="none"/>
        </w:rPr>
      </w:pPr>
      <w:r>
        <w:rPr>
          <w:rFonts w:hint="eastAsia" w:ascii="仿宋_GB2312" w:eastAsia="仿宋_GB2312" w:cs="仿宋_GB2312"/>
          <w:kern w:val="0"/>
          <w:sz w:val="24"/>
          <w:highlight w:val="none"/>
        </w:rPr>
        <w:t>第一次付款：提交规划中期成果，通过中期成果评审会审查，经</w:t>
      </w:r>
      <w:r>
        <w:rPr>
          <w:rFonts w:hint="eastAsia" w:ascii="仿宋_GB2312" w:eastAsia="仿宋_GB2312" w:cs="仿宋_GB2312"/>
          <w:kern w:val="0"/>
          <w:sz w:val="24"/>
          <w:highlight w:val="none"/>
          <w:lang w:val="en-US" w:eastAsia="zh-CN"/>
        </w:rPr>
        <w:t>甲方</w:t>
      </w:r>
      <w:r>
        <w:rPr>
          <w:rFonts w:hint="eastAsia" w:ascii="仿宋_GB2312" w:eastAsia="仿宋_GB2312" w:cs="仿宋_GB2312"/>
          <w:kern w:val="0"/>
          <w:sz w:val="24"/>
          <w:highlight w:val="none"/>
        </w:rPr>
        <w:t>确认，付合同款的40%；</w:t>
      </w:r>
    </w:p>
    <w:p w14:paraId="6CD27423">
      <w:pPr>
        <w:spacing w:line="360" w:lineRule="auto"/>
        <w:ind w:firstLine="480" w:firstLineChars="200"/>
        <w:rPr>
          <w:rFonts w:hint="eastAsia" w:ascii="仿宋_GB2312" w:eastAsia="仿宋_GB2312" w:cs="仿宋_GB2312"/>
          <w:kern w:val="0"/>
          <w:sz w:val="24"/>
          <w:highlight w:val="none"/>
        </w:rPr>
      </w:pPr>
      <w:r>
        <w:rPr>
          <w:rFonts w:hint="eastAsia" w:ascii="仿宋_GB2312" w:eastAsia="仿宋_GB2312" w:cs="仿宋_GB2312"/>
          <w:kern w:val="0"/>
          <w:sz w:val="24"/>
          <w:highlight w:val="none"/>
        </w:rPr>
        <w:t>第二次付款：提交规划成果，通过南宁市城市规划和自然资源专项委员会</w:t>
      </w:r>
      <w:r>
        <w:rPr>
          <w:rFonts w:hint="eastAsia" w:ascii="仿宋_GB2312" w:hAnsi="楷体" w:eastAsia="仿宋_GB2312"/>
          <w:color w:val="0D0D0D"/>
          <w:sz w:val="24"/>
        </w:rPr>
        <w:t>审查</w:t>
      </w:r>
      <w:r>
        <w:rPr>
          <w:rFonts w:hint="eastAsia" w:ascii="仿宋_GB2312" w:eastAsia="仿宋_GB2312" w:cs="仿宋_GB2312"/>
          <w:kern w:val="0"/>
          <w:sz w:val="24"/>
          <w:highlight w:val="none"/>
        </w:rPr>
        <w:t>，经</w:t>
      </w:r>
      <w:r>
        <w:rPr>
          <w:rFonts w:hint="eastAsia" w:ascii="仿宋_GB2312" w:eastAsia="仿宋_GB2312" w:cs="仿宋_GB2312"/>
          <w:kern w:val="0"/>
          <w:sz w:val="24"/>
          <w:highlight w:val="none"/>
          <w:lang w:val="en-US" w:eastAsia="zh-CN"/>
        </w:rPr>
        <w:t>甲方</w:t>
      </w:r>
      <w:r>
        <w:rPr>
          <w:rFonts w:hint="eastAsia" w:ascii="仿宋_GB2312" w:eastAsia="仿宋_GB2312" w:cs="仿宋_GB2312"/>
          <w:kern w:val="0"/>
          <w:sz w:val="24"/>
          <w:highlight w:val="none"/>
        </w:rPr>
        <w:t>确认，付合同款的30%；</w:t>
      </w:r>
    </w:p>
    <w:p w14:paraId="384218CA">
      <w:pPr>
        <w:spacing w:line="360" w:lineRule="auto"/>
        <w:ind w:firstLine="480" w:firstLineChars="200"/>
        <w:rPr>
          <w:rFonts w:hint="eastAsia" w:ascii="仿宋_GB2312" w:eastAsia="仿宋_GB2312" w:cs="仿宋_GB2312"/>
          <w:kern w:val="0"/>
          <w:sz w:val="24"/>
          <w:highlight w:val="none"/>
        </w:rPr>
      </w:pPr>
      <w:r>
        <w:rPr>
          <w:rFonts w:hint="eastAsia" w:ascii="仿宋_GB2312" w:eastAsia="仿宋_GB2312" w:cs="仿宋_GB2312"/>
          <w:kern w:val="0"/>
          <w:sz w:val="24"/>
          <w:highlight w:val="none"/>
        </w:rPr>
        <w:t>第三次付款：获得市人民政府批复并提交最终成果，经</w:t>
      </w:r>
      <w:r>
        <w:rPr>
          <w:rFonts w:hint="eastAsia" w:ascii="仿宋_GB2312" w:eastAsia="仿宋_GB2312" w:cs="仿宋_GB2312"/>
          <w:kern w:val="0"/>
          <w:sz w:val="24"/>
          <w:highlight w:val="none"/>
          <w:lang w:val="en-US" w:eastAsia="zh-CN"/>
        </w:rPr>
        <w:t>甲方</w:t>
      </w:r>
      <w:r>
        <w:rPr>
          <w:rFonts w:hint="eastAsia" w:ascii="仿宋_GB2312" w:eastAsia="仿宋_GB2312" w:cs="仿宋_GB2312"/>
          <w:kern w:val="0"/>
          <w:sz w:val="24"/>
          <w:highlight w:val="none"/>
        </w:rPr>
        <w:t>确认，付合同款的20%。</w:t>
      </w:r>
    </w:p>
    <w:p w14:paraId="2187170E">
      <w:pPr>
        <w:spacing w:line="360" w:lineRule="auto"/>
        <w:ind w:firstLine="480" w:firstLineChars="200"/>
        <w:rPr>
          <w:rFonts w:hint="eastAsia" w:ascii="仿宋_GB2312" w:eastAsia="仿宋_GB2312" w:cs="仿宋_GB2312"/>
          <w:kern w:val="0"/>
          <w:sz w:val="24"/>
          <w:highlight w:val="none"/>
        </w:rPr>
      </w:pPr>
      <w:r>
        <w:rPr>
          <w:rFonts w:hint="eastAsia" w:ascii="仿宋_GB2312" w:eastAsia="仿宋_GB2312" w:cs="仿宋_GB2312"/>
          <w:kern w:val="0"/>
          <w:sz w:val="24"/>
          <w:highlight w:val="none"/>
        </w:rPr>
        <w:t>第四次付款：规划成果使用中未发现有重大错误，获得市人民政府批复满1年后，经</w:t>
      </w:r>
      <w:r>
        <w:rPr>
          <w:rFonts w:hint="eastAsia" w:ascii="仿宋_GB2312" w:eastAsia="仿宋_GB2312" w:cs="仿宋_GB2312"/>
          <w:kern w:val="0"/>
          <w:sz w:val="24"/>
          <w:highlight w:val="none"/>
          <w:lang w:val="en-US" w:eastAsia="zh-CN"/>
        </w:rPr>
        <w:t>甲方</w:t>
      </w:r>
      <w:r>
        <w:rPr>
          <w:rFonts w:hint="eastAsia" w:ascii="仿宋_GB2312" w:eastAsia="仿宋_GB2312" w:cs="仿宋_GB2312"/>
          <w:kern w:val="0"/>
          <w:sz w:val="24"/>
          <w:highlight w:val="none"/>
        </w:rPr>
        <w:t>确认，付合同款的10%。</w:t>
      </w:r>
    </w:p>
    <w:p w14:paraId="44491E6A">
      <w:pPr>
        <w:spacing w:line="360" w:lineRule="auto"/>
        <w:ind w:firstLine="480" w:firstLineChars="200"/>
        <w:rPr>
          <w:rFonts w:ascii="仿宋_GB2312" w:eastAsia="仿宋_GB2312" w:cs="仿宋_GB2312"/>
          <w:kern w:val="0"/>
          <w:sz w:val="24"/>
          <w:highlight w:val="yellow"/>
        </w:rPr>
      </w:pPr>
      <w:r>
        <w:rPr>
          <w:rFonts w:hint="eastAsia" w:ascii="仿宋_GB2312" w:eastAsia="仿宋_GB2312" w:cs="仿宋_GB2312"/>
          <w:kern w:val="0"/>
          <w:sz w:val="24"/>
          <w:highlight w:val="none"/>
        </w:rPr>
        <w:t>注：具体付费事宜，以最终合同确定为准。</w:t>
      </w:r>
    </w:p>
    <w:p w14:paraId="6E7BAC1A">
      <w:pPr>
        <w:spacing w:line="360" w:lineRule="auto"/>
        <w:ind w:firstLine="480" w:firstLineChars="200"/>
        <w:rPr>
          <w:rFonts w:ascii="仿宋_GB2312" w:hAnsi="楷体" w:eastAsia="仿宋_GB2312"/>
          <w:b/>
          <w:sz w:val="24"/>
        </w:rPr>
      </w:pPr>
      <w:r>
        <w:rPr>
          <w:rFonts w:ascii="仿宋_GB2312" w:hAnsi="楷体" w:eastAsia="仿宋_GB2312"/>
          <w:sz w:val="24"/>
        </w:rPr>
        <w:t>3</w:t>
      </w:r>
      <w:r>
        <w:rPr>
          <w:rFonts w:hint="eastAsia" w:ascii="仿宋_GB2312" w:hAnsi="楷体" w:eastAsia="仿宋_GB2312"/>
          <w:sz w:val="24"/>
        </w:rPr>
        <w:t>.</w:t>
      </w:r>
      <w:r>
        <w:rPr>
          <w:rFonts w:ascii="仿宋_GB2312" w:hAnsi="楷体" w:eastAsia="仿宋_GB2312"/>
          <w:sz w:val="24"/>
        </w:rPr>
        <w:t>5</w:t>
      </w:r>
      <w:r>
        <w:rPr>
          <w:rFonts w:hint="eastAsia" w:ascii="仿宋_GB2312" w:hAnsi="楷体" w:eastAsia="仿宋_GB2312"/>
          <w:b/>
          <w:sz w:val="24"/>
        </w:rPr>
        <w:t>标的物的风险负担</w:t>
      </w:r>
    </w:p>
    <w:p w14:paraId="73679F6C">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2AFA76F9">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乙方                                                  </w:t>
      </w:r>
    </w:p>
    <w:p w14:paraId="78301AED">
      <w:pPr>
        <w:spacing w:line="360" w:lineRule="auto"/>
        <w:ind w:firstLine="480" w:firstLineChars="200"/>
        <w:rPr>
          <w:rFonts w:ascii="仿宋_GB2312" w:hAnsi="楷体" w:eastAsia="仿宋_GB2312"/>
          <w:sz w:val="24"/>
        </w:rPr>
      </w:pPr>
      <w:r>
        <w:rPr>
          <w:rFonts w:ascii="仿宋_GB2312" w:hAnsi="楷体" w:eastAsia="仿宋_GB2312"/>
          <w:sz w:val="24"/>
        </w:rPr>
        <w:t>3</w:t>
      </w:r>
      <w:r>
        <w:rPr>
          <w:rFonts w:hint="eastAsia" w:ascii="仿宋_GB2312" w:hAnsi="楷体" w:eastAsia="仿宋_GB2312"/>
          <w:sz w:val="24"/>
        </w:rPr>
        <w:t>.</w:t>
      </w:r>
      <w:r>
        <w:rPr>
          <w:rFonts w:ascii="仿宋_GB2312" w:hAnsi="楷体" w:eastAsia="仿宋_GB2312"/>
          <w:sz w:val="24"/>
        </w:rPr>
        <w:t>5</w:t>
      </w:r>
      <w:r>
        <w:rPr>
          <w:rFonts w:hint="eastAsia" w:ascii="仿宋_GB2312" w:hAnsi="楷体" w:eastAsia="仿宋_GB2312"/>
          <w:sz w:val="24"/>
        </w:rPr>
        <w:t>.</w:t>
      </w:r>
      <w:r>
        <w:rPr>
          <w:rFonts w:ascii="仿宋_GB2312" w:hAnsi="楷体" w:eastAsia="仿宋_GB2312"/>
          <w:sz w:val="24"/>
        </w:rPr>
        <w:t>1</w:t>
      </w:r>
      <w:r>
        <w:rPr>
          <w:rFonts w:hint="eastAsia" w:ascii="仿宋_GB2312" w:hAnsi="楷体" w:eastAsia="仿宋_GB2312"/>
          <w:sz w:val="24"/>
        </w:rPr>
        <w:t>受不可抗力影响的一方在不可抗力发生后，应在</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仿宋" w:eastAsia="仿宋_GB2312"/>
          <w:sz w:val="24"/>
        </w:rPr>
        <w:t>（</w:t>
      </w:r>
      <w:r>
        <w:rPr>
          <w:rFonts w:hint="eastAsia" w:ascii="仿宋_GB2312" w:hAnsi="楷体" w:eastAsia="仿宋_GB2312"/>
          <w:sz w:val="24"/>
        </w:rPr>
        <w:t>根据项目实际填写）以书面形式通知对方当事人，并在</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日内，将有关部门出具的证明文件送达对方当事人。</w:t>
      </w:r>
    </w:p>
    <w:p w14:paraId="615A2E64">
      <w:pPr>
        <w:spacing w:line="360" w:lineRule="auto"/>
        <w:ind w:firstLine="480" w:firstLineChars="200"/>
        <w:rPr>
          <w:rFonts w:ascii="仿宋_GB2312" w:hAnsi="楷体" w:eastAsia="仿宋_GB2312"/>
          <w:sz w:val="24"/>
        </w:rPr>
      </w:pPr>
      <w:r>
        <w:rPr>
          <w:rFonts w:ascii="仿宋_GB2312" w:hAnsi="楷体" w:eastAsia="仿宋_GB2312"/>
          <w:sz w:val="24"/>
        </w:rPr>
        <w:t>3</w:t>
      </w:r>
      <w:r>
        <w:rPr>
          <w:rFonts w:hint="eastAsia" w:ascii="仿宋_GB2312" w:hAnsi="楷体" w:eastAsia="仿宋_GB2312"/>
          <w:sz w:val="24"/>
        </w:rPr>
        <w:t>.</w:t>
      </w:r>
      <w:r>
        <w:rPr>
          <w:rFonts w:ascii="仿宋_GB2312" w:hAnsi="楷体" w:eastAsia="仿宋_GB2312"/>
          <w:sz w:val="24"/>
        </w:rPr>
        <w:t>5</w:t>
      </w:r>
      <w:r>
        <w:rPr>
          <w:rFonts w:hint="eastAsia" w:ascii="仿宋_GB2312" w:hAnsi="楷体" w:eastAsia="仿宋_GB2312"/>
          <w:sz w:val="24"/>
        </w:rPr>
        <w:t>.</w:t>
      </w:r>
      <w:r>
        <w:rPr>
          <w:rFonts w:ascii="仿宋_GB2312" w:hAnsi="楷体" w:eastAsia="仿宋_GB2312"/>
          <w:sz w:val="24"/>
        </w:rPr>
        <w:t>2</w:t>
      </w:r>
      <w:r>
        <w:rPr>
          <w:rFonts w:hint="eastAsia" w:ascii="仿宋_GB2312" w:hAnsi="楷体" w:eastAsia="仿宋_GB2312"/>
          <w:sz w:val="24"/>
        </w:rPr>
        <w:t>因不可抗力致使合同有变更必要的，双方当事人应在</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仿宋" w:eastAsia="仿宋_GB2312"/>
          <w:sz w:val="24"/>
        </w:rPr>
        <w:t>（</w:t>
      </w:r>
      <w:r>
        <w:rPr>
          <w:rFonts w:hint="eastAsia" w:ascii="仿宋_GB2312" w:hAnsi="楷体" w:eastAsia="仿宋_GB2312"/>
          <w:sz w:val="24"/>
        </w:rPr>
        <w:t>根据项目实际填写）以书面形式变更合同；</w:t>
      </w:r>
    </w:p>
    <w:p w14:paraId="3479C0F0">
      <w:pPr>
        <w:spacing w:line="360" w:lineRule="auto"/>
        <w:ind w:firstLine="480" w:firstLineChars="200"/>
        <w:rPr>
          <w:rFonts w:ascii="仿宋_GB2312" w:hAnsi="楷体" w:eastAsia="仿宋_GB2312"/>
          <w:sz w:val="24"/>
        </w:rPr>
      </w:pPr>
      <w:r>
        <w:rPr>
          <w:rFonts w:ascii="仿宋_GB2312" w:hAnsi="楷体" w:eastAsia="仿宋_GB2312"/>
          <w:sz w:val="24"/>
        </w:rPr>
        <w:t>3.5.3</w:t>
      </w:r>
      <w:r>
        <w:rPr>
          <w:rFonts w:hint="eastAsia" w:ascii="仿宋_GB2312" w:hAnsi="楷体" w:eastAsia="仿宋_GB2312"/>
          <w:sz w:val="24"/>
        </w:rPr>
        <w:t xml:space="preserve"> 因不可抗力致使不能实现合同目的的，当事人协商解除合同，甲方应根据乙方实际已完成的工作量进行结算。若双方无法对已完成工作量的结算金额协商达成一致，双方协商由第三方审定，由乙方承担第三方审定费用。</w:t>
      </w:r>
    </w:p>
    <w:p w14:paraId="519E40D3">
      <w:pPr>
        <w:spacing w:line="360" w:lineRule="auto"/>
        <w:ind w:firstLine="480" w:firstLineChars="200"/>
        <w:rPr>
          <w:rFonts w:ascii="仿宋_GB2312" w:hAnsi="楷体" w:eastAsia="仿宋_GB2312"/>
          <w:sz w:val="24"/>
        </w:rPr>
      </w:pPr>
      <w:r>
        <w:rPr>
          <w:rFonts w:ascii="仿宋_GB2312" w:hAnsi="楷体" w:eastAsia="仿宋_GB2312"/>
          <w:sz w:val="24"/>
        </w:rPr>
        <w:t>3.5.4</w:t>
      </w:r>
      <w:r>
        <w:rPr>
          <w:rFonts w:hint="eastAsia" w:ascii="仿宋_GB2312" w:hAnsi="楷体" w:eastAsia="仿宋_GB2312"/>
          <w:sz w:val="24"/>
        </w:rPr>
        <w:t>标的物交付前，乙方应对标的物的质量、数量等方面进行详细、全面的检验，并向甲方出具证明标的物符合合同约定的文件；标的物交付时，乙方在</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仿宋" w:eastAsia="仿宋_GB2312"/>
          <w:sz w:val="24"/>
        </w:rPr>
        <w:t>（</w:t>
      </w:r>
      <w:r>
        <w:rPr>
          <w:rFonts w:hint="eastAsia" w:ascii="仿宋_GB2312" w:hAnsi="楷体" w:eastAsia="仿宋_GB2312"/>
          <w:sz w:val="24"/>
        </w:rPr>
        <w:t>根据项目实际填写）</w:t>
      </w:r>
      <w:r>
        <w:rPr>
          <w:rFonts w:hint="eastAsia" w:ascii="仿宋_GB2312" w:hAnsi="楷体" w:eastAsia="仿宋_GB2312"/>
          <w:sz w:val="24"/>
          <w:lang w:val="en-US" w:eastAsia="zh-CN"/>
        </w:rPr>
        <w:t>发</w:t>
      </w:r>
      <w:r>
        <w:rPr>
          <w:rFonts w:hint="eastAsia" w:ascii="仿宋_GB2312" w:hAnsi="楷体" w:eastAsia="仿宋_GB2312"/>
          <w:sz w:val="24"/>
        </w:rPr>
        <w:t>起验收，并可依法邀请相关方参加，验收应出具验收书。</w:t>
      </w:r>
    </w:p>
    <w:p w14:paraId="22B88A1D">
      <w:pPr>
        <w:spacing w:line="360" w:lineRule="auto"/>
        <w:ind w:firstLine="480" w:firstLineChars="200"/>
        <w:rPr>
          <w:rFonts w:ascii="仿宋_GB2312" w:hAnsi="楷体" w:eastAsia="仿宋_GB2312"/>
          <w:sz w:val="24"/>
        </w:rPr>
      </w:pPr>
      <w:r>
        <w:rPr>
          <w:rFonts w:ascii="仿宋_GB2312" w:hAnsi="楷体" w:eastAsia="仿宋_GB2312"/>
          <w:sz w:val="24"/>
        </w:rPr>
        <w:t>3.5.5</w:t>
      </w:r>
      <w:r>
        <w:rPr>
          <w:rFonts w:hint="eastAsia" w:ascii="仿宋_GB2312" w:hAnsi="楷体" w:eastAsia="仿宋_GB2312"/>
          <w:sz w:val="24"/>
        </w:rPr>
        <w:t xml:space="preserve"> 检验和验收标准、程序等具体内容以及前述验收书的效力：</w:t>
      </w:r>
    </w:p>
    <w:p w14:paraId="1DCFFA55">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w:t>
      </w:r>
      <w:r>
        <w:rPr>
          <w:rFonts w:hint="eastAsia" w:ascii="仿宋_GB2312" w:hAnsi="楷体" w:eastAsia="仿宋_GB2312"/>
          <w:sz w:val="24"/>
          <w:u w:val="single"/>
          <w:lang w:val="en-US" w:eastAsia="zh-CN"/>
        </w:rPr>
        <w:t>/</w:t>
      </w:r>
      <w:r>
        <w:rPr>
          <w:rFonts w:hint="eastAsia" w:ascii="仿宋_GB2312" w:hAnsi="楷体" w:eastAsia="仿宋_GB2312"/>
          <w:sz w:val="24"/>
          <w:u w:val="single"/>
        </w:rPr>
        <w:t xml:space="preserve">                                      </w:t>
      </w:r>
    </w:p>
    <w:p w14:paraId="27E04EE7">
      <w:pPr>
        <w:spacing w:line="360" w:lineRule="auto"/>
        <w:ind w:firstLine="480" w:firstLineChars="200"/>
        <w:rPr>
          <w:rFonts w:ascii="仿宋_GB2312" w:hAnsi="楷体" w:eastAsia="仿宋_GB2312"/>
          <w:sz w:val="24"/>
        </w:rPr>
      </w:pPr>
      <w:r>
        <w:rPr>
          <w:rFonts w:hint="eastAsia" w:ascii="仿宋_GB2312" w:hAnsi="楷体" w:eastAsia="仿宋_GB2312"/>
          <w:sz w:val="24"/>
        </w:rPr>
        <w:t>3.</w:t>
      </w:r>
      <w:r>
        <w:rPr>
          <w:rFonts w:ascii="仿宋_GB2312" w:hAnsi="楷体" w:eastAsia="仿宋_GB2312"/>
          <w:sz w:val="24"/>
        </w:rPr>
        <w:t>6</w:t>
      </w:r>
      <w:r>
        <w:rPr>
          <w:rFonts w:hint="eastAsia" w:ascii="仿宋_GB2312" w:hAnsi="楷体" w:eastAsia="仿宋_GB2312"/>
          <w:sz w:val="24"/>
        </w:rPr>
        <w:t xml:space="preserve"> 其他：</w:t>
      </w:r>
    </w:p>
    <w:p w14:paraId="52F04733">
      <w:pPr>
        <w:spacing w:line="360" w:lineRule="auto"/>
        <w:ind w:firstLine="482" w:firstLineChars="200"/>
        <w:rPr>
          <w:rFonts w:ascii="仿宋" w:hAnsi="仿宋" w:eastAsia="仿宋" w:cs="仿宋"/>
          <w:b/>
          <w:sz w:val="24"/>
        </w:rPr>
      </w:pPr>
      <w:r>
        <w:rPr>
          <w:rFonts w:hint="eastAsia" w:ascii="仿宋" w:hAnsi="仿宋" w:eastAsia="仿宋" w:cs="仿宋"/>
          <w:b/>
          <w:sz w:val="24"/>
        </w:rPr>
        <w:t>项目验收：</w:t>
      </w:r>
    </w:p>
    <w:p w14:paraId="2EFC190B">
      <w:pPr>
        <w:spacing w:line="360" w:lineRule="auto"/>
        <w:ind w:firstLine="480" w:firstLineChars="200"/>
        <w:rPr>
          <w:rFonts w:ascii="仿宋" w:hAnsi="仿宋" w:eastAsia="仿宋" w:cs="仿宋"/>
          <w:kern w:val="0"/>
          <w:sz w:val="24"/>
        </w:rPr>
      </w:pPr>
      <w:r>
        <w:rPr>
          <w:rFonts w:ascii="仿宋" w:hAnsi="仿宋" w:eastAsia="仿宋" w:cs="仿宋"/>
          <w:kern w:val="0"/>
          <w:sz w:val="24"/>
        </w:rPr>
        <w:t>3.6.1</w:t>
      </w:r>
      <w:r>
        <w:rPr>
          <w:rFonts w:hint="eastAsia" w:ascii="仿宋" w:hAnsi="仿宋" w:eastAsia="仿宋" w:cs="仿宋"/>
          <w:kern w:val="0"/>
          <w:sz w:val="24"/>
        </w:rPr>
        <w:t xml:space="preserve"> 甲方参照《南宁市政府采购投标人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3CD0853D">
      <w:pPr>
        <w:spacing w:line="360" w:lineRule="auto"/>
        <w:ind w:firstLine="480" w:firstLineChars="200"/>
        <w:rPr>
          <w:rFonts w:ascii="仿宋" w:hAnsi="仿宋" w:eastAsia="仿宋" w:cs="仿宋"/>
          <w:kern w:val="0"/>
          <w:sz w:val="24"/>
        </w:rPr>
      </w:pPr>
      <w:r>
        <w:rPr>
          <w:rFonts w:ascii="仿宋" w:hAnsi="仿宋" w:eastAsia="仿宋" w:cs="仿宋"/>
          <w:kern w:val="0"/>
          <w:sz w:val="24"/>
        </w:rPr>
        <w:t xml:space="preserve">3.6.2 </w:t>
      </w:r>
      <w:r>
        <w:rPr>
          <w:rFonts w:hint="eastAsia" w:ascii="仿宋" w:hAnsi="仿宋" w:eastAsia="仿宋" w:cs="仿宋"/>
          <w:kern w:val="0"/>
          <w:sz w:val="24"/>
        </w:rPr>
        <w:t>严格按照采购合同开展履约验收。甲方成立验收小组，按照采购合同的约定对投标人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BAF6389">
      <w:pPr>
        <w:spacing w:line="360" w:lineRule="auto"/>
        <w:ind w:firstLine="480" w:firstLineChars="200"/>
        <w:rPr>
          <w:rFonts w:ascii="仿宋" w:hAnsi="仿宋" w:eastAsia="仿宋" w:cs="仿宋"/>
          <w:kern w:val="0"/>
          <w:sz w:val="24"/>
        </w:rPr>
      </w:pPr>
      <w:r>
        <w:rPr>
          <w:rFonts w:ascii="仿宋" w:hAnsi="仿宋" w:eastAsia="仿宋" w:cs="仿宋"/>
          <w:kern w:val="0"/>
          <w:sz w:val="24"/>
        </w:rPr>
        <w:t>3.6.3</w:t>
      </w:r>
      <w:r>
        <w:rPr>
          <w:rFonts w:hint="eastAsia" w:ascii="仿宋" w:hAnsi="仿宋" w:eastAsia="仿宋" w:cs="仿宋"/>
          <w:kern w:val="0"/>
          <w:sz w:val="24"/>
        </w:rPr>
        <w:t>验收合格的项目，甲方将根据采购合同的约定及时向投标人支付采购资金。验收不合格的项目，甲方将依法及时处理。采购合同的履行、违约责任和解决争议的方式等适用《中华人民共和国民法典》，并按照《合同书》约定执行。</w:t>
      </w:r>
    </w:p>
    <w:p w14:paraId="6FF3932C">
      <w:pPr>
        <w:spacing w:line="360" w:lineRule="auto"/>
        <w:ind w:firstLine="480" w:firstLineChars="200"/>
        <w:rPr>
          <w:rFonts w:ascii="仿宋" w:hAnsi="仿宋" w:eastAsia="仿宋" w:cs="仿宋"/>
          <w:kern w:val="0"/>
          <w:sz w:val="24"/>
        </w:rPr>
      </w:pPr>
      <w:r>
        <w:rPr>
          <w:rFonts w:ascii="仿宋" w:hAnsi="仿宋" w:eastAsia="仿宋" w:cs="仿宋"/>
          <w:kern w:val="0"/>
          <w:sz w:val="24"/>
        </w:rPr>
        <w:t>3.6.4</w:t>
      </w:r>
      <w:r>
        <w:rPr>
          <w:rFonts w:hint="eastAsia" w:ascii="仿宋" w:hAnsi="仿宋" w:eastAsia="仿宋" w:cs="仿宋"/>
          <w:kern w:val="0"/>
          <w:sz w:val="24"/>
        </w:rPr>
        <w:t>验收产生的费用由乙方承担。</w:t>
      </w:r>
    </w:p>
    <w:p w14:paraId="6A8DD813">
      <w:pPr>
        <w:spacing w:line="360" w:lineRule="auto"/>
        <w:ind w:firstLine="480" w:firstLineChars="200"/>
        <w:rPr>
          <w:rFonts w:ascii="仿宋" w:hAnsi="仿宋" w:eastAsia="仿宋" w:cs="仿宋"/>
          <w:sz w:val="24"/>
        </w:rPr>
      </w:pPr>
      <w:r>
        <w:rPr>
          <w:rFonts w:ascii="仿宋" w:hAnsi="仿宋" w:eastAsia="仿宋" w:cs="仿宋"/>
          <w:sz w:val="24"/>
        </w:rPr>
        <w:t>3.6.5</w:t>
      </w:r>
      <w:r>
        <w:rPr>
          <w:rFonts w:hint="eastAsia" w:ascii="仿宋" w:hAnsi="仿宋" w:eastAsia="仿宋" w:cs="仿宋"/>
          <w:sz w:val="24"/>
        </w:rPr>
        <w:t>验收内容及资料要求：</w:t>
      </w:r>
    </w:p>
    <w:p w14:paraId="3EFB0C36">
      <w:pPr>
        <w:spacing w:line="360" w:lineRule="auto"/>
        <w:ind w:firstLine="480" w:firstLineChars="200"/>
        <w:rPr>
          <w:rFonts w:ascii="仿宋" w:hAnsi="仿宋" w:eastAsia="仿宋" w:cs="仿宋"/>
          <w:sz w:val="24"/>
        </w:rPr>
      </w:pPr>
      <w:r>
        <w:rPr>
          <w:rFonts w:hint="eastAsia" w:ascii="仿宋" w:hAnsi="仿宋" w:eastAsia="仿宋" w:cs="仿宋"/>
          <w:sz w:val="24"/>
        </w:rPr>
        <w:t>根据招标文件确定的技术指标或者服务要求确定验收指标和标准。未进行相应约定的，应当符合国家强制性规定、政策要求、安全标准、行业或企业有关标准等。</w:t>
      </w:r>
    </w:p>
    <w:p w14:paraId="122E5997">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）验收内容</w:t>
      </w:r>
    </w:p>
    <w:tbl>
      <w:tblPr>
        <w:tblStyle w:val="35"/>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775"/>
        <w:gridCol w:w="5069"/>
      </w:tblGrid>
      <w:tr w14:paraId="6217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3224EF79">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序号</w:t>
            </w:r>
          </w:p>
        </w:tc>
        <w:tc>
          <w:tcPr>
            <w:tcW w:w="2775" w:type="dxa"/>
            <w:tcBorders>
              <w:top w:val="single" w:color="auto" w:sz="4" w:space="0"/>
              <w:left w:val="single" w:color="auto" w:sz="4" w:space="0"/>
              <w:bottom w:val="single" w:color="auto" w:sz="4" w:space="0"/>
              <w:right w:val="single" w:color="auto" w:sz="4" w:space="0"/>
            </w:tcBorders>
            <w:vAlign w:val="center"/>
          </w:tcPr>
          <w:p w14:paraId="692FAB17">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验收内容</w:t>
            </w:r>
          </w:p>
        </w:tc>
        <w:tc>
          <w:tcPr>
            <w:tcW w:w="5069" w:type="dxa"/>
            <w:tcBorders>
              <w:top w:val="single" w:color="auto" w:sz="4" w:space="0"/>
              <w:left w:val="single" w:color="auto" w:sz="4" w:space="0"/>
              <w:bottom w:val="single" w:color="auto" w:sz="4" w:space="0"/>
              <w:right w:val="single" w:color="auto" w:sz="4" w:space="0"/>
            </w:tcBorders>
            <w:vAlign w:val="center"/>
          </w:tcPr>
          <w:p w14:paraId="38292D7F">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 xml:space="preserve"> 验收标准</w:t>
            </w:r>
          </w:p>
        </w:tc>
      </w:tr>
      <w:tr w14:paraId="435F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6DDB76B3">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1</w:t>
            </w:r>
          </w:p>
        </w:tc>
        <w:tc>
          <w:tcPr>
            <w:tcW w:w="2775" w:type="dxa"/>
            <w:tcBorders>
              <w:top w:val="single" w:color="auto" w:sz="4" w:space="0"/>
              <w:left w:val="single" w:color="auto" w:sz="4" w:space="0"/>
              <w:bottom w:val="single" w:color="auto" w:sz="4" w:space="0"/>
              <w:right w:val="single" w:color="auto" w:sz="4" w:space="0"/>
            </w:tcBorders>
            <w:vAlign w:val="center"/>
          </w:tcPr>
          <w:p w14:paraId="3EFF6C8E">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交货产品数量</w:t>
            </w:r>
          </w:p>
        </w:tc>
        <w:tc>
          <w:tcPr>
            <w:tcW w:w="5069" w:type="dxa"/>
            <w:tcBorders>
              <w:top w:val="single" w:color="auto" w:sz="4" w:space="0"/>
              <w:left w:val="single" w:color="auto" w:sz="4" w:space="0"/>
              <w:bottom w:val="single" w:color="auto" w:sz="4" w:space="0"/>
              <w:right w:val="single" w:color="auto" w:sz="4" w:space="0"/>
            </w:tcBorders>
            <w:vAlign w:val="center"/>
          </w:tcPr>
          <w:p w14:paraId="6A030662">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按项目招标文件要求和投标（响应）文件执行</w:t>
            </w:r>
          </w:p>
        </w:tc>
      </w:tr>
      <w:tr w14:paraId="051E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36849C74">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2</w:t>
            </w:r>
          </w:p>
        </w:tc>
        <w:tc>
          <w:tcPr>
            <w:tcW w:w="2775" w:type="dxa"/>
            <w:tcBorders>
              <w:top w:val="single" w:color="auto" w:sz="4" w:space="0"/>
              <w:left w:val="single" w:color="auto" w:sz="4" w:space="0"/>
              <w:bottom w:val="single" w:color="auto" w:sz="4" w:space="0"/>
              <w:right w:val="single" w:color="auto" w:sz="4" w:space="0"/>
            </w:tcBorders>
            <w:vAlign w:val="center"/>
          </w:tcPr>
          <w:p w14:paraId="5ABC0D26">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交货产品的质量文件</w:t>
            </w:r>
          </w:p>
        </w:tc>
        <w:tc>
          <w:tcPr>
            <w:tcW w:w="5069" w:type="dxa"/>
            <w:tcBorders>
              <w:top w:val="single" w:color="auto" w:sz="4" w:space="0"/>
              <w:left w:val="single" w:color="auto" w:sz="4" w:space="0"/>
              <w:bottom w:val="single" w:color="auto" w:sz="4" w:space="0"/>
              <w:right w:val="single" w:color="auto" w:sz="4" w:space="0"/>
            </w:tcBorders>
            <w:vAlign w:val="center"/>
          </w:tcPr>
          <w:p w14:paraId="4DA39015">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按项目招标文件要求和投标（响应）文件执行</w:t>
            </w:r>
          </w:p>
        </w:tc>
      </w:tr>
      <w:tr w14:paraId="26B8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585937A6">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3</w:t>
            </w:r>
          </w:p>
        </w:tc>
        <w:tc>
          <w:tcPr>
            <w:tcW w:w="2775" w:type="dxa"/>
            <w:tcBorders>
              <w:top w:val="single" w:color="auto" w:sz="4" w:space="0"/>
              <w:left w:val="single" w:color="auto" w:sz="4" w:space="0"/>
              <w:bottom w:val="single" w:color="auto" w:sz="4" w:space="0"/>
              <w:right w:val="single" w:color="auto" w:sz="4" w:space="0"/>
            </w:tcBorders>
            <w:vAlign w:val="center"/>
          </w:tcPr>
          <w:p w14:paraId="16EF2C54">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 xml:space="preserve">交货产品技术、性能指标 </w:t>
            </w:r>
          </w:p>
        </w:tc>
        <w:tc>
          <w:tcPr>
            <w:tcW w:w="5069" w:type="dxa"/>
            <w:tcBorders>
              <w:top w:val="single" w:color="auto" w:sz="4" w:space="0"/>
              <w:left w:val="single" w:color="auto" w:sz="4" w:space="0"/>
              <w:bottom w:val="single" w:color="auto" w:sz="4" w:space="0"/>
              <w:right w:val="single" w:color="auto" w:sz="4" w:space="0"/>
            </w:tcBorders>
            <w:vAlign w:val="center"/>
          </w:tcPr>
          <w:p w14:paraId="6BF7FF8E">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按项目招标文件要求和投标（响应）文件执行</w:t>
            </w:r>
          </w:p>
        </w:tc>
      </w:tr>
      <w:tr w14:paraId="4D7A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183B2CA3">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4</w:t>
            </w:r>
          </w:p>
        </w:tc>
        <w:tc>
          <w:tcPr>
            <w:tcW w:w="2775" w:type="dxa"/>
            <w:tcBorders>
              <w:top w:val="single" w:color="auto" w:sz="4" w:space="0"/>
              <w:left w:val="single" w:color="auto" w:sz="4" w:space="0"/>
              <w:bottom w:val="single" w:color="auto" w:sz="4" w:space="0"/>
              <w:right w:val="single" w:color="auto" w:sz="4" w:space="0"/>
            </w:tcBorders>
            <w:vAlign w:val="center"/>
          </w:tcPr>
          <w:p w14:paraId="143BC608">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售后服务承诺</w:t>
            </w:r>
          </w:p>
        </w:tc>
        <w:tc>
          <w:tcPr>
            <w:tcW w:w="5069" w:type="dxa"/>
            <w:tcBorders>
              <w:top w:val="single" w:color="auto" w:sz="4" w:space="0"/>
              <w:left w:val="single" w:color="auto" w:sz="4" w:space="0"/>
              <w:bottom w:val="single" w:color="auto" w:sz="4" w:space="0"/>
              <w:right w:val="single" w:color="auto" w:sz="4" w:space="0"/>
            </w:tcBorders>
            <w:vAlign w:val="center"/>
          </w:tcPr>
          <w:p w14:paraId="4486A7E9">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按项目招标文件要求和投标（响应）文件执行</w:t>
            </w:r>
          </w:p>
        </w:tc>
      </w:tr>
      <w:tr w14:paraId="0FF6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314" w:type="dxa"/>
            <w:tcBorders>
              <w:top w:val="single" w:color="auto" w:sz="4" w:space="0"/>
              <w:left w:val="single" w:color="auto" w:sz="4" w:space="0"/>
              <w:bottom w:val="single" w:color="auto" w:sz="4" w:space="0"/>
              <w:right w:val="single" w:color="auto" w:sz="4" w:space="0"/>
            </w:tcBorders>
            <w:vAlign w:val="center"/>
          </w:tcPr>
          <w:p w14:paraId="474935E1">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5</w:t>
            </w:r>
          </w:p>
        </w:tc>
        <w:tc>
          <w:tcPr>
            <w:tcW w:w="2775" w:type="dxa"/>
            <w:tcBorders>
              <w:top w:val="single" w:color="auto" w:sz="4" w:space="0"/>
              <w:left w:val="single" w:color="auto" w:sz="4" w:space="0"/>
              <w:bottom w:val="single" w:color="auto" w:sz="4" w:space="0"/>
              <w:right w:val="single" w:color="auto" w:sz="4" w:space="0"/>
            </w:tcBorders>
            <w:vAlign w:val="center"/>
          </w:tcPr>
          <w:p w14:paraId="5C7021BD">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其他工作</w:t>
            </w:r>
          </w:p>
        </w:tc>
        <w:tc>
          <w:tcPr>
            <w:tcW w:w="5069" w:type="dxa"/>
            <w:tcBorders>
              <w:top w:val="single" w:color="auto" w:sz="4" w:space="0"/>
              <w:left w:val="single" w:color="auto" w:sz="4" w:space="0"/>
              <w:bottom w:val="single" w:color="auto" w:sz="4" w:space="0"/>
              <w:right w:val="single" w:color="auto" w:sz="4" w:space="0"/>
            </w:tcBorders>
            <w:vAlign w:val="center"/>
          </w:tcPr>
          <w:p w14:paraId="4D04F8CD">
            <w:pPr>
              <w:widowControl/>
              <w:spacing w:line="360" w:lineRule="auto"/>
              <w:jc w:val="center"/>
              <w:rPr>
                <w:rFonts w:ascii="仿宋" w:hAnsi="仿宋" w:eastAsia="仿宋" w:cs="仿宋"/>
                <w:bCs/>
                <w:kern w:val="0"/>
                <w:sz w:val="24"/>
              </w:rPr>
            </w:pPr>
            <w:r>
              <w:rPr>
                <w:rFonts w:hint="eastAsia" w:ascii="仿宋" w:hAnsi="仿宋" w:eastAsia="仿宋" w:cs="仿宋"/>
                <w:bCs/>
                <w:kern w:val="0"/>
                <w:sz w:val="24"/>
              </w:rPr>
              <w:t>按项目招标文件要求和投标（响应）文件执行</w:t>
            </w:r>
          </w:p>
        </w:tc>
      </w:tr>
    </w:tbl>
    <w:p w14:paraId="1D0CE551">
      <w:pPr>
        <w:tabs>
          <w:tab w:val="left" w:pos="904"/>
        </w:tabs>
        <w:snapToGrid w:val="0"/>
        <w:spacing w:line="360" w:lineRule="auto"/>
        <w:ind w:firstLine="480" w:firstLineChars="200"/>
        <w:jc w:val="left"/>
        <w:rPr>
          <w:rFonts w:ascii="仿宋" w:hAnsi="仿宋" w:eastAsia="仿宋" w:cs="仿宋"/>
          <w:sz w:val="24"/>
        </w:rPr>
      </w:pPr>
    </w:p>
    <w:p w14:paraId="03F7F63E">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）验收资料要求</w:t>
      </w:r>
    </w:p>
    <w:p w14:paraId="530F27B6">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验收资料要求包括（不限于）以下内容：</w:t>
      </w:r>
    </w:p>
    <w:p w14:paraId="69FD80AE">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1）招标文件；</w:t>
      </w:r>
    </w:p>
    <w:p w14:paraId="3F57508E">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2）投标文件；</w:t>
      </w:r>
    </w:p>
    <w:p w14:paraId="6238B3BE">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3）采购合同；</w:t>
      </w:r>
    </w:p>
    <w:p w14:paraId="61D477DE">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4）其他需提供的相关材料。</w:t>
      </w:r>
    </w:p>
    <w:p w14:paraId="10AA794F">
      <w:pPr>
        <w:widowControl/>
        <w:ind w:firstLine="720" w:firstLineChars="300"/>
        <w:jc w:val="left"/>
        <w:rPr>
          <w:rFonts w:ascii="仿宋" w:hAnsi="仿宋" w:eastAsia="仿宋"/>
          <w:bCs/>
          <w:sz w:val="24"/>
        </w:rPr>
      </w:pPr>
    </w:p>
    <w:p w14:paraId="794AA6DD">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w:t>
      </w:r>
    </w:p>
    <w:p w14:paraId="6AACB5BB">
      <w:pPr>
        <w:rPr>
          <w:lang w:val="zh-CN"/>
        </w:rPr>
      </w:pPr>
    </w:p>
    <w:p w14:paraId="2D212E04"/>
    <w:p w14:paraId="0C430E4A"/>
    <w:p w14:paraId="4A51E3F0"/>
    <w:p w14:paraId="79A8A22F"/>
    <w:p w14:paraId="45B8D9EF">
      <w:pPr>
        <w:sectPr>
          <w:pgSz w:w="11906" w:h="16838"/>
          <w:pgMar w:top="1134" w:right="1134" w:bottom="1134" w:left="1134" w:header="720" w:footer="720" w:gutter="0"/>
          <w:cols w:space="720" w:num="1"/>
          <w:docGrid w:type="lines" w:linePitch="331" w:charSpace="0"/>
        </w:sectPr>
      </w:pPr>
    </w:p>
    <w:p w14:paraId="10098E20">
      <w:pPr>
        <w:spacing w:line="360" w:lineRule="auto"/>
        <w:ind w:left="178" w:leftChars="85"/>
        <w:rPr>
          <w:rFonts w:hAnsi="宋体"/>
        </w:rPr>
      </w:pPr>
    </w:p>
    <w:p w14:paraId="2D0BA293">
      <w:pPr>
        <w:tabs>
          <w:tab w:val="left" w:pos="2472"/>
        </w:tabs>
        <w:spacing w:line="460" w:lineRule="exact"/>
        <w:jc w:val="center"/>
        <w:rPr>
          <w:b/>
          <w:sz w:val="36"/>
        </w:rPr>
      </w:pPr>
    </w:p>
    <w:p w14:paraId="32D414C0">
      <w:pPr>
        <w:tabs>
          <w:tab w:val="left" w:pos="2472"/>
        </w:tabs>
        <w:spacing w:line="460" w:lineRule="exact"/>
        <w:jc w:val="center"/>
        <w:rPr>
          <w:b/>
          <w:sz w:val="36"/>
        </w:rPr>
      </w:pPr>
    </w:p>
    <w:p w14:paraId="1C2A219B">
      <w:pPr>
        <w:tabs>
          <w:tab w:val="left" w:pos="2472"/>
        </w:tabs>
        <w:spacing w:line="460" w:lineRule="exact"/>
        <w:jc w:val="center"/>
        <w:rPr>
          <w:b/>
          <w:sz w:val="36"/>
        </w:rPr>
      </w:pPr>
    </w:p>
    <w:p w14:paraId="7E47B03A">
      <w:pPr>
        <w:tabs>
          <w:tab w:val="left" w:pos="2472"/>
        </w:tabs>
        <w:spacing w:line="460" w:lineRule="exact"/>
        <w:jc w:val="center"/>
        <w:rPr>
          <w:b/>
          <w:sz w:val="36"/>
        </w:rPr>
      </w:pPr>
    </w:p>
    <w:p w14:paraId="56A49513">
      <w:pPr>
        <w:tabs>
          <w:tab w:val="left" w:pos="2472"/>
        </w:tabs>
        <w:spacing w:line="460" w:lineRule="exact"/>
        <w:jc w:val="center"/>
        <w:rPr>
          <w:b/>
          <w:sz w:val="36"/>
        </w:rPr>
      </w:pPr>
    </w:p>
    <w:p w14:paraId="63202AC7">
      <w:pPr>
        <w:tabs>
          <w:tab w:val="left" w:pos="2472"/>
        </w:tabs>
        <w:spacing w:line="460" w:lineRule="exact"/>
        <w:jc w:val="center"/>
        <w:rPr>
          <w:b/>
          <w:sz w:val="36"/>
        </w:rPr>
      </w:pPr>
    </w:p>
    <w:p w14:paraId="6F3EDE9F">
      <w:pPr>
        <w:tabs>
          <w:tab w:val="left" w:pos="2472"/>
        </w:tabs>
        <w:spacing w:line="460" w:lineRule="exact"/>
        <w:jc w:val="center"/>
        <w:rPr>
          <w:b/>
          <w:sz w:val="36"/>
        </w:rPr>
      </w:pPr>
    </w:p>
    <w:p w14:paraId="554E8711">
      <w:pPr>
        <w:tabs>
          <w:tab w:val="left" w:pos="2472"/>
        </w:tabs>
        <w:spacing w:line="460" w:lineRule="exact"/>
        <w:jc w:val="center"/>
        <w:rPr>
          <w:b/>
          <w:sz w:val="36"/>
        </w:rPr>
      </w:pPr>
    </w:p>
    <w:p w14:paraId="170A3239">
      <w:pPr>
        <w:tabs>
          <w:tab w:val="left" w:pos="2472"/>
        </w:tabs>
        <w:spacing w:line="460" w:lineRule="exact"/>
        <w:jc w:val="center"/>
        <w:rPr>
          <w:b/>
          <w:sz w:val="36"/>
        </w:rPr>
      </w:pPr>
    </w:p>
    <w:p w14:paraId="03A5A646">
      <w:pPr>
        <w:tabs>
          <w:tab w:val="left" w:pos="2472"/>
        </w:tabs>
        <w:spacing w:line="460" w:lineRule="exact"/>
        <w:jc w:val="center"/>
        <w:outlineLvl w:val="0"/>
        <w:rPr>
          <w:b/>
          <w:sz w:val="36"/>
        </w:rPr>
      </w:pPr>
      <w:bookmarkStart w:id="72" w:name="_Toc8426"/>
      <w:bookmarkStart w:id="73" w:name="_Toc31635"/>
      <w:r>
        <w:rPr>
          <w:rFonts w:hint="eastAsia"/>
          <w:b/>
          <w:sz w:val="36"/>
        </w:rPr>
        <w:t>第六章 投标文件格式</w:t>
      </w:r>
      <w:bookmarkEnd w:id="72"/>
      <w:bookmarkEnd w:id="73"/>
    </w:p>
    <w:p w14:paraId="297ECA01">
      <w:pPr>
        <w:spacing w:line="360" w:lineRule="auto"/>
        <w:rPr>
          <w:rFonts w:hAnsi="宋体"/>
        </w:rPr>
        <w:sectPr>
          <w:pgSz w:w="11906" w:h="16838"/>
          <w:pgMar w:top="1134" w:right="1134" w:bottom="1134" w:left="1134" w:header="720" w:footer="720" w:gutter="0"/>
          <w:cols w:space="720" w:num="1"/>
          <w:docGrid w:type="lines" w:linePitch="331" w:charSpace="0"/>
        </w:sectPr>
      </w:pPr>
    </w:p>
    <w:p w14:paraId="098CA9F8">
      <w:pPr>
        <w:jc w:val="center"/>
        <w:outlineLvl w:val="1"/>
        <w:rPr>
          <w:rFonts w:hAnsi="宋体"/>
          <w:b/>
          <w:bCs/>
          <w:sz w:val="28"/>
          <w:szCs w:val="28"/>
        </w:rPr>
      </w:pPr>
      <w:bookmarkStart w:id="74" w:name="_Toc16345"/>
      <w:bookmarkStart w:id="75" w:name="_Toc11007"/>
      <w:bookmarkStart w:id="76" w:name="_Toc25622"/>
      <w:r>
        <w:rPr>
          <w:rFonts w:hint="eastAsia" w:hAnsi="宋体"/>
          <w:b/>
          <w:bCs/>
          <w:sz w:val="28"/>
          <w:szCs w:val="28"/>
        </w:rPr>
        <w:t>第</w:t>
      </w:r>
      <w:r>
        <w:rPr>
          <w:rFonts w:hint="eastAsia" w:hAnsi="宋体"/>
          <w:b/>
          <w:bCs/>
          <w:sz w:val="28"/>
          <w:szCs w:val="28"/>
          <w:lang w:val="en-US" w:eastAsia="zh-CN"/>
        </w:rPr>
        <w:t>一</w:t>
      </w:r>
      <w:r>
        <w:rPr>
          <w:rFonts w:hint="eastAsia" w:hAnsi="宋体"/>
          <w:b/>
          <w:bCs/>
          <w:sz w:val="28"/>
          <w:szCs w:val="28"/>
        </w:rPr>
        <w:t>节 资格证明文件格式</w:t>
      </w:r>
      <w:bookmarkEnd w:id="74"/>
      <w:bookmarkEnd w:id="75"/>
      <w:bookmarkEnd w:id="76"/>
    </w:p>
    <w:p w14:paraId="77BF3AE1">
      <w:pPr>
        <w:spacing w:line="360" w:lineRule="auto"/>
        <w:ind w:firstLine="420"/>
        <w:rPr>
          <w:rFonts w:hAnsi="宋体"/>
          <w:sz w:val="30"/>
        </w:rPr>
      </w:pPr>
    </w:p>
    <w:p w14:paraId="63A871D5">
      <w:pPr>
        <w:snapToGrid w:val="0"/>
        <w:spacing w:before="165" w:beforeLines="50" w:after="50"/>
        <w:rPr>
          <w:rFonts w:ascii="宋体" w:hAnsi="宋体"/>
          <w:bCs/>
          <w:sz w:val="32"/>
          <w:szCs w:val="20"/>
        </w:rPr>
      </w:pPr>
      <w:r>
        <w:rPr>
          <w:rFonts w:hint="eastAsia" w:ascii="宋体" w:hAnsi="宋体"/>
          <w:sz w:val="24"/>
        </w:rPr>
        <w:t xml:space="preserve">                                                         </w:t>
      </w:r>
      <w:r>
        <w:rPr>
          <w:rFonts w:hint="eastAsia" w:ascii="宋体" w:hAnsi="宋体"/>
          <w:bCs/>
        </w:rPr>
        <w:t>电子投标文件</w:t>
      </w:r>
    </w:p>
    <w:p w14:paraId="1D24F9BA">
      <w:pPr>
        <w:snapToGrid w:val="0"/>
        <w:spacing w:before="165" w:beforeLines="50" w:after="50"/>
        <w:rPr>
          <w:rFonts w:ascii="宋体" w:hAnsi="宋体"/>
          <w:sz w:val="24"/>
          <w:szCs w:val="20"/>
        </w:rPr>
      </w:pPr>
    </w:p>
    <w:p w14:paraId="04196940">
      <w:pPr>
        <w:snapToGrid w:val="0"/>
        <w:spacing w:before="165" w:beforeLines="50" w:after="50"/>
        <w:jc w:val="center"/>
        <w:rPr>
          <w:rFonts w:ascii="宋体" w:hAnsi="宋体"/>
          <w:b/>
          <w:sz w:val="24"/>
          <w:szCs w:val="20"/>
        </w:rPr>
      </w:pPr>
      <w:r>
        <w:rPr>
          <w:rFonts w:hint="eastAsia" w:ascii="宋体" w:hAnsi="宋体"/>
          <w:b/>
          <w:sz w:val="32"/>
          <w:szCs w:val="32"/>
        </w:rPr>
        <w:t>资格证明文件（封面）</w:t>
      </w:r>
    </w:p>
    <w:p w14:paraId="391F391F">
      <w:pPr>
        <w:snapToGrid w:val="0"/>
        <w:spacing w:before="165" w:beforeLines="50" w:after="50"/>
        <w:rPr>
          <w:rFonts w:ascii="宋体" w:hAnsi="宋体"/>
          <w:bCs/>
          <w:sz w:val="24"/>
          <w:szCs w:val="20"/>
        </w:rPr>
      </w:pPr>
    </w:p>
    <w:p w14:paraId="733779B9">
      <w:pPr>
        <w:snapToGrid w:val="0"/>
        <w:spacing w:before="165" w:beforeLines="50" w:after="50"/>
        <w:rPr>
          <w:rFonts w:ascii="宋体" w:hAnsi="宋体"/>
          <w:bCs/>
          <w:sz w:val="24"/>
          <w:szCs w:val="20"/>
        </w:rPr>
      </w:pPr>
    </w:p>
    <w:p w14:paraId="2013885E">
      <w:pPr>
        <w:snapToGrid w:val="0"/>
        <w:spacing w:before="165" w:beforeLines="50" w:after="50"/>
        <w:rPr>
          <w:rFonts w:ascii="宋体" w:hAnsi="宋体"/>
          <w:bCs/>
          <w:sz w:val="24"/>
          <w:szCs w:val="20"/>
        </w:rPr>
      </w:pPr>
    </w:p>
    <w:p w14:paraId="2AE33DE9">
      <w:pPr>
        <w:snapToGrid w:val="0"/>
        <w:spacing w:before="165" w:beforeLines="50" w:after="50"/>
        <w:rPr>
          <w:rFonts w:ascii="宋体" w:hAnsi="宋体"/>
          <w:bCs/>
          <w:sz w:val="24"/>
          <w:szCs w:val="20"/>
        </w:rPr>
      </w:pPr>
    </w:p>
    <w:p w14:paraId="5B83DA39">
      <w:pPr>
        <w:snapToGrid w:val="0"/>
        <w:spacing w:before="165" w:beforeLines="50" w:after="50"/>
        <w:rPr>
          <w:rFonts w:ascii="宋体" w:hAnsi="宋体"/>
          <w:bCs/>
          <w:sz w:val="24"/>
          <w:szCs w:val="20"/>
        </w:rPr>
      </w:pPr>
    </w:p>
    <w:p w14:paraId="008ADFF2">
      <w:pPr>
        <w:snapToGrid w:val="0"/>
        <w:spacing w:before="165" w:beforeLines="50" w:after="50"/>
        <w:rPr>
          <w:rFonts w:ascii="宋体" w:hAnsi="宋体"/>
          <w:bCs/>
          <w:sz w:val="24"/>
          <w:szCs w:val="20"/>
        </w:rPr>
      </w:pPr>
    </w:p>
    <w:p w14:paraId="382233F6">
      <w:pPr>
        <w:snapToGrid w:val="0"/>
        <w:spacing w:before="165" w:beforeLines="50" w:after="50"/>
        <w:rPr>
          <w:rFonts w:ascii="宋体" w:hAnsi="宋体"/>
          <w:bCs/>
          <w:sz w:val="24"/>
          <w:szCs w:val="20"/>
        </w:rPr>
      </w:pPr>
    </w:p>
    <w:p w14:paraId="2188269F">
      <w:pPr>
        <w:snapToGrid w:val="0"/>
        <w:spacing w:before="165" w:beforeLines="50" w:after="50"/>
        <w:ind w:firstLine="540" w:firstLineChars="225"/>
        <w:rPr>
          <w:rFonts w:hint="eastAsia" w:ascii="宋体" w:hAnsi="宋体" w:eastAsia="宋体"/>
          <w:bCs/>
          <w:sz w:val="24"/>
          <w:lang w:eastAsia="zh-CN"/>
        </w:rPr>
      </w:pPr>
      <w:r>
        <w:rPr>
          <w:rFonts w:hint="eastAsia" w:ascii="宋体" w:hAnsi="宋体"/>
          <w:bCs/>
          <w:sz w:val="24"/>
        </w:rPr>
        <w:t>项目名称：</w:t>
      </w:r>
      <w:r>
        <w:rPr>
          <w:rFonts w:hint="eastAsia" w:ascii="宋体" w:hAnsi="宋体"/>
          <w:bCs/>
          <w:sz w:val="24"/>
          <w:lang w:eastAsia="zh-CN"/>
        </w:rPr>
        <w:t>《南宁市中心城区新城片区XC-01（桃源桥北）单元控制性详细规划及城市设计》修编</w:t>
      </w:r>
    </w:p>
    <w:p w14:paraId="3378E46B">
      <w:pPr>
        <w:snapToGrid w:val="0"/>
        <w:spacing w:before="165" w:beforeLines="50" w:after="50"/>
        <w:ind w:firstLine="540" w:firstLineChars="225"/>
        <w:rPr>
          <w:rFonts w:ascii="宋体" w:hAnsi="宋体"/>
          <w:bCs/>
          <w:sz w:val="24"/>
          <w:szCs w:val="20"/>
        </w:rPr>
      </w:pPr>
    </w:p>
    <w:p w14:paraId="6E85CBC7">
      <w:pPr>
        <w:snapToGrid w:val="0"/>
        <w:spacing w:before="165" w:beforeLines="50" w:after="50"/>
        <w:ind w:firstLine="540" w:firstLineChars="225"/>
        <w:rPr>
          <w:rFonts w:ascii="宋体" w:hAnsi="宋体"/>
          <w:bCs/>
          <w:sz w:val="24"/>
        </w:rPr>
      </w:pPr>
      <w:r>
        <w:rPr>
          <w:rFonts w:hint="eastAsia" w:ascii="宋体" w:hAnsi="宋体"/>
          <w:bCs/>
          <w:sz w:val="24"/>
        </w:rPr>
        <w:t>项目编号：</w:t>
      </w:r>
    </w:p>
    <w:p w14:paraId="70C4929F">
      <w:pPr>
        <w:snapToGrid w:val="0"/>
        <w:spacing w:before="165" w:beforeLines="50" w:after="50"/>
        <w:ind w:firstLine="540" w:firstLineChars="225"/>
        <w:rPr>
          <w:rFonts w:ascii="宋体" w:hAnsi="宋体"/>
          <w:bCs/>
          <w:sz w:val="24"/>
          <w:szCs w:val="20"/>
        </w:rPr>
      </w:pPr>
      <w:r>
        <w:rPr>
          <w:rFonts w:hint="eastAsia" w:ascii="宋体" w:hAnsi="宋体"/>
          <w:bCs/>
          <w:sz w:val="24"/>
        </w:rPr>
        <w:t xml:space="preserve"> </w:t>
      </w:r>
    </w:p>
    <w:p w14:paraId="6E2B88CE">
      <w:pPr>
        <w:snapToGrid w:val="0"/>
        <w:spacing w:before="165" w:beforeLines="50" w:after="50"/>
        <w:ind w:firstLine="540" w:firstLineChars="225"/>
        <w:rPr>
          <w:rFonts w:ascii="宋体" w:hAnsi="宋体"/>
          <w:bCs/>
          <w:sz w:val="24"/>
        </w:rPr>
      </w:pPr>
      <w:r>
        <w:rPr>
          <w:rFonts w:hint="eastAsia" w:ascii="宋体" w:hAnsi="宋体"/>
          <w:bCs/>
          <w:sz w:val="24"/>
        </w:rPr>
        <w:t>所投分标：</w:t>
      </w:r>
    </w:p>
    <w:p w14:paraId="25A7E764">
      <w:pPr>
        <w:snapToGrid w:val="0"/>
        <w:spacing w:before="50" w:after="50"/>
        <w:ind w:firstLine="540" w:firstLineChars="225"/>
        <w:rPr>
          <w:rFonts w:ascii="宋体" w:hAnsi="宋体"/>
          <w:bCs/>
          <w:sz w:val="24"/>
        </w:rPr>
      </w:pPr>
    </w:p>
    <w:p w14:paraId="56E3034E">
      <w:pPr>
        <w:snapToGrid w:val="0"/>
        <w:spacing w:before="50" w:after="50"/>
        <w:ind w:firstLine="540" w:firstLineChars="225"/>
        <w:rPr>
          <w:rFonts w:ascii="宋体" w:hAnsi="宋体"/>
          <w:bCs/>
          <w:sz w:val="24"/>
        </w:rPr>
      </w:pPr>
      <w:r>
        <w:rPr>
          <w:rFonts w:hint="eastAsia" w:ascii="宋体" w:hAnsi="宋体"/>
          <w:bCs/>
          <w:sz w:val="24"/>
        </w:rPr>
        <w:t>投标人名称：</w:t>
      </w:r>
    </w:p>
    <w:p w14:paraId="0D4FF7AE">
      <w:pPr>
        <w:snapToGrid w:val="0"/>
        <w:spacing w:before="50" w:after="50"/>
        <w:ind w:firstLine="540" w:firstLineChars="225"/>
        <w:rPr>
          <w:rFonts w:ascii="宋体" w:hAnsi="宋体"/>
          <w:bCs/>
          <w:sz w:val="24"/>
        </w:rPr>
      </w:pPr>
    </w:p>
    <w:p w14:paraId="68B35350">
      <w:pPr>
        <w:snapToGrid w:val="0"/>
        <w:spacing w:before="50" w:after="50"/>
        <w:ind w:firstLine="960" w:firstLineChars="400"/>
        <w:rPr>
          <w:rFonts w:ascii="宋体" w:hAnsi="宋体"/>
          <w:bCs/>
          <w:sz w:val="24"/>
        </w:rPr>
      </w:pPr>
    </w:p>
    <w:p w14:paraId="153A96D2">
      <w:pPr>
        <w:snapToGrid w:val="0"/>
        <w:spacing w:before="165" w:beforeLines="50" w:after="50"/>
        <w:ind w:firstLine="645"/>
        <w:jc w:val="center"/>
        <w:rPr>
          <w:rFonts w:ascii="宋体" w:hAnsi="宋体"/>
          <w:sz w:val="24"/>
        </w:rPr>
      </w:pPr>
      <w:r>
        <w:rPr>
          <w:rFonts w:hint="eastAsia" w:ascii="宋体" w:hAnsi="宋体"/>
          <w:sz w:val="24"/>
        </w:rPr>
        <w:t>年  月  日</w:t>
      </w:r>
    </w:p>
    <w:p w14:paraId="0C1BFD72">
      <w:pPr>
        <w:spacing w:line="360" w:lineRule="auto"/>
        <w:ind w:firstLine="420"/>
        <w:rPr>
          <w:rFonts w:hAnsi="宋体"/>
          <w:sz w:val="30"/>
        </w:rPr>
        <w:sectPr>
          <w:headerReference r:id="rId8" w:type="default"/>
          <w:footerReference r:id="rId9" w:type="default"/>
          <w:pgSz w:w="11906" w:h="16838"/>
          <w:pgMar w:top="1134" w:right="1134" w:bottom="1134" w:left="1134" w:header="720" w:footer="720" w:gutter="0"/>
          <w:cols w:space="720" w:num="1"/>
          <w:docGrid w:type="lines" w:linePitch="331" w:charSpace="0"/>
        </w:sectPr>
      </w:pPr>
    </w:p>
    <w:p w14:paraId="241C5F80">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3EF25D7E">
      <w:pPr>
        <w:snapToGrid w:val="0"/>
        <w:spacing w:line="360" w:lineRule="auto"/>
        <w:rPr>
          <w:rFonts w:ascii="仿宋_GB2312" w:hAnsi="仿宋" w:eastAsia="仿宋_GB2312" w:cs="仿宋_GB2312"/>
          <w:kern w:val="0"/>
          <w:sz w:val="24"/>
        </w:rPr>
      </w:pPr>
    </w:p>
    <w:p w14:paraId="5633A30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营业执照(或事业法人登记证或其他工商等登记证明材料)复印件（投标人为自然人的，须提供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63E3A79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2159108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14:paraId="78F0152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四、投标人直接控股股东信息</w:t>
      </w:r>
      <w:r>
        <w:rPr>
          <w:rFonts w:hint="eastAsia" w:ascii="仿宋_GB2312" w:hAnsi="仿宋" w:eastAsia="仿宋_GB2312" w:cs="仿宋_GB2312"/>
          <w:kern w:val="0"/>
          <w:sz w:val="24"/>
        </w:rPr>
        <w:t>…………………………………………………………（页码）</w:t>
      </w:r>
    </w:p>
    <w:p w14:paraId="7498389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五、投标人直接关联关系信息表</w:t>
      </w:r>
      <w:r>
        <w:rPr>
          <w:rFonts w:hint="eastAsia" w:ascii="仿宋_GB2312" w:hAnsi="仿宋" w:eastAsia="仿宋_GB2312" w:cs="仿宋_GB2312"/>
          <w:kern w:val="0"/>
          <w:sz w:val="24"/>
        </w:rPr>
        <w:t>………………………………………………………（页码）</w:t>
      </w:r>
    </w:p>
    <w:p w14:paraId="656379DF">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六、投标资格声明函………………………………………………………………………（页码）</w:t>
      </w:r>
    </w:p>
    <w:p w14:paraId="01A28382">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七、本项目特定资格要求及特定条件的资格证明材料</w:t>
      </w:r>
      <w:r>
        <w:rPr>
          <w:rFonts w:hint="eastAsia" w:ascii="仿宋_GB2312" w:hAnsi="仿宋" w:eastAsia="仿宋_GB2312" w:cs="仿宋_GB2312"/>
          <w:kern w:val="0"/>
          <w:sz w:val="24"/>
        </w:rPr>
        <w:t>…………………………………（页码）</w:t>
      </w:r>
    </w:p>
    <w:p w14:paraId="50F4D28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八、除招标文件规定必须提供以外，投标人认为需要提供的其他证明材料</w:t>
      </w:r>
      <w:r>
        <w:rPr>
          <w:rFonts w:hint="eastAsia" w:ascii="仿宋_GB2312" w:hAnsi="仿宋" w:eastAsia="仿宋_GB2312" w:cs="仿宋_GB2312"/>
          <w:kern w:val="0"/>
          <w:sz w:val="24"/>
        </w:rPr>
        <w:t>…………（页码）</w:t>
      </w:r>
    </w:p>
    <w:p w14:paraId="71FE1210">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3E7C7F40">
      <w:pPr>
        <w:spacing w:line="360" w:lineRule="auto"/>
        <w:ind w:firstLine="420"/>
        <w:rPr>
          <w:rFonts w:hAnsi="宋体"/>
          <w:sz w:val="30"/>
        </w:rPr>
        <w:sectPr>
          <w:pgSz w:w="11906" w:h="16838"/>
          <w:pgMar w:top="1134" w:right="1134" w:bottom="1134" w:left="1134" w:header="720" w:footer="720" w:gutter="0"/>
          <w:cols w:space="720" w:num="1"/>
          <w:docGrid w:type="lines" w:linePitch="331" w:charSpace="0"/>
        </w:sectPr>
      </w:pPr>
    </w:p>
    <w:p w14:paraId="7D8F04F3">
      <w:pPr>
        <w:snapToGrid w:val="0"/>
        <w:spacing w:line="360" w:lineRule="auto"/>
        <w:rPr>
          <w:rFonts w:ascii="仿宋_GB2312" w:hAnsi="仿宋" w:eastAsia="仿宋_GB2312" w:cs="仿宋_GB2312"/>
          <w:b/>
          <w:kern w:val="0"/>
          <w:sz w:val="32"/>
          <w:szCs w:val="32"/>
          <w:lang w:val="zh-CN"/>
        </w:rPr>
      </w:pPr>
    </w:p>
    <w:p w14:paraId="2D8FF398">
      <w:pPr>
        <w:spacing w:line="360" w:lineRule="auto"/>
        <w:jc w:val="center"/>
        <w:rPr>
          <w:rFonts w:ascii="仿宋_GB2312" w:hAnsi="仿宋" w:eastAsia="仿宋_GB2312" w:cs="仿宋_GB2312"/>
          <w:b/>
          <w:sz w:val="30"/>
          <w:szCs w:val="30"/>
        </w:rPr>
      </w:pPr>
      <w:r>
        <w:rPr>
          <w:rFonts w:hint="eastAsia" w:ascii="仿宋_GB2312" w:hAnsi="仿宋" w:eastAsia="仿宋_GB2312" w:cs="仿宋_GB2312"/>
          <w:b/>
          <w:kern w:val="0"/>
          <w:sz w:val="32"/>
          <w:szCs w:val="32"/>
          <w:lang w:val="zh-CN"/>
        </w:rPr>
        <w:t>一、</w:t>
      </w:r>
      <w:r>
        <w:rPr>
          <w:rFonts w:hint="eastAsia" w:ascii="仿宋_GB2312" w:hAnsi="仿宋" w:eastAsia="仿宋_GB2312" w:cs="仿宋_GB2312"/>
          <w:b/>
          <w:sz w:val="30"/>
          <w:szCs w:val="30"/>
        </w:rPr>
        <w:t>营业执照(或事业法人登记证或其他工商等登记证明材料)复印件（投标人为自然人的，提供自然人的身份证明）</w:t>
      </w:r>
    </w:p>
    <w:p w14:paraId="40D8ACEB">
      <w:pPr>
        <w:spacing w:line="360" w:lineRule="auto"/>
        <w:rPr>
          <w:rFonts w:ascii="仿宋_GB2312" w:hAnsi="仿宋" w:eastAsia="仿宋_GB2312" w:cs="仿宋_GB2312"/>
          <w:b/>
          <w:sz w:val="30"/>
          <w:szCs w:val="30"/>
        </w:rPr>
      </w:pPr>
    </w:p>
    <w:p w14:paraId="6A844F31">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投标人名称(电子签章)：                              </w:t>
      </w:r>
    </w:p>
    <w:p w14:paraId="7D2B162B">
      <w:pPr>
        <w:spacing w:line="360" w:lineRule="auto"/>
        <w:jc w:val="center"/>
        <w:rPr>
          <w:rFonts w:ascii="仿宋_GB2312" w:hAnsi="仿宋" w:eastAsia="仿宋_GB2312" w:cs="仿宋_GB2312"/>
          <w:b/>
          <w:sz w:val="30"/>
          <w:szCs w:val="30"/>
        </w:rPr>
      </w:pPr>
      <w:r>
        <w:rPr>
          <w:rFonts w:hint="eastAsia" w:ascii="仿宋_GB2312" w:hAnsi="仿宋" w:eastAsia="仿宋_GB2312" w:cs="仿宋_GB2312"/>
          <w:kern w:val="0"/>
          <w:sz w:val="24"/>
          <w:lang w:val="zh-CN"/>
        </w:rPr>
        <w:t xml:space="preserve">                   日期：  年  月</w:t>
      </w:r>
    </w:p>
    <w:p w14:paraId="34A0945A">
      <w:pPr>
        <w:spacing w:line="360" w:lineRule="auto"/>
        <w:jc w:val="center"/>
        <w:rPr>
          <w:rFonts w:ascii="仿宋_GB2312" w:hAnsi="仿宋" w:eastAsia="仿宋_GB2312" w:cs="仿宋_GB2312"/>
          <w:b/>
          <w:sz w:val="30"/>
          <w:szCs w:val="30"/>
        </w:rPr>
      </w:pPr>
    </w:p>
    <w:p w14:paraId="774F7DAB">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sz w:val="30"/>
          <w:szCs w:val="30"/>
        </w:rPr>
        <w:t>二、</w:t>
      </w:r>
      <w:r>
        <w:rPr>
          <w:rFonts w:hint="eastAsia" w:ascii="仿宋_GB2312" w:hAnsi="仿宋" w:eastAsia="仿宋_GB2312" w:cs="仿宋_GB2312"/>
          <w:b/>
          <w:kern w:val="0"/>
          <w:sz w:val="32"/>
          <w:szCs w:val="32"/>
        </w:rPr>
        <w:t>符合参与政府采购活动的资格条件依法缴纳税收、社会保障资金等方面的材料</w:t>
      </w:r>
    </w:p>
    <w:p w14:paraId="37FA43A8">
      <w:pPr>
        <w:snapToGrid w:val="0"/>
        <w:spacing w:line="360" w:lineRule="auto"/>
        <w:ind w:firstLine="480" w:firstLineChars="200"/>
        <w:rPr>
          <w:rFonts w:ascii="仿宋_GB2312" w:hAnsi="仿宋" w:eastAsia="仿宋_GB2312" w:cs="仿宋_GB2312"/>
          <w:sz w:val="24"/>
        </w:rPr>
      </w:pPr>
    </w:p>
    <w:p w14:paraId="4963E600">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14:paraId="223240FE">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72AF010B">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118E81D">
      <w:pPr>
        <w:snapToGrid w:val="0"/>
        <w:spacing w:line="360" w:lineRule="auto"/>
        <w:ind w:right="480"/>
        <w:jc w:val="left"/>
        <w:rPr>
          <w:rFonts w:ascii="仿宋_GB2312" w:hAnsi="仿宋" w:eastAsia="仿宋_GB2312" w:cs="仿宋_GB2312"/>
          <w:b/>
          <w:kern w:val="0"/>
          <w:sz w:val="32"/>
          <w:szCs w:val="32"/>
        </w:rPr>
      </w:pPr>
      <w:r>
        <w:rPr>
          <w:rFonts w:hint="eastAsia" w:ascii="仿宋_GB2312" w:hAnsi="仿宋" w:eastAsia="仿宋_GB2312" w:cs="仿宋_GB2312"/>
          <w:b/>
          <w:sz w:val="30"/>
          <w:szCs w:val="30"/>
        </w:rPr>
        <w:t>三、</w:t>
      </w:r>
      <w:r>
        <w:rPr>
          <w:rFonts w:hint="eastAsia" w:ascii="仿宋_GB2312" w:hAnsi="仿宋" w:eastAsia="仿宋_GB2312" w:cs="仿宋_GB2312"/>
          <w:b/>
          <w:kern w:val="0"/>
          <w:sz w:val="32"/>
          <w:szCs w:val="32"/>
        </w:rPr>
        <w:t>财务状况报告方面的材料</w:t>
      </w:r>
    </w:p>
    <w:p w14:paraId="34C67410">
      <w:pPr>
        <w:snapToGrid w:val="0"/>
        <w:spacing w:line="360" w:lineRule="auto"/>
        <w:ind w:firstLine="480" w:firstLineChars="200"/>
        <w:rPr>
          <w:rFonts w:ascii="仿宋_GB2312" w:hAnsi="仿宋" w:eastAsia="仿宋_GB2312" w:cs="仿宋_GB2312"/>
          <w:sz w:val="24"/>
        </w:rPr>
      </w:pPr>
    </w:p>
    <w:p w14:paraId="64A84848">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14:paraId="4889222B">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00EA5815">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A29929E">
      <w:pPr>
        <w:snapToGrid w:val="0"/>
        <w:spacing w:line="360" w:lineRule="auto"/>
        <w:ind w:firstLine="5160" w:firstLineChars="2150"/>
        <w:rPr>
          <w:rFonts w:ascii="仿宋_GB2312" w:hAnsi="仿宋" w:eastAsia="仿宋_GB2312" w:cs="仿宋_GB2312"/>
          <w:kern w:val="0"/>
          <w:sz w:val="24"/>
          <w:lang w:val="zh-CN"/>
        </w:rPr>
      </w:pPr>
    </w:p>
    <w:p w14:paraId="6B934688">
      <w:pPr>
        <w:snapToGrid w:val="0"/>
        <w:spacing w:line="360" w:lineRule="auto"/>
        <w:ind w:right="480"/>
        <w:jc w:val="center"/>
        <w:rPr>
          <w:rFonts w:ascii="仿宋_GB2312" w:hAnsi="仿宋" w:eastAsia="仿宋_GB2312" w:cs="仿宋_GB2312"/>
          <w:b/>
          <w:kern w:val="0"/>
          <w:sz w:val="32"/>
          <w:szCs w:val="32"/>
          <w:lang w:val="zh-CN"/>
        </w:rPr>
      </w:pPr>
    </w:p>
    <w:p w14:paraId="1FAE1933">
      <w:pPr>
        <w:snapToGrid w:val="0"/>
        <w:spacing w:line="360" w:lineRule="auto"/>
        <w:ind w:right="480"/>
        <w:jc w:val="center"/>
        <w:rPr>
          <w:rFonts w:ascii="宋体" w:hAnsi="宋体"/>
          <w:b/>
          <w:sz w:val="28"/>
          <w:szCs w:val="28"/>
        </w:rPr>
      </w:pPr>
      <w:r>
        <w:rPr>
          <w:rFonts w:ascii="仿宋_GB2312" w:hAnsi="仿宋" w:eastAsia="仿宋_GB2312" w:cs="仿宋_GB2312"/>
          <w:b/>
          <w:kern w:val="0"/>
          <w:sz w:val="32"/>
          <w:szCs w:val="32"/>
        </w:rPr>
        <w:br w:type="page"/>
      </w:r>
    </w:p>
    <w:p w14:paraId="5D0FA7BC">
      <w:pPr>
        <w:snapToGrid w:val="0"/>
        <w:spacing w:before="50" w:after="165" w:afterLines="50"/>
        <w:jc w:val="center"/>
        <w:rPr>
          <w:rFonts w:ascii="宋体" w:hAnsi="宋体"/>
          <w:b/>
          <w:sz w:val="32"/>
          <w:szCs w:val="32"/>
        </w:rPr>
      </w:pPr>
      <w:r>
        <w:rPr>
          <w:rFonts w:hint="eastAsia" w:ascii="宋体" w:hAnsi="宋体"/>
          <w:b/>
          <w:sz w:val="32"/>
          <w:szCs w:val="32"/>
          <w:lang w:eastAsia="zh-CN"/>
        </w:rPr>
        <w:t>四</w:t>
      </w:r>
      <w:r>
        <w:rPr>
          <w:rFonts w:hint="eastAsia" w:ascii="宋体" w:hAnsi="宋体"/>
          <w:b/>
          <w:sz w:val="32"/>
          <w:szCs w:val="32"/>
        </w:rPr>
        <w:t>、投标资格声明函</w:t>
      </w:r>
    </w:p>
    <w:p w14:paraId="018849B3">
      <w:pPr>
        <w:tabs>
          <w:tab w:val="left" w:pos="7200"/>
        </w:tabs>
        <w:spacing w:line="360" w:lineRule="auto"/>
        <w:rPr>
          <w:rFonts w:ascii="宋体" w:hAnsi="宋体"/>
          <w:szCs w:val="21"/>
        </w:rPr>
      </w:pPr>
      <w:r>
        <w:rPr>
          <w:rFonts w:hint="eastAsia" w:ascii="宋体" w:hAnsi="宋体"/>
          <w:szCs w:val="21"/>
        </w:rPr>
        <w:t>致：</w:t>
      </w:r>
      <w:r>
        <w:rPr>
          <w:rFonts w:ascii="宋体" w:hAnsi="宋体"/>
          <w:szCs w:val="21"/>
          <w:u w:val="single"/>
        </w:rPr>
        <w:t xml:space="preserve">                      </w:t>
      </w:r>
      <w:r>
        <w:rPr>
          <w:rFonts w:hint="eastAsia" w:ascii="宋体" w:hAnsi="宋体"/>
          <w:szCs w:val="21"/>
        </w:rPr>
        <w:t>（采购代理机构名称）</w:t>
      </w:r>
    </w:p>
    <w:p w14:paraId="15D9AF10">
      <w:pPr>
        <w:snapToGrid w:val="0"/>
        <w:spacing w:line="360" w:lineRule="auto"/>
        <w:ind w:firstLine="420" w:firstLineChars="200"/>
        <w:jc w:val="left"/>
        <w:rPr>
          <w:rFonts w:ascii="宋体" w:hAnsi="宋体"/>
          <w:szCs w:val="21"/>
        </w:rPr>
      </w:pPr>
      <w:r>
        <w:rPr>
          <w:rFonts w:hint="eastAsia" w:ascii="宋体" w:hAnsi="宋体"/>
          <w:szCs w:val="21"/>
        </w:rPr>
        <w:t xml:space="preserve">我方愿意参加贵方组织的 </w:t>
      </w:r>
      <w:r>
        <w:rPr>
          <w:rFonts w:ascii="宋体" w:hAnsi="宋体"/>
          <w:szCs w:val="21"/>
          <w:u w:val="single"/>
        </w:rPr>
        <w:t>(</w:t>
      </w:r>
      <w:r>
        <w:rPr>
          <w:rFonts w:hint="eastAsia" w:ascii="宋体" w:hAnsi="宋体"/>
          <w:szCs w:val="21"/>
          <w:u w:val="single"/>
        </w:rPr>
        <w:t>项目名称</w:t>
      </w:r>
      <w:r>
        <w:rPr>
          <w:rFonts w:ascii="宋体" w:hAnsi="宋体"/>
          <w:szCs w:val="21"/>
          <w:u w:val="single"/>
        </w:rPr>
        <w:t xml:space="preserve">)              </w:t>
      </w:r>
      <w:r>
        <w:rPr>
          <w:rFonts w:hint="eastAsia" w:ascii="宋体" w:hAnsi="宋体"/>
          <w:szCs w:val="21"/>
        </w:rPr>
        <w:t>（项目编号：</w:t>
      </w:r>
      <w:r>
        <w:rPr>
          <w:rFonts w:ascii="宋体" w:hAnsi="宋体"/>
          <w:szCs w:val="21"/>
        </w:rPr>
        <w:t xml:space="preserve">       </w:t>
      </w:r>
      <w:r>
        <w:rPr>
          <w:rFonts w:hint="eastAsia" w:ascii="宋体" w:hAnsi="宋体"/>
          <w:szCs w:val="21"/>
        </w:rPr>
        <w:t>）项目的投标，为便于贵方公正、择优地确定中标人，我方就本次投标有关事项郑重声明如下：</w:t>
      </w:r>
    </w:p>
    <w:p w14:paraId="6129EF10">
      <w:pPr>
        <w:snapToGrid w:val="0"/>
        <w:spacing w:line="360" w:lineRule="auto"/>
        <w:ind w:firstLine="420" w:firstLineChars="200"/>
        <w:jc w:val="left"/>
        <w:rPr>
          <w:rFonts w:ascii="宋体" w:hAnsi="宋体"/>
          <w:szCs w:val="21"/>
        </w:rPr>
      </w:pPr>
      <w:r>
        <w:rPr>
          <w:rFonts w:hint="eastAsia" w:ascii="宋体" w:hAnsi="宋体"/>
          <w:szCs w:val="21"/>
        </w:rPr>
        <w:t>1.我方承诺已经具备《中华人民共和国政府采购法》第二十二条中规定的参加政府采购活动的投标人应当具备的条件：</w:t>
      </w:r>
    </w:p>
    <w:p w14:paraId="72F2A0B8">
      <w:pPr>
        <w:snapToGrid w:val="0"/>
        <w:spacing w:line="360" w:lineRule="auto"/>
        <w:ind w:firstLine="420" w:firstLineChars="200"/>
        <w:jc w:val="left"/>
        <w:rPr>
          <w:rFonts w:ascii="宋体" w:hAnsi="宋体"/>
          <w:szCs w:val="21"/>
        </w:rPr>
      </w:pPr>
      <w:r>
        <w:rPr>
          <w:rFonts w:hint="eastAsia" w:ascii="宋体" w:hAnsi="宋体"/>
          <w:szCs w:val="21"/>
        </w:rPr>
        <w:t>（1）具有独立承担民事责任的能力；</w:t>
      </w:r>
    </w:p>
    <w:p w14:paraId="0595765D">
      <w:pPr>
        <w:snapToGrid w:val="0"/>
        <w:spacing w:line="360" w:lineRule="auto"/>
        <w:ind w:firstLine="420" w:firstLineChars="200"/>
        <w:jc w:val="left"/>
        <w:rPr>
          <w:rFonts w:ascii="宋体" w:hAnsi="宋体"/>
          <w:szCs w:val="21"/>
        </w:rPr>
      </w:pPr>
      <w:r>
        <w:rPr>
          <w:rFonts w:hint="eastAsia" w:ascii="宋体" w:hAnsi="宋体"/>
          <w:szCs w:val="21"/>
        </w:rPr>
        <w:t>（2）具有良好的商业信誉和健全的财务会计制度；</w:t>
      </w:r>
    </w:p>
    <w:p w14:paraId="21F72D8D">
      <w:pPr>
        <w:snapToGrid w:val="0"/>
        <w:spacing w:line="360" w:lineRule="auto"/>
        <w:ind w:firstLine="420" w:firstLineChars="200"/>
        <w:jc w:val="left"/>
        <w:rPr>
          <w:rFonts w:ascii="宋体" w:hAnsi="宋体"/>
          <w:szCs w:val="21"/>
        </w:rPr>
      </w:pPr>
      <w:r>
        <w:rPr>
          <w:rFonts w:hint="eastAsia" w:ascii="宋体" w:hAnsi="宋体"/>
          <w:szCs w:val="21"/>
        </w:rPr>
        <w:t>（3）具有履行合同所必需的设备和专业技术能力；</w:t>
      </w:r>
    </w:p>
    <w:p w14:paraId="29B34676">
      <w:pPr>
        <w:snapToGrid w:val="0"/>
        <w:spacing w:line="360" w:lineRule="auto"/>
        <w:ind w:firstLine="420" w:firstLineChars="200"/>
        <w:jc w:val="left"/>
        <w:rPr>
          <w:rFonts w:ascii="宋体" w:hAnsi="宋体"/>
          <w:szCs w:val="21"/>
        </w:rPr>
      </w:pPr>
      <w:r>
        <w:rPr>
          <w:rFonts w:hint="eastAsia" w:ascii="宋体" w:hAnsi="宋体"/>
          <w:szCs w:val="21"/>
        </w:rPr>
        <w:t>（4）有依法缴纳税收和社会保障资金的良好记录；</w:t>
      </w:r>
    </w:p>
    <w:p w14:paraId="15C2EFBE">
      <w:pPr>
        <w:snapToGrid w:val="0"/>
        <w:spacing w:line="360" w:lineRule="auto"/>
        <w:ind w:firstLine="420" w:firstLineChars="200"/>
        <w:jc w:val="left"/>
        <w:rPr>
          <w:rFonts w:ascii="宋体" w:hAnsi="宋体"/>
          <w:szCs w:val="21"/>
        </w:rPr>
      </w:pPr>
      <w:r>
        <w:rPr>
          <w:rFonts w:hint="eastAsia" w:ascii="宋体" w:hAnsi="宋体"/>
          <w:szCs w:val="21"/>
        </w:rPr>
        <w:t>（5）参加政府采购活动前三年内，在经营活动中没有重大违法记录；</w:t>
      </w:r>
    </w:p>
    <w:p w14:paraId="6CE43461">
      <w:pPr>
        <w:snapToGrid w:val="0"/>
        <w:spacing w:line="360" w:lineRule="auto"/>
        <w:ind w:firstLine="420" w:firstLineChars="200"/>
        <w:jc w:val="left"/>
        <w:rPr>
          <w:rFonts w:ascii="宋体" w:hAnsi="宋体"/>
          <w:szCs w:val="21"/>
        </w:rPr>
      </w:pPr>
      <w:r>
        <w:rPr>
          <w:rFonts w:hint="eastAsia" w:ascii="宋体" w:hAnsi="宋体"/>
          <w:szCs w:val="21"/>
        </w:rPr>
        <w:t>（6）法律、行政法规规定的其他条件。</w:t>
      </w:r>
    </w:p>
    <w:p w14:paraId="2FD41296">
      <w:pPr>
        <w:snapToGrid w:val="0"/>
        <w:spacing w:line="360" w:lineRule="auto"/>
        <w:ind w:firstLine="420" w:firstLineChars="200"/>
        <w:jc w:val="left"/>
        <w:rPr>
          <w:rFonts w:ascii="宋体" w:hAnsi="宋体"/>
          <w:szCs w:val="21"/>
        </w:rPr>
      </w:pPr>
      <w:r>
        <w:rPr>
          <w:rFonts w:ascii="宋体" w:hAnsi="宋体"/>
          <w:szCs w:val="21"/>
        </w:rPr>
        <w:t xml:space="preserve">2. </w:t>
      </w:r>
      <w:r>
        <w:rPr>
          <w:rFonts w:hint="eastAsia" w:ascii="宋体" w:hAnsi="宋体"/>
          <w:szCs w:val="21"/>
        </w:rPr>
        <w:t>我方不是采购人的附属机构；不是为本次采购项目提供整体设计、规范编制或者项目管理、监理、检测等服务的投标人；在获知本项目采购信息后，与采购人聘请的为此项目提供咨询服务的公司及其附属机构没有任何联系。</w:t>
      </w:r>
    </w:p>
    <w:p w14:paraId="3DD37D44">
      <w:pPr>
        <w:snapToGrid w:val="0"/>
        <w:spacing w:line="360" w:lineRule="auto"/>
        <w:ind w:firstLine="420" w:firstLineChars="200"/>
        <w:jc w:val="left"/>
        <w:rPr>
          <w:rFonts w:ascii="宋体" w:hAnsi="宋体"/>
          <w:szCs w:val="21"/>
        </w:rPr>
      </w:pPr>
      <w:r>
        <w:rPr>
          <w:rFonts w:hint="eastAsia" w:ascii="宋体" w:hAnsi="宋体"/>
          <w:szCs w:val="21"/>
        </w:rPr>
        <w:t>3.经查询，在“信用中国”和“中国政府采购网”网站我方未被列入失信被执行人、重大税收违法案件当事人名单、政府采购严重违法失信行为记录名单。</w:t>
      </w:r>
    </w:p>
    <w:p w14:paraId="0F39230F">
      <w:pPr>
        <w:snapToGrid w:val="0"/>
        <w:spacing w:line="360" w:lineRule="auto"/>
        <w:ind w:firstLine="420" w:firstLineChars="200"/>
        <w:jc w:val="left"/>
        <w:rPr>
          <w:rFonts w:ascii="宋体" w:hAnsi="宋体"/>
          <w:szCs w:val="21"/>
        </w:rPr>
      </w:pPr>
      <w:r>
        <w:rPr>
          <w:rFonts w:hint="eastAsia" w:ascii="宋体" w:hAnsi="宋体"/>
          <w:szCs w:val="21"/>
        </w:rPr>
        <w:t xml:space="preserve">4.以上事项如有虚假或隐瞒，我方愿意承担一切后果，并不再寻求任何旨在减轻或免除法律责任的辩解。 </w:t>
      </w:r>
    </w:p>
    <w:p w14:paraId="74029827">
      <w:pPr>
        <w:tabs>
          <w:tab w:val="left" w:pos="7200"/>
        </w:tabs>
        <w:ind w:firstLine="270" w:firstLineChars="150"/>
        <w:rPr>
          <w:rFonts w:ascii="宋体" w:hAnsi="宋体"/>
          <w:sz w:val="18"/>
          <w:szCs w:val="18"/>
        </w:rPr>
      </w:pPr>
      <w:r>
        <w:rPr>
          <w:rFonts w:hint="eastAsia" w:ascii="宋体" w:hAnsi="宋体"/>
          <w:sz w:val="18"/>
          <w:szCs w:val="18"/>
        </w:rPr>
        <w:t>说明：</w:t>
      </w:r>
    </w:p>
    <w:p w14:paraId="082BFBC6">
      <w:pPr>
        <w:ind w:firstLine="360" w:firstLineChars="200"/>
        <w:jc w:val="left"/>
        <w:rPr>
          <w:rFonts w:ascii="宋体" w:hAnsi="宋体"/>
          <w:sz w:val="18"/>
          <w:szCs w:val="18"/>
        </w:rPr>
      </w:pPr>
      <w:r>
        <w:rPr>
          <w:rFonts w:hint="eastAsia" w:ascii="宋体" w:hAnsi="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542CD21E">
      <w:pPr>
        <w:ind w:firstLine="360" w:firstLineChars="200"/>
        <w:jc w:val="left"/>
        <w:rPr>
          <w:rFonts w:ascii="宋体" w:hAnsi="宋体"/>
          <w:sz w:val="18"/>
          <w:szCs w:val="18"/>
        </w:rPr>
      </w:pPr>
      <w:r>
        <w:rPr>
          <w:rFonts w:hint="eastAsia" w:ascii="宋体" w:hAnsi="宋体"/>
          <w:sz w:val="18"/>
          <w:szCs w:val="18"/>
        </w:rPr>
        <w:t>2.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2C4A8602">
      <w:pPr>
        <w:snapToGrid w:val="0"/>
        <w:spacing w:before="50" w:after="165" w:afterLines="50"/>
        <w:jc w:val="left"/>
        <w:rPr>
          <w:rFonts w:ascii="宋体" w:hAnsi="宋体"/>
          <w:sz w:val="18"/>
          <w:szCs w:val="18"/>
        </w:rPr>
      </w:pPr>
      <w:r>
        <w:rPr>
          <w:rFonts w:hint="eastAsia" w:ascii="宋体" w:hAnsi="宋体"/>
          <w:sz w:val="18"/>
          <w:szCs w:val="18"/>
        </w:rPr>
        <w:t xml:space="preserve"> </w:t>
      </w:r>
      <w:r>
        <w:rPr>
          <w:rFonts w:hint="eastAsia" w:ascii="宋体" w:hAnsi="宋体"/>
          <w:b/>
          <w:sz w:val="18"/>
          <w:szCs w:val="18"/>
        </w:rPr>
        <w:t xml:space="preserve">  3.如为联合体投标，盖章处须加盖联合体各方公章并由联合体各方法定代表人分别签署，否则投标无效。</w:t>
      </w:r>
    </w:p>
    <w:p w14:paraId="47E4E06E">
      <w:pPr>
        <w:snapToGrid w:val="0"/>
        <w:spacing w:before="50" w:after="331" w:afterLines="100" w:line="360" w:lineRule="auto"/>
        <w:jc w:val="left"/>
        <w:rPr>
          <w:rFonts w:ascii="宋体" w:hAnsi="宋体"/>
          <w:sz w:val="24"/>
        </w:rPr>
      </w:pPr>
      <w:r>
        <w:rPr>
          <w:rFonts w:hint="eastAsia" w:ascii="宋体" w:hAnsi="宋体"/>
          <w:sz w:val="24"/>
        </w:rPr>
        <w:t xml:space="preserve">                                     </w:t>
      </w:r>
    </w:p>
    <w:p w14:paraId="5934BC15">
      <w:pPr>
        <w:snapToGrid w:val="0"/>
        <w:spacing w:before="50" w:after="331" w:afterLines="100" w:line="360" w:lineRule="auto"/>
        <w:ind w:left="7428" w:leftChars="2223" w:hanging="2760" w:hangingChars="1150"/>
        <w:jc w:val="left"/>
        <w:rPr>
          <w:rFonts w:hint="eastAsia" w:ascii="宋体" w:hAnsi="宋体"/>
          <w:szCs w:val="21"/>
        </w:rPr>
      </w:pPr>
      <w:r>
        <w:rPr>
          <w:rFonts w:hint="eastAsia" w:ascii="宋体" w:hAnsi="宋体"/>
          <w:sz w:val="24"/>
        </w:rPr>
        <w:t xml:space="preserve">  </w:t>
      </w: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717EF3FD">
      <w:pPr>
        <w:snapToGrid/>
        <w:spacing w:before="0" w:after="0" w:afterLines="-2147483648" w:line="240" w:lineRule="auto"/>
        <w:ind w:left="0" w:leftChars="0" w:firstLine="0" w:firstLineChars="0"/>
        <w:jc w:val="left"/>
        <w:rPr>
          <w:rFonts w:hint="eastAsia" w:ascii="宋体" w:hAnsi="宋体"/>
          <w:szCs w:val="21"/>
        </w:rPr>
      </w:pPr>
      <w:r>
        <w:rPr>
          <w:rFonts w:hint="eastAsia" w:ascii="宋体" w:hAnsi="宋体"/>
          <w:szCs w:val="21"/>
        </w:rPr>
        <w:br w:type="page"/>
      </w:r>
    </w:p>
    <w:p w14:paraId="69B25F5F">
      <w:pPr>
        <w:snapToGrid w:val="0"/>
        <w:spacing w:before="50" w:after="165" w:afterLines="50" w:line="360" w:lineRule="auto"/>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eastAsia="zh-CN"/>
        </w:rPr>
        <w:t>五</w:t>
      </w:r>
      <w:r>
        <w:rPr>
          <w:rFonts w:hint="eastAsia" w:ascii="仿宋_GB2312" w:hAnsi="仿宋" w:eastAsia="仿宋_GB2312" w:cs="仿宋_GB2312"/>
          <w:b/>
          <w:kern w:val="0"/>
          <w:sz w:val="32"/>
          <w:szCs w:val="32"/>
        </w:rPr>
        <w:t>、投标人直接控股股东信息表</w:t>
      </w:r>
    </w:p>
    <w:tbl>
      <w:tblPr>
        <w:tblStyle w:val="35"/>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7C918F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F969357">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A5F2544">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DAFA7F2">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C20F839">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34DCFF">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59432AC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71842F">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8F0BDF">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4B64B1">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F0FC9A1">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21BB65">
            <w:pPr>
              <w:spacing w:line="360" w:lineRule="auto"/>
              <w:jc w:val="center"/>
              <w:rPr>
                <w:rFonts w:ascii="宋体" w:hAnsi="宋体" w:cs="宋体"/>
                <w:kern w:val="0"/>
                <w:sz w:val="24"/>
              </w:rPr>
            </w:pPr>
          </w:p>
        </w:tc>
      </w:tr>
      <w:tr w14:paraId="146488BE">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B262BD">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30C75D">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0C3614">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BB99FD">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38F332">
            <w:pPr>
              <w:spacing w:line="360" w:lineRule="auto"/>
              <w:jc w:val="center"/>
              <w:rPr>
                <w:rFonts w:ascii="宋体" w:hAnsi="宋体" w:cs="宋体"/>
                <w:kern w:val="0"/>
                <w:sz w:val="24"/>
              </w:rPr>
            </w:pPr>
          </w:p>
        </w:tc>
      </w:tr>
      <w:tr w14:paraId="21E5BBD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36B08B7">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5081D9">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D1478F">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21096C">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40F798">
            <w:pPr>
              <w:spacing w:line="360" w:lineRule="auto"/>
              <w:jc w:val="center"/>
              <w:rPr>
                <w:rFonts w:ascii="宋体" w:hAnsi="宋体" w:cs="宋体"/>
                <w:kern w:val="0"/>
                <w:sz w:val="24"/>
              </w:rPr>
            </w:pPr>
          </w:p>
        </w:tc>
      </w:tr>
      <w:tr w14:paraId="3159FFD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B4E94A">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10B6BC0">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FF374F">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0DB4B9">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4C63C8">
            <w:pPr>
              <w:spacing w:line="360" w:lineRule="auto"/>
              <w:jc w:val="center"/>
              <w:rPr>
                <w:rFonts w:ascii="宋体" w:hAnsi="宋体" w:cs="宋体"/>
                <w:kern w:val="0"/>
                <w:sz w:val="24"/>
              </w:rPr>
            </w:pPr>
          </w:p>
        </w:tc>
      </w:tr>
    </w:tbl>
    <w:p w14:paraId="2D7E14EE">
      <w:pPr>
        <w:snapToGrid w:val="0"/>
        <w:spacing w:line="360" w:lineRule="auto"/>
        <w:jc w:val="left"/>
        <w:rPr>
          <w:rFonts w:ascii="宋体" w:hAnsi="宋体"/>
          <w:sz w:val="24"/>
        </w:rPr>
      </w:pPr>
      <w:r>
        <w:rPr>
          <w:rFonts w:hint="eastAsia" w:ascii="宋体" w:hAnsi="宋体"/>
          <w:sz w:val="24"/>
        </w:rPr>
        <w:t>注：</w:t>
      </w:r>
    </w:p>
    <w:p w14:paraId="53ABB362">
      <w:pPr>
        <w:snapToGrid w:val="0"/>
        <w:spacing w:line="360" w:lineRule="auto"/>
        <w:jc w:val="left"/>
        <w:rPr>
          <w:rFonts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7018D02">
      <w:pPr>
        <w:snapToGrid w:val="0"/>
        <w:spacing w:line="360" w:lineRule="auto"/>
        <w:jc w:val="left"/>
        <w:rPr>
          <w:rFonts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76243AF1">
      <w:pPr>
        <w:snapToGrid w:val="0"/>
        <w:spacing w:line="360" w:lineRule="auto"/>
        <w:jc w:val="left"/>
        <w:rPr>
          <w:rFonts w:ascii="宋体" w:hAnsi="宋体"/>
          <w:sz w:val="24"/>
        </w:rPr>
      </w:pPr>
      <w:r>
        <w:rPr>
          <w:rFonts w:hint="eastAsia" w:ascii="宋体" w:hAnsi="宋体"/>
          <w:sz w:val="24"/>
        </w:rPr>
        <w:t>3.投标人不存在直接控股股东的，则填“无”。</w:t>
      </w:r>
    </w:p>
    <w:p w14:paraId="60D134BD">
      <w:pPr>
        <w:snapToGrid w:val="0"/>
        <w:spacing w:line="360" w:lineRule="auto"/>
        <w:jc w:val="left"/>
        <w:rPr>
          <w:rFonts w:ascii="宋体" w:hAnsi="宋体"/>
          <w:sz w:val="24"/>
        </w:rPr>
      </w:pPr>
    </w:p>
    <w:p w14:paraId="5401524A">
      <w:pPr>
        <w:snapToGrid w:val="0"/>
        <w:spacing w:line="360" w:lineRule="auto"/>
        <w:jc w:val="left"/>
        <w:rPr>
          <w:rFonts w:ascii="宋体" w:hAnsi="宋体"/>
          <w:sz w:val="24"/>
        </w:rPr>
      </w:pPr>
    </w:p>
    <w:p w14:paraId="01898077">
      <w:pPr>
        <w:snapToGrid w:val="0"/>
        <w:spacing w:line="360" w:lineRule="auto"/>
        <w:jc w:val="left"/>
        <w:rPr>
          <w:rFonts w:ascii="宋体" w:hAnsi="宋体"/>
          <w:sz w:val="24"/>
        </w:rPr>
      </w:pPr>
    </w:p>
    <w:p w14:paraId="4868C07F">
      <w:pPr>
        <w:snapToGrid w:val="0"/>
        <w:spacing w:line="360" w:lineRule="auto"/>
        <w:jc w:val="left"/>
        <w:rPr>
          <w:rFonts w:ascii="宋体" w:hAnsi="宋体"/>
          <w:sz w:val="24"/>
        </w:rPr>
      </w:pPr>
    </w:p>
    <w:p w14:paraId="09CDB182">
      <w:pPr>
        <w:snapToGrid w:val="0"/>
        <w:spacing w:line="360" w:lineRule="auto"/>
        <w:jc w:val="left"/>
        <w:rPr>
          <w:rFonts w:ascii="宋体" w:hAnsi="宋体"/>
          <w:sz w:val="24"/>
        </w:rPr>
      </w:pPr>
    </w:p>
    <w:p w14:paraId="5E501B8F">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5B0C40B">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12F04A84">
      <w:pPr>
        <w:snapToGrid w:val="0"/>
        <w:jc w:val="center"/>
        <w:rPr>
          <w:rFonts w:ascii="宋体" w:hAnsi="宋体"/>
          <w:b/>
          <w:sz w:val="28"/>
          <w:szCs w:val="28"/>
        </w:rPr>
      </w:pPr>
      <w:r>
        <w:rPr>
          <w:rFonts w:ascii="宋体" w:hAnsi="宋体"/>
          <w:b/>
          <w:sz w:val="28"/>
          <w:szCs w:val="28"/>
        </w:rPr>
        <w:br w:type="page"/>
      </w:r>
    </w:p>
    <w:p w14:paraId="5E4160A2">
      <w:pPr>
        <w:snapToGrid w:val="0"/>
        <w:spacing w:line="360" w:lineRule="auto"/>
        <w:jc w:val="center"/>
        <w:rPr>
          <w:rFonts w:ascii="宋体" w:hAnsi="宋体"/>
          <w:sz w:val="32"/>
          <w:szCs w:val="32"/>
        </w:rPr>
      </w:pPr>
      <w:r>
        <w:rPr>
          <w:rFonts w:hint="eastAsia" w:ascii="宋体" w:hAnsi="宋体"/>
          <w:b/>
          <w:sz w:val="32"/>
          <w:szCs w:val="32"/>
          <w:lang w:eastAsia="zh-CN"/>
        </w:rPr>
        <w:t>六</w:t>
      </w:r>
      <w:r>
        <w:rPr>
          <w:rFonts w:hint="eastAsia" w:ascii="宋体" w:hAnsi="宋体"/>
          <w:b/>
          <w:sz w:val="32"/>
          <w:szCs w:val="32"/>
        </w:rPr>
        <w:t>、投标人直接管理关系信息表</w:t>
      </w:r>
    </w:p>
    <w:tbl>
      <w:tblPr>
        <w:tblStyle w:val="35"/>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42600791">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26CD3A">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4C86083">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DBCEB8A">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4485D8D">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036D104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BA236B">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AF107B">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30BABF">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DAF2FF">
            <w:pPr>
              <w:spacing w:line="360" w:lineRule="auto"/>
              <w:jc w:val="center"/>
              <w:rPr>
                <w:rFonts w:ascii="宋体" w:hAnsi="宋体" w:cs="宋体"/>
                <w:kern w:val="0"/>
                <w:sz w:val="24"/>
              </w:rPr>
            </w:pPr>
          </w:p>
        </w:tc>
      </w:tr>
      <w:tr w14:paraId="180EB82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A523FA">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7ADC2E">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57CAC">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31ED27">
            <w:pPr>
              <w:spacing w:line="360" w:lineRule="auto"/>
              <w:jc w:val="center"/>
              <w:rPr>
                <w:rFonts w:ascii="宋体" w:hAnsi="宋体" w:cs="宋体"/>
                <w:kern w:val="0"/>
                <w:sz w:val="24"/>
              </w:rPr>
            </w:pPr>
          </w:p>
        </w:tc>
      </w:tr>
      <w:tr w14:paraId="0418B052">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667C94">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2580D1">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9061F3">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C8B3C8">
            <w:pPr>
              <w:spacing w:line="360" w:lineRule="auto"/>
              <w:jc w:val="center"/>
              <w:rPr>
                <w:rFonts w:ascii="宋体" w:hAnsi="宋体" w:cs="宋体"/>
                <w:kern w:val="0"/>
                <w:sz w:val="24"/>
              </w:rPr>
            </w:pPr>
          </w:p>
        </w:tc>
      </w:tr>
      <w:tr w14:paraId="6CF8EB5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207F36">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5DD485">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39569A">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238EB1">
            <w:pPr>
              <w:spacing w:line="360" w:lineRule="auto"/>
              <w:jc w:val="center"/>
              <w:rPr>
                <w:rFonts w:ascii="宋体" w:hAnsi="宋体" w:cs="宋体"/>
                <w:kern w:val="0"/>
                <w:sz w:val="24"/>
              </w:rPr>
            </w:pPr>
          </w:p>
        </w:tc>
      </w:tr>
    </w:tbl>
    <w:p w14:paraId="33882115">
      <w:pPr>
        <w:snapToGrid w:val="0"/>
        <w:spacing w:line="360" w:lineRule="auto"/>
        <w:jc w:val="left"/>
        <w:rPr>
          <w:rFonts w:ascii="宋体" w:hAnsi="宋体"/>
          <w:sz w:val="24"/>
        </w:rPr>
      </w:pPr>
      <w:r>
        <w:rPr>
          <w:rFonts w:hint="eastAsia" w:ascii="宋体" w:hAnsi="宋体"/>
          <w:sz w:val="24"/>
        </w:rPr>
        <w:t>注：</w:t>
      </w:r>
    </w:p>
    <w:p w14:paraId="5B26572B">
      <w:pPr>
        <w:snapToGrid w:val="0"/>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2F63F8D1">
      <w:pPr>
        <w:snapToGrid w:val="0"/>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21FBEAE0">
      <w:pPr>
        <w:snapToGrid w:val="0"/>
        <w:spacing w:line="360" w:lineRule="auto"/>
        <w:ind w:firstLine="480" w:firstLineChars="200"/>
        <w:jc w:val="left"/>
        <w:rPr>
          <w:rFonts w:ascii="宋体" w:hAnsi="宋体"/>
          <w:sz w:val="24"/>
        </w:rPr>
      </w:pPr>
      <w:r>
        <w:rPr>
          <w:rFonts w:hint="eastAsia" w:ascii="宋体" w:hAnsi="宋体"/>
          <w:sz w:val="24"/>
        </w:rPr>
        <w:t>3.投标人不存在直接管理关系的，则填“无”。</w:t>
      </w:r>
    </w:p>
    <w:p w14:paraId="17F3CFBC">
      <w:pPr>
        <w:snapToGrid w:val="0"/>
        <w:spacing w:line="360" w:lineRule="auto"/>
        <w:jc w:val="left"/>
        <w:rPr>
          <w:rFonts w:ascii="宋体" w:hAnsi="宋体"/>
          <w:sz w:val="24"/>
        </w:rPr>
      </w:pPr>
    </w:p>
    <w:p w14:paraId="692DB383">
      <w:pPr>
        <w:snapToGrid w:val="0"/>
        <w:spacing w:line="360" w:lineRule="auto"/>
        <w:jc w:val="left"/>
        <w:rPr>
          <w:rFonts w:ascii="宋体" w:hAnsi="宋体"/>
          <w:sz w:val="24"/>
        </w:rPr>
      </w:pPr>
    </w:p>
    <w:p w14:paraId="7B11D3BA">
      <w:pPr>
        <w:snapToGrid w:val="0"/>
        <w:spacing w:line="360" w:lineRule="auto"/>
        <w:jc w:val="left"/>
        <w:rPr>
          <w:rFonts w:ascii="宋体" w:hAnsi="宋体"/>
          <w:sz w:val="24"/>
        </w:rPr>
      </w:pPr>
    </w:p>
    <w:p w14:paraId="04E881F1">
      <w:pPr>
        <w:snapToGrid w:val="0"/>
        <w:spacing w:line="360" w:lineRule="auto"/>
        <w:jc w:val="left"/>
        <w:rPr>
          <w:sz w:val="24"/>
        </w:rPr>
      </w:pPr>
    </w:p>
    <w:p w14:paraId="3948DF72">
      <w:pPr>
        <w:snapToGrid w:val="0"/>
        <w:spacing w:line="360" w:lineRule="auto"/>
        <w:jc w:val="left"/>
        <w:rPr>
          <w:sz w:val="24"/>
        </w:rPr>
      </w:pPr>
    </w:p>
    <w:p w14:paraId="1E30DAD4">
      <w:pPr>
        <w:snapToGrid w:val="0"/>
        <w:spacing w:line="360" w:lineRule="auto"/>
        <w:jc w:val="left"/>
        <w:rPr>
          <w:sz w:val="24"/>
        </w:rPr>
      </w:pPr>
    </w:p>
    <w:p w14:paraId="1E62BE5A">
      <w:pPr>
        <w:snapToGrid w:val="0"/>
        <w:spacing w:line="360" w:lineRule="auto"/>
        <w:jc w:val="left"/>
        <w:rPr>
          <w:rFonts w:ascii="宋体" w:hAnsi="宋体"/>
          <w:sz w:val="24"/>
        </w:rPr>
      </w:pPr>
    </w:p>
    <w:p w14:paraId="16ECB213">
      <w:pPr>
        <w:snapToGrid w:val="0"/>
        <w:spacing w:line="360" w:lineRule="auto"/>
        <w:jc w:val="left"/>
        <w:rPr>
          <w:rFonts w:ascii="宋体" w:hAnsi="宋体"/>
          <w:sz w:val="24"/>
        </w:rPr>
      </w:pPr>
    </w:p>
    <w:p w14:paraId="209E3944">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5EE759C">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2C8C737">
      <w:pPr>
        <w:snapToGrid w:val="0"/>
        <w:spacing w:before="50" w:after="165" w:afterLines="50"/>
        <w:jc w:val="left"/>
        <w:rPr>
          <w:rFonts w:ascii="宋体" w:hAnsi="宋体"/>
          <w:szCs w:val="21"/>
        </w:rPr>
      </w:pPr>
    </w:p>
    <w:p w14:paraId="293F0FBB">
      <w:pPr>
        <w:snapToGrid w:val="0"/>
        <w:spacing w:before="165" w:beforeLines="50" w:after="50"/>
        <w:jc w:val="left"/>
        <w:rPr>
          <w:rFonts w:ascii="宋体" w:hAnsi="宋体"/>
          <w:b/>
          <w:sz w:val="24"/>
          <w:szCs w:val="20"/>
        </w:rPr>
      </w:pPr>
    </w:p>
    <w:p w14:paraId="76C7FC27">
      <w:pPr>
        <w:snapToGrid w:val="0"/>
        <w:spacing w:before="165" w:beforeLines="50" w:after="50"/>
        <w:jc w:val="left"/>
        <w:rPr>
          <w:rFonts w:ascii="宋体" w:hAnsi="宋体"/>
          <w:b/>
          <w:sz w:val="24"/>
        </w:rPr>
      </w:pPr>
    </w:p>
    <w:p w14:paraId="1C6FE374">
      <w:pPr>
        <w:snapToGrid w:val="0"/>
        <w:spacing w:before="165" w:beforeLines="50" w:after="50"/>
        <w:jc w:val="left"/>
        <w:rPr>
          <w:rFonts w:ascii="宋体" w:hAnsi="宋体"/>
          <w:b/>
          <w:sz w:val="24"/>
          <w:szCs w:val="20"/>
        </w:rPr>
      </w:pPr>
      <w:r>
        <w:rPr>
          <w:rFonts w:hint="eastAsia" w:ascii="宋体" w:hAnsi="宋体"/>
          <w:b/>
          <w:sz w:val="24"/>
          <w:szCs w:val="20"/>
        </w:rPr>
        <w:t xml:space="preserve"> </w:t>
      </w:r>
    </w:p>
    <w:p w14:paraId="75563725">
      <w:pPr>
        <w:snapToGrid w:val="0"/>
        <w:spacing w:before="165" w:beforeLines="50" w:after="50"/>
        <w:jc w:val="left"/>
        <w:rPr>
          <w:rFonts w:ascii="宋体" w:hAnsi="宋体"/>
          <w:b/>
          <w:sz w:val="24"/>
          <w:szCs w:val="20"/>
        </w:rPr>
      </w:pPr>
    </w:p>
    <w:p w14:paraId="17BD7FB3">
      <w:pPr>
        <w:pStyle w:val="2"/>
      </w:pPr>
    </w:p>
    <w:p w14:paraId="6F9A29FD">
      <w:pPr>
        <w:snapToGrid w:val="0"/>
        <w:spacing w:before="50" w:after="165" w:afterLines="50"/>
        <w:jc w:val="left"/>
        <w:rPr>
          <w:rFonts w:ascii="宋体" w:hAnsi="宋体"/>
        </w:rPr>
      </w:pPr>
    </w:p>
    <w:p w14:paraId="04168D3F">
      <w:pPr>
        <w:snapToGrid w:val="0"/>
        <w:spacing w:before="50" w:after="165" w:afterLines="50"/>
        <w:jc w:val="center"/>
        <w:rPr>
          <w:rFonts w:cs="宋体"/>
          <w:kern w:val="0"/>
          <w:szCs w:val="21"/>
        </w:rPr>
      </w:pPr>
      <w:r>
        <w:rPr>
          <w:rFonts w:hint="eastAsia" w:ascii="宋体" w:hAnsi="宋体"/>
          <w:b/>
          <w:sz w:val="32"/>
          <w:szCs w:val="32"/>
        </w:rPr>
        <w:t>七、本项目特定资格要求及特定条件的资格证明材料</w:t>
      </w:r>
      <w:r>
        <w:rPr>
          <w:rFonts w:cs="宋体"/>
          <w:kern w:val="0"/>
          <w:szCs w:val="21"/>
        </w:rPr>
        <w:br w:type="page"/>
      </w:r>
    </w:p>
    <w:p w14:paraId="290B2E75">
      <w:pPr>
        <w:snapToGrid w:val="0"/>
        <w:spacing w:before="50" w:after="165" w:afterLines="50"/>
        <w:jc w:val="center"/>
        <w:rPr>
          <w:rFonts w:hint="eastAsia" w:ascii="宋体" w:hAnsi="宋体"/>
          <w:b/>
          <w:sz w:val="32"/>
          <w:szCs w:val="32"/>
        </w:rPr>
        <w:sectPr>
          <w:pgSz w:w="11906" w:h="16838"/>
          <w:pgMar w:top="1134" w:right="1134" w:bottom="1134" w:left="1134" w:header="720" w:footer="720" w:gutter="0"/>
          <w:cols w:space="720" w:num="1"/>
          <w:docGrid w:type="lines" w:linePitch="331" w:charSpace="0"/>
        </w:sectPr>
      </w:pPr>
      <w:r>
        <w:rPr>
          <w:rFonts w:hint="eastAsia" w:ascii="宋体" w:hAnsi="宋体"/>
          <w:b/>
          <w:sz w:val="32"/>
          <w:szCs w:val="32"/>
        </w:rPr>
        <w:t>八、除招标文件规定必须提供以外，投标人认为需要提供的其他证明材料。</w:t>
      </w:r>
    </w:p>
    <w:p w14:paraId="2161066F"/>
    <w:p w14:paraId="3B1711B5">
      <w:pPr>
        <w:jc w:val="center"/>
        <w:outlineLvl w:val="1"/>
        <w:rPr>
          <w:rFonts w:hAnsi="宋体"/>
          <w:b/>
          <w:bCs/>
          <w:sz w:val="28"/>
          <w:szCs w:val="28"/>
        </w:rPr>
      </w:pPr>
      <w:bookmarkStart w:id="77" w:name="_Toc32125"/>
      <w:bookmarkStart w:id="78" w:name="_Toc17712"/>
      <w:bookmarkStart w:id="79" w:name="_Toc12758"/>
      <w:r>
        <w:rPr>
          <w:rFonts w:hint="eastAsia" w:hAnsi="宋体"/>
          <w:b/>
          <w:bCs/>
          <w:sz w:val="28"/>
          <w:szCs w:val="28"/>
        </w:rPr>
        <w:t>第</w:t>
      </w:r>
      <w:r>
        <w:rPr>
          <w:rFonts w:hint="eastAsia" w:hAnsi="宋体"/>
          <w:b/>
          <w:bCs/>
          <w:sz w:val="28"/>
          <w:szCs w:val="28"/>
          <w:lang w:val="en-US" w:eastAsia="zh-CN"/>
        </w:rPr>
        <w:t>二</w:t>
      </w:r>
      <w:r>
        <w:rPr>
          <w:rFonts w:hint="eastAsia" w:hAnsi="宋体"/>
          <w:b/>
          <w:bCs/>
          <w:sz w:val="28"/>
          <w:szCs w:val="28"/>
        </w:rPr>
        <w:t>节 商务文件格式</w:t>
      </w:r>
      <w:bookmarkEnd w:id="77"/>
      <w:bookmarkEnd w:id="78"/>
      <w:bookmarkEnd w:id="79"/>
    </w:p>
    <w:p w14:paraId="00FA589B">
      <w:pPr>
        <w:snapToGrid w:val="0"/>
        <w:spacing w:before="165" w:beforeLines="50" w:after="50"/>
        <w:rPr>
          <w:rFonts w:ascii="宋体" w:hAnsi="宋体"/>
          <w:sz w:val="30"/>
          <w:szCs w:val="20"/>
        </w:rPr>
      </w:pPr>
    </w:p>
    <w:p w14:paraId="7A68C1B1">
      <w:pPr>
        <w:snapToGrid w:val="0"/>
        <w:spacing w:before="165" w:beforeLines="50" w:after="50"/>
        <w:rPr>
          <w:rFonts w:ascii="宋体" w:hAnsi="宋体"/>
          <w:bCs/>
          <w:sz w:val="32"/>
          <w:szCs w:val="20"/>
        </w:rPr>
      </w:pPr>
      <w:r>
        <w:rPr>
          <w:rFonts w:hint="eastAsia" w:ascii="宋体" w:hAnsi="宋体"/>
          <w:sz w:val="24"/>
        </w:rPr>
        <w:t xml:space="preserve">                                                  </w:t>
      </w:r>
      <w:r>
        <w:rPr>
          <w:rFonts w:hint="eastAsia" w:ascii="宋体" w:hAnsi="宋体"/>
          <w:bCs/>
        </w:rPr>
        <w:t xml:space="preserve">             电子投标文件</w:t>
      </w:r>
    </w:p>
    <w:p w14:paraId="393C8D9F">
      <w:pPr>
        <w:snapToGrid w:val="0"/>
        <w:spacing w:before="165" w:beforeLines="50" w:after="50"/>
        <w:rPr>
          <w:rFonts w:ascii="宋体" w:hAnsi="宋体"/>
          <w:sz w:val="24"/>
          <w:szCs w:val="20"/>
        </w:rPr>
      </w:pPr>
    </w:p>
    <w:p w14:paraId="5FD3FD17">
      <w:pPr>
        <w:snapToGrid w:val="0"/>
        <w:spacing w:before="165" w:beforeLines="50" w:after="50"/>
        <w:jc w:val="center"/>
        <w:rPr>
          <w:rFonts w:ascii="宋体" w:hAnsi="宋体"/>
          <w:b/>
          <w:sz w:val="24"/>
          <w:szCs w:val="20"/>
        </w:rPr>
      </w:pPr>
      <w:r>
        <w:rPr>
          <w:rFonts w:hint="eastAsia" w:ascii="宋体" w:hAnsi="宋体"/>
          <w:b/>
          <w:sz w:val="32"/>
          <w:szCs w:val="32"/>
        </w:rPr>
        <w:t>商务文件（封面）</w:t>
      </w:r>
    </w:p>
    <w:p w14:paraId="7A18DA5D">
      <w:pPr>
        <w:snapToGrid w:val="0"/>
        <w:spacing w:before="165" w:beforeLines="50" w:after="50"/>
        <w:rPr>
          <w:rFonts w:ascii="宋体" w:hAnsi="宋体"/>
          <w:bCs/>
          <w:sz w:val="24"/>
          <w:szCs w:val="20"/>
        </w:rPr>
      </w:pPr>
    </w:p>
    <w:p w14:paraId="64A6DA18">
      <w:pPr>
        <w:snapToGrid w:val="0"/>
        <w:spacing w:before="165" w:beforeLines="50" w:after="50"/>
        <w:ind w:firstLine="540" w:firstLineChars="225"/>
        <w:rPr>
          <w:rFonts w:ascii="宋体" w:hAnsi="宋体"/>
          <w:bCs/>
          <w:sz w:val="24"/>
        </w:rPr>
      </w:pPr>
      <w:r>
        <w:rPr>
          <w:rFonts w:hint="eastAsia" w:ascii="宋体" w:hAnsi="宋体"/>
          <w:bCs/>
          <w:sz w:val="24"/>
        </w:rPr>
        <w:t>项目名称：</w:t>
      </w:r>
    </w:p>
    <w:p w14:paraId="06B4D62A">
      <w:pPr>
        <w:snapToGrid w:val="0"/>
        <w:spacing w:before="165" w:beforeLines="50" w:after="50"/>
        <w:ind w:firstLine="540" w:firstLineChars="225"/>
        <w:rPr>
          <w:rFonts w:ascii="宋体" w:hAnsi="宋体"/>
          <w:bCs/>
          <w:sz w:val="24"/>
          <w:szCs w:val="20"/>
        </w:rPr>
      </w:pPr>
    </w:p>
    <w:p w14:paraId="4B2A4B3C">
      <w:pPr>
        <w:snapToGrid w:val="0"/>
        <w:spacing w:before="165" w:beforeLines="50" w:after="50"/>
        <w:ind w:firstLine="540" w:firstLineChars="225"/>
        <w:rPr>
          <w:rFonts w:ascii="宋体" w:hAnsi="宋体"/>
          <w:bCs/>
          <w:sz w:val="24"/>
        </w:rPr>
      </w:pPr>
      <w:r>
        <w:rPr>
          <w:rFonts w:hint="eastAsia" w:ascii="宋体" w:hAnsi="宋体"/>
          <w:bCs/>
          <w:sz w:val="24"/>
        </w:rPr>
        <w:t>项目编号：</w:t>
      </w:r>
    </w:p>
    <w:p w14:paraId="42114964">
      <w:pPr>
        <w:snapToGrid w:val="0"/>
        <w:spacing w:before="165" w:beforeLines="50" w:after="50"/>
        <w:ind w:firstLine="540" w:firstLineChars="225"/>
        <w:rPr>
          <w:rFonts w:ascii="宋体" w:hAnsi="宋体"/>
          <w:bCs/>
          <w:sz w:val="24"/>
          <w:szCs w:val="20"/>
        </w:rPr>
      </w:pPr>
      <w:r>
        <w:rPr>
          <w:rFonts w:hint="eastAsia" w:ascii="宋体" w:hAnsi="宋体"/>
          <w:bCs/>
          <w:sz w:val="24"/>
        </w:rPr>
        <w:t xml:space="preserve"> </w:t>
      </w:r>
    </w:p>
    <w:p w14:paraId="4F43AFBB">
      <w:pPr>
        <w:snapToGrid w:val="0"/>
        <w:spacing w:before="165" w:beforeLines="50" w:after="50"/>
        <w:ind w:firstLine="540" w:firstLineChars="225"/>
        <w:rPr>
          <w:rFonts w:ascii="宋体" w:hAnsi="宋体"/>
          <w:bCs/>
          <w:sz w:val="24"/>
        </w:rPr>
      </w:pPr>
      <w:r>
        <w:rPr>
          <w:rFonts w:hint="eastAsia" w:ascii="宋体" w:hAnsi="宋体"/>
          <w:bCs/>
          <w:sz w:val="24"/>
        </w:rPr>
        <w:t>所投分标：</w:t>
      </w:r>
    </w:p>
    <w:p w14:paraId="25E2D55D">
      <w:pPr>
        <w:snapToGrid w:val="0"/>
        <w:spacing w:before="165" w:beforeLines="50" w:after="50"/>
        <w:ind w:firstLine="540" w:firstLineChars="225"/>
        <w:rPr>
          <w:rFonts w:ascii="宋体" w:hAnsi="宋体"/>
          <w:bCs/>
          <w:sz w:val="24"/>
          <w:szCs w:val="20"/>
        </w:rPr>
      </w:pPr>
    </w:p>
    <w:p w14:paraId="5919FF15">
      <w:pPr>
        <w:snapToGrid w:val="0"/>
        <w:spacing w:before="50" w:after="50"/>
        <w:ind w:firstLine="540" w:firstLineChars="225"/>
        <w:rPr>
          <w:rFonts w:ascii="宋体" w:hAnsi="宋体"/>
          <w:bCs/>
          <w:sz w:val="24"/>
        </w:rPr>
      </w:pPr>
      <w:r>
        <w:rPr>
          <w:rFonts w:hint="eastAsia" w:ascii="宋体" w:hAnsi="宋体"/>
          <w:bCs/>
          <w:sz w:val="24"/>
        </w:rPr>
        <w:t>投标人名称：</w:t>
      </w:r>
    </w:p>
    <w:p w14:paraId="3D349FE3">
      <w:pPr>
        <w:snapToGrid w:val="0"/>
        <w:spacing w:before="50" w:after="50"/>
        <w:ind w:firstLine="540" w:firstLineChars="225"/>
        <w:rPr>
          <w:rFonts w:ascii="宋体" w:hAnsi="宋体"/>
          <w:bCs/>
          <w:sz w:val="24"/>
        </w:rPr>
      </w:pPr>
    </w:p>
    <w:p w14:paraId="4DC6B662">
      <w:pPr>
        <w:snapToGrid w:val="0"/>
        <w:spacing w:before="50" w:after="50"/>
        <w:ind w:firstLine="540" w:firstLineChars="225"/>
        <w:rPr>
          <w:rFonts w:ascii="宋体" w:hAnsi="宋体"/>
          <w:bCs/>
          <w:sz w:val="24"/>
        </w:rPr>
      </w:pPr>
      <w:r>
        <w:rPr>
          <w:rFonts w:hint="eastAsia" w:ascii="宋体" w:hAnsi="宋体"/>
          <w:bCs/>
          <w:sz w:val="24"/>
        </w:rPr>
        <w:t>投标人地址：</w:t>
      </w:r>
    </w:p>
    <w:p w14:paraId="67CD3633">
      <w:pPr>
        <w:snapToGrid w:val="0"/>
        <w:spacing w:before="50" w:after="50"/>
        <w:ind w:firstLine="960" w:firstLineChars="400"/>
        <w:rPr>
          <w:rFonts w:ascii="宋体" w:hAnsi="宋体"/>
          <w:bCs/>
          <w:sz w:val="24"/>
        </w:rPr>
      </w:pPr>
    </w:p>
    <w:p w14:paraId="52101BAA">
      <w:pPr>
        <w:snapToGrid w:val="0"/>
        <w:spacing w:before="165" w:beforeLines="50" w:after="50"/>
        <w:ind w:firstLine="645"/>
        <w:rPr>
          <w:rFonts w:ascii="宋体" w:hAnsi="宋体"/>
          <w:sz w:val="24"/>
        </w:rPr>
      </w:pPr>
      <w:r>
        <w:rPr>
          <w:rFonts w:hint="eastAsia" w:ascii="宋体" w:hAnsi="宋体"/>
          <w:sz w:val="24"/>
        </w:rPr>
        <w:t xml:space="preserve">                        年  月  日</w:t>
      </w:r>
    </w:p>
    <w:p w14:paraId="67C36D27">
      <w:pPr>
        <w:snapToGrid w:val="0"/>
        <w:spacing w:before="165" w:beforeLines="50" w:after="50"/>
        <w:rPr>
          <w:rFonts w:ascii="宋体" w:hAnsi="宋体"/>
          <w:sz w:val="24"/>
          <w:szCs w:val="20"/>
        </w:rPr>
      </w:pPr>
      <w:r>
        <w:rPr>
          <w:rFonts w:ascii="宋体" w:hAnsi="宋体"/>
          <w:sz w:val="24"/>
          <w:szCs w:val="20"/>
        </w:rPr>
        <w:t xml:space="preserve"> </w:t>
      </w:r>
    </w:p>
    <w:p w14:paraId="1142D418">
      <w:pPr>
        <w:spacing w:line="360" w:lineRule="auto"/>
        <w:ind w:right="420"/>
        <w:rPr>
          <w:rFonts w:ascii="宋体" w:hAnsi="宋体"/>
          <w:sz w:val="24"/>
          <w:szCs w:val="20"/>
        </w:rPr>
      </w:pPr>
    </w:p>
    <w:p w14:paraId="4888F76F">
      <w:pPr>
        <w:spacing w:line="360" w:lineRule="auto"/>
        <w:ind w:right="420"/>
        <w:rPr>
          <w:rFonts w:ascii="宋体" w:hAnsi="宋体"/>
          <w:sz w:val="24"/>
          <w:szCs w:val="20"/>
        </w:rPr>
      </w:pPr>
    </w:p>
    <w:p w14:paraId="3FC1CE3C">
      <w:pPr>
        <w:spacing w:line="360" w:lineRule="auto"/>
        <w:ind w:right="420"/>
        <w:rPr>
          <w:rFonts w:ascii="宋体" w:hAnsi="宋体"/>
          <w:sz w:val="24"/>
          <w:szCs w:val="20"/>
        </w:rPr>
      </w:pPr>
    </w:p>
    <w:p w14:paraId="3B319228">
      <w:pPr>
        <w:spacing w:line="360" w:lineRule="auto"/>
        <w:ind w:right="420"/>
        <w:rPr>
          <w:rFonts w:ascii="宋体" w:hAnsi="宋体"/>
          <w:sz w:val="24"/>
          <w:szCs w:val="20"/>
        </w:rPr>
      </w:pPr>
    </w:p>
    <w:p w14:paraId="55AB85BA">
      <w:pPr>
        <w:spacing w:line="360" w:lineRule="auto"/>
        <w:ind w:right="420"/>
        <w:rPr>
          <w:rFonts w:ascii="宋体" w:hAnsi="宋体"/>
          <w:sz w:val="24"/>
          <w:szCs w:val="20"/>
        </w:rPr>
      </w:pPr>
    </w:p>
    <w:p w14:paraId="0682101B">
      <w:pPr>
        <w:spacing w:line="360" w:lineRule="auto"/>
        <w:ind w:right="420"/>
        <w:rPr>
          <w:rFonts w:ascii="宋体" w:hAnsi="宋体"/>
          <w:sz w:val="24"/>
          <w:szCs w:val="20"/>
        </w:rPr>
      </w:pPr>
    </w:p>
    <w:p w14:paraId="477EFE3F">
      <w:pPr>
        <w:spacing w:line="360" w:lineRule="auto"/>
        <w:ind w:right="420"/>
        <w:rPr>
          <w:rFonts w:ascii="宋体" w:hAnsi="宋体"/>
          <w:sz w:val="24"/>
          <w:szCs w:val="20"/>
        </w:rPr>
      </w:pPr>
    </w:p>
    <w:p w14:paraId="60DA4A0C">
      <w:pPr>
        <w:spacing w:line="360" w:lineRule="auto"/>
        <w:ind w:right="420"/>
        <w:rPr>
          <w:rFonts w:ascii="宋体" w:hAnsi="宋体"/>
          <w:sz w:val="24"/>
          <w:szCs w:val="20"/>
        </w:rPr>
      </w:pPr>
    </w:p>
    <w:p w14:paraId="45C41EE1">
      <w:pPr>
        <w:spacing w:line="360" w:lineRule="auto"/>
        <w:ind w:right="420"/>
        <w:rPr>
          <w:rFonts w:ascii="宋体" w:hAnsi="宋体"/>
          <w:sz w:val="24"/>
          <w:szCs w:val="20"/>
        </w:rPr>
      </w:pPr>
    </w:p>
    <w:p w14:paraId="2F1F69CD">
      <w:pPr>
        <w:spacing w:line="360" w:lineRule="auto"/>
        <w:ind w:right="42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 xml:space="preserve"> </w:t>
      </w:r>
    </w:p>
    <w:p w14:paraId="20929142">
      <w:pPr>
        <w:rPr>
          <w:rFonts w:ascii="仿宋_GB2312" w:hAnsi="仿宋" w:eastAsia="仿宋_GB2312" w:cs="仿宋_GB2312"/>
          <w:b/>
          <w:kern w:val="0"/>
          <w:sz w:val="24"/>
        </w:rPr>
      </w:pPr>
    </w:p>
    <w:p w14:paraId="244A6F93">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38CCC5F0">
      <w:pPr>
        <w:pStyle w:val="103"/>
        <w:spacing w:line="360" w:lineRule="auto"/>
        <w:rPr>
          <w:rFonts w:cs="仿宋_GB2312"/>
        </w:rPr>
      </w:pPr>
      <w:r>
        <w:rPr>
          <w:rFonts w:hint="eastAsia" w:cs="仿宋_GB2312"/>
        </w:rPr>
        <w:t>一、无串标行为承诺函…………………………………………………………………（页码）</w:t>
      </w:r>
    </w:p>
    <w:p w14:paraId="0697C85B">
      <w:pPr>
        <w:pStyle w:val="103"/>
        <w:spacing w:line="360" w:lineRule="auto"/>
        <w:rPr>
          <w:rFonts w:cs="仿宋_GB2312"/>
        </w:rPr>
      </w:pPr>
      <w:r>
        <w:rPr>
          <w:rFonts w:hint="eastAsia" w:cs="仿宋_GB2312"/>
        </w:rPr>
        <w:t>二、法定代表人身份证明及法定代表人有效身份证正反面复印件…………………（页码）</w:t>
      </w:r>
    </w:p>
    <w:p w14:paraId="1F2BAD9C">
      <w:pPr>
        <w:pStyle w:val="103"/>
        <w:spacing w:line="360" w:lineRule="auto"/>
        <w:rPr>
          <w:rFonts w:cs="仿宋_GB2312"/>
        </w:rPr>
      </w:pPr>
      <w:r>
        <w:rPr>
          <w:rFonts w:hint="eastAsia" w:cs="仿宋_GB2312"/>
        </w:rPr>
        <w:t>三、法定代表人授权委托书（如有委托时）…………………………………………（页码）</w:t>
      </w:r>
    </w:p>
    <w:p w14:paraId="7D3595D2">
      <w:pPr>
        <w:pStyle w:val="103"/>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14:paraId="72C8F8A2">
      <w:pPr>
        <w:pStyle w:val="103"/>
        <w:spacing w:line="360" w:lineRule="auto"/>
        <w:rPr>
          <w:rFonts w:cs="仿宋_GB2312"/>
        </w:rPr>
      </w:pPr>
      <w:r>
        <w:rPr>
          <w:rFonts w:hint="eastAsia" w:cs="仿宋_GB2312"/>
        </w:rPr>
        <w:t>五、投标人情况介绍</w:t>
      </w:r>
      <w:r>
        <w:rPr>
          <w:rFonts w:hint="eastAsia" w:cs="仿宋_GB2312"/>
          <w:lang w:val="zh-CN"/>
        </w:rPr>
        <w:t>………………………………</w:t>
      </w:r>
      <w:r>
        <w:rPr>
          <w:rFonts w:hint="eastAsia" w:cs="仿宋_GB2312"/>
        </w:rPr>
        <w:t>……………………………………（页码）</w:t>
      </w:r>
    </w:p>
    <w:p w14:paraId="346620BA">
      <w:pPr>
        <w:pStyle w:val="103"/>
        <w:spacing w:line="360" w:lineRule="auto"/>
        <w:rPr>
          <w:rFonts w:cs="仿宋_GB2312"/>
        </w:rPr>
      </w:pPr>
      <w:r>
        <w:rPr>
          <w:rFonts w:hint="eastAsia" w:cs="仿宋_GB2312"/>
        </w:rPr>
        <w:t>六、除招标文件规定必须提供以外，投标人认为需要提供的其他证明材料………（页码）</w:t>
      </w:r>
    </w:p>
    <w:p w14:paraId="5F0D4E3A">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6AD23B24">
      <w:pPr>
        <w:snapToGrid w:val="0"/>
        <w:spacing w:line="360" w:lineRule="auto"/>
        <w:ind w:firstLine="420" w:firstLineChars="200"/>
        <w:jc w:val="left"/>
        <w:rPr>
          <w:rFonts w:ascii="宋体" w:hAnsi="宋体"/>
        </w:rPr>
        <w:sectPr>
          <w:pgSz w:w="11906" w:h="16838"/>
          <w:pgMar w:top="1134" w:right="1134" w:bottom="1134" w:left="1134" w:header="720" w:footer="720" w:gutter="0"/>
          <w:cols w:space="720" w:num="1"/>
          <w:docGrid w:type="lines" w:linePitch="331" w:charSpace="0"/>
        </w:sectPr>
      </w:pPr>
    </w:p>
    <w:p w14:paraId="0D856E80">
      <w:pPr>
        <w:snapToGrid w:val="0"/>
        <w:spacing w:before="120" w:beforeLines="50" w:after="50"/>
        <w:ind w:left="0"/>
        <w:jc w:val="center"/>
        <w:rPr>
          <w:b/>
          <w:bCs/>
          <w:sz w:val="30"/>
          <w:szCs w:val="30"/>
        </w:rPr>
      </w:pPr>
      <w:r>
        <w:rPr>
          <w:rFonts w:hint="eastAsia"/>
          <w:b/>
          <w:bCs/>
          <w:sz w:val="30"/>
          <w:szCs w:val="30"/>
        </w:rPr>
        <w:t>一、无串标行为承诺函</w:t>
      </w:r>
    </w:p>
    <w:p w14:paraId="4E806F96">
      <w:pPr>
        <w:snapToGrid w:val="0"/>
        <w:spacing w:before="120" w:beforeLines="50" w:after="50"/>
        <w:ind w:left="420"/>
        <w:jc w:val="center"/>
        <w:rPr>
          <w:rFonts w:ascii="宋体" w:hAnsi="宋体"/>
          <w:b/>
          <w:sz w:val="32"/>
          <w:szCs w:val="32"/>
        </w:rPr>
      </w:pPr>
      <w:r>
        <w:rPr>
          <w:rFonts w:hint="eastAsia" w:ascii="宋体" w:hAnsi="宋体"/>
          <w:b/>
          <w:sz w:val="32"/>
          <w:szCs w:val="32"/>
        </w:rPr>
        <w:t>投标人参加本项目无围标串标行为的承诺函</w:t>
      </w:r>
    </w:p>
    <w:p w14:paraId="444A1B09">
      <w:pPr>
        <w:snapToGrid w:val="0"/>
        <w:spacing w:before="120" w:beforeLines="50" w:after="50"/>
        <w:rPr>
          <w:rFonts w:ascii="宋体" w:hAnsi="宋体"/>
          <w:b/>
          <w:szCs w:val="21"/>
        </w:rPr>
      </w:pPr>
    </w:p>
    <w:p w14:paraId="1F78EE80">
      <w:pPr>
        <w:snapToGrid w:val="0"/>
        <w:spacing w:before="120" w:beforeLines="50" w:after="50" w:line="360" w:lineRule="auto"/>
        <w:jc w:val="left"/>
        <w:rPr>
          <w:rFonts w:ascii="宋体" w:hAnsi="宋体"/>
          <w:b/>
          <w:szCs w:val="21"/>
        </w:rPr>
      </w:pPr>
      <w:r>
        <w:rPr>
          <w:rFonts w:hint="eastAsia" w:ascii="宋体" w:hAnsi="宋体"/>
          <w:b/>
          <w:szCs w:val="21"/>
        </w:rPr>
        <w:t>一、我方承诺无下列相互串通投标的情形：</w:t>
      </w:r>
    </w:p>
    <w:p w14:paraId="1F169672">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1.不同投标人的投标文件由同一单位或者个人编制；或者不同投标人报名的IP地址一致的；</w:t>
      </w:r>
    </w:p>
    <w:p w14:paraId="1BFE7422">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2.不同投标人委托同一单位或者个人办理投标事宜；</w:t>
      </w:r>
    </w:p>
    <w:p w14:paraId="588A9E7D">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3.不同的投标人的投标文件载明的项目管理员为同一个人；</w:t>
      </w:r>
    </w:p>
    <w:p w14:paraId="62E85D2B">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4.不同投标人的投标文件异常一致或者投标报价呈规律性差异；</w:t>
      </w:r>
    </w:p>
    <w:p w14:paraId="59425E9E">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5.不同投标人的投标文件相互混装；</w:t>
      </w:r>
    </w:p>
    <w:p w14:paraId="3D075295">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6.不同投标人的投标保证金从同一单位或者个人账户转出。</w:t>
      </w:r>
    </w:p>
    <w:p w14:paraId="11F1054E">
      <w:pPr>
        <w:snapToGrid w:val="0"/>
        <w:spacing w:before="120" w:beforeLines="50" w:after="50" w:line="360" w:lineRule="auto"/>
        <w:jc w:val="left"/>
        <w:rPr>
          <w:rFonts w:ascii="宋体" w:hAnsi="宋体"/>
          <w:szCs w:val="21"/>
        </w:rPr>
      </w:pPr>
      <w:r>
        <w:rPr>
          <w:rFonts w:hint="eastAsia" w:ascii="宋体" w:hAnsi="宋体"/>
          <w:b/>
          <w:szCs w:val="21"/>
        </w:rPr>
        <w:t>二、我方承诺无下列恶意串通的情形：</w:t>
      </w:r>
    </w:p>
    <w:p w14:paraId="2F476CAE">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760A0D52">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2.投标人按照采购人或者采购代理机构的授意撤换、修改投标文件或者投标文件；</w:t>
      </w:r>
    </w:p>
    <w:p w14:paraId="6520C123">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3.投标人之间协商报价、技术方案等投标文件或者投标文件的实质性内容；</w:t>
      </w:r>
    </w:p>
    <w:p w14:paraId="213BFDA6">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4.属于同一集团、协会、商会等组织成员的投标人按照该组织要求协同参加政府采购活动；</w:t>
      </w:r>
    </w:p>
    <w:p w14:paraId="74C5B4AD">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21615D6A">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6.投标人之间商定部分投标人放弃参加政府采购活动或者放弃中标；</w:t>
      </w:r>
    </w:p>
    <w:p w14:paraId="67FBFA0F">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4BBF8979">
      <w:pPr>
        <w:snapToGrid w:val="0"/>
        <w:spacing w:before="120" w:beforeLines="50" w:after="50" w:line="360" w:lineRule="auto"/>
        <w:ind w:firstLine="413" w:firstLineChars="196"/>
        <w:jc w:val="left"/>
        <w:rPr>
          <w:rFonts w:ascii="宋体" w:hAnsi="宋体"/>
          <w:b/>
          <w:szCs w:val="21"/>
        </w:rPr>
      </w:pPr>
      <w:r>
        <w:rPr>
          <w:rFonts w:hint="eastAsia" w:ascii="宋体" w:hAnsi="宋体"/>
          <w:b/>
          <w:szCs w:val="21"/>
        </w:rPr>
        <w:t>以上情形一经核查属实，我方愿意承担一切后果，并不再寻求任何旨在减轻或者免除法律责任的辩解。</w:t>
      </w:r>
    </w:p>
    <w:p w14:paraId="780E4174">
      <w:pPr>
        <w:snapToGrid w:val="0"/>
        <w:spacing w:line="360" w:lineRule="auto"/>
        <w:ind w:firstLine="4935" w:firstLineChars="235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221C0A8">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7B8EF42">
      <w:pPr>
        <w:snapToGrid w:val="0"/>
        <w:spacing w:before="295" w:after="295" w:line="360" w:lineRule="auto"/>
        <w:jc w:val="center"/>
        <w:rPr>
          <w:rFonts w:hAnsi="宋体"/>
          <w:b/>
          <w:sz w:val="24"/>
        </w:rPr>
      </w:pPr>
      <w:r>
        <w:rPr>
          <w:rFonts w:hAnsi="宋体"/>
          <w:b/>
          <w:sz w:val="24"/>
        </w:rPr>
        <w:br w:type="page"/>
      </w:r>
      <w:r>
        <w:rPr>
          <w:rFonts w:hint="eastAsia"/>
          <w:b/>
          <w:bCs/>
          <w:sz w:val="30"/>
          <w:szCs w:val="30"/>
        </w:rPr>
        <w:t>二、法定代表人身份证明</w:t>
      </w:r>
    </w:p>
    <w:p w14:paraId="0BEF8907">
      <w:pPr>
        <w:spacing w:before="240" w:beforeLines="100" w:after="120" w:afterLines="50"/>
        <w:ind w:left="540"/>
        <w:jc w:val="center"/>
        <w:rPr>
          <w:rFonts w:ascii="宋体" w:hAnsi="Courier New"/>
          <w:b/>
          <w:sz w:val="32"/>
          <w:szCs w:val="32"/>
        </w:rPr>
      </w:pPr>
    </w:p>
    <w:p w14:paraId="1914545F">
      <w:pPr>
        <w:spacing w:before="240" w:beforeLines="100" w:after="120" w:afterLines="50"/>
        <w:ind w:left="540"/>
        <w:jc w:val="center"/>
        <w:rPr>
          <w:rFonts w:ascii="黑体" w:hAnsi="宋体" w:eastAsia="黑体"/>
          <w:sz w:val="32"/>
          <w:szCs w:val="32"/>
        </w:rPr>
      </w:pPr>
      <w:r>
        <w:rPr>
          <w:rFonts w:hint="eastAsia" w:ascii="宋体" w:hAnsi="Courier New"/>
          <w:b/>
          <w:sz w:val="32"/>
          <w:szCs w:val="32"/>
        </w:rPr>
        <w:t>法定代表人身份证明</w:t>
      </w:r>
    </w:p>
    <w:p w14:paraId="547E06EE">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14:paraId="5D938EDD">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14:paraId="66C8647A">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6B37B451">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2FEC2248">
      <w:pPr>
        <w:spacing w:line="500" w:lineRule="exact"/>
        <w:ind w:left="540"/>
        <w:rPr>
          <w:rFonts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6EBF9BBE">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54A62FEF">
      <w:pPr>
        <w:spacing w:line="500" w:lineRule="exact"/>
        <w:ind w:left="540"/>
        <w:rPr>
          <w:rFonts w:ascii="宋体" w:hAnsi="宋体"/>
          <w:sz w:val="24"/>
        </w:rPr>
      </w:pPr>
      <w:r>
        <w:rPr>
          <w:rFonts w:hint="eastAsia" w:ascii="宋体" w:hAnsi="宋体"/>
          <w:sz w:val="24"/>
        </w:rPr>
        <w:t>特此证明。</w:t>
      </w:r>
    </w:p>
    <w:p w14:paraId="3F6EE07B">
      <w:pPr>
        <w:spacing w:line="500" w:lineRule="exact"/>
        <w:ind w:left="540"/>
        <w:rPr>
          <w:rFonts w:ascii="宋体" w:hAnsi="宋体"/>
          <w:sz w:val="24"/>
        </w:rPr>
      </w:pPr>
    </w:p>
    <w:p w14:paraId="2D4705F2">
      <w:pPr>
        <w:spacing w:line="500" w:lineRule="exact"/>
        <w:ind w:left="540"/>
        <w:rPr>
          <w:rFonts w:ascii="宋体" w:hAnsi="宋体"/>
          <w:sz w:val="24"/>
        </w:rPr>
      </w:pPr>
    </w:p>
    <w:p w14:paraId="4F2953DA">
      <w:pPr>
        <w:spacing w:line="500" w:lineRule="exact"/>
        <w:ind w:left="540"/>
        <w:rPr>
          <w:rFonts w:ascii="宋体" w:hAnsi="宋体"/>
          <w:sz w:val="24"/>
        </w:rPr>
      </w:pPr>
      <w:r>
        <w:rPr>
          <w:rFonts w:hint="eastAsia" w:ascii="宋体" w:hAnsi="宋体"/>
          <w:sz w:val="24"/>
        </w:rPr>
        <w:t>附件：法定代表人有效身份证正反面复印件</w:t>
      </w:r>
    </w:p>
    <w:p w14:paraId="5827FBDD">
      <w:pPr>
        <w:spacing w:line="500" w:lineRule="exact"/>
        <w:ind w:left="540"/>
        <w:rPr>
          <w:rFonts w:ascii="宋体" w:hAnsi="宋体"/>
          <w:sz w:val="24"/>
        </w:rPr>
      </w:pPr>
    </w:p>
    <w:p w14:paraId="1BDBBBB4">
      <w:pPr>
        <w:snapToGrid w:val="0"/>
        <w:spacing w:line="360" w:lineRule="auto"/>
        <w:ind w:firstLine="4935" w:firstLineChars="235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1E8021F5">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C343CD5">
      <w:pPr>
        <w:snapToGrid w:val="0"/>
        <w:spacing w:before="120" w:beforeLines="50" w:after="50"/>
        <w:jc w:val="center"/>
        <w:rPr>
          <w:rFonts w:ascii="宋体" w:hAnsi="宋体"/>
          <w:b/>
          <w:sz w:val="24"/>
        </w:rPr>
      </w:pPr>
    </w:p>
    <w:p w14:paraId="46B4E98C">
      <w:pPr>
        <w:snapToGrid w:val="0"/>
        <w:spacing w:before="120" w:beforeLines="50" w:after="50"/>
        <w:ind w:firstLine="600" w:firstLineChars="250"/>
        <w:jc w:val="left"/>
        <w:rPr>
          <w:rFonts w:ascii="宋体" w:hAnsi="宋体"/>
          <w:sz w:val="24"/>
        </w:rPr>
      </w:pPr>
      <w:r>
        <w:rPr>
          <w:rFonts w:hint="eastAsia" w:ascii="宋体" w:hAnsi="宋体"/>
          <w:sz w:val="24"/>
        </w:rPr>
        <w:t>注：自然人投标的无需提供</w:t>
      </w:r>
    </w:p>
    <w:p w14:paraId="75E82867">
      <w:pPr>
        <w:snapToGrid w:val="0"/>
        <w:spacing w:before="120" w:beforeLines="50" w:after="50"/>
        <w:ind w:firstLine="600" w:firstLineChars="250"/>
        <w:jc w:val="left"/>
        <w:rPr>
          <w:rFonts w:ascii="宋体" w:hAnsi="宋体"/>
          <w:sz w:val="24"/>
        </w:rPr>
      </w:pPr>
    </w:p>
    <w:p w14:paraId="001CC909">
      <w:pPr>
        <w:snapToGrid w:val="0"/>
        <w:spacing w:before="120" w:beforeLines="50" w:after="50"/>
        <w:ind w:firstLine="602" w:firstLineChars="250"/>
        <w:jc w:val="left"/>
        <w:rPr>
          <w:rFonts w:ascii="宋体" w:hAnsi="宋体"/>
          <w:b/>
          <w:sz w:val="24"/>
          <w:szCs w:val="20"/>
        </w:rPr>
      </w:pPr>
    </w:p>
    <w:tbl>
      <w:tblPr>
        <w:tblStyle w:val="35"/>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27BB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38BBF9EC">
            <w:pPr>
              <w:spacing w:line="360" w:lineRule="auto"/>
              <w:rPr>
                <w:rFonts w:ascii="宋体"/>
                <w:b/>
                <w:sz w:val="24"/>
              </w:rPr>
            </w:pPr>
          </w:p>
          <w:p w14:paraId="2E1977FA">
            <w:pPr>
              <w:spacing w:line="360" w:lineRule="auto"/>
              <w:rPr>
                <w:rFonts w:ascii="宋体"/>
                <w:b/>
                <w:sz w:val="24"/>
              </w:rPr>
            </w:pPr>
            <w:r>
              <w:rPr>
                <w:rFonts w:hint="eastAsia" w:ascii="宋体"/>
                <w:b/>
                <w:sz w:val="24"/>
              </w:rPr>
              <w:t>法定代表身份证复印件粘帖处（正、反面）</w:t>
            </w:r>
          </w:p>
        </w:tc>
      </w:tr>
    </w:tbl>
    <w:p w14:paraId="1A69287B">
      <w:pPr>
        <w:snapToGrid w:val="0"/>
        <w:spacing w:before="295" w:after="295" w:line="360" w:lineRule="auto"/>
        <w:rPr>
          <w:rFonts w:hAnsi="宋体"/>
          <w:b/>
          <w:sz w:val="24"/>
        </w:rPr>
      </w:pPr>
      <w:r>
        <w:rPr>
          <w:rFonts w:hint="eastAsia" w:hAnsi="宋体"/>
          <w:b/>
          <w:sz w:val="24"/>
        </w:rPr>
        <w:t>附件：</w:t>
      </w:r>
      <w:r>
        <w:rPr>
          <w:rFonts w:hAnsi="宋体"/>
          <w:b/>
          <w:sz w:val="24"/>
        </w:rPr>
        <w:br w:type="page"/>
      </w:r>
      <w:r>
        <w:rPr>
          <w:rFonts w:hint="eastAsia"/>
          <w:b/>
          <w:bCs/>
          <w:sz w:val="30"/>
          <w:szCs w:val="30"/>
        </w:rPr>
        <w:t>三、法定代表人授权委托书（如有委托时）</w:t>
      </w:r>
    </w:p>
    <w:p w14:paraId="2B04C996">
      <w:pPr>
        <w:snapToGrid w:val="0"/>
        <w:spacing w:before="120" w:beforeLines="50" w:after="50"/>
        <w:jc w:val="center"/>
        <w:rPr>
          <w:rFonts w:ascii="宋体" w:hAnsi="宋体"/>
          <w:b/>
          <w:sz w:val="32"/>
          <w:szCs w:val="32"/>
        </w:rPr>
      </w:pPr>
      <w:r>
        <w:rPr>
          <w:rFonts w:hint="eastAsia" w:ascii="宋体" w:hAnsi="宋体"/>
          <w:b/>
          <w:sz w:val="32"/>
          <w:szCs w:val="32"/>
        </w:rPr>
        <w:t>法定代表人授权委托书</w:t>
      </w:r>
    </w:p>
    <w:p w14:paraId="319CFA27">
      <w:pPr>
        <w:snapToGrid w:val="0"/>
        <w:spacing w:before="120" w:beforeLines="50" w:after="50"/>
        <w:jc w:val="center"/>
        <w:rPr>
          <w:rFonts w:ascii="宋体" w:hAnsi="宋体"/>
          <w:b/>
          <w:sz w:val="24"/>
        </w:rPr>
      </w:pPr>
    </w:p>
    <w:p w14:paraId="7347D92B">
      <w:pPr>
        <w:spacing w:line="440" w:lineRule="exact"/>
        <w:ind w:firstLine="420" w:firstLineChars="200"/>
      </w:pPr>
      <w:r>
        <w:rPr>
          <w:rFonts w:hint="eastAsia"/>
        </w:rPr>
        <w:t>致：</w:t>
      </w:r>
      <w:r>
        <w:rPr>
          <w:u w:val="single"/>
        </w:rPr>
        <w:t xml:space="preserve">                      </w:t>
      </w:r>
      <w:r>
        <w:rPr>
          <w:rFonts w:hint="eastAsia"/>
        </w:rPr>
        <w:t>（采购代理机构名称）</w:t>
      </w:r>
    </w:p>
    <w:p w14:paraId="16E6C82C">
      <w:pPr>
        <w:spacing w:line="440" w:lineRule="exact"/>
        <w:ind w:firstLine="420" w:firstLineChars="200"/>
      </w:pPr>
      <w:r>
        <w:rPr>
          <w:rFonts w:hint="eastAsia"/>
        </w:rPr>
        <w:t>本人</w:t>
      </w:r>
      <w:r>
        <w:rPr>
          <w:u w:val="single"/>
        </w:rPr>
        <w:t xml:space="preserve">        </w:t>
      </w:r>
      <w:r>
        <w:rPr>
          <w:rFonts w:hint="eastAsia"/>
        </w:rPr>
        <w:t>（姓名）系</w:t>
      </w:r>
      <w:r>
        <w:rPr>
          <w:u w:val="single"/>
        </w:rPr>
        <w:t xml:space="preserve">                 </w:t>
      </w:r>
      <w:r>
        <w:rPr>
          <w:rFonts w:hint="eastAsia"/>
        </w:rPr>
        <w:t>（投标人名称）的法定代表人，现授权我单位在职正式员工</w:t>
      </w:r>
      <w:r>
        <w:rPr>
          <w:u w:val="single"/>
        </w:rPr>
        <w:t xml:space="preserve">        </w:t>
      </w:r>
      <w:r>
        <w:rPr>
          <w:rFonts w:hint="eastAsia"/>
        </w:rPr>
        <w:t>（姓名和职务）为我方代理人。代理人根据授权，以我方名义签署、澄清、说明、补正、递交、撤回、修改贵方组织的</w:t>
      </w:r>
      <w:r>
        <w:rPr>
          <w:rFonts w:hint="eastAsia"/>
          <w:u w:val="single"/>
        </w:rPr>
        <w:t xml:space="preserve">                </w:t>
      </w:r>
      <w:r>
        <w:rPr>
          <w:rFonts w:hint="eastAsia"/>
        </w:rPr>
        <w:t>项目（项目编号：</w:t>
      </w:r>
      <w:r>
        <w:rPr>
          <w:rFonts w:hint="eastAsia" w:hAnsi="宋体"/>
          <w:u w:val="single"/>
        </w:rPr>
        <w:t xml:space="preserve">             </w:t>
      </w:r>
      <w:r>
        <w:rPr>
          <w:rFonts w:hint="eastAsia"/>
        </w:rPr>
        <w:t>）的投标文件、签订合同和处理一切有关事宜，其法律后果由我方承担。</w:t>
      </w:r>
    </w:p>
    <w:p w14:paraId="55BFB610">
      <w:pPr>
        <w:spacing w:line="440" w:lineRule="exact"/>
        <w:ind w:firstLine="420" w:firstLineChars="200"/>
      </w:pPr>
      <w:r>
        <w:rPr>
          <w:rFonts w:hint="eastAsia"/>
        </w:rPr>
        <w:t>本授权书于</w:t>
      </w:r>
      <w:r>
        <w:rPr>
          <w:rFonts w:hint="eastAsia"/>
          <w:spacing w:val="10"/>
          <w:sz w:val="24"/>
          <w:u w:val="single"/>
        </w:rPr>
        <w:t xml:space="preserve">    </w:t>
      </w:r>
      <w:r>
        <w:rPr>
          <w:rFonts w:hint="eastAsia"/>
        </w:rPr>
        <w:t>年</w:t>
      </w:r>
      <w:r>
        <w:rPr>
          <w:rFonts w:hint="eastAsia"/>
          <w:spacing w:val="10"/>
          <w:sz w:val="24"/>
          <w:u w:val="single"/>
        </w:rPr>
        <w:t xml:space="preserve">    </w:t>
      </w:r>
      <w:r>
        <w:rPr>
          <w:rFonts w:hint="eastAsia"/>
        </w:rPr>
        <w:t>月</w:t>
      </w:r>
      <w:r>
        <w:rPr>
          <w:rFonts w:hint="eastAsia"/>
          <w:spacing w:val="10"/>
          <w:sz w:val="24"/>
          <w:u w:val="single"/>
        </w:rPr>
        <w:t xml:space="preserve">    </w:t>
      </w:r>
      <w:r>
        <w:rPr>
          <w:rFonts w:hint="eastAsia"/>
        </w:rPr>
        <w:t>日签字生效，委托期限：</w:t>
      </w:r>
      <w:r>
        <w:rPr>
          <w:rFonts w:hint="eastAsia"/>
          <w:spacing w:val="10"/>
          <w:sz w:val="24"/>
          <w:u w:val="single"/>
        </w:rPr>
        <w:t xml:space="preserve">    </w:t>
      </w:r>
      <w:r>
        <w:rPr>
          <w:rFonts w:hint="eastAsia"/>
        </w:rPr>
        <w:t>。</w:t>
      </w:r>
    </w:p>
    <w:p w14:paraId="4408177C">
      <w:pPr>
        <w:spacing w:line="360" w:lineRule="auto"/>
        <w:ind w:firstLine="420"/>
      </w:pPr>
      <w:r>
        <w:rPr>
          <w:rFonts w:hint="eastAsia"/>
        </w:rPr>
        <w:t>代理人无转委托权。</w:t>
      </w:r>
    </w:p>
    <w:p w14:paraId="1839A0B9">
      <w:pPr>
        <w:spacing w:line="360" w:lineRule="auto"/>
        <w:ind w:firstLine="420"/>
      </w:pPr>
    </w:p>
    <w:p w14:paraId="59395294">
      <w:pPr>
        <w:spacing w:line="360" w:lineRule="auto"/>
        <w:ind w:firstLine="420"/>
        <w:rPr>
          <w:u w:val="single"/>
        </w:rPr>
      </w:pPr>
      <w:r>
        <w:rPr>
          <w:rFonts w:hint="eastAsia"/>
        </w:rPr>
        <w:t>投标人（或联合体投标</w:t>
      </w:r>
      <w:r>
        <w:rPr>
          <w:rFonts w:hint="eastAsia" w:cs="宋体"/>
          <w:kern w:val="0"/>
          <w:szCs w:val="21"/>
        </w:rPr>
        <w:t>牵头人名称</w:t>
      </w:r>
      <w:r>
        <w:rPr>
          <w:rFonts w:hint="eastAsia"/>
        </w:rPr>
        <w:t>）（盖单位公章）：</w:t>
      </w:r>
      <w:r>
        <w:rPr>
          <w:u w:val="single"/>
        </w:rPr>
        <w:t xml:space="preserve">                                    </w:t>
      </w:r>
    </w:p>
    <w:p w14:paraId="31B68700">
      <w:pPr>
        <w:spacing w:line="360" w:lineRule="auto"/>
        <w:ind w:firstLine="420"/>
        <w:rPr>
          <w:u w:val="single"/>
        </w:rPr>
      </w:pPr>
      <w:r>
        <w:rPr>
          <w:rFonts w:hint="eastAsia"/>
        </w:rPr>
        <w:t>法定代表人（签字）：</w:t>
      </w:r>
      <w:r>
        <w:rPr>
          <w:u w:val="single"/>
        </w:rPr>
        <w:t xml:space="preserve">                                </w:t>
      </w:r>
    </w:p>
    <w:p w14:paraId="52BBCDF8">
      <w:pPr>
        <w:spacing w:line="360" w:lineRule="auto"/>
        <w:ind w:firstLine="420"/>
        <w:rPr>
          <w:u w:val="single"/>
        </w:rPr>
      </w:pPr>
      <w:r>
        <w:rPr>
          <w:rFonts w:hint="eastAsia"/>
        </w:rPr>
        <w:t>法定代表人身份证号码：</w:t>
      </w:r>
      <w:r>
        <w:rPr>
          <w:u w:val="single"/>
        </w:rPr>
        <w:t xml:space="preserve">                                   </w:t>
      </w:r>
    </w:p>
    <w:p w14:paraId="5B27E7E4">
      <w:pPr>
        <w:spacing w:line="360" w:lineRule="auto"/>
        <w:ind w:firstLine="420" w:firstLineChars="200"/>
      </w:pPr>
      <w:r>
        <w:rPr>
          <w:rFonts w:hint="eastAsia"/>
        </w:rPr>
        <w:t>委托代理人（签字）：</w:t>
      </w:r>
      <w:r>
        <w:rPr>
          <w:u w:val="single"/>
        </w:rPr>
        <w:t xml:space="preserve">                                </w:t>
      </w:r>
    </w:p>
    <w:p w14:paraId="3AB848FA">
      <w:pPr>
        <w:spacing w:line="360" w:lineRule="auto"/>
        <w:ind w:firstLine="420"/>
        <w:rPr>
          <w:u w:val="single"/>
        </w:rPr>
      </w:pPr>
      <w:r>
        <w:rPr>
          <w:rFonts w:hint="eastAsia"/>
        </w:rPr>
        <w:t>委托代理人身份证号码：</w:t>
      </w:r>
      <w:r>
        <w:rPr>
          <w:u w:val="single"/>
        </w:rPr>
        <w:t xml:space="preserve">                                   </w:t>
      </w:r>
    </w:p>
    <w:p w14:paraId="16682B8D">
      <w:pPr>
        <w:spacing w:line="360" w:lineRule="auto"/>
        <w:ind w:firstLine="420"/>
        <w:rPr>
          <w:u w:val="single"/>
        </w:rPr>
      </w:pPr>
    </w:p>
    <w:p w14:paraId="2C1B7C76">
      <w:pPr>
        <w:spacing w:line="360" w:lineRule="auto"/>
        <w:ind w:firstLine="420"/>
        <w:rPr>
          <w:u w:val="single"/>
        </w:rPr>
      </w:pPr>
      <w:r>
        <w:rPr>
          <w:rFonts w:hint="eastAsia" w:cs="宋体"/>
          <w:kern w:val="0"/>
          <w:szCs w:val="21"/>
        </w:rPr>
        <w:t>成员一名称：</w:t>
      </w:r>
      <w:r>
        <w:rPr>
          <w:rFonts w:hint="eastAsia"/>
        </w:rPr>
        <w:t>（盖单位公章）：</w:t>
      </w:r>
      <w:r>
        <w:rPr>
          <w:u w:val="single"/>
        </w:rPr>
        <w:t xml:space="preserve">                                    </w:t>
      </w:r>
    </w:p>
    <w:p w14:paraId="50095FE4">
      <w:pPr>
        <w:spacing w:line="360" w:lineRule="auto"/>
        <w:ind w:firstLine="420"/>
        <w:rPr>
          <w:u w:val="single"/>
        </w:rPr>
      </w:pPr>
      <w:r>
        <w:rPr>
          <w:rFonts w:hint="eastAsia"/>
        </w:rPr>
        <w:t>法定代表人（签字）：</w:t>
      </w:r>
      <w:r>
        <w:rPr>
          <w:u w:val="single"/>
        </w:rPr>
        <w:t xml:space="preserve">                                </w:t>
      </w:r>
    </w:p>
    <w:p w14:paraId="33626FFF">
      <w:pPr>
        <w:spacing w:line="360" w:lineRule="auto"/>
        <w:ind w:firstLine="420"/>
        <w:rPr>
          <w:u w:val="single"/>
        </w:rPr>
      </w:pPr>
    </w:p>
    <w:p w14:paraId="7E5CD1FF">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成员二名称：</w:t>
      </w:r>
      <w:r>
        <w:rPr>
          <w:rFonts w:hint="eastAsia" w:ascii="宋体" w:cs="宋体"/>
          <w:kern w:val="0"/>
          <w:szCs w:val="21"/>
          <w:u w:val="single"/>
        </w:rPr>
        <w:t xml:space="preserve">                                       </w:t>
      </w:r>
      <w:r>
        <w:rPr>
          <w:rFonts w:hint="eastAsia" w:ascii="宋体" w:cs="宋体"/>
          <w:kern w:val="0"/>
          <w:szCs w:val="21"/>
        </w:rPr>
        <w:t>（盖单位公章）</w:t>
      </w:r>
    </w:p>
    <w:p w14:paraId="79C24D28">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w:t>
      </w:r>
      <w:r>
        <w:rPr>
          <w:rFonts w:hint="eastAsia" w:ascii="宋体" w:cs="宋体"/>
          <w:kern w:val="0"/>
          <w:szCs w:val="21"/>
          <w:u w:val="single"/>
        </w:rPr>
        <w:t xml:space="preserve">                         </w:t>
      </w:r>
      <w:r>
        <w:rPr>
          <w:rFonts w:hint="eastAsia" w:ascii="宋体" w:cs="宋体"/>
          <w:kern w:val="0"/>
          <w:szCs w:val="21"/>
        </w:rPr>
        <w:t>（签字）</w:t>
      </w:r>
    </w:p>
    <w:p w14:paraId="3ED8101E">
      <w:pPr>
        <w:ind w:firstLine="420" w:firstLineChars="200"/>
      </w:pPr>
      <w:r>
        <w:rPr>
          <w:rFonts w:hint="eastAsia"/>
        </w:rPr>
        <w:t>......</w:t>
      </w:r>
    </w:p>
    <w:p w14:paraId="097AE989">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注：</w:t>
      </w:r>
    </w:p>
    <w:p w14:paraId="52AD3B71">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1.法定代表人和委托代理人在授权委托书上签名；</w:t>
      </w:r>
    </w:p>
    <w:p w14:paraId="671983BB">
      <w:pPr>
        <w:spacing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14CCF047">
      <w:pPr>
        <w:snapToGrid w:val="0"/>
        <w:spacing w:before="50" w:after="120" w:afterLines="50"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3</w:t>
      </w:r>
      <w:r>
        <w:rPr>
          <w:rFonts w:ascii="仿宋_GB2312" w:hAnsi="仿宋_GB2312" w:eastAsia="仿宋_GB2312" w:cs="仿宋_GB2312"/>
          <w:szCs w:val="21"/>
        </w:rPr>
        <w:t>.</w:t>
      </w:r>
      <w:r>
        <w:rPr>
          <w:rFonts w:hint="eastAsia" w:ascii="仿宋_GB2312" w:hAnsi="仿宋_GB2312" w:eastAsia="仿宋_GB2312" w:cs="仿宋_GB2312"/>
          <w:szCs w:val="21"/>
        </w:rPr>
        <w:t xml:space="preserve"> 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8CD76D2">
      <w:pPr>
        <w:snapToGrid w:val="0"/>
        <w:spacing w:before="50" w:after="120" w:afterLines="50"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744E55CA">
      <w:pPr>
        <w:spacing w:line="360" w:lineRule="auto"/>
        <w:rPr>
          <w:rFonts w:ascii="宋体"/>
          <w:b/>
          <w:sz w:val="24"/>
        </w:rPr>
      </w:pPr>
    </w:p>
    <w:p w14:paraId="4E26CFB1">
      <w:pPr>
        <w:spacing w:line="360" w:lineRule="auto"/>
        <w:rPr>
          <w:b/>
          <w:sz w:val="24"/>
        </w:rPr>
      </w:pPr>
      <w:r>
        <w:rPr>
          <w:rFonts w:hint="eastAsia" w:ascii="宋体"/>
          <w:b/>
          <w:sz w:val="24"/>
        </w:rPr>
        <w:t>附件：</w:t>
      </w:r>
    </w:p>
    <w:tbl>
      <w:tblPr>
        <w:tblStyle w:val="35"/>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6972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Pr>
          <w:p w14:paraId="5F9AF17D">
            <w:pPr>
              <w:spacing w:line="360" w:lineRule="auto"/>
              <w:rPr>
                <w:rFonts w:ascii="宋体"/>
                <w:b/>
                <w:sz w:val="24"/>
              </w:rPr>
            </w:pPr>
          </w:p>
          <w:p w14:paraId="18957A20">
            <w:pPr>
              <w:spacing w:line="360" w:lineRule="auto"/>
              <w:rPr>
                <w:rFonts w:ascii="宋体"/>
                <w:b/>
                <w:sz w:val="24"/>
              </w:rPr>
            </w:pPr>
            <w:r>
              <w:rPr>
                <w:rFonts w:hint="eastAsia" w:ascii="宋体"/>
                <w:b/>
                <w:sz w:val="24"/>
              </w:rPr>
              <w:t>全权代表身份证复印件粘帖处（正、反面）</w:t>
            </w:r>
          </w:p>
        </w:tc>
      </w:tr>
    </w:tbl>
    <w:p w14:paraId="315020F9">
      <w:pPr>
        <w:snapToGrid w:val="0"/>
        <w:spacing w:before="50" w:after="120" w:afterLines="50" w:line="360" w:lineRule="auto"/>
        <w:jc w:val="left"/>
        <w:rPr>
          <w:rFonts w:ascii="仿宋_GB2312" w:hAnsi="仿宋_GB2312" w:eastAsia="仿宋_GB2312" w:cs="仿宋_GB2312"/>
          <w:szCs w:val="21"/>
        </w:rPr>
      </w:pPr>
    </w:p>
    <w:p w14:paraId="0663BD7A">
      <w:pPr>
        <w:snapToGrid w:val="0"/>
        <w:spacing w:before="120" w:beforeLines="50" w:after="50"/>
        <w:ind w:firstLine="566" w:firstLineChars="236"/>
        <w:jc w:val="center"/>
        <w:rPr>
          <w:rFonts w:ascii="宋体" w:hAnsi="宋体"/>
        </w:rPr>
      </w:pPr>
      <w:r>
        <w:rPr>
          <w:rFonts w:ascii="宋体" w:hAnsi="宋体"/>
          <w:sz w:val="24"/>
        </w:rPr>
        <w:t xml:space="preserve"> </w:t>
      </w:r>
      <w:r>
        <w:rPr>
          <w:rFonts w:ascii="宋体" w:hAnsi="宋体"/>
          <w:sz w:val="24"/>
        </w:rPr>
        <w:br w:type="page"/>
      </w:r>
    </w:p>
    <w:p w14:paraId="6C07F576">
      <w:pPr>
        <w:jc w:val="center"/>
        <w:rPr>
          <w:b/>
          <w:bCs/>
          <w:sz w:val="30"/>
          <w:szCs w:val="30"/>
        </w:rPr>
      </w:pPr>
      <w:r>
        <w:rPr>
          <w:rFonts w:hint="eastAsia"/>
          <w:b/>
          <w:bCs/>
          <w:sz w:val="30"/>
          <w:szCs w:val="30"/>
        </w:rPr>
        <w:t>四、商务条款偏离表</w:t>
      </w:r>
    </w:p>
    <w:p w14:paraId="0AF377CC">
      <w:pPr>
        <w:jc w:val="center"/>
        <w:rPr>
          <w:rFonts w:ascii="宋体" w:hAnsi="宋体"/>
          <w:b/>
          <w:sz w:val="24"/>
          <w:szCs w:val="20"/>
        </w:rPr>
      </w:pPr>
      <w:r>
        <w:rPr>
          <w:rFonts w:hint="eastAsia" w:ascii="宋体" w:hAnsi="宋体"/>
          <w:sz w:val="30"/>
          <w:szCs w:val="20"/>
        </w:rPr>
        <w:t>(注：按项目需求表具体项目修改)</w:t>
      </w:r>
    </w:p>
    <w:p w14:paraId="4AB1EBE7">
      <w:pPr>
        <w:snapToGrid w:val="0"/>
        <w:spacing w:before="50"/>
        <w:jc w:val="left"/>
        <w:rPr>
          <w:rFonts w:ascii="宋体" w:hAnsi="宋体"/>
          <w:sz w:val="24"/>
        </w:rPr>
      </w:pPr>
    </w:p>
    <w:p w14:paraId="57FD0181">
      <w:pPr>
        <w:spacing w:line="360" w:lineRule="auto"/>
        <w:ind w:left="-424" w:leftChars="-202" w:firstLine="846"/>
        <w:rPr>
          <w:rFonts w:hAnsi="宋体"/>
          <w:sz w:val="24"/>
        </w:rPr>
      </w:pPr>
      <w:r>
        <w:rPr>
          <w:rFonts w:hint="eastAsia"/>
        </w:rPr>
        <w:t>请逐条对应本项目招标文件第二章“服务需求一览表”中“商务条款”的要求，详细填写相应的具体内容。“偏离说明”一栏应当选择“正偏离”、“负偏离”或“无偏离”进行填写。</w:t>
      </w:r>
    </w:p>
    <w:tbl>
      <w:tblPr>
        <w:tblStyle w:val="35"/>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658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59409B30">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30098F64">
            <w:pPr>
              <w:spacing w:line="340" w:lineRule="exact"/>
              <w:jc w:val="center"/>
              <w:rPr>
                <w:rFonts w:ascii="宋体" w:hAnsi="宋体"/>
                <w:szCs w:val="21"/>
              </w:rPr>
            </w:pPr>
            <w:r>
              <w:rPr>
                <w:rFonts w:hint="eastAsia" w:ascii="宋体" w:hAnsi="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0B0D0B21">
            <w:pPr>
              <w:spacing w:line="340" w:lineRule="exact"/>
              <w:jc w:val="center"/>
              <w:rPr>
                <w:rFonts w:ascii="宋体" w:hAnsi="宋体"/>
                <w:szCs w:val="21"/>
              </w:rPr>
            </w:pPr>
            <w:r>
              <w:rPr>
                <w:rFonts w:hint="eastAsia" w:ascii="宋体" w:hAnsi="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4C116306">
            <w:pPr>
              <w:spacing w:line="340" w:lineRule="exact"/>
              <w:jc w:val="center"/>
              <w:rPr>
                <w:rFonts w:ascii="宋体" w:hAnsi="宋体"/>
                <w:szCs w:val="21"/>
              </w:rPr>
            </w:pPr>
            <w:r>
              <w:rPr>
                <w:rFonts w:hint="eastAsia" w:ascii="宋体" w:hAnsi="宋体"/>
                <w:szCs w:val="21"/>
              </w:rPr>
              <w:t>偏离说明</w:t>
            </w:r>
          </w:p>
        </w:tc>
      </w:tr>
      <w:tr w14:paraId="000B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2B43D1D8">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tcPr>
          <w:p w14:paraId="79ECC8A5">
            <w:pPr>
              <w:spacing w:line="340" w:lineRule="exact"/>
              <w:rPr>
                <w:rFonts w:ascii="宋体" w:hAnsi="宋体"/>
                <w:szCs w:val="21"/>
              </w:rPr>
            </w:pPr>
            <w:r>
              <w:rPr>
                <w:rFonts w:hint="eastAsia" w:ascii="宋体" w:hAnsi="宋体"/>
                <w:szCs w:val="21"/>
              </w:rPr>
              <w:t>1  ……</w:t>
            </w:r>
          </w:p>
          <w:p w14:paraId="646AF1D4">
            <w:pPr>
              <w:spacing w:line="340" w:lineRule="exact"/>
              <w:rPr>
                <w:rFonts w:ascii="宋体" w:hAnsi="宋体"/>
                <w:szCs w:val="21"/>
              </w:rPr>
            </w:pPr>
            <w:r>
              <w:rPr>
                <w:rFonts w:hint="eastAsia" w:ascii="宋体" w:hAnsi="宋体"/>
                <w:szCs w:val="21"/>
              </w:rPr>
              <w:t>2  ……</w:t>
            </w:r>
          </w:p>
          <w:p w14:paraId="70E0602B">
            <w:pPr>
              <w:spacing w:line="340" w:lineRule="exact"/>
              <w:rPr>
                <w:rFonts w:ascii="宋体" w:hAnsi="宋体"/>
                <w:szCs w:val="21"/>
              </w:rPr>
            </w:pPr>
            <w:r>
              <w:rPr>
                <w:rFonts w:hint="eastAsia" w:ascii="宋体" w:hAnsi="宋体"/>
                <w:szCs w:val="21"/>
              </w:rPr>
              <w:t>3  ……</w:t>
            </w:r>
          </w:p>
          <w:p w14:paraId="6726D667">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3B50D089">
            <w:pPr>
              <w:spacing w:line="340" w:lineRule="exact"/>
              <w:rPr>
                <w:rFonts w:ascii="宋体" w:hAnsi="宋体"/>
                <w:szCs w:val="21"/>
              </w:rPr>
            </w:pPr>
            <w:r>
              <w:rPr>
                <w:rFonts w:hint="eastAsia" w:ascii="宋体" w:hAnsi="宋体"/>
                <w:szCs w:val="21"/>
              </w:rPr>
              <w:t>1  ……</w:t>
            </w:r>
          </w:p>
          <w:p w14:paraId="3B524606">
            <w:pPr>
              <w:spacing w:line="340" w:lineRule="exact"/>
              <w:rPr>
                <w:rFonts w:ascii="宋体" w:hAnsi="宋体"/>
                <w:szCs w:val="21"/>
              </w:rPr>
            </w:pPr>
            <w:r>
              <w:rPr>
                <w:rFonts w:hint="eastAsia" w:ascii="宋体" w:hAnsi="宋体"/>
                <w:szCs w:val="21"/>
              </w:rPr>
              <w:t>2  ……</w:t>
            </w:r>
          </w:p>
          <w:p w14:paraId="29F4C718">
            <w:pPr>
              <w:spacing w:line="340" w:lineRule="exact"/>
              <w:rPr>
                <w:rFonts w:ascii="宋体" w:hAnsi="宋体"/>
                <w:szCs w:val="21"/>
              </w:rPr>
            </w:pPr>
            <w:r>
              <w:rPr>
                <w:rFonts w:hint="eastAsia" w:ascii="宋体" w:hAnsi="宋体"/>
                <w:szCs w:val="21"/>
              </w:rPr>
              <w:t>3  ……</w:t>
            </w:r>
          </w:p>
          <w:p w14:paraId="4679385B">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337B5A57">
            <w:pPr>
              <w:spacing w:line="300" w:lineRule="exact"/>
              <w:rPr>
                <w:rFonts w:ascii="宋体" w:hAnsi="宋体"/>
                <w:szCs w:val="21"/>
              </w:rPr>
            </w:pPr>
            <w:r>
              <w:rPr>
                <w:rFonts w:hint="eastAsia" w:ascii="宋体" w:hAnsi="宋体"/>
                <w:szCs w:val="21"/>
              </w:rPr>
              <w:t>正偏离（负偏离或无偏离）</w:t>
            </w:r>
          </w:p>
        </w:tc>
      </w:tr>
      <w:tr w14:paraId="01CA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8944D7A">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tcPr>
          <w:p w14:paraId="2F4DD144">
            <w:pPr>
              <w:spacing w:line="340" w:lineRule="exact"/>
              <w:rPr>
                <w:rFonts w:ascii="宋体" w:hAnsi="宋体"/>
                <w:szCs w:val="21"/>
              </w:rPr>
            </w:pPr>
            <w:r>
              <w:rPr>
                <w:rFonts w:hint="eastAsia" w:ascii="宋体" w:hAnsi="宋体"/>
                <w:szCs w:val="21"/>
              </w:rPr>
              <w:t>1  ……</w:t>
            </w:r>
          </w:p>
          <w:p w14:paraId="79B32B64">
            <w:pPr>
              <w:spacing w:line="340" w:lineRule="exact"/>
              <w:rPr>
                <w:rFonts w:ascii="宋体" w:hAnsi="宋体"/>
                <w:szCs w:val="21"/>
              </w:rPr>
            </w:pPr>
            <w:r>
              <w:rPr>
                <w:rFonts w:hint="eastAsia" w:ascii="宋体" w:hAnsi="宋体"/>
                <w:szCs w:val="21"/>
              </w:rPr>
              <w:t>2  ……</w:t>
            </w:r>
          </w:p>
          <w:p w14:paraId="41611083">
            <w:pPr>
              <w:spacing w:line="340" w:lineRule="exact"/>
              <w:rPr>
                <w:rFonts w:ascii="宋体" w:hAnsi="宋体"/>
                <w:szCs w:val="21"/>
              </w:rPr>
            </w:pPr>
            <w:r>
              <w:rPr>
                <w:rFonts w:hint="eastAsia" w:ascii="宋体" w:hAnsi="宋体"/>
                <w:szCs w:val="21"/>
              </w:rPr>
              <w:t>3  ……</w:t>
            </w:r>
          </w:p>
          <w:p w14:paraId="3A4FFDEE">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712FEEB1">
            <w:pPr>
              <w:spacing w:line="340" w:lineRule="exact"/>
              <w:rPr>
                <w:rFonts w:ascii="宋体" w:hAnsi="宋体"/>
                <w:szCs w:val="21"/>
              </w:rPr>
            </w:pPr>
            <w:r>
              <w:rPr>
                <w:rFonts w:hint="eastAsia" w:ascii="宋体" w:hAnsi="宋体"/>
                <w:szCs w:val="21"/>
              </w:rPr>
              <w:t>1  ……</w:t>
            </w:r>
          </w:p>
          <w:p w14:paraId="58A4E1A0">
            <w:pPr>
              <w:spacing w:line="340" w:lineRule="exact"/>
              <w:rPr>
                <w:rFonts w:ascii="宋体" w:hAnsi="宋体"/>
                <w:szCs w:val="21"/>
              </w:rPr>
            </w:pPr>
            <w:r>
              <w:rPr>
                <w:rFonts w:hint="eastAsia" w:ascii="宋体" w:hAnsi="宋体"/>
                <w:szCs w:val="21"/>
              </w:rPr>
              <w:t>2  ……</w:t>
            </w:r>
          </w:p>
          <w:p w14:paraId="3F1FD52E">
            <w:pPr>
              <w:spacing w:line="340" w:lineRule="exact"/>
              <w:rPr>
                <w:rFonts w:ascii="宋体" w:hAnsi="宋体"/>
                <w:szCs w:val="21"/>
              </w:rPr>
            </w:pPr>
            <w:r>
              <w:rPr>
                <w:rFonts w:hint="eastAsia" w:ascii="宋体" w:hAnsi="宋体"/>
                <w:szCs w:val="21"/>
              </w:rPr>
              <w:t>3  ……</w:t>
            </w:r>
          </w:p>
          <w:p w14:paraId="02991193">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2BFD21BB">
            <w:pPr>
              <w:spacing w:line="300" w:lineRule="exact"/>
              <w:rPr>
                <w:rFonts w:ascii="宋体" w:hAnsi="宋体"/>
                <w:szCs w:val="21"/>
              </w:rPr>
            </w:pPr>
            <w:r>
              <w:rPr>
                <w:rFonts w:hint="eastAsia" w:ascii="宋体" w:hAnsi="宋体"/>
                <w:szCs w:val="21"/>
              </w:rPr>
              <w:t>正偏离（负偏离或无偏离）</w:t>
            </w:r>
          </w:p>
        </w:tc>
      </w:tr>
      <w:tr w14:paraId="12C3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1F649EC6">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tcPr>
          <w:p w14:paraId="07E7DDF4">
            <w:pPr>
              <w:spacing w:line="340" w:lineRule="exact"/>
              <w:rPr>
                <w:rFonts w:ascii="宋体" w:hAnsi="宋体"/>
                <w:szCs w:val="21"/>
              </w:rPr>
            </w:pPr>
            <w:r>
              <w:rPr>
                <w:rFonts w:hint="eastAsia" w:ascii="宋体" w:hAnsi="宋体"/>
                <w:szCs w:val="21"/>
              </w:rPr>
              <w:t>1  ……</w:t>
            </w:r>
          </w:p>
          <w:p w14:paraId="3D8A6DEF">
            <w:pPr>
              <w:spacing w:line="340" w:lineRule="exact"/>
              <w:rPr>
                <w:rFonts w:ascii="宋体" w:hAnsi="宋体"/>
                <w:szCs w:val="21"/>
              </w:rPr>
            </w:pPr>
            <w:r>
              <w:rPr>
                <w:rFonts w:hint="eastAsia" w:ascii="宋体" w:hAnsi="宋体"/>
                <w:szCs w:val="21"/>
              </w:rPr>
              <w:t>2  ……</w:t>
            </w:r>
          </w:p>
          <w:p w14:paraId="37C3AAEE">
            <w:pPr>
              <w:spacing w:line="340" w:lineRule="exact"/>
              <w:rPr>
                <w:rFonts w:ascii="宋体" w:hAnsi="宋体"/>
                <w:szCs w:val="21"/>
              </w:rPr>
            </w:pPr>
            <w:r>
              <w:rPr>
                <w:rFonts w:hint="eastAsia" w:ascii="宋体" w:hAnsi="宋体"/>
                <w:szCs w:val="21"/>
              </w:rPr>
              <w:t>3  ……</w:t>
            </w:r>
          </w:p>
          <w:p w14:paraId="02DC4F38">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tcPr>
          <w:p w14:paraId="45DAC6D4">
            <w:pPr>
              <w:spacing w:line="340" w:lineRule="exact"/>
              <w:rPr>
                <w:rFonts w:ascii="宋体" w:hAnsi="宋体"/>
                <w:szCs w:val="21"/>
              </w:rPr>
            </w:pPr>
            <w:r>
              <w:rPr>
                <w:rFonts w:hint="eastAsia" w:ascii="宋体" w:hAnsi="宋体"/>
                <w:szCs w:val="21"/>
              </w:rPr>
              <w:t>1  ……</w:t>
            </w:r>
          </w:p>
          <w:p w14:paraId="2AED717A">
            <w:pPr>
              <w:spacing w:line="340" w:lineRule="exact"/>
              <w:rPr>
                <w:rFonts w:ascii="宋体" w:hAnsi="宋体"/>
                <w:szCs w:val="21"/>
              </w:rPr>
            </w:pPr>
            <w:r>
              <w:rPr>
                <w:rFonts w:hint="eastAsia" w:ascii="宋体" w:hAnsi="宋体"/>
                <w:szCs w:val="21"/>
              </w:rPr>
              <w:t>2  ……</w:t>
            </w:r>
          </w:p>
          <w:p w14:paraId="61481D79">
            <w:pPr>
              <w:spacing w:line="340" w:lineRule="exact"/>
              <w:rPr>
                <w:rFonts w:ascii="宋体" w:hAnsi="宋体"/>
                <w:szCs w:val="21"/>
              </w:rPr>
            </w:pPr>
            <w:r>
              <w:rPr>
                <w:rFonts w:hint="eastAsia" w:ascii="宋体" w:hAnsi="宋体"/>
                <w:szCs w:val="21"/>
              </w:rPr>
              <w:t>3  ……</w:t>
            </w:r>
          </w:p>
          <w:p w14:paraId="5510EEF8">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tcPr>
          <w:p w14:paraId="7CAD565E">
            <w:pPr>
              <w:spacing w:line="300" w:lineRule="exact"/>
              <w:rPr>
                <w:rFonts w:ascii="宋体" w:hAnsi="宋体"/>
                <w:szCs w:val="21"/>
              </w:rPr>
            </w:pPr>
            <w:r>
              <w:rPr>
                <w:rFonts w:hint="eastAsia" w:ascii="宋体" w:hAnsi="宋体"/>
                <w:szCs w:val="21"/>
              </w:rPr>
              <w:t>正偏离（负偏离或无偏离）</w:t>
            </w:r>
          </w:p>
        </w:tc>
      </w:tr>
      <w:tr w14:paraId="0653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tcPr>
          <w:p w14:paraId="2C8985A8">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B9C4501">
      <w:pPr>
        <w:spacing w:line="360" w:lineRule="auto"/>
        <w:ind w:left="-708" w:leftChars="-337"/>
      </w:pPr>
    </w:p>
    <w:p w14:paraId="34AEBA94">
      <w:pPr>
        <w:spacing w:line="360" w:lineRule="auto"/>
        <w:ind w:left="-708" w:leftChars="-337"/>
        <w:rPr>
          <w:szCs w:val="20"/>
        </w:rPr>
      </w:pPr>
      <w:r>
        <w:rPr>
          <w:rFonts w:hint="eastAsia"/>
          <w:szCs w:val="20"/>
        </w:rPr>
        <w:t>注：</w:t>
      </w:r>
    </w:p>
    <w:p w14:paraId="579761A1">
      <w:pPr>
        <w:spacing w:line="360" w:lineRule="auto"/>
        <w:ind w:left="-708" w:leftChars="-337" w:firstLine="420" w:firstLineChars="200"/>
        <w:rPr>
          <w:szCs w:val="20"/>
        </w:rPr>
      </w:pPr>
      <w:r>
        <w:rPr>
          <w:szCs w:val="20"/>
        </w:rPr>
        <w:t>1.</w:t>
      </w:r>
      <w:r>
        <w:rPr>
          <w:rFonts w:hint="eastAsia"/>
          <w:szCs w:val="20"/>
        </w:rPr>
        <w:t>表格内容均需按要求填写并盖章。</w:t>
      </w:r>
    </w:p>
    <w:p w14:paraId="5E25009A">
      <w:pPr>
        <w:spacing w:line="360" w:lineRule="auto"/>
        <w:ind w:left="-603" w:leftChars="-287" w:firstLine="315" w:firstLineChars="150"/>
        <w:rPr>
          <w:szCs w:val="20"/>
        </w:rPr>
      </w:pPr>
      <w:r>
        <w:rPr>
          <w:szCs w:val="20"/>
        </w:rPr>
        <w:t>2.</w:t>
      </w:r>
      <w:r>
        <w:rPr>
          <w:rFonts w:hint="eastAsia"/>
          <w:szCs w:val="20"/>
        </w:rPr>
        <w:t>如果招标文件需求为小于或大于某个数值标准时，投标文件承诺不得直接复制招标文件需求，投标文件承诺内容应当写明投标货物具体参数或商务响应承诺的具体数值。如该采购需求属于不能明确具体数值的，采购人应在此采购需求的数值后标注◆号，对标注◆号的采购需求不适用上述“投标无效”条款。</w:t>
      </w:r>
    </w:p>
    <w:p w14:paraId="6F62962D">
      <w:pPr>
        <w:spacing w:line="360" w:lineRule="auto"/>
        <w:ind w:left="-708" w:leftChars="-337" w:firstLine="420" w:firstLineChars="200"/>
        <w:rPr>
          <w:szCs w:val="20"/>
        </w:rPr>
      </w:pPr>
      <w:r>
        <w:rPr>
          <w:szCs w:val="20"/>
        </w:rPr>
        <w:t>3.</w:t>
      </w:r>
      <w:r>
        <w:rPr>
          <w:rFonts w:hint="eastAsia"/>
          <w:szCs w:val="20"/>
        </w:rPr>
        <w:t>当投标文件的商务内容低于招标文件要求时，投标人应当如实写明“负偏离”，否则视为虚假应标。</w:t>
      </w:r>
    </w:p>
    <w:p w14:paraId="27EC7163">
      <w:pPr>
        <w:spacing w:line="360" w:lineRule="auto"/>
        <w:ind w:left="-708" w:leftChars="-337" w:firstLine="420" w:firstLineChars="200"/>
        <w:rPr>
          <w:szCs w:val="20"/>
        </w:rPr>
      </w:pPr>
      <w:r>
        <w:rPr>
          <w:rFonts w:hint="eastAsia" w:ascii="宋体" w:hAnsi="宋体" w:cs="宋体"/>
          <w:szCs w:val="21"/>
        </w:rPr>
        <w:t>4.采购需求中带“▲”及“</w:t>
      </w:r>
      <w:r>
        <w:rPr>
          <w:rFonts w:hint="eastAsia"/>
          <w:szCs w:val="20"/>
        </w:rPr>
        <w:t>◆</w:t>
      </w:r>
      <w:r>
        <w:rPr>
          <w:rFonts w:hint="eastAsia" w:ascii="宋体" w:hAnsi="宋体" w:cs="宋体"/>
          <w:szCs w:val="21"/>
        </w:rPr>
        <w:t>”的条款，也要分别在本表“</w:t>
      </w:r>
      <w:r>
        <w:rPr>
          <w:rFonts w:hint="eastAsia" w:ascii="宋体" w:hAnsi="宋体"/>
          <w:szCs w:val="21"/>
        </w:rPr>
        <w:t>投标文件的商务需求</w:t>
      </w:r>
      <w:r>
        <w:rPr>
          <w:rFonts w:hint="eastAsia" w:ascii="宋体" w:hAnsi="宋体" w:cs="宋体"/>
          <w:szCs w:val="21"/>
        </w:rPr>
        <w:t>”、“</w:t>
      </w:r>
      <w:r>
        <w:rPr>
          <w:rFonts w:hint="eastAsia" w:ascii="宋体" w:hAnsi="宋体"/>
          <w:szCs w:val="21"/>
        </w:rPr>
        <w:t>投标文件承诺的商务条款</w:t>
      </w:r>
      <w:r>
        <w:rPr>
          <w:rFonts w:hint="eastAsia" w:ascii="宋体" w:hAnsi="宋体" w:cs="宋体"/>
          <w:szCs w:val="21"/>
        </w:rPr>
        <w:t>”中标记。</w:t>
      </w:r>
    </w:p>
    <w:p w14:paraId="7C63DA6A">
      <w:pPr>
        <w:snapToGrid w:val="0"/>
        <w:spacing w:before="50" w:after="50"/>
        <w:rPr>
          <w:rFonts w:ascii="宋体" w:hAnsi="宋体"/>
          <w:sz w:val="24"/>
        </w:rPr>
      </w:pPr>
    </w:p>
    <w:p w14:paraId="1EDDC1C5">
      <w:pPr>
        <w:snapToGrid w:val="0"/>
        <w:spacing w:line="360" w:lineRule="auto"/>
        <w:ind w:firstLine="4935" w:firstLineChars="235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0A9D23B6">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558D6F1A">
      <w:pPr>
        <w:snapToGrid w:val="0"/>
        <w:spacing w:before="120" w:beforeLines="50" w:after="50"/>
        <w:ind w:firstLine="3150" w:firstLineChars="1500"/>
        <w:jc w:val="left"/>
        <w:rPr>
          <w:rFonts w:ascii="宋体" w:hAnsi="宋体"/>
          <w:szCs w:val="21"/>
        </w:rPr>
        <w:sectPr>
          <w:footerReference r:id="rId13" w:type="first"/>
          <w:headerReference r:id="rId10" w:type="default"/>
          <w:footerReference r:id="rId11" w:type="default"/>
          <w:footerReference r:id="rId12" w:type="even"/>
          <w:pgSz w:w="11906" w:h="16838"/>
          <w:pgMar w:top="1440" w:right="1797" w:bottom="1440" w:left="1797" w:header="851" w:footer="992" w:gutter="0"/>
          <w:cols w:space="720" w:num="1"/>
          <w:docGrid w:linePitch="312" w:charSpace="0"/>
        </w:sectPr>
      </w:pPr>
    </w:p>
    <w:p w14:paraId="381E5C67">
      <w:pPr>
        <w:snapToGrid w:val="0"/>
        <w:spacing w:before="165" w:beforeLines="50" w:after="50"/>
        <w:ind w:firstLine="602" w:firstLineChars="200"/>
        <w:jc w:val="center"/>
        <w:rPr>
          <w:b/>
          <w:bCs/>
          <w:sz w:val="30"/>
          <w:szCs w:val="30"/>
        </w:rPr>
      </w:pPr>
      <w:r>
        <w:rPr>
          <w:rFonts w:hint="eastAsia"/>
          <w:b/>
          <w:bCs/>
          <w:sz w:val="30"/>
          <w:szCs w:val="30"/>
        </w:rPr>
        <w:t>五、投标人情况介绍</w:t>
      </w:r>
    </w:p>
    <w:p w14:paraId="598DC539">
      <w:pPr>
        <w:spacing w:line="360" w:lineRule="auto"/>
        <w:ind w:firstLine="4048" w:firstLineChars="1687"/>
        <w:rPr>
          <w:rFonts w:ascii="仿宋_GB2312" w:hAnsi="仿宋" w:eastAsia="仿宋_GB2312" w:cs="仿宋_GB2312"/>
          <w:kern w:val="0"/>
          <w:sz w:val="24"/>
        </w:rPr>
      </w:pPr>
      <w:r>
        <w:rPr>
          <w:rFonts w:hint="eastAsia" w:ascii="宋体" w:hAnsi="宋体"/>
          <w:sz w:val="24"/>
        </w:rPr>
        <w:t>（格式自拟）</w:t>
      </w:r>
    </w:p>
    <w:p w14:paraId="617EF13E">
      <w:pPr>
        <w:snapToGrid w:val="0"/>
        <w:spacing w:line="360" w:lineRule="auto"/>
        <w:ind w:firstLine="4935" w:firstLineChars="2350"/>
        <w:rPr>
          <w:rFonts w:hAnsi="宋体"/>
          <w:szCs w:val="21"/>
        </w:rPr>
      </w:pPr>
      <w:r>
        <w:rPr>
          <w:rFonts w:hAnsi="宋体"/>
          <w:szCs w:val="21"/>
        </w:rPr>
        <w:t xml:space="preserve"> </w:t>
      </w:r>
    </w:p>
    <w:p w14:paraId="57083249">
      <w:pPr>
        <w:snapToGrid w:val="0"/>
        <w:spacing w:line="360" w:lineRule="auto"/>
        <w:ind w:firstLine="4935" w:firstLineChars="2350"/>
        <w:rPr>
          <w:rFonts w:hAnsi="宋体"/>
          <w:szCs w:val="21"/>
        </w:rPr>
      </w:pPr>
    </w:p>
    <w:p w14:paraId="1FEFB75B">
      <w:pPr>
        <w:snapToGrid w:val="0"/>
        <w:spacing w:line="360" w:lineRule="auto"/>
        <w:ind w:firstLine="4935" w:firstLineChars="2350"/>
        <w:rPr>
          <w:rFonts w:hAnsi="宋体"/>
          <w:szCs w:val="21"/>
        </w:rPr>
      </w:pPr>
    </w:p>
    <w:p w14:paraId="12AB1F38">
      <w:pPr>
        <w:snapToGrid w:val="0"/>
        <w:spacing w:line="360" w:lineRule="auto"/>
        <w:ind w:firstLine="4935" w:firstLineChars="2350"/>
        <w:rPr>
          <w:rFonts w:hAnsi="宋体"/>
          <w:szCs w:val="21"/>
        </w:rPr>
      </w:pPr>
    </w:p>
    <w:p w14:paraId="721B02F9">
      <w:pPr>
        <w:snapToGrid w:val="0"/>
        <w:spacing w:line="360" w:lineRule="auto"/>
        <w:ind w:firstLine="4935" w:firstLineChars="235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57404FD1">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75A6714">
      <w:pPr>
        <w:snapToGrid w:val="0"/>
        <w:spacing w:before="165" w:beforeLines="50" w:after="50"/>
        <w:ind w:firstLine="602" w:firstLineChars="200"/>
        <w:jc w:val="center"/>
        <w:rPr>
          <w:b/>
          <w:bCs/>
          <w:sz w:val="30"/>
          <w:szCs w:val="30"/>
        </w:rPr>
      </w:pPr>
    </w:p>
    <w:p w14:paraId="3D9C57F9">
      <w:pPr>
        <w:snapToGrid w:val="0"/>
        <w:spacing w:line="360" w:lineRule="auto"/>
        <w:ind w:firstLine="5160" w:firstLineChars="2150"/>
        <w:rPr>
          <w:rFonts w:ascii="仿宋_GB2312" w:hAnsi="仿宋" w:eastAsia="仿宋_GB2312" w:cs="仿宋_GB2312"/>
          <w:kern w:val="0"/>
          <w:sz w:val="24"/>
          <w:lang w:val="zh-CN"/>
        </w:rPr>
      </w:pPr>
    </w:p>
    <w:p w14:paraId="4E69FF57">
      <w:pPr>
        <w:snapToGrid w:val="0"/>
        <w:spacing w:before="165" w:beforeLines="50" w:after="50"/>
        <w:ind w:firstLine="602" w:firstLineChars="200"/>
        <w:jc w:val="center"/>
        <w:rPr>
          <w:b/>
          <w:bCs/>
          <w:sz w:val="30"/>
          <w:szCs w:val="30"/>
        </w:rPr>
        <w:sectPr>
          <w:footerReference r:id="rId17" w:type="first"/>
          <w:headerReference r:id="rId14" w:type="default"/>
          <w:footerReference r:id="rId15" w:type="default"/>
          <w:footerReference r:id="rId16" w:type="even"/>
          <w:pgSz w:w="11906" w:h="16838"/>
          <w:pgMar w:top="1134" w:right="1134" w:bottom="1134" w:left="1134" w:header="720" w:footer="720" w:gutter="0"/>
          <w:cols w:space="720" w:num="1"/>
          <w:docGrid w:type="lines" w:linePitch="331" w:charSpace="0"/>
        </w:sectPr>
      </w:pPr>
    </w:p>
    <w:p w14:paraId="53ED0B47">
      <w:pPr>
        <w:snapToGrid w:val="0"/>
        <w:spacing w:line="360" w:lineRule="auto"/>
        <w:rPr>
          <w:rFonts w:ascii="仿宋_GB2312" w:hAnsi="仿宋" w:eastAsia="仿宋_GB2312" w:cs="仿宋_GB2312"/>
          <w:kern w:val="0"/>
          <w:sz w:val="24"/>
          <w:lang w:val="zh-CN"/>
        </w:rPr>
      </w:pPr>
      <w:r>
        <w:rPr>
          <w:rFonts w:hint="eastAsia"/>
          <w:b/>
          <w:bCs/>
          <w:sz w:val="30"/>
          <w:szCs w:val="30"/>
        </w:rPr>
        <w:t>六、</w:t>
      </w:r>
      <w:r>
        <w:rPr>
          <w:rFonts w:hint="eastAsia"/>
          <w:b/>
          <w:bCs/>
          <w:sz w:val="30"/>
          <w:szCs w:val="30"/>
          <w:lang w:val="zh-CN"/>
        </w:rPr>
        <w:t>除招标文件规定必须提供以外，投标人认为需要提供的其他证明材料（格式自拟）。（投标人根据“第二章 采购需求”及“第四章 评标方法及评标标准”提供有关证明材料）</w:t>
      </w:r>
      <w:r>
        <w:rPr>
          <w:rFonts w:hint="eastAsia" w:ascii="仿宋_GB2312" w:hAnsi="仿宋" w:eastAsia="仿宋_GB2312" w:cs="仿宋_GB2312"/>
          <w:kern w:val="0"/>
          <w:sz w:val="24"/>
          <w:lang w:val="zh-CN"/>
        </w:rPr>
        <w:t>。</w:t>
      </w:r>
    </w:p>
    <w:p w14:paraId="7B61AF60">
      <w:pPr>
        <w:snapToGrid w:val="0"/>
        <w:spacing w:before="165" w:beforeLines="50" w:after="50"/>
        <w:ind w:firstLine="602" w:firstLineChars="200"/>
        <w:jc w:val="center"/>
        <w:rPr>
          <w:rFonts w:hint="eastAsia"/>
          <w:b/>
          <w:bCs/>
          <w:sz w:val="30"/>
          <w:szCs w:val="30"/>
        </w:rPr>
      </w:pPr>
    </w:p>
    <w:p w14:paraId="2D00316F">
      <w:pPr>
        <w:snapToGrid w:val="0"/>
        <w:spacing w:before="165" w:beforeLines="50" w:after="50"/>
        <w:ind w:firstLine="602" w:firstLineChars="200"/>
        <w:jc w:val="center"/>
        <w:rPr>
          <w:rFonts w:ascii="宋体" w:hAnsi="宋体"/>
          <w:sz w:val="24"/>
        </w:rPr>
      </w:pPr>
      <w:r>
        <w:rPr>
          <w:rFonts w:hint="eastAsia"/>
          <w:b/>
          <w:bCs/>
          <w:sz w:val="30"/>
          <w:szCs w:val="30"/>
        </w:rPr>
        <w:t>投标人类似的业绩证明文件（如有要求）</w:t>
      </w:r>
    </w:p>
    <w:p w14:paraId="3B1A119E">
      <w:pPr>
        <w:autoSpaceDE w:val="0"/>
        <w:autoSpaceDN w:val="0"/>
        <w:spacing w:line="360" w:lineRule="auto"/>
        <w:ind w:firstLine="120"/>
        <w:rPr>
          <w:rFonts w:ascii="宋体" w:hAnsi="宋体"/>
          <w:sz w:val="22"/>
          <w:szCs w:val="22"/>
        </w:rPr>
      </w:pPr>
      <w:r>
        <w:rPr>
          <w:rFonts w:hint="eastAsia" w:ascii="仿宋_GB2312" w:hAnsi="仿宋" w:eastAsia="仿宋_GB2312" w:cs="仿宋_GB2312"/>
          <w:b/>
          <w:sz w:val="22"/>
          <w:szCs w:val="22"/>
        </w:rPr>
        <w:t>附表 :相关项目业绩一览表（投标人同类项目合同复印件、用户验收报告</w:t>
      </w:r>
      <w:r>
        <w:rPr>
          <w:rFonts w:hint="eastAsia" w:ascii="仿宋_GB2312" w:hAnsi="仿宋" w:eastAsia="仿宋_GB2312" w:cs="仿宋_GB2312"/>
          <w:b/>
          <w:sz w:val="22"/>
          <w:szCs w:val="22"/>
          <w:lang w:eastAsia="zh-CN"/>
        </w:rPr>
        <w:t>（如有）</w:t>
      </w:r>
      <w:r>
        <w:rPr>
          <w:rFonts w:hint="eastAsia" w:ascii="仿宋_GB2312" w:hAnsi="仿宋" w:eastAsia="仿宋_GB2312" w:cs="仿宋_GB2312"/>
          <w:b/>
          <w:sz w:val="22"/>
          <w:szCs w:val="22"/>
        </w:rPr>
        <w:t>、用户评价意见</w:t>
      </w:r>
      <w:r>
        <w:rPr>
          <w:rFonts w:hint="eastAsia" w:ascii="仿宋_GB2312" w:hAnsi="仿宋" w:eastAsia="仿宋_GB2312" w:cs="仿宋_GB2312"/>
          <w:b/>
          <w:sz w:val="22"/>
          <w:szCs w:val="22"/>
          <w:lang w:eastAsia="zh-CN"/>
        </w:rPr>
        <w:t>（如有）</w:t>
      </w:r>
      <w:r>
        <w:rPr>
          <w:rFonts w:hint="eastAsia" w:ascii="仿宋_GB2312" w:hAnsi="仿宋" w:eastAsia="仿宋_GB2312" w:cs="仿宋_GB2312"/>
          <w:b/>
          <w:sz w:val="22"/>
          <w:szCs w:val="22"/>
        </w:rPr>
        <w:t>格式自拟）</w:t>
      </w:r>
    </w:p>
    <w:tbl>
      <w:tblPr>
        <w:tblStyle w:val="35"/>
        <w:tblW w:w="100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22"/>
        <w:gridCol w:w="1466"/>
        <w:gridCol w:w="1582"/>
        <w:gridCol w:w="940"/>
        <w:gridCol w:w="1391"/>
        <w:gridCol w:w="1255"/>
        <w:gridCol w:w="1854"/>
      </w:tblGrid>
      <w:tr w14:paraId="4FE316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522" w:type="dxa"/>
            <w:vMerge w:val="restart"/>
            <w:tcBorders>
              <w:top w:val="single" w:color="auto" w:sz="4" w:space="0"/>
              <w:left w:val="single" w:color="auto" w:sz="4" w:space="0"/>
              <w:bottom w:val="single" w:color="auto" w:sz="4" w:space="0"/>
              <w:right w:val="single" w:color="auto" w:sz="4" w:space="0"/>
            </w:tcBorders>
            <w:vAlign w:val="center"/>
          </w:tcPr>
          <w:p w14:paraId="78FD434E">
            <w:pPr>
              <w:snapToGrid w:val="0"/>
              <w:jc w:val="center"/>
              <w:rPr>
                <w:rFonts w:ascii="宋体" w:hAnsi="宋体"/>
                <w:sz w:val="22"/>
                <w:szCs w:val="22"/>
              </w:rPr>
            </w:pPr>
            <w:r>
              <w:rPr>
                <w:rFonts w:hint="eastAsia" w:ascii="宋体" w:hAnsi="宋体"/>
                <w:sz w:val="22"/>
                <w:szCs w:val="22"/>
              </w:rPr>
              <w:t>采购人名称</w:t>
            </w:r>
          </w:p>
        </w:tc>
        <w:tc>
          <w:tcPr>
            <w:tcW w:w="1466" w:type="dxa"/>
            <w:vMerge w:val="restart"/>
            <w:tcBorders>
              <w:top w:val="single" w:color="auto" w:sz="4" w:space="0"/>
              <w:left w:val="single" w:color="auto" w:sz="4" w:space="0"/>
              <w:bottom w:val="single" w:color="auto" w:sz="4" w:space="0"/>
              <w:right w:val="single" w:color="auto" w:sz="4" w:space="0"/>
            </w:tcBorders>
            <w:vAlign w:val="center"/>
          </w:tcPr>
          <w:p w14:paraId="0DFBFC25">
            <w:pPr>
              <w:snapToGrid w:val="0"/>
              <w:jc w:val="center"/>
              <w:rPr>
                <w:rFonts w:ascii="宋体" w:hAnsi="宋体"/>
                <w:sz w:val="22"/>
                <w:szCs w:val="22"/>
              </w:rPr>
            </w:pPr>
            <w:r>
              <w:rPr>
                <w:rFonts w:hint="eastAsia" w:ascii="宋体" w:hAnsi="宋体"/>
                <w:sz w:val="22"/>
                <w:szCs w:val="22"/>
              </w:rPr>
              <w:t>项目名称</w:t>
            </w:r>
          </w:p>
        </w:tc>
        <w:tc>
          <w:tcPr>
            <w:tcW w:w="1582" w:type="dxa"/>
            <w:vMerge w:val="restart"/>
            <w:tcBorders>
              <w:top w:val="single" w:color="auto" w:sz="4" w:space="0"/>
              <w:left w:val="single" w:color="auto" w:sz="4" w:space="0"/>
              <w:bottom w:val="single" w:color="auto" w:sz="4" w:space="0"/>
              <w:right w:val="single" w:color="auto" w:sz="4" w:space="0"/>
            </w:tcBorders>
            <w:vAlign w:val="center"/>
          </w:tcPr>
          <w:p w14:paraId="681E7B25">
            <w:pPr>
              <w:snapToGrid w:val="0"/>
              <w:jc w:val="center"/>
              <w:rPr>
                <w:rFonts w:ascii="宋体" w:hAnsi="宋体"/>
                <w:sz w:val="22"/>
                <w:szCs w:val="22"/>
              </w:rPr>
            </w:pPr>
            <w:r>
              <w:rPr>
                <w:rFonts w:hint="eastAsia" w:ascii="宋体" w:hAnsi="宋体"/>
                <w:sz w:val="22"/>
                <w:szCs w:val="22"/>
              </w:rPr>
              <w:t>合同金额（万元）</w:t>
            </w:r>
          </w:p>
        </w:tc>
        <w:tc>
          <w:tcPr>
            <w:tcW w:w="3586" w:type="dxa"/>
            <w:gridSpan w:val="3"/>
            <w:tcBorders>
              <w:top w:val="single" w:color="auto" w:sz="4" w:space="0"/>
              <w:left w:val="single" w:color="auto" w:sz="4" w:space="0"/>
              <w:bottom w:val="single" w:color="auto" w:sz="4" w:space="0"/>
              <w:right w:val="single" w:color="auto" w:sz="4" w:space="0"/>
            </w:tcBorders>
            <w:vAlign w:val="center"/>
          </w:tcPr>
          <w:p w14:paraId="0AE64C58">
            <w:pPr>
              <w:snapToGrid w:val="0"/>
              <w:jc w:val="center"/>
              <w:rPr>
                <w:rFonts w:ascii="宋体" w:hAnsi="宋体"/>
                <w:sz w:val="22"/>
                <w:szCs w:val="22"/>
              </w:rPr>
            </w:pPr>
            <w:r>
              <w:rPr>
                <w:rFonts w:hint="eastAsia" w:ascii="宋体" w:hAnsi="宋体"/>
                <w:sz w:val="22"/>
                <w:szCs w:val="22"/>
              </w:rPr>
              <w:t>附件在投标文件中页码</w:t>
            </w:r>
          </w:p>
        </w:tc>
        <w:tc>
          <w:tcPr>
            <w:tcW w:w="1854" w:type="dxa"/>
            <w:vMerge w:val="restart"/>
            <w:tcBorders>
              <w:top w:val="single" w:color="auto" w:sz="4" w:space="0"/>
              <w:left w:val="single" w:color="auto" w:sz="4" w:space="0"/>
              <w:bottom w:val="single" w:color="auto" w:sz="4" w:space="0"/>
              <w:right w:val="single" w:color="auto" w:sz="4" w:space="0"/>
            </w:tcBorders>
            <w:vAlign w:val="center"/>
          </w:tcPr>
          <w:p w14:paraId="6A784D2D">
            <w:pPr>
              <w:snapToGrid w:val="0"/>
              <w:jc w:val="center"/>
              <w:rPr>
                <w:rFonts w:ascii="宋体" w:hAnsi="宋体"/>
                <w:sz w:val="22"/>
                <w:szCs w:val="22"/>
              </w:rPr>
            </w:pPr>
            <w:r>
              <w:rPr>
                <w:rFonts w:hint="eastAsia" w:ascii="宋体" w:hAnsi="宋体"/>
                <w:sz w:val="22"/>
                <w:szCs w:val="22"/>
              </w:rPr>
              <w:t>采购人联系人及联系电话</w:t>
            </w:r>
          </w:p>
        </w:tc>
      </w:tr>
      <w:tr w14:paraId="389527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vMerge w:val="continue"/>
            <w:tcBorders>
              <w:top w:val="single" w:color="auto" w:sz="4" w:space="0"/>
              <w:left w:val="single" w:color="auto" w:sz="4" w:space="0"/>
              <w:bottom w:val="single" w:color="auto" w:sz="4" w:space="0"/>
              <w:right w:val="single" w:color="auto" w:sz="4" w:space="0"/>
            </w:tcBorders>
            <w:vAlign w:val="center"/>
          </w:tcPr>
          <w:p w14:paraId="3AB3B9A3">
            <w:pPr>
              <w:jc w:val="left"/>
              <w:rPr>
                <w:rFonts w:ascii="宋体" w:hAnsi="宋体"/>
                <w:sz w:val="22"/>
                <w:szCs w:val="22"/>
              </w:rPr>
            </w:pPr>
          </w:p>
        </w:tc>
        <w:tc>
          <w:tcPr>
            <w:tcW w:w="1466" w:type="dxa"/>
            <w:vMerge w:val="continue"/>
            <w:tcBorders>
              <w:top w:val="single" w:color="auto" w:sz="4" w:space="0"/>
              <w:left w:val="single" w:color="auto" w:sz="4" w:space="0"/>
              <w:bottom w:val="single" w:color="auto" w:sz="4" w:space="0"/>
              <w:right w:val="single" w:color="auto" w:sz="4" w:space="0"/>
            </w:tcBorders>
            <w:vAlign w:val="center"/>
          </w:tcPr>
          <w:p w14:paraId="494300DA">
            <w:pPr>
              <w:jc w:val="left"/>
              <w:rPr>
                <w:rFonts w:ascii="宋体" w:hAnsi="宋体"/>
                <w:sz w:val="22"/>
                <w:szCs w:val="22"/>
              </w:rPr>
            </w:pPr>
          </w:p>
        </w:tc>
        <w:tc>
          <w:tcPr>
            <w:tcW w:w="1582" w:type="dxa"/>
            <w:vMerge w:val="continue"/>
            <w:tcBorders>
              <w:top w:val="single" w:color="auto" w:sz="4" w:space="0"/>
              <w:left w:val="single" w:color="auto" w:sz="4" w:space="0"/>
              <w:bottom w:val="single" w:color="auto" w:sz="4" w:space="0"/>
              <w:right w:val="single" w:color="auto" w:sz="4" w:space="0"/>
            </w:tcBorders>
            <w:vAlign w:val="center"/>
          </w:tcPr>
          <w:p w14:paraId="7B0F6952">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0A2C767C">
            <w:pPr>
              <w:snapToGrid w:val="0"/>
              <w:spacing w:line="240" w:lineRule="exact"/>
              <w:jc w:val="center"/>
              <w:rPr>
                <w:rFonts w:ascii="宋体" w:hAnsi="宋体"/>
                <w:sz w:val="22"/>
                <w:szCs w:val="22"/>
              </w:rPr>
            </w:pPr>
            <w:r>
              <w:rPr>
                <w:rFonts w:hint="eastAsia" w:ascii="宋体" w:hAnsi="宋体"/>
                <w:sz w:val="22"/>
                <w:szCs w:val="22"/>
              </w:rPr>
              <w:t>合同</w:t>
            </w:r>
          </w:p>
        </w:tc>
        <w:tc>
          <w:tcPr>
            <w:tcW w:w="1391" w:type="dxa"/>
            <w:tcBorders>
              <w:top w:val="single" w:color="auto" w:sz="4" w:space="0"/>
              <w:left w:val="single" w:color="auto" w:sz="4" w:space="0"/>
              <w:bottom w:val="single" w:color="auto" w:sz="4" w:space="0"/>
              <w:right w:val="single" w:color="auto" w:sz="4" w:space="0"/>
            </w:tcBorders>
            <w:vAlign w:val="center"/>
          </w:tcPr>
          <w:p w14:paraId="75C8B841">
            <w:pPr>
              <w:snapToGrid w:val="0"/>
              <w:jc w:val="center"/>
              <w:rPr>
                <w:rFonts w:ascii="宋体" w:hAnsi="宋体"/>
                <w:sz w:val="22"/>
                <w:szCs w:val="22"/>
              </w:rPr>
            </w:pPr>
            <w:r>
              <w:rPr>
                <w:rFonts w:hint="eastAsia" w:ascii="宋体" w:hAnsi="宋体"/>
                <w:sz w:val="22"/>
                <w:szCs w:val="22"/>
              </w:rPr>
              <w:t>验收报告</w:t>
            </w:r>
          </w:p>
        </w:tc>
        <w:tc>
          <w:tcPr>
            <w:tcW w:w="1255" w:type="dxa"/>
            <w:tcBorders>
              <w:top w:val="single" w:color="auto" w:sz="4" w:space="0"/>
              <w:left w:val="single" w:color="auto" w:sz="4" w:space="0"/>
              <w:bottom w:val="single" w:color="auto" w:sz="4" w:space="0"/>
              <w:right w:val="single" w:color="auto" w:sz="4" w:space="0"/>
            </w:tcBorders>
            <w:vAlign w:val="center"/>
          </w:tcPr>
          <w:p w14:paraId="0C055943">
            <w:pPr>
              <w:snapToGrid w:val="0"/>
              <w:jc w:val="center"/>
              <w:rPr>
                <w:rFonts w:ascii="宋体" w:hAnsi="宋体"/>
                <w:sz w:val="22"/>
                <w:szCs w:val="22"/>
              </w:rPr>
            </w:pPr>
            <w:r>
              <w:rPr>
                <w:rFonts w:hint="eastAsia" w:ascii="宋体" w:hAnsi="宋体"/>
                <w:sz w:val="22"/>
                <w:szCs w:val="22"/>
              </w:rPr>
              <w:t>用户评价</w:t>
            </w:r>
          </w:p>
        </w:tc>
        <w:tc>
          <w:tcPr>
            <w:tcW w:w="1854" w:type="dxa"/>
            <w:vMerge w:val="continue"/>
            <w:tcBorders>
              <w:top w:val="single" w:color="auto" w:sz="4" w:space="0"/>
              <w:left w:val="single" w:color="auto" w:sz="4" w:space="0"/>
              <w:bottom w:val="single" w:color="auto" w:sz="4" w:space="0"/>
              <w:right w:val="single" w:color="auto" w:sz="4" w:space="0"/>
            </w:tcBorders>
            <w:vAlign w:val="center"/>
          </w:tcPr>
          <w:p w14:paraId="5513ACCD">
            <w:pPr>
              <w:jc w:val="left"/>
              <w:rPr>
                <w:rFonts w:ascii="宋体" w:hAnsi="宋体"/>
                <w:sz w:val="22"/>
                <w:szCs w:val="22"/>
              </w:rPr>
            </w:pPr>
          </w:p>
        </w:tc>
      </w:tr>
      <w:tr w14:paraId="2D7CC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tcBorders>
              <w:top w:val="single" w:color="auto" w:sz="4" w:space="0"/>
              <w:left w:val="single" w:color="auto" w:sz="4" w:space="0"/>
              <w:bottom w:val="single" w:color="auto" w:sz="4" w:space="0"/>
              <w:right w:val="single" w:color="auto" w:sz="4" w:space="0"/>
            </w:tcBorders>
            <w:vAlign w:val="center"/>
          </w:tcPr>
          <w:p w14:paraId="645E8EF7">
            <w:pPr>
              <w:jc w:val="left"/>
              <w:rPr>
                <w:rFonts w:ascii="宋体" w:hAnsi="宋体"/>
                <w:sz w:val="22"/>
                <w:szCs w:val="22"/>
              </w:rPr>
            </w:pPr>
          </w:p>
        </w:tc>
        <w:tc>
          <w:tcPr>
            <w:tcW w:w="1466" w:type="dxa"/>
            <w:tcBorders>
              <w:top w:val="single" w:color="auto" w:sz="4" w:space="0"/>
              <w:left w:val="single" w:color="auto" w:sz="4" w:space="0"/>
              <w:bottom w:val="single" w:color="auto" w:sz="4" w:space="0"/>
              <w:right w:val="single" w:color="auto" w:sz="4" w:space="0"/>
            </w:tcBorders>
            <w:vAlign w:val="center"/>
          </w:tcPr>
          <w:p w14:paraId="4EC51ADF">
            <w:pPr>
              <w:jc w:val="left"/>
              <w:rPr>
                <w:rFonts w:ascii="宋体" w:hAnsi="宋体"/>
                <w:sz w:val="22"/>
                <w:szCs w:val="22"/>
              </w:rPr>
            </w:pPr>
          </w:p>
        </w:tc>
        <w:tc>
          <w:tcPr>
            <w:tcW w:w="1582" w:type="dxa"/>
            <w:tcBorders>
              <w:top w:val="single" w:color="auto" w:sz="4" w:space="0"/>
              <w:left w:val="single" w:color="auto" w:sz="4" w:space="0"/>
              <w:bottom w:val="single" w:color="auto" w:sz="4" w:space="0"/>
              <w:right w:val="single" w:color="auto" w:sz="4" w:space="0"/>
            </w:tcBorders>
            <w:vAlign w:val="center"/>
          </w:tcPr>
          <w:p w14:paraId="650574E7">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40F5C201">
            <w:pPr>
              <w:snapToGrid w:val="0"/>
              <w:spacing w:line="240" w:lineRule="exact"/>
              <w:jc w:val="center"/>
              <w:rPr>
                <w:rFonts w:ascii="宋体" w:hAnsi="宋体"/>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14:paraId="063983F8">
            <w:pPr>
              <w:snapToGrid w:val="0"/>
              <w:spacing w:line="240" w:lineRule="exact"/>
              <w:jc w:val="center"/>
              <w:rPr>
                <w:rFonts w:ascii="宋体" w:hAnsi="宋体"/>
                <w:sz w:val="22"/>
                <w:szCs w:val="22"/>
              </w:rPr>
            </w:pPr>
          </w:p>
        </w:tc>
        <w:tc>
          <w:tcPr>
            <w:tcW w:w="1255" w:type="dxa"/>
            <w:tcBorders>
              <w:top w:val="single" w:color="auto" w:sz="4" w:space="0"/>
              <w:left w:val="single" w:color="auto" w:sz="4" w:space="0"/>
              <w:bottom w:val="single" w:color="auto" w:sz="4" w:space="0"/>
              <w:right w:val="single" w:color="auto" w:sz="4" w:space="0"/>
            </w:tcBorders>
            <w:vAlign w:val="center"/>
          </w:tcPr>
          <w:p w14:paraId="5C0ED65F">
            <w:pPr>
              <w:snapToGrid w:val="0"/>
              <w:spacing w:line="240" w:lineRule="exact"/>
              <w:jc w:val="center"/>
              <w:rPr>
                <w:rFonts w:ascii="宋体" w:hAnsi="宋体"/>
                <w:sz w:val="22"/>
                <w:szCs w:val="22"/>
              </w:rPr>
            </w:pPr>
          </w:p>
        </w:tc>
        <w:tc>
          <w:tcPr>
            <w:tcW w:w="1854" w:type="dxa"/>
            <w:tcBorders>
              <w:top w:val="single" w:color="auto" w:sz="4" w:space="0"/>
              <w:left w:val="single" w:color="auto" w:sz="4" w:space="0"/>
              <w:bottom w:val="single" w:color="auto" w:sz="4" w:space="0"/>
              <w:right w:val="single" w:color="auto" w:sz="4" w:space="0"/>
            </w:tcBorders>
            <w:vAlign w:val="center"/>
          </w:tcPr>
          <w:p w14:paraId="52BB6B63">
            <w:pPr>
              <w:jc w:val="left"/>
              <w:rPr>
                <w:rFonts w:ascii="宋体" w:hAnsi="宋体"/>
                <w:sz w:val="22"/>
                <w:szCs w:val="22"/>
              </w:rPr>
            </w:pPr>
          </w:p>
        </w:tc>
      </w:tr>
      <w:tr w14:paraId="4FAFB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tcBorders>
              <w:top w:val="single" w:color="auto" w:sz="4" w:space="0"/>
              <w:left w:val="single" w:color="auto" w:sz="4" w:space="0"/>
              <w:bottom w:val="single" w:color="auto" w:sz="4" w:space="0"/>
              <w:right w:val="single" w:color="auto" w:sz="4" w:space="0"/>
            </w:tcBorders>
            <w:vAlign w:val="center"/>
          </w:tcPr>
          <w:p w14:paraId="579C4440">
            <w:pPr>
              <w:jc w:val="left"/>
              <w:rPr>
                <w:rFonts w:ascii="宋体" w:hAnsi="宋体"/>
                <w:sz w:val="22"/>
                <w:szCs w:val="22"/>
              </w:rPr>
            </w:pPr>
          </w:p>
        </w:tc>
        <w:tc>
          <w:tcPr>
            <w:tcW w:w="1466" w:type="dxa"/>
            <w:tcBorders>
              <w:top w:val="single" w:color="auto" w:sz="4" w:space="0"/>
              <w:left w:val="single" w:color="auto" w:sz="4" w:space="0"/>
              <w:bottom w:val="single" w:color="auto" w:sz="4" w:space="0"/>
              <w:right w:val="single" w:color="auto" w:sz="4" w:space="0"/>
            </w:tcBorders>
            <w:vAlign w:val="center"/>
          </w:tcPr>
          <w:p w14:paraId="446EDC62">
            <w:pPr>
              <w:jc w:val="left"/>
              <w:rPr>
                <w:rFonts w:ascii="宋体" w:hAnsi="宋体"/>
                <w:sz w:val="22"/>
                <w:szCs w:val="22"/>
              </w:rPr>
            </w:pPr>
          </w:p>
        </w:tc>
        <w:tc>
          <w:tcPr>
            <w:tcW w:w="1582" w:type="dxa"/>
            <w:tcBorders>
              <w:top w:val="single" w:color="auto" w:sz="4" w:space="0"/>
              <w:left w:val="single" w:color="auto" w:sz="4" w:space="0"/>
              <w:bottom w:val="single" w:color="auto" w:sz="4" w:space="0"/>
              <w:right w:val="single" w:color="auto" w:sz="4" w:space="0"/>
            </w:tcBorders>
            <w:vAlign w:val="center"/>
          </w:tcPr>
          <w:p w14:paraId="6FDF4906">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3ED7A3DB">
            <w:pPr>
              <w:snapToGrid w:val="0"/>
              <w:spacing w:line="240" w:lineRule="exact"/>
              <w:jc w:val="center"/>
              <w:rPr>
                <w:rFonts w:ascii="宋体" w:hAnsi="宋体"/>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14:paraId="10D2B531">
            <w:pPr>
              <w:snapToGrid w:val="0"/>
              <w:spacing w:line="240" w:lineRule="exact"/>
              <w:jc w:val="center"/>
              <w:rPr>
                <w:rFonts w:ascii="宋体" w:hAnsi="宋体"/>
                <w:sz w:val="22"/>
                <w:szCs w:val="22"/>
              </w:rPr>
            </w:pPr>
          </w:p>
        </w:tc>
        <w:tc>
          <w:tcPr>
            <w:tcW w:w="1255" w:type="dxa"/>
            <w:tcBorders>
              <w:top w:val="single" w:color="auto" w:sz="4" w:space="0"/>
              <w:left w:val="single" w:color="auto" w:sz="4" w:space="0"/>
              <w:bottom w:val="single" w:color="auto" w:sz="4" w:space="0"/>
              <w:right w:val="single" w:color="auto" w:sz="4" w:space="0"/>
            </w:tcBorders>
            <w:vAlign w:val="center"/>
          </w:tcPr>
          <w:p w14:paraId="02C4C835">
            <w:pPr>
              <w:snapToGrid w:val="0"/>
              <w:spacing w:line="240" w:lineRule="exact"/>
              <w:jc w:val="center"/>
              <w:rPr>
                <w:rFonts w:ascii="宋体" w:hAnsi="宋体"/>
                <w:sz w:val="22"/>
                <w:szCs w:val="22"/>
              </w:rPr>
            </w:pPr>
          </w:p>
        </w:tc>
        <w:tc>
          <w:tcPr>
            <w:tcW w:w="1854" w:type="dxa"/>
            <w:tcBorders>
              <w:top w:val="single" w:color="auto" w:sz="4" w:space="0"/>
              <w:left w:val="single" w:color="auto" w:sz="4" w:space="0"/>
              <w:bottom w:val="single" w:color="auto" w:sz="4" w:space="0"/>
              <w:right w:val="single" w:color="auto" w:sz="4" w:space="0"/>
            </w:tcBorders>
            <w:vAlign w:val="center"/>
          </w:tcPr>
          <w:p w14:paraId="4EAE21E4">
            <w:pPr>
              <w:jc w:val="left"/>
              <w:rPr>
                <w:rFonts w:ascii="宋体" w:hAnsi="宋体"/>
                <w:sz w:val="22"/>
                <w:szCs w:val="22"/>
              </w:rPr>
            </w:pPr>
          </w:p>
        </w:tc>
      </w:tr>
      <w:tr w14:paraId="146C3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tcBorders>
              <w:top w:val="single" w:color="auto" w:sz="4" w:space="0"/>
              <w:left w:val="single" w:color="auto" w:sz="4" w:space="0"/>
              <w:bottom w:val="single" w:color="auto" w:sz="4" w:space="0"/>
              <w:right w:val="single" w:color="auto" w:sz="4" w:space="0"/>
            </w:tcBorders>
            <w:vAlign w:val="center"/>
          </w:tcPr>
          <w:p w14:paraId="1BF119DC">
            <w:pPr>
              <w:jc w:val="left"/>
              <w:rPr>
                <w:rFonts w:ascii="宋体" w:hAnsi="宋体"/>
                <w:sz w:val="22"/>
                <w:szCs w:val="22"/>
              </w:rPr>
            </w:pPr>
          </w:p>
        </w:tc>
        <w:tc>
          <w:tcPr>
            <w:tcW w:w="1466" w:type="dxa"/>
            <w:tcBorders>
              <w:top w:val="single" w:color="auto" w:sz="4" w:space="0"/>
              <w:left w:val="single" w:color="auto" w:sz="4" w:space="0"/>
              <w:bottom w:val="single" w:color="auto" w:sz="4" w:space="0"/>
              <w:right w:val="single" w:color="auto" w:sz="4" w:space="0"/>
            </w:tcBorders>
            <w:vAlign w:val="center"/>
          </w:tcPr>
          <w:p w14:paraId="518EB32E">
            <w:pPr>
              <w:jc w:val="left"/>
              <w:rPr>
                <w:rFonts w:ascii="宋体" w:hAnsi="宋体"/>
                <w:sz w:val="22"/>
                <w:szCs w:val="22"/>
              </w:rPr>
            </w:pPr>
          </w:p>
        </w:tc>
        <w:tc>
          <w:tcPr>
            <w:tcW w:w="1582" w:type="dxa"/>
            <w:tcBorders>
              <w:top w:val="single" w:color="auto" w:sz="4" w:space="0"/>
              <w:left w:val="single" w:color="auto" w:sz="4" w:space="0"/>
              <w:bottom w:val="single" w:color="auto" w:sz="4" w:space="0"/>
              <w:right w:val="single" w:color="auto" w:sz="4" w:space="0"/>
            </w:tcBorders>
            <w:vAlign w:val="center"/>
          </w:tcPr>
          <w:p w14:paraId="72DEF277">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76A3DDB6">
            <w:pPr>
              <w:snapToGrid w:val="0"/>
              <w:spacing w:line="240" w:lineRule="exact"/>
              <w:jc w:val="center"/>
              <w:rPr>
                <w:rFonts w:ascii="宋体" w:hAnsi="宋体"/>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14:paraId="0E927CB0">
            <w:pPr>
              <w:snapToGrid w:val="0"/>
              <w:spacing w:line="240" w:lineRule="exact"/>
              <w:jc w:val="center"/>
              <w:rPr>
                <w:rFonts w:ascii="宋体" w:hAnsi="宋体"/>
                <w:sz w:val="22"/>
                <w:szCs w:val="22"/>
              </w:rPr>
            </w:pPr>
          </w:p>
        </w:tc>
        <w:tc>
          <w:tcPr>
            <w:tcW w:w="1255" w:type="dxa"/>
            <w:tcBorders>
              <w:top w:val="single" w:color="auto" w:sz="4" w:space="0"/>
              <w:left w:val="single" w:color="auto" w:sz="4" w:space="0"/>
              <w:bottom w:val="single" w:color="auto" w:sz="4" w:space="0"/>
              <w:right w:val="single" w:color="auto" w:sz="4" w:space="0"/>
            </w:tcBorders>
            <w:vAlign w:val="center"/>
          </w:tcPr>
          <w:p w14:paraId="0C7FBD77">
            <w:pPr>
              <w:snapToGrid w:val="0"/>
              <w:spacing w:line="240" w:lineRule="exact"/>
              <w:jc w:val="center"/>
              <w:rPr>
                <w:rFonts w:ascii="宋体" w:hAnsi="宋体"/>
                <w:sz w:val="22"/>
                <w:szCs w:val="22"/>
              </w:rPr>
            </w:pPr>
          </w:p>
        </w:tc>
        <w:tc>
          <w:tcPr>
            <w:tcW w:w="1854" w:type="dxa"/>
            <w:tcBorders>
              <w:top w:val="single" w:color="auto" w:sz="4" w:space="0"/>
              <w:left w:val="single" w:color="auto" w:sz="4" w:space="0"/>
              <w:bottom w:val="single" w:color="auto" w:sz="4" w:space="0"/>
              <w:right w:val="single" w:color="auto" w:sz="4" w:space="0"/>
            </w:tcBorders>
            <w:vAlign w:val="center"/>
          </w:tcPr>
          <w:p w14:paraId="39AD9383">
            <w:pPr>
              <w:jc w:val="left"/>
              <w:rPr>
                <w:rFonts w:ascii="宋体" w:hAnsi="宋体"/>
                <w:sz w:val="22"/>
                <w:szCs w:val="22"/>
              </w:rPr>
            </w:pPr>
          </w:p>
        </w:tc>
      </w:tr>
      <w:tr w14:paraId="2AE9E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tcBorders>
              <w:top w:val="single" w:color="auto" w:sz="4" w:space="0"/>
              <w:left w:val="single" w:color="auto" w:sz="4" w:space="0"/>
              <w:bottom w:val="single" w:color="auto" w:sz="4" w:space="0"/>
              <w:right w:val="single" w:color="auto" w:sz="4" w:space="0"/>
            </w:tcBorders>
            <w:vAlign w:val="center"/>
          </w:tcPr>
          <w:p w14:paraId="312F7E39">
            <w:pPr>
              <w:jc w:val="left"/>
              <w:rPr>
                <w:rFonts w:ascii="宋体" w:hAnsi="宋体"/>
                <w:sz w:val="22"/>
                <w:szCs w:val="22"/>
              </w:rPr>
            </w:pPr>
          </w:p>
        </w:tc>
        <w:tc>
          <w:tcPr>
            <w:tcW w:w="1466" w:type="dxa"/>
            <w:tcBorders>
              <w:top w:val="single" w:color="auto" w:sz="4" w:space="0"/>
              <w:left w:val="single" w:color="auto" w:sz="4" w:space="0"/>
              <w:bottom w:val="single" w:color="auto" w:sz="4" w:space="0"/>
              <w:right w:val="single" w:color="auto" w:sz="4" w:space="0"/>
            </w:tcBorders>
            <w:vAlign w:val="center"/>
          </w:tcPr>
          <w:p w14:paraId="2914D6E6">
            <w:pPr>
              <w:jc w:val="left"/>
              <w:rPr>
                <w:rFonts w:ascii="宋体" w:hAnsi="宋体"/>
                <w:sz w:val="22"/>
                <w:szCs w:val="22"/>
              </w:rPr>
            </w:pPr>
          </w:p>
        </w:tc>
        <w:tc>
          <w:tcPr>
            <w:tcW w:w="1582" w:type="dxa"/>
            <w:tcBorders>
              <w:top w:val="single" w:color="auto" w:sz="4" w:space="0"/>
              <w:left w:val="single" w:color="auto" w:sz="4" w:space="0"/>
              <w:bottom w:val="single" w:color="auto" w:sz="4" w:space="0"/>
              <w:right w:val="single" w:color="auto" w:sz="4" w:space="0"/>
            </w:tcBorders>
            <w:vAlign w:val="center"/>
          </w:tcPr>
          <w:p w14:paraId="4571B74A">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537F3EC8">
            <w:pPr>
              <w:snapToGrid w:val="0"/>
              <w:spacing w:line="240" w:lineRule="exact"/>
              <w:jc w:val="center"/>
              <w:rPr>
                <w:rFonts w:ascii="宋体" w:hAnsi="宋体"/>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14:paraId="5130F1E6">
            <w:pPr>
              <w:snapToGrid w:val="0"/>
              <w:spacing w:line="240" w:lineRule="exact"/>
              <w:jc w:val="center"/>
              <w:rPr>
                <w:rFonts w:ascii="宋体" w:hAnsi="宋体"/>
                <w:sz w:val="22"/>
                <w:szCs w:val="22"/>
              </w:rPr>
            </w:pPr>
          </w:p>
        </w:tc>
        <w:tc>
          <w:tcPr>
            <w:tcW w:w="1255" w:type="dxa"/>
            <w:tcBorders>
              <w:top w:val="single" w:color="auto" w:sz="4" w:space="0"/>
              <w:left w:val="single" w:color="auto" w:sz="4" w:space="0"/>
              <w:bottom w:val="single" w:color="auto" w:sz="4" w:space="0"/>
              <w:right w:val="single" w:color="auto" w:sz="4" w:space="0"/>
            </w:tcBorders>
            <w:vAlign w:val="center"/>
          </w:tcPr>
          <w:p w14:paraId="202C0811">
            <w:pPr>
              <w:snapToGrid w:val="0"/>
              <w:spacing w:line="240" w:lineRule="exact"/>
              <w:jc w:val="center"/>
              <w:rPr>
                <w:rFonts w:ascii="宋体" w:hAnsi="宋体"/>
                <w:sz w:val="22"/>
                <w:szCs w:val="22"/>
              </w:rPr>
            </w:pPr>
          </w:p>
        </w:tc>
        <w:tc>
          <w:tcPr>
            <w:tcW w:w="1854" w:type="dxa"/>
            <w:tcBorders>
              <w:top w:val="single" w:color="auto" w:sz="4" w:space="0"/>
              <w:left w:val="single" w:color="auto" w:sz="4" w:space="0"/>
              <w:bottom w:val="single" w:color="auto" w:sz="4" w:space="0"/>
              <w:right w:val="single" w:color="auto" w:sz="4" w:space="0"/>
            </w:tcBorders>
            <w:vAlign w:val="center"/>
          </w:tcPr>
          <w:p w14:paraId="7BADF1DF">
            <w:pPr>
              <w:jc w:val="left"/>
              <w:rPr>
                <w:rFonts w:ascii="宋体" w:hAnsi="宋体"/>
                <w:sz w:val="22"/>
                <w:szCs w:val="22"/>
              </w:rPr>
            </w:pPr>
          </w:p>
        </w:tc>
      </w:tr>
      <w:tr w14:paraId="7759F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522" w:type="dxa"/>
            <w:tcBorders>
              <w:top w:val="single" w:color="auto" w:sz="4" w:space="0"/>
              <w:left w:val="single" w:color="auto" w:sz="4" w:space="0"/>
              <w:bottom w:val="single" w:color="auto" w:sz="4" w:space="0"/>
              <w:right w:val="single" w:color="auto" w:sz="4" w:space="0"/>
            </w:tcBorders>
            <w:vAlign w:val="center"/>
          </w:tcPr>
          <w:p w14:paraId="499955E2">
            <w:pPr>
              <w:jc w:val="left"/>
              <w:rPr>
                <w:rFonts w:ascii="宋体" w:hAnsi="宋体"/>
                <w:sz w:val="22"/>
                <w:szCs w:val="22"/>
              </w:rPr>
            </w:pPr>
          </w:p>
        </w:tc>
        <w:tc>
          <w:tcPr>
            <w:tcW w:w="1466" w:type="dxa"/>
            <w:tcBorders>
              <w:top w:val="single" w:color="auto" w:sz="4" w:space="0"/>
              <w:left w:val="single" w:color="auto" w:sz="4" w:space="0"/>
              <w:bottom w:val="single" w:color="auto" w:sz="4" w:space="0"/>
              <w:right w:val="single" w:color="auto" w:sz="4" w:space="0"/>
            </w:tcBorders>
            <w:vAlign w:val="center"/>
          </w:tcPr>
          <w:p w14:paraId="0B1B6857">
            <w:pPr>
              <w:jc w:val="left"/>
              <w:rPr>
                <w:rFonts w:ascii="宋体" w:hAnsi="宋体"/>
                <w:sz w:val="22"/>
                <w:szCs w:val="22"/>
              </w:rPr>
            </w:pPr>
          </w:p>
        </w:tc>
        <w:tc>
          <w:tcPr>
            <w:tcW w:w="1582" w:type="dxa"/>
            <w:tcBorders>
              <w:top w:val="single" w:color="auto" w:sz="4" w:space="0"/>
              <w:left w:val="single" w:color="auto" w:sz="4" w:space="0"/>
              <w:bottom w:val="single" w:color="auto" w:sz="4" w:space="0"/>
              <w:right w:val="single" w:color="auto" w:sz="4" w:space="0"/>
            </w:tcBorders>
            <w:vAlign w:val="center"/>
          </w:tcPr>
          <w:p w14:paraId="67CEC878">
            <w:pPr>
              <w:jc w:val="left"/>
              <w:rPr>
                <w:rFonts w:ascii="宋体" w:hAnsi="宋体"/>
                <w:sz w:val="22"/>
                <w:szCs w:val="22"/>
              </w:rPr>
            </w:pPr>
          </w:p>
        </w:tc>
        <w:tc>
          <w:tcPr>
            <w:tcW w:w="940" w:type="dxa"/>
            <w:tcBorders>
              <w:top w:val="single" w:color="auto" w:sz="4" w:space="0"/>
              <w:left w:val="single" w:color="auto" w:sz="4" w:space="0"/>
              <w:bottom w:val="single" w:color="auto" w:sz="4" w:space="0"/>
              <w:right w:val="single" w:color="auto" w:sz="4" w:space="0"/>
            </w:tcBorders>
            <w:vAlign w:val="center"/>
          </w:tcPr>
          <w:p w14:paraId="1EF535A0">
            <w:pPr>
              <w:snapToGrid w:val="0"/>
              <w:spacing w:line="240" w:lineRule="exact"/>
              <w:jc w:val="center"/>
              <w:rPr>
                <w:rFonts w:ascii="宋体" w:hAnsi="宋体"/>
                <w:sz w:val="22"/>
                <w:szCs w:val="22"/>
              </w:rPr>
            </w:pPr>
          </w:p>
        </w:tc>
        <w:tc>
          <w:tcPr>
            <w:tcW w:w="1391" w:type="dxa"/>
            <w:tcBorders>
              <w:top w:val="single" w:color="auto" w:sz="4" w:space="0"/>
              <w:left w:val="single" w:color="auto" w:sz="4" w:space="0"/>
              <w:bottom w:val="single" w:color="auto" w:sz="4" w:space="0"/>
              <w:right w:val="single" w:color="auto" w:sz="4" w:space="0"/>
            </w:tcBorders>
            <w:vAlign w:val="center"/>
          </w:tcPr>
          <w:p w14:paraId="3A860109">
            <w:pPr>
              <w:snapToGrid w:val="0"/>
              <w:spacing w:line="240" w:lineRule="exact"/>
              <w:jc w:val="center"/>
              <w:rPr>
                <w:rFonts w:ascii="宋体" w:hAnsi="宋体"/>
                <w:sz w:val="22"/>
                <w:szCs w:val="22"/>
              </w:rPr>
            </w:pPr>
          </w:p>
        </w:tc>
        <w:tc>
          <w:tcPr>
            <w:tcW w:w="1255" w:type="dxa"/>
            <w:tcBorders>
              <w:top w:val="single" w:color="auto" w:sz="4" w:space="0"/>
              <w:left w:val="single" w:color="auto" w:sz="4" w:space="0"/>
              <w:bottom w:val="single" w:color="auto" w:sz="4" w:space="0"/>
              <w:right w:val="single" w:color="auto" w:sz="4" w:space="0"/>
            </w:tcBorders>
            <w:vAlign w:val="center"/>
          </w:tcPr>
          <w:p w14:paraId="3A843C8A">
            <w:pPr>
              <w:snapToGrid w:val="0"/>
              <w:spacing w:line="240" w:lineRule="exact"/>
              <w:jc w:val="center"/>
              <w:rPr>
                <w:rFonts w:ascii="宋体" w:hAnsi="宋体"/>
                <w:sz w:val="22"/>
                <w:szCs w:val="22"/>
              </w:rPr>
            </w:pPr>
          </w:p>
        </w:tc>
        <w:tc>
          <w:tcPr>
            <w:tcW w:w="1854" w:type="dxa"/>
            <w:tcBorders>
              <w:top w:val="single" w:color="auto" w:sz="4" w:space="0"/>
              <w:left w:val="single" w:color="auto" w:sz="4" w:space="0"/>
              <w:bottom w:val="single" w:color="auto" w:sz="4" w:space="0"/>
              <w:right w:val="single" w:color="auto" w:sz="4" w:space="0"/>
            </w:tcBorders>
            <w:vAlign w:val="center"/>
          </w:tcPr>
          <w:p w14:paraId="15ACEE1A">
            <w:pPr>
              <w:jc w:val="left"/>
              <w:rPr>
                <w:rFonts w:ascii="宋体" w:hAnsi="宋体"/>
                <w:sz w:val="22"/>
                <w:szCs w:val="22"/>
              </w:rPr>
            </w:pPr>
          </w:p>
        </w:tc>
      </w:tr>
    </w:tbl>
    <w:p w14:paraId="5819CD40">
      <w:pPr>
        <w:spacing w:line="360" w:lineRule="auto"/>
        <w:ind w:left="72"/>
      </w:pPr>
      <w:r>
        <w:rPr>
          <w:rFonts w:hint="eastAsia"/>
        </w:rPr>
        <w:t>注：投标人可按上述的格式自行编制，如有，请随表提交相应的合同复印件、用户单位验收证明</w:t>
      </w:r>
      <w:r>
        <w:rPr>
          <w:rFonts w:hint="eastAsia" w:ascii="仿宋_GB2312" w:hAnsi="仿宋" w:eastAsia="仿宋_GB2312" w:cs="仿宋_GB2312"/>
          <w:b/>
          <w:sz w:val="22"/>
          <w:szCs w:val="22"/>
          <w:lang w:eastAsia="zh-CN"/>
        </w:rPr>
        <w:t>（如有）</w:t>
      </w:r>
      <w:r>
        <w:rPr>
          <w:rFonts w:hint="eastAsia"/>
        </w:rPr>
        <w:t>。</w:t>
      </w:r>
    </w:p>
    <w:p w14:paraId="64CE5892">
      <w:pPr>
        <w:snapToGrid w:val="0"/>
        <w:spacing w:line="360" w:lineRule="auto"/>
        <w:ind w:firstLine="4935" w:firstLineChars="2350"/>
        <w:rPr>
          <w:rFonts w:hAnsi="宋体"/>
          <w:szCs w:val="21"/>
        </w:rPr>
      </w:pPr>
      <w:r>
        <w:rPr>
          <w:rFonts w:hAnsi="宋体"/>
          <w:szCs w:val="21"/>
        </w:rPr>
        <w:t xml:space="preserve"> </w:t>
      </w:r>
    </w:p>
    <w:p w14:paraId="10493B4E">
      <w:pPr>
        <w:snapToGrid w:val="0"/>
        <w:spacing w:line="360" w:lineRule="auto"/>
        <w:ind w:firstLine="4935" w:firstLineChars="2350"/>
        <w:rPr>
          <w:rFonts w:hAnsi="宋体"/>
          <w:szCs w:val="21"/>
        </w:rPr>
      </w:pPr>
    </w:p>
    <w:p w14:paraId="5EE1106C">
      <w:pPr>
        <w:snapToGrid w:val="0"/>
        <w:spacing w:line="360" w:lineRule="auto"/>
        <w:ind w:left="3570" w:leftChars="1700" w:firstLine="6510" w:firstLineChars="310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1677AC89">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2380FE66">
      <w:pPr>
        <w:snapToGrid w:val="0"/>
        <w:spacing w:line="360" w:lineRule="auto"/>
        <w:rPr>
          <w:rFonts w:ascii="仿宋_GB2312" w:hAnsi="仿宋" w:eastAsia="仿宋_GB2312" w:cs="仿宋_GB2312"/>
          <w:kern w:val="0"/>
          <w:sz w:val="24"/>
          <w:lang w:val="zh-CN"/>
        </w:rPr>
        <w:sectPr>
          <w:footerReference r:id="rId21" w:type="first"/>
          <w:headerReference r:id="rId18" w:type="default"/>
          <w:footerReference r:id="rId19" w:type="default"/>
          <w:footerReference r:id="rId20" w:type="even"/>
          <w:pgSz w:w="11906" w:h="16838"/>
          <w:pgMar w:top="1134" w:right="1134" w:bottom="1134" w:left="1134" w:header="720" w:footer="720" w:gutter="0"/>
          <w:cols w:space="720" w:num="1"/>
          <w:docGrid w:type="lines" w:linePitch="331" w:charSpace="0"/>
        </w:sectPr>
      </w:pPr>
    </w:p>
    <w:p w14:paraId="1C98135E">
      <w:pPr>
        <w:snapToGrid w:val="0"/>
        <w:spacing w:line="360" w:lineRule="auto"/>
        <w:rPr>
          <w:rFonts w:ascii="仿宋_GB2312" w:hAnsi="仿宋" w:eastAsia="仿宋_GB2312" w:cs="仿宋_GB2312"/>
          <w:kern w:val="0"/>
          <w:sz w:val="24"/>
          <w:lang w:val="zh-CN"/>
        </w:rPr>
      </w:pPr>
    </w:p>
    <w:p w14:paraId="6AD61636">
      <w:pPr>
        <w:jc w:val="center"/>
        <w:outlineLvl w:val="1"/>
        <w:rPr>
          <w:rFonts w:hAnsi="宋体"/>
          <w:b/>
          <w:bCs/>
          <w:sz w:val="28"/>
          <w:szCs w:val="28"/>
        </w:rPr>
      </w:pPr>
      <w:bookmarkStart w:id="80" w:name="_Toc22194"/>
      <w:bookmarkStart w:id="81" w:name="_Toc8144"/>
      <w:bookmarkStart w:id="82" w:name="_Toc12489"/>
      <w:r>
        <w:rPr>
          <w:rFonts w:hint="eastAsia" w:hAnsi="宋体"/>
          <w:b/>
          <w:bCs/>
          <w:sz w:val="28"/>
          <w:szCs w:val="28"/>
        </w:rPr>
        <w:t>第</w:t>
      </w:r>
      <w:r>
        <w:rPr>
          <w:rFonts w:hint="eastAsia" w:hAnsi="宋体"/>
          <w:b/>
          <w:bCs/>
          <w:sz w:val="28"/>
          <w:szCs w:val="28"/>
          <w:lang w:val="en-US" w:eastAsia="zh-CN"/>
        </w:rPr>
        <w:t>三</w:t>
      </w:r>
      <w:r>
        <w:rPr>
          <w:rFonts w:hint="eastAsia" w:hAnsi="宋体"/>
          <w:b/>
          <w:bCs/>
          <w:sz w:val="28"/>
          <w:szCs w:val="28"/>
        </w:rPr>
        <w:t>节 技术文件格式</w:t>
      </w:r>
      <w:bookmarkEnd w:id="80"/>
      <w:bookmarkEnd w:id="81"/>
      <w:bookmarkEnd w:id="82"/>
    </w:p>
    <w:p w14:paraId="031DE6EF">
      <w:pPr>
        <w:snapToGrid w:val="0"/>
        <w:spacing w:before="165" w:beforeLines="50" w:after="50"/>
        <w:rPr>
          <w:rFonts w:ascii="宋体" w:hAnsi="宋体"/>
          <w:bCs/>
          <w:sz w:val="32"/>
          <w:szCs w:val="20"/>
        </w:rPr>
      </w:pPr>
      <w:r>
        <w:rPr>
          <w:rFonts w:hint="eastAsia" w:ascii="宋体" w:hAnsi="宋体"/>
          <w:sz w:val="24"/>
        </w:rPr>
        <w:t xml:space="preserve">                                                  </w:t>
      </w:r>
      <w:r>
        <w:rPr>
          <w:rFonts w:hint="eastAsia" w:ascii="宋体" w:hAnsi="宋体"/>
          <w:bCs/>
        </w:rPr>
        <w:t>电子投标文件</w:t>
      </w:r>
    </w:p>
    <w:p w14:paraId="7421EB73">
      <w:pPr>
        <w:snapToGrid w:val="0"/>
        <w:spacing w:before="165" w:beforeLines="50" w:after="50"/>
        <w:rPr>
          <w:rFonts w:ascii="宋体" w:hAnsi="宋体"/>
          <w:sz w:val="24"/>
          <w:szCs w:val="20"/>
        </w:rPr>
      </w:pPr>
    </w:p>
    <w:p w14:paraId="015B5197">
      <w:pPr>
        <w:snapToGrid w:val="0"/>
        <w:spacing w:before="165" w:beforeLines="50" w:after="50"/>
        <w:jc w:val="center"/>
        <w:rPr>
          <w:rFonts w:ascii="宋体" w:hAnsi="宋体"/>
          <w:b/>
          <w:bCs/>
          <w:sz w:val="32"/>
          <w:szCs w:val="32"/>
        </w:rPr>
      </w:pPr>
    </w:p>
    <w:p w14:paraId="32E56321">
      <w:pPr>
        <w:snapToGrid w:val="0"/>
        <w:spacing w:before="165" w:beforeLines="50" w:after="50"/>
        <w:jc w:val="center"/>
        <w:rPr>
          <w:rFonts w:ascii="宋体" w:hAnsi="宋体"/>
          <w:b/>
          <w:bCs/>
          <w:sz w:val="32"/>
          <w:szCs w:val="32"/>
        </w:rPr>
      </w:pPr>
    </w:p>
    <w:p w14:paraId="5A0F6EE6">
      <w:pPr>
        <w:snapToGrid w:val="0"/>
        <w:spacing w:before="165" w:beforeLines="50" w:after="50"/>
        <w:jc w:val="center"/>
        <w:rPr>
          <w:rFonts w:ascii="宋体" w:hAnsi="宋体"/>
          <w:b/>
          <w:bCs/>
          <w:sz w:val="32"/>
          <w:szCs w:val="32"/>
        </w:rPr>
      </w:pPr>
    </w:p>
    <w:p w14:paraId="314886ED">
      <w:pPr>
        <w:snapToGrid w:val="0"/>
        <w:spacing w:before="165" w:beforeLines="50" w:after="50"/>
        <w:jc w:val="center"/>
        <w:rPr>
          <w:rFonts w:ascii="宋体" w:hAnsi="宋体"/>
          <w:b/>
          <w:bCs/>
          <w:sz w:val="32"/>
          <w:szCs w:val="32"/>
        </w:rPr>
      </w:pPr>
      <w:r>
        <w:rPr>
          <w:rFonts w:hint="eastAsia" w:ascii="宋体" w:hAnsi="宋体"/>
          <w:b/>
          <w:bCs/>
          <w:sz w:val="32"/>
          <w:szCs w:val="32"/>
        </w:rPr>
        <w:t>技术文件（封面）</w:t>
      </w:r>
    </w:p>
    <w:p w14:paraId="63135D84">
      <w:pPr>
        <w:snapToGrid w:val="0"/>
        <w:spacing w:before="165" w:beforeLines="50" w:after="50"/>
        <w:rPr>
          <w:rFonts w:ascii="宋体" w:hAnsi="宋体"/>
          <w:bCs/>
          <w:sz w:val="24"/>
          <w:szCs w:val="20"/>
        </w:rPr>
      </w:pPr>
    </w:p>
    <w:p w14:paraId="45AF2F66">
      <w:pPr>
        <w:snapToGrid w:val="0"/>
        <w:spacing w:before="165" w:beforeLines="50" w:after="50" w:line="400" w:lineRule="exact"/>
        <w:ind w:firstLine="360" w:firstLineChars="150"/>
        <w:rPr>
          <w:rFonts w:ascii="宋体" w:hAnsi="宋体"/>
          <w:bCs/>
          <w:sz w:val="24"/>
          <w:szCs w:val="20"/>
        </w:rPr>
      </w:pPr>
      <w:r>
        <w:rPr>
          <w:rFonts w:hint="eastAsia" w:ascii="宋体" w:hAnsi="宋体"/>
          <w:bCs/>
          <w:sz w:val="24"/>
        </w:rPr>
        <w:t xml:space="preserve">项目名称： </w:t>
      </w:r>
    </w:p>
    <w:p w14:paraId="10AE5725">
      <w:pPr>
        <w:snapToGrid w:val="0"/>
        <w:spacing w:before="165" w:beforeLines="50" w:after="50" w:line="400" w:lineRule="exact"/>
        <w:ind w:firstLine="360" w:firstLineChars="150"/>
        <w:rPr>
          <w:rFonts w:ascii="宋体" w:hAnsi="宋体"/>
          <w:bCs/>
          <w:sz w:val="24"/>
        </w:rPr>
      </w:pPr>
      <w:r>
        <w:rPr>
          <w:rFonts w:hint="eastAsia" w:ascii="宋体" w:hAnsi="宋体"/>
          <w:bCs/>
          <w:sz w:val="24"/>
        </w:rPr>
        <w:t xml:space="preserve">项目编号： </w:t>
      </w:r>
    </w:p>
    <w:p w14:paraId="06E0E53D">
      <w:pPr>
        <w:snapToGrid w:val="0"/>
        <w:spacing w:before="165" w:beforeLines="50" w:after="50" w:line="400" w:lineRule="exact"/>
        <w:ind w:firstLine="360" w:firstLineChars="150"/>
        <w:rPr>
          <w:rFonts w:ascii="宋体" w:hAnsi="宋体"/>
          <w:bCs/>
          <w:sz w:val="24"/>
        </w:rPr>
      </w:pPr>
      <w:r>
        <w:rPr>
          <w:rFonts w:hint="eastAsia" w:ascii="宋体" w:hAnsi="宋体"/>
          <w:bCs/>
          <w:sz w:val="24"/>
        </w:rPr>
        <w:t>所投分标：</w:t>
      </w:r>
    </w:p>
    <w:p w14:paraId="516AD8BD">
      <w:pPr>
        <w:snapToGrid w:val="0"/>
        <w:spacing w:before="165" w:beforeLines="50" w:after="50" w:line="400" w:lineRule="exact"/>
        <w:ind w:firstLine="360" w:firstLineChars="150"/>
        <w:rPr>
          <w:rFonts w:ascii="宋体" w:hAnsi="宋体"/>
          <w:bCs/>
          <w:sz w:val="24"/>
        </w:rPr>
      </w:pPr>
      <w:r>
        <w:rPr>
          <w:rFonts w:hint="eastAsia" w:ascii="宋体" w:hAnsi="宋体"/>
          <w:bCs/>
          <w:sz w:val="24"/>
        </w:rPr>
        <w:t>投标人名称：</w:t>
      </w:r>
    </w:p>
    <w:p w14:paraId="6E7329E4">
      <w:pPr>
        <w:snapToGrid w:val="0"/>
        <w:spacing w:before="165" w:beforeLines="50" w:after="50" w:line="400" w:lineRule="exact"/>
        <w:ind w:firstLine="360" w:firstLineChars="150"/>
        <w:rPr>
          <w:rFonts w:ascii="宋体" w:hAnsi="宋体"/>
          <w:bCs/>
          <w:sz w:val="24"/>
        </w:rPr>
      </w:pPr>
      <w:r>
        <w:rPr>
          <w:rFonts w:hint="eastAsia" w:ascii="宋体" w:hAnsi="宋体"/>
          <w:bCs/>
          <w:sz w:val="24"/>
        </w:rPr>
        <w:t>投标人地址：</w:t>
      </w:r>
    </w:p>
    <w:p w14:paraId="41037553">
      <w:pPr>
        <w:snapToGrid w:val="0"/>
        <w:spacing w:before="165" w:beforeLines="50" w:after="50"/>
        <w:ind w:firstLine="645"/>
        <w:jc w:val="center"/>
        <w:rPr>
          <w:rFonts w:ascii="宋体" w:hAnsi="宋体"/>
          <w:sz w:val="24"/>
        </w:rPr>
      </w:pPr>
      <w:r>
        <w:rPr>
          <w:rFonts w:hint="eastAsia" w:ascii="宋体" w:hAnsi="宋体"/>
          <w:sz w:val="24"/>
        </w:rPr>
        <w:t xml:space="preserve">                        年    月    日</w:t>
      </w:r>
    </w:p>
    <w:p w14:paraId="1122D4CB">
      <w:pPr>
        <w:snapToGrid w:val="0"/>
        <w:spacing w:before="165" w:beforeLines="50" w:after="50"/>
        <w:ind w:firstLine="645"/>
        <w:jc w:val="center"/>
        <w:rPr>
          <w:rFonts w:ascii="宋体" w:hAnsi="宋体"/>
          <w:sz w:val="24"/>
          <w:szCs w:val="20"/>
        </w:rPr>
      </w:pPr>
    </w:p>
    <w:p w14:paraId="5C874975">
      <w:pPr>
        <w:jc w:val="center"/>
        <w:rPr>
          <w:rFonts w:ascii="仿宋_GB2312" w:hAnsi="仿宋" w:eastAsia="仿宋_GB2312" w:cs="仿宋_GB2312"/>
          <w:b/>
          <w:kern w:val="0"/>
          <w:sz w:val="28"/>
          <w:szCs w:val="28"/>
        </w:rPr>
      </w:pPr>
      <w:r>
        <w:rPr>
          <w:rFonts w:ascii="宋体" w:hAnsi="宋体"/>
          <w:b/>
          <w:bCs/>
          <w:sz w:val="24"/>
        </w:rPr>
        <w:br w:type="page"/>
      </w:r>
      <w:r>
        <w:rPr>
          <w:rFonts w:hint="eastAsia" w:ascii="仿宋_GB2312" w:hAnsi="仿宋" w:eastAsia="仿宋_GB2312" w:cs="仿宋_GB2312"/>
          <w:b/>
          <w:kern w:val="0"/>
          <w:sz w:val="28"/>
          <w:szCs w:val="28"/>
        </w:rPr>
        <w:t>技术文件目录</w:t>
      </w:r>
    </w:p>
    <w:p w14:paraId="2974DAB9">
      <w:pPr>
        <w:pStyle w:val="103"/>
        <w:spacing w:line="360" w:lineRule="auto"/>
        <w:rPr>
          <w:rFonts w:cs="仿宋_GB2312"/>
        </w:rPr>
      </w:pPr>
      <w:r>
        <w:rPr>
          <w:rFonts w:hint="eastAsia" w:cs="仿宋_GB2312"/>
        </w:rPr>
        <w:t>一、服务需求、技术需求偏离表………………………………………………（页码）</w:t>
      </w:r>
    </w:p>
    <w:p w14:paraId="3E6C4141">
      <w:pPr>
        <w:pStyle w:val="103"/>
        <w:spacing w:line="360" w:lineRule="auto"/>
        <w:rPr>
          <w:rFonts w:cs="仿宋_GB2312"/>
        </w:rPr>
      </w:pPr>
      <w:r>
        <w:rPr>
          <w:rFonts w:hint="eastAsia" w:cs="仿宋_GB2312"/>
        </w:rPr>
        <w:t>二、组织服务方案………………………………………………………………（页码）</w:t>
      </w:r>
    </w:p>
    <w:p w14:paraId="2E395178">
      <w:pPr>
        <w:pStyle w:val="103"/>
        <w:spacing w:line="360" w:lineRule="auto"/>
        <w:rPr>
          <w:rFonts w:cs="仿宋_GB2312"/>
        </w:rPr>
      </w:pPr>
      <w:r>
        <w:rPr>
          <w:rFonts w:hint="eastAsia" w:cs="仿宋_GB2312"/>
          <w:highlight w:val="none"/>
        </w:rPr>
        <w:t>三、</w:t>
      </w:r>
      <w:r>
        <w:rPr>
          <w:rFonts w:hint="eastAsia" w:ascii="宋体" w:hAnsi="宋体"/>
          <w:szCs w:val="21"/>
          <w:highlight w:val="none"/>
          <w:lang w:val="en-US" w:eastAsia="zh-CN"/>
        </w:rPr>
        <w:t>售后服务方案</w:t>
      </w:r>
      <w:r>
        <w:rPr>
          <w:rFonts w:hint="eastAsia" w:cs="仿宋_GB2312"/>
        </w:rPr>
        <w:t>………………………………</w:t>
      </w:r>
      <w:r>
        <w:rPr>
          <w:rFonts w:hint="eastAsia" w:cs="仿宋_GB2312"/>
          <w:lang w:val="zh-CN"/>
        </w:rPr>
        <w:t>………</w:t>
      </w:r>
      <w:r>
        <w:rPr>
          <w:rFonts w:hint="eastAsia" w:cs="仿宋_GB2312"/>
        </w:rPr>
        <w:t>………………………（页码）</w:t>
      </w:r>
    </w:p>
    <w:p w14:paraId="43B152B6">
      <w:pPr>
        <w:pStyle w:val="103"/>
        <w:spacing w:line="360" w:lineRule="auto"/>
        <w:rPr>
          <w:rFonts w:cs="仿宋_GB2312"/>
        </w:rPr>
      </w:pPr>
      <w:r>
        <w:rPr>
          <w:rFonts w:hint="eastAsia" w:cs="仿宋_GB2312"/>
        </w:rPr>
        <w:t>四、</w:t>
      </w:r>
      <w:r>
        <w:rPr>
          <w:rFonts w:hint="eastAsia" w:cs="仿宋_GB2312"/>
          <w:lang w:val="zh-CN"/>
        </w:rPr>
        <w:t>项目实施人员一览表………………………………</w:t>
      </w:r>
      <w:r>
        <w:rPr>
          <w:rFonts w:hint="eastAsia" w:cs="仿宋_GB2312"/>
        </w:rPr>
        <w:t>………………………（页码）</w:t>
      </w:r>
    </w:p>
    <w:p w14:paraId="5C0378A3">
      <w:pPr>
        <w:pStyle w:val="103"/>
        <w:spacing w:line="360" w:lineRule="auto"/>
        <w:rPr>
          <w:rFonts w:cs="仿宋_GB2312"/>
        </w:rPr>
      </w:pPr>
      <w:r>
        <w:rPr>
          <w:rFonts w:hint="eastAsia" w:cs="仿宋_GB2312"/>
        </w:rPr>
        <w:t>五、投标人对项目的合理化建议和改进措施</w:t>
      </w:r>
      <w:r>
        <w:rPr>
          <w:rFonts w:hint="eastAsia" w:cs="仿宋_GB2312"/>
          <w:lang w:val="zh-CN"/>
        </w:rPr>
        <w:t>…………………………</w:t>
      </w:r>
      <w:r>
        <w:rPr>
          <w:rFonts w:hint="eastAsia" w:cs="仿宋_GB2312"/>
        </w:rPr>
        <w:t>………（页码）</w:t>
      </w:r>
    </w:p>
    <w:p w14:paraId="34F1BC19">
      <w:pPr>
        <w:pStyle w:val="103"/>
        <w:spacing w:line="360" w:lineRule="auto"/>
        <w:rPr>
          <w:rFonts w:cs="仿宋_GB2312"/>
        </w:rPr>
      </w:pPr>
      <w:r>
        <w:rPr>
          <w:rFonts w:hint="eastAsia" w:cs="仿宋_GB2312"/>
        </w:rPr>
        <w:t>六、除招标文件规定必须提供以外，投标人需要说明的其他文件和说明…（页码）</w:t>
      </w:r>
    </w:p>
    <w:p w14:paraId="12FD54B9">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0597B053">
      <w:pPr>
        <w:snapToGrid w:val="0"/>
        <w:spacing w:before="165" w:beforeLines="50" w:after="50"/>
        <w:ind w:left="143" w:leftChars="68" w:firstLine="472" w:firstLineChars="196"/>
        <w:jc w:val="left"/>
        <w:rPr>
          <w:rFonts w:ascii="宋体" w:hAnsi="宋体"/>
          <w:b/>
          <w:sz w:val="24"/>
        </w:rPr>
      </w:pPr>
    </w:p>
    <w:p w14:paraId="62FA04D0">
      <w:pPr>
        <w:snapToGrid w:val="0"/>
        <w:spacing w:before="165" w:beforeLines="50" w:after="50"/>
        <w:ind w:left="143" w:leftChars="68" w:firstLine="472" w:firstLineChars="196"/>
        <w:jc w:val="left"/>
        <w:rPr>
          <w:rFonts w:ascii="宋体" w:hAnsi="宋体"/>
          <w:b/>
          <w:sz w:val="24"/>
        </w:rPr>
      </w:pPr>
      <w:r>
        <w:rPr>
          <w:rFonts w:ascii="宋体" w:hAnsi="宋体"/>
          <w:b/>
          <w:sz w:val="24"/>
        </w:rPr>
        <w:br w:type="page"/>
      </w:r>
      <w:r>
        <w:rPr>
          <w:rFonts w:hint="eastAsia" w:ascii="宋体" w:hAnsi="宋体"/>
          <w:b/>
          <w:sz w:val="24"/>
        </w:rPr>
        <w:t xml:space="preserve"> </w:t>
      </w:r>
    </w:p>
    <w:p w14:paraId="56A95921">
      <w:pPr>
        <w:spacing w:line="500" w:lineRule="exact"/>
        <w:jc w:val="center"/>
        <w:rPr>
          <w:b/>
          <w:bCs/>
          <w:sz w:val="30"/>
          <w:szCs w:val="30"/>
        </w:rPr>
      </w:pPr>
      <w:r>
        <w:rPr>
          <w:rFonts w:hint="eastAsia"/>
          <w:b/>
          <w:bCs/>
          <w:sz w:val="30"/>
          <w:szCs w:val="30"/>
        </w:rPr>
        <w:t>一、服务需求、技术需求偏离表</w:t>
      </w:r>
    </w:p>
    <w:p w14:paraId="50388242">
      <w:pPr>
        <w:spacing w:line="440" w:lineRule="exact"/>
        <w:ind w:firstLine="420" w:firstLineChars="200"/>
      </w:pPr>
    </w:p>
    <w:p w14:paraId="0784E8B2">
      <w:pPr>
        <w:spacing w:line="600" w:lineRule="exact"/>
        <w:ind w:firstLine="480" w:firstLineChars="200"/>
        <w:rPr>
          <w:rFonts w:hAnsi="宋体"/>
          <w:sz w:val="24"/>
        </w:rPr>
      </w:pPr>
      <w:r>
        <w:rPr>
          <w:rFonts w:hint="eastAsia" w:hAnsi="宋体"/>
          <w:sz w:val="24"/>
        </w:rPr>
        <w:t>请根据所投服务的实际技术参数，</w:t>
      </w:r>
      <w:r>
        <w:rPr>
          <w:rFonts w:hint="eastAsia" w:hAnsi="宋体"/>
          <w:b/>
          <w:sz w:val="28"/>
          <w:szCs w:val="28"/>
        </w:rPr>
        <w:t>逐条对应</w:t>
      </w:r>
      <w:r>
        <w:rPr>
          <w:rFonts w:hint="eastAsia" w:hAnsi="宋体"/>
          <w:sz w:val="24"/>
        </w:rPr>
        <w:t>本项目招标文件第二章</w:t>
      </w:r>
      <w:r>
        <w:rPr>
          <w:rFonts w:hAnsi="宋体"/>
          <w:sz w:val="24"/>
        </w:rPr>
        <w:t>“</w:t>
      </w:r>
      <w:r>
        <w:rPr>
          <w:rFonts w:hint="eastAsia" w:hAnsi="宋体"/>
          <w:sz w:val="24"/>
        </w:rPr>
        <w:t>服务需求一览表</w:t>
      </w:r>
      <w:r>
        <w:rPr>
          <w:rFonts w:hAnsi="宋体"/>
          <w:sz w:val="24"/>
        </w:rPr>
        <w:t>”</w:t>
      </w:r>
      <w:r>
        <w:rPr>
          <w:rFonts w:hint="eastAsia" w:hAnsi="宋体"/>
          <w:sz w:val="24"/>
        </w:rPr>
        <w:t>中的</w:t>
      </w:r>
      <w:r>
        <w:rPr>
          <w:rFonts w:hint="eastAsia" w:hAnsi="宋体"/>
          <w:b/>
          <w:sz w:val="28"/>
          <w:szCs w:val="28"/>
          <w:lang w:val="en-US" w:eastAsia="zh-CN"/>
        </w:rPr>
        <w:t>服务内容与要求</w:t>
      </w:r>
      <w:r>
        <w:rPr>
          <w:rFonts w:hint="eastAsia" w:hAnsi="宋体"/>
          <w:sz w:val="24"/>
        </w:rPr>
        <w:t>详细填写相应的具体内容。</w:t>
      </w:r>
      <w:r>
        <w:rPr>
          <w:rFonts w:hAnsi="宋体"/>
          <w:sz w:val="24"/>
        </w:rPr>
        <w:t>“</w:t>
      </w:r>
      <w:r>
        <w:rPr>
          <w:rFonts w:hint="eastAsia" w:hAnsi="宋体"/>
          <w:sz w:val="24"/>
        </w:rPr>
        <w:t>偏离说明</w:t>
      </w:r>
      <w:r>
        <w:rPr>
          <w:rFonts w:hAnsi="宋体"/>
          <w:sz w:val="24"/>
        </w:rPr>
        <w:t>”</w:t>
      </w:r>
      <w:r>
        <w:rPr>
          <w:rFonts w:hint="eastAsia" w:hAnsi="宋体"/>
          <w:sz w:val="24"/>
        </w:rPr>
        <w:t>一栏应当选择</w:t>
      </w:r>
      <w:r>
        <w:rPr>
          <w:rFonts w:hAnsi="宋体"/>
          <w:sz w:val="24"/>
        </w:rPr>
        <w:t>“</w:t>
      </w:r>
      <w:r>
        <w:rPr>
          <w:rFonts w:hint="eastAsia" w:hAnsi="宋体"/>
          <w:sz w:val="24"/>
        </w:rPr>
        <w:t>正偏离</w:t>
      </w:r>
      <w:r>
        <w:rPr>
          <w:rFonts w:hAnsi="宋体"/>
          <w:sz w:val="24"/>
        </w:rPr>
        <w:t>”</w:t>
      </w:r>
      <w:r>
        <w:rPr>
          <w:rFonts w:hint="eastAsia" w:hAnsi="宋体"/>
          <w:sz w:val="24"/>
        </w:rPr>
        <w:t>、</w:t>
      </w:r>
      <w:r>
        <w:rPr>
          <w:rFonts w:hAnsi="宋体"/>
          <w:sz w:val="24"/>
        </w:rPr>
        <w:t>“</w:t>
      </w:r>
      <w:r>
        <w:rPr>
          <w:rFonts w:hint="eastAsia" w:hAnsi="宋体"/>
          <w:sz w:val="24"/>
        </w:rPr>
        <w:t>负偏离</w:t>
      </w:r>
      <w:r>
        <w:rPr>
          <w:rFonts w:hAnsi="宋体"/>
          <w:sz w:val="24"/>
        </w:rPr>
        <w:t>”</w:t>
      </w:r>
      <w:r>
        <w:rPr>
          <w:rFonts w:hint="eastAsia" w:hAnsi="宋体"/>
          <w:sz w:val="24"/>
        </w:rPr>
        <w:t>或</w:t>
      </w:r>
      <w:r>
        <w:rPr>
          <w:rFonts w:hAnsi="宋体"/>
          <w:sz w:val="24"/>
        </w:rPr>
        <w:t>“</w:t>
      </w:r>
      <w:r>
        <w:rPr>
          <w:rFonts w:hint="eastAsia" w:hAnsi="宋体"/>
          <w:sz w:val="24"/>
        </w:rPr>
        <w:t>无偏离</w:t>
      </w:r>
      <w:r>
        <w:rPr>
          <w:rFonts w:hAnsi="宋体"/>
          <w:sz w:val="24"/>
        </w:rPr>
        <w:t>”</w:t>
      </w:r>
      <w:r>
        <w:rPr>
          <w:rFonts w:hint="eastAsia" w:hAnsi="宋体"/>
          <w:sz w:val="24"/>
        </w:rPr>
        <w:t>进行填写。</w:t>
      </w:r>
    </w:p>
    <w:tbl>
      <w:tblPr>
        <w:tblStyle w:val="3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1ADE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4E26C0A3">
            <w:pPr>
              <w:rPr>
                <w:rFonts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16A91017">
            <w:pPr>
              <w:jc w:val="center"/>
              <w:rPr>
                <w:rFonts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6D134080">
            <w:pPr>
              <w:jc w:val="center"/>
              <w:rPr>
                <w:rFonts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7311A1F5">
            <w:pPr>
              <w:rPr>
                <w:rFonts w:ascii="宋体" w:hAnsi="宋体"/>
                <w:szCs w:val="21"/>
              </w:rPr>
            </w:pPr>
            <w:r>
              <w:rPr>
                <w:rFonts w:hint="eastAsia" w:ascii="宋体" w:hAnsi="宋体"/>
                <w:szCs w:val="21"/>
              </w:rPr>
              <w:t>偏离说明</w:t>
            </w:r>
          </w:p>
        </w:tc>
      </w:tr>
      <w:tr w14:paraId="7DCB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2C6A8970">
            <w:pPr>
              <w:widowControl/>
              <w:jc w:val="left"/>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5B1BA502">
            <w:pPr>
              <w:jc w:val="center"/>
              <w:rPr>
                <w:rFonts w:ascii="宋体" w:hAnsi="宋体"/>
                <w:szCs w:val="21"/>
              </w:rPr>
            </w:pPr>
            <w:r>
              <w:rPr>
                <w:rFonts w:hint="eastAsia" w:ascii="宋体" w:hAnsi="宋体"/>
                <w:szCs w:val="21"/>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0F5BFBCD">
            <w:pPr>
              <w:jc w:val="center"/>
              <w:rPr>
                <w:rFonts w:ascii="宋体" w:hAnsi="宋体"/>
                <w:szCs w:val="21"/>
              </w:rPr>
            </w:pPr>
            <w:r>
              <w:rPr>
                <w:rFonts w:hint="eastAsia" w:ascii="宋体" w:hAnsi="宋体"/>
                <w:szCs w:val="21"/>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432DD571">
            <w:pPr>
              <w:jc w:val="center"/>
              <w:rPr>
                <w:rFonts w:ascii="宋体" w:hAnsi="宋体"/>
                <w:szCs w:val="21"/>
              </w:rPr>
            </w:pPr>
            <w:r>
              <w:rPr>
                <w:rFonts w:hint="eastAsia" w:ascii="宋体" w:hAnsi="宋体"/>
                <w:szCs w:val="21"/>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6FD7FE8E">
            <w:pPr>
              <w:jc w:val="center"/>
              <w:rPr>
                <w:rFonts w:ascii="宋体" w:hAnsi="宋体"/>
                <w:szCs w:val="21"/>
              </w:rPr>
            </w:pPr>
            <w:r>
              <w:rPr>
                <w:rFonts w:hint="eastAsia" w:ascii="宋体" w:hAnsi="宋体"/>
                <w:szCs w:val="21"/>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5036AD90">
            <w:pPr>
              <w:widowControl/>
              <w:jc w:val="left"/>
              <w:rPr>
                <w:rFonts w:ascii="宋体" w:hAnsi="宋体"/>
                <w:szCs w:val="21"/>
              </w:rPr>
            </w:pPr>
          </w:p>
        </w:tc>
      </w:tr>
      <w:tr w14:paraId="1DA3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F2281E9">
            <w:pPr>
              <w:rPr>
                <w:rFonts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626648C7">
            <w:pPr>
              <w:rPr>
                <w:rFonts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56E115B8">
            <w:pPr>
              <w:rPr>
                <w:rFonts w:ascii="宋体" w:hAnsi="宋体"/>
                <w:szCs w:val="21"/>
              </w:rPr>
            </w:pPr>
            <w:r>
              <w:rPr>
                <w:rFonts w:ascii="宋体" w:hAnsi="宋体"/>
                <w:szCs w:val="21"/>
              </w:rPr>
              <w:t>1  ……</w:t>
            </w:r>
          </w:p>
          <w:p w14:paraId="42AD1847">
            <w:pPr>
              <w:rPr>
                <w:rFonts w:ascii="宋体" w:hAnsi="宋体"/>
                <w:szCs w:val="21"/>
              </w:rPr>
            </w:pPr>
            <w:r>
              <w:rPr>
                <w:rFonts w:ascii="宋体" w:hAnsi="宋体"/>
                <w:szCs w:val="21"/>
              </w:rPr>
              <w:t>2  ……</w:t>
            </w:r>
          </w:p>
          <w:p w14:paraId="2BEF05FA">
            <w:pPr>
              <w:rPr>
                <w:rFonts w:ascii="宋体" w:hAnsi="宋体"/>
                <w:szCs w:val="21"/>
              </w:rPr>
            </w:pPr>
            <w:r>
              <w:rPr>
                <w:rFonts w:ascii="宋体" w:hAnsi="宋体"/>
                <w:szCs w:val="21"/>
              </w:rPr>
              <w:t>3  ……</w:t>
            </w:r>
          </w:p>
          <w:p w14:paraId="4AF76F2B">
            <w:pPr>
              <w:rPr>
                <w:rFonts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3AFCBD40">
            <w:pPr>
              <w:rPr>
                <w:rFonts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2FC1540C">
            <w:pPr>
              <w:rPr>
                <w:rFonts w:ascii="宋体" w:hAnsi="宋体"/>
                <w:szCs w:val="21"/>
              </w:rPr>
            </w:pPr>
            <w:r>
              <w:rPr>
                <w:rFonts w:ascii="宋体" w:hAnsi="宋体"/>
                <w:szCs w:val="21"/>
              </w:rPr>
              <w:t>1  ……</w:t>
            </w:r>
          </w:p>
          <w:p w14:paraId="0ACC0F6C">
            <w:pPr>
              <w:rPr>
                <w:rFonts w:ascii="宋体" w:hAnsi="宋体"/>
                <w:szCs w:val="21"/>
              </w:rPr>
            </w:pPr>
            <w:r>
              <w:rPr>
                <w:rFonts w:ascii="宋体" w:hAnsi="宋体"/>
                <w:szCs w:val="21"/>
              </w:rPr>
              <w:t>2  ……</w:t>
            </w:r>
          </w:p>
          <w:p w14:paraId="6D9E1110">
            <w:pPr>
              <w:rPr>
                <w:rFonts w:ascii="宋体" w:hAnsi="宋体"/>
                <w:szCs w:val="21"/>
              </w:rPr>
            </w:pPr>
            <w:r>
              <w:rPr>
                <w:rFonts w:ascii="宋体" w:hAnsi="宋体"/>
                <w:szCs w:val="21"/>
              </w:rPr>
              <w:t>3  ……</w:t>
            </w:r>
          </w:p>
          <w:p w14:paraId="5348D9C2">
            <w:pPr>
              <w:rPr>
                <w:rFonts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7977FDD">
            <w:pPr>
              <w:rPr>
                <w:rFonts w:ascii="宋体" w:hAnsi="宋体"/>
                <w:szCs w:val="21"/>
              </w:rPr>
            </w:pPr>
            <w:r>
              <w:rPr>
                <w:rFonts w:hint="eastAsia" w:ascii="宋体" w:hAnsi="宋体"/>
                <w:szCs w:val="21"/>
              </w:rPr>
              <w:t>正偏离（负偏离或无偏离）</w:t>
            </w:r>
          </w:p>
        </w:tc>
      </w:tr>
      <w:tr w14:paraId="772E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6167E20D">
            <w:pPr>
              <w:rPr>
                <w:rFonts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142D9E1A">
            <w:pPr>
              <w:rPr>
                <w:rFonts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6F761547">
            <w:pPr>
              <w:rPr>
                <w:rFonts w:ascii="宋体" w:hAnsi="宋体"/>
                <w:szCs w:val="21"/>
              </w:rPr>
            </w:pPr>
            <w:r>
              <w:rPr>
                <w:rFonts w:ascii="宋体" w:hAnsi="宋体"/>
                <w:szCs w:val="21"/>
              </w:rPr>
              <w:t>1  ……</w:t>
            </w:r>
          </w:p>
          <w:p w14:paraId="5AE12ECF">
            <w:pPr>
              <w:rPr>
                <w:rFonts w:ascii="宋体" w:hAnsi="宋体"/>
                <w:szCs w:val="21"/>
              </w:rPr>
            </w:pPr>
            <w:r>
              <w:rPr>
                <w:rFonts w:ascii="宋体" w:hAnsi="宋体"/>
                <w:szCs w:val="21"/>
              </w:rPr>
              <w:t>2  ……</w:t>
            </w:r>
          </w:p>
          <w:p w14:paraId="5C3D5AA8">
            <w:pPr>
              <w:rPr>
                <w:rFonts w:ascii="宋体" w:hAnsi="宋体"/>
                <w:szCs w:val="21"/>
              </w:rPr>
            </w:pPr>
            <w:r>
              <w:rPr>
                <w:rFonts w:ascii="宋体" w:hAnsi="宋体"/>
                <w:szCs w:val="21"/>
              </w:rPr>
              <w:t>3  ……</w:t>
            </w:r>
          </w:p>
          <w:p w14:paraId="1540F243">
            <w:pPr>
              <w:rPr>
                <w:rFonts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2EDC0169">
            <w:pPr>
              <w:rPr>
                <w:rFonts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36A2B066">
            <w:pPr>
              <w:rPr>
                <w:rFonts w:ascii="宋体" w:hAnsi="宋体"/>
                <w:szCs w:val="21"/>
              </w:rPr>
            </w:pPr>
            <w:r>
              <w:rPr>
                <w:rFonts w:ascii="宋体" w:hAnsi="宋体"/>
                <w:szCs w:val="21"/>
              </w:rPr>
              <w:t>1  ……</w:t>
            </w:r>
          </w:p>
          <w:p w14:paraId="42A314C1">
            <w:pPr>
              <w:rPr>
                <w:rFonts w:ascii="宋体" w:hAnsi="宋体"/>
                <w:szCs w:val="21"/>
              </w:rPr>
            </w:pPr>
            <w:r>
              <w:rPr>
                <w:rFonts w:ascii="宋体" w:hAnsi="宋体"/>
                <w:szCs w:val="21"/>
              </w:rPr>
              <w:t>2  ……</w:t>
            </w:r>
          </w:p>
          <w:p w14:paraId="10B0A494">
            <w:pPr>
              <w:rPr>
                <w:rFonts w:ascii="宋体" w:hAnsi="宋体"/>
                <w:szCs w:val="21"/>
              </w:rPr>
            </w:pPr>
            <w:r>
              <w:rPr>
                <w:rFonts w:ascii="宋体" w:hAnsi="宋体"/>
                <w:szCs w:val="21"/>
              </w:rPr>
              <w:t>3  ……</w:t>
            </w:r>
          </w:p>
          <w:p w14:paraId="3A4609F6">
            <w:pPr>
              <w:rPr>
                <w:rFonts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635D9F48">
            <w:pPr>
              <w:rPr>
                <w:rFonts w:ascii="宋体" w:hAnsi="宋体"/>
                <w:szCs w:val="21"/>
              </w:rPr>
            </w:pPr>
            <w:r>
              <w:rPr>
                <w:rFonts w:hint="eastAsia" w:ascii="宋体" w:hAnsi="宋体"/>
                <w:szCs w:val="21"/>
              </w:rPr>
              <w:t>正偏离（负偏离或无偏离）</w:t>
            </w:r>
          </w:p>
        </w:tc>
      </w:tr>
      <w:tr w14:paraId="4323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FC25362">
            <w:pPr>
              <w:rPr>
                <w:rFonts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487BD6EA">
            <w:pPr>
              <w:rPr>
                <w:rFonts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499775EC">
            <w:pPr>
              <w:rPr>
                <w:rFonts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2F51712B">
            <w:pPr>
              <w:rPr>
                <w:rFonts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59AA2DD6">
            <w:pPr>
              <w:rPr>
                <w:rFonts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46FDFA8C">
            <w:pPr>
              <w:rPr>
                <w:rFonts w:ascii="宋体" w:hAnsi="宋体"/>
                <w:szCs w:val="21"/>
              </w:rPr>
            </w:pPr>
          </w:p>
        </w:tc>
      </w:tr>
      <w:tr w14:paraId="23A3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45A36783">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3D3B8868">
      <w:pPr>
        <w:spacing w:line="360" w:lineRule="auto"/>
        <w:rPr>
          <w:rFonts w:hAnsi="宋体"/>
          <w:szCs w:val="21"/>
        </w:rPr>
      </w:pPr>
      <w:r>
        <w:rPr>
          <w:rFonts w:hint="eastAsia" w:hAnsi="宋体"/>
          <w:szCs w:val="21"/>
        </w:rPr>
        <w:t>注：</w:t>
      </w:r>
    </w:p>
    <w:p w14:paraId="3602AFC7">
      <w:pPr>
        <w:spacing w:line="360" w:lineRule="auto"/>
        <w:rPr>
          <w:rFonts w:hAnsi="宋体"/>
          <w:szCs w:val="21"/>
        </w:rPr>
      </w:pPr>
      <w:r>
        <w:rPr>
          <w:rFonts w:hint="eastAsia" w:hAnsi="宋体" w:cs="宋体"/>
          <w:szCs w:val="21"/>
        </w:rPr>
        <w:t>1.</w:t>
      </w:r>
      <w:r>
        <w:rPr>
          <w:rFonts w:hint="eastAsia" w:hAnsi="宋体"/>
          <w:szCs w:val="21"/>
        </w:rPr>
        <w:t>表格内容均需按要求填写并盖章。</w:t>
      </w:r>
    </w:p>
    <w:p w14:paraId="798FCF52">
      <w:pPr>
        <w:spacing w:line="360" w:lineRule="auto"/>
        <w:rPr>
          <w:rFonts w:hAnsi="宋体"/>
          <w:szCs w:val="21"/>
        </w:rPr>
      </w:pPr>
      <w:r>
        <w:rPr>
          <w:rFonts w:hint="eastAsia" w:hAnsi="宋体"/>
          <w:bCs/>
          <w:szCs w:val="21"/>
        </w:rPr>
        <w:t>2.当投标文件的服务内容低于招标文件要求时，投标人应当如实写明</w:t>
      </w:r>
      <w:r>
        <w:rPr>
          <w:rFonts w:hAnsi="宋体"/>
          <w:bCs/>
          <w:szCs w:val="21"/>
        </w:rPr>
        <w:t>“</w:t>
      </w:r>
      <w:r>
        <w:rPr>
          <w:rFonts w:hint="eastAsia" w:hAnsi="宋体"/>
          <w:bCs/>
          <w:szCs w:val="21"/>
        </w:rPr>
        <w:t>负偏离</w:t>
      </w:r>
      <w:r>
        <w:rPr>
          <w:rFonts w:hAnsi="宋体"/>
          <w:bCs/>
          <w:szCs w:val="21"/>
        </w:rPr>
        <w:t>”</w:t>
      </w:r>
      <w:r>
        <w:rPr>
          <w:rFonts w:hint="eastAsia" w:hAnsi="宋体"/>
          <w:bCs/>
          <w:szCs w:val="21"/>
        </w:rPr>
        <w:t>，否则视为虚假应标。</w:t>
      </w:r>
    </w:p>
    <w:p w14:paraId="23BAC2EA">
      <w:pPr>
        <w:spacing w:line="360" w:lineRule="auto"/>
      </w:pPr>
      <w:r>
        <w:rPr>
          <w:rFonts w:hint="eastAsia"/>
        </w:rPr>
        <w:t>3.</w:t>
      </w:r>
      <w:r>
        <w:rPr>
          <w:rFonts w:hint="eastAsia" w:hAnsi="宋体" w:cs="宋体"/>
          <w:szCs w:val="21"/>
        </w:rPr>
        <w:t>采购需求中带“▲”及“◆”的条款，也要分别在本表“</w:t>
      </w:r>
      <w:r>
        <w:rPr>
          <w:rFonts w:hint="eastAsia" w:hAnsi="宋体"/>
          <w:szCs w:val="21"/>
        </w:rPr>
        <w:t>服务参数</w:t>
      </w:r>
      <w:r>
        <w:rPr>
          <w:rFonts w:hint="eastAsia" w:hAnsi="宋体" w:cs="宋体"/>
          <w:szCs w:val="21"/>
        </w:rPr>
        <w:t>”、“</w:t>
      </w:r>
      <w:r>
        <w:rPr>
          <w:rFonts w:hint="eastAsia" w:hAnsi="宋体"/>
          <w:szCs w:val="21"/>
        </w:rPr>
        <w:t>所提供服务的内容</w:t>
      </w:r>
      <w:r>
        <w:rPr>
          <w:rFonts w:hint="eastAsia" w:hAnsi="宋体" w:cs="宋体"/>
          <w:szCs w:val="21"/>
        </w:rPr>
        <w:t>”中标记。</w:t>
      </w:r>
    </w:p>
    <w:p w14:paraId="3AF8914A">
      <w:pPr>
        <w:snapToGrid w:val="0"/>
        <w:spacing w:line="360" w:lineRule="auto"/>
        <w:ind w:firstLine="5640" w:firstLineChars="2350"/>
        <w:rPr>
          <w:rFonts w:ascii="仿宋_GB2312" w:hAnsi="仿宋" w:eastAsia="仿宋_GB2312" w:cs="仿宋_GB2312"/>
          <w:kern w:val="0"/>
          <w:sz w:val="24"/>
          <w:lang w:val="zh-CN"/>
        </w:rPr>
      </w:pPr>
    </w:p>
    <w:p w14:paraId="7C3A5138">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825528F">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6A4DE007">
      <w:pPr>
        <w:snapToGrid w:val="0"/>
        <w:spacing w:before="165" w:beforeLines="50" w:after="50"/>
        <w:ind w:left="143" w:leftChars="68" w:firstLine="600" w:firstLineChars="200"/>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1A9817ED">
      <w:pPr>
        <w:snapToGrid w:val="0"/>
        <w:spacing w:before="165" w:beforeLines="50" w:after="50"/>
        <w:jc w:val="center"/>
        <w:rPr>
          <w:b/>
          <w:bCs/>
          <w:sz w:val="30"/>
          <w:szCs w:val="30"/>
        </w:rPr>
      </w:pPr>
      <w:r>
        <w:rPr>
          <w:rFonts w:hint="eastAsia"/>
          <w:b/>
          <w:bCs/>
          <w:sz w:val="30"/>
          <w:szCs w:val="30"/>
        </w:rPr>
        <w:t>二、组织服务方案</w:t>
      </w:r>
    </w:p>
    <w:p w14:paraId="54539E3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w:t>
      </w:r>
    </w:p>
    <w:p w14:paraId="1C91DA6E">
      <w:pPr>
        <w:autoSpaceDE w:val="0"/>
        <w:autoSpaceDN w:val="0"/>
        <w:spacing w:line="360" w:lineRule="auto"/>
        <w:jc w:val="center"/>
        <w:rPr>
          <w:rFonts w:ascii="仿宋_GB2312" w:hAnsi="仿宋" w:eastAsia="仿宋_GB2312" w:cs="仿宋_GB2312"/>
          <w:sz w:val="24"/>
        </w:rPr>
      </w:pPr>
    </w:p>
    <w:p w14:paraId="2F4366DF">
      <w:pPr>
        <w:rPr>
          <w:rFonts w:ascii="仿宋_GB2312" w:hAnsi="仿宋" w:eastAsia="仿宋_GB2312" w:cs="仿宋_GB2312"/>
          <w:b/>
          <w:bCs/>
          <w:kern w:val="0"/>
          <w:sz w:val="24"/>
          <w:lang w:val="zh-CN"/>
        </w:rPr>
      </w:pPr>
    </w:p>
    <w:p w14:paraId="274D9057">
      <w:pPr>
        <w:rPr>
          <w:rFonts w:ascii="仿宋_GB2312" w:hAnsi="仿宋" w:eastAsia="仿宋_GB2312" w:cs="仿宋_GB2312"/>
          <w:b/>
          <w:bCs/>
          <w:kern w:val="0"/>
          <w:sz w:val="24"/>
          <w:lang w:val="zh-CN"/>
        </w:rPr>
      </w:pPr>
    </w:p>
    <w:p w14:paraId="14A3098B">
      <w:pPr>
        <w:autoSpaceDE w:val="0"/>
        <w:autoSpaceDN w:val="0"/>
        <w:spacing w:line="360" w:lineRule="auto"/>
        <w:ind w:firstLine="4440" w:firstLineChars="1850"/>
        <w:rPr>
          <w:rFonts w:ascii="仿宋_GB2312" w:hAnsi="仿宋" w:eastAsia="仿宋_GB2312" w:cs="仿宋_GB2312"/>
          <w:kern w:val="0"/>
          <w:sz w:val="24"/>
        </w:rPr>
      </w:pPr>
      <w:r>
        <w:rPr>
          <w:rFonts w:hint="eastAsia" w:ascii="仿宋_GB2312" w:hAnsi="仿宋" w:eastAsia="仿宋_GB2312" w:cs="仿宋_GB2312"/>
          <w:kern w:val="0"/>
          <w:sz w:val="24"/>
        </w:rPr>
        <w:t>投标人名称（电子签名）：</w:t>
      </w:r>
    </w:p>
    <w:p w14:paraId="7D14328F">
      <w:pPr>
        <w:autoSpaceDE w:val="0"/>
        <w:autoSpaceDN w:val="0"/>
        <w:spacing w:line="360" w:lineRule="auto"/>
        <w:rPr>
          <w:rFonts w:ascii="仿宋_GB2312" w:hAnsi="仿宋" w:eastAsia="仿宋_GB2312" w:cs="仿宋_GB2312"/>
          <w:b/>
          <w:bCs/>
          <w:sz w:val="32"/>
          <w:szCs w:val="32"/>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254A28C0">
      <w:pPr>
        <w:snapToGrid w:val="0"/>
        <w:spacing w:line="360" w:lineRule="auto"/>
        <w:ind w:firstLine="4935" w:firstLineChars="2350"/>
        <w:rPr>
          <w:rFonts w:hAnsi="宋体"/>
          <w:szCs w:val="21"/>
        </w:rPr>
      </w:pPr>
      <w:r>
        <w:rPr>
          <w:rFonts w:hAnsi="宋体"/>
          <w:szCs w:val="21"/>
        </w:rPr>
        <w:t xml:space="preserve"> </w:t>
      </w:r>
    </w:p>
    <w:p w14:paraId="52B5F3CC">
      <w:pPr>
        <w:snapToGrid w:val="0"/>
        <w:spacing w:before="165" w:beforeLines="50" w:after="50"/>
        <w:jc w:val="center"/>
        <w:rPr>
          <w:rFonts w:hint="eastAsia" w:eastAsia="宋体"/>
          <w:b/>
          <w:bCs/>
          <w:sz w:val="30"/>
          <w:szCs w:val="30"/>
          <w:lang w:eastAsia="zh-CN"/>
        </w:rPr>
      </w:pPr>
      <w:r>
        <w:rPr>
          <w:rFonts w:hint="eastAsia"/>
          <w:b/>
          <w:bCs/>
          <w:sz w:val="30"/>
          <w:szCs w:val="30"/>
        </w:rPr>
        <w:br w:type="page"/>
      </w:r>
      <w:r>
        <w:rPr>
          <w:rFonts w:hint="eastAsia"/>
          <w:b/>
          <w:bCs/>
          <w:sz w:val="30"/>
          <w:szCs w:val="30"/>
        </w:rPr>
        <w:t>三、</w:t>
      </w:r>
      <w:r>
        <w:rPr>
          <w:rFonts w:hint="eastAsia"/>
          <w:b/>
          <w:bCs/>
          <w:sz w:val="30"/>
          <w:szCs w:val="30"/>
          <w:lang w:val="en-US" w:eastAsia="zh-CN"/>
        </w:rPr>
        <w:t>售后服务方案</w:t>
      </w:r>
    </w:p>
    <w:p w14:paraId="250A0BA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w:t>
      </w:r>
    </w:p>
    <w:p w14:paraId="333A8830">
      <w:pPr>
        <w:snapToGrid w:val="0"/>
        <w:spacing w:before="165" w:beforeLines="50" w:after="50"/>
        <w:ind w:left="142"/>
        <w:jc w:val="center"/>
        <w:rPr>
          <w:rFonts w:ascii="宋体" w:hAnsi="宋体"/>
          <w:b/>
          <w:sz w:val="32"/>
          <w:szCs w:val="32"/>
        </w:rPr>
      </w:pPr>
      <w:r>
        <w:rPr>
          <w:rFonts w:hint="eastAsia" w:ascii="宋体" w:hAnsi="宋体"/>
          <w:b/>
          <w:sz w:val="32"/>
          <w:szCs w:val="32"/>
        </w:rPr>
        <w:t>1、</w:t>
      </w:r>
      <w:r>
        <w:rPr>
          <w:rFonts w:hint="eastAsia"/>
          <w:b/>
          <w:bCs/>
          <w:sz w:val="30"/>
          <w:szCs w:val="30"/>
          <w:lang w:val="en-US" w:eastAsia="zh-CN"/>
        </w:rPr>
        <w:t>售后服务方案</w:t>
      </w:r>
    </w:p>
    <w:p w14:paraId="428EFE68">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附表A:</w:t>
      </w:r>
      <w:r>
        <w:rPr>
          <w:rFonts w:hint="eastAsia" w:ascii="仿宋_GB2312" w:hAnsi="仿宋" w:eastAsia="仿宋_GB2312" w:cs="仿宋_GB2312"/>
          <w:b/>
          <w:sz w:val="24"/>
          <w:lang w:val="en-US" w:eastAsia="zh-CN"/>
        </w:rPr>
        <w:t>售后</w:t>
      </w:r>
      <w:r>
        <w:rPr>
          <w:rFonts w:hint="eastAsia" w:ascii="仿宋_GB2312" w:hAnsi="仿宋" w:eastAsia="仿宋_GB2312" w:cs="仿宋_GB2312"/>
          <w:b/>
          <w:sz w:val="24"/>
        </w:rPr>
        <w:t>服务机构情况表</w:t>
      </w:r>
      <w:r>
        <w:rPr>
          <w:rFonts w:hint="eastAsia" w:ascii="仿宋_GB2312" w:hAnsi="仿宋" w:eastAsia="仿宋_GB2312" w:cs="仿宋_GB2312"/>
          <w:sz w:val="24"/>
        </w:rPr>
        <w:t>（按此格式自制）</w:t>
      </w:r>
    </w:p>
    <w:tbl>
      <w:tblPr>
        <w:tblStyle w:val="35"/>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0512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83CB773">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340" w:type="dxa"/>
          </w:tcPr>
          <w:p w14:paraId="28CA4DF3">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095" w:type="dxa"/>
          </w:tcPr>
          <w:p w14:paraId="2ADA065D">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Pr>
          <w:p w14:paraId="57159511">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1980" w:type="dxa"/>
          </w:tcPr>
          <w:p w14:paraId="1A8FCF22">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服务技术人员数量</w:t>
            </w:r>
          </w:p>
        </w:tc>
        <w:tc>
          <w:tcPr>
            <w:tcW w:w="1260" w:type="dxa"/>
          </w:tcPr>
          <w:p w14:paraId="7449CE55">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14:paraId="7BFB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7B5127">
            <w:pPr>
              <w:autoSpaceDE w:val="0"/>
              <w:autoSpaceDN w:val="0"/>
              <w:spacing w:line="360" w:lineRule="auto"/>
              <w:jc w:val="center"/>
              <w:rPr>
                <w:rFonts w:ascii="仿宋_GB2312" w:hAnsi="仿宋" w:eastAsia="仿宋_GB2312" w:cs="仿宋_GB2312"/>
                <w:sz w:val="24"/>
              </w:rPr>
            </w:pPr>
          </w:p>
        </w:tc>
        <w:tc>
          <w:tcPr>
            <w:tcW w:w="2340" w:type="dxa"/>
          </w:tcPr>
          <w:p w14:paraId="50316D2E">
            <w:pPr>
              <w:autoSpaceDE w:val="0"/>
              <w:autoSpaceDN w:val="0"/>
              <w:spacing w:line="360" w:lineRule="auto"/>
              <w:jc w:val="center"/>
              <w:rPr>
                <w:rFonts w:ascii="仿宋_GB2312" w:hAnsi="仿宋" w:eastAsia="仿宋_GB2312" w:cs="仿宋_GB2312"/>
                <w:sz w:val="24"/>
              </w:rPr>
            </w:pPr>
          </w:p>
        </w:tc>
        <w:tc>
          <w:tcPr>
            <w:tcW w:w="1095" w:type="dxa"/>
          </w:tcPr>
          <w:p w14:paraId="7D06CCF8">
            <w:pPr>
              <w:autoSpaceDE w:val="0"/>
              <w:autoSpaceDN w:val="0"/>
              <w:spacing w:line="360" w:lineRule="auto"/>
              <w:jc w:val="center"/>
              <w:rPr>
                <w:rFonts w:ascii="仿宋_GB2312" w:hAnsi="仿宋" w:eastAsia="仿宋_GB2312" w:cs="仿宋_GB2312"/>
                <w:sz w:val="24"/>
              </w:rPr>
            </w:pPr>
          </w:p>
        </w:tc>
        <w:tc>
          <w:tcPr>
            <w:tcW w:w="1245" w:type="dxa"/>
          </w:tcPr>
          <w:p w14:paraId="5CD07A31">
            <w:pPr>
              <w:autoSpaceDE w:val="0"/>
              <w:autoSpaceDN w:val="0"/>
              <w:spacing w:line="360" w:lineRule="auto"/>
              <w:jc w:val="center"/>
              <w:rPr>
                <w:rFonts w:ascii="仿宋_GB2312" w:hAnsi="仿宋" w:eastAsia="仿宋_GB2312" w:cs="仿宋_GB2312"/>
                <w:sz w:val="24"/>
              </w:rPr>
            </w:pPr>
          </w:p>
        </w:tc>
        <w:tc>
          <w:tcPr>
            <w:tcW w:w="1980" w:type="dxa"/>
          </w:tcPr>
          <w:p w14:paraId="3A461E38">
            <w:pPr>
              <w:autoSpaceDE w:val="0"/>
              <w:autoSpaceDN w:val="0"/>
              <w:spacing w:line="360" w:lineRule="auto"/>
              <w:jc w:val="center"/>
              <w:rPr>
                <w:rFonts w:ascii="仿宋_GB2312" w:hAnsi="仿宋" w:eastAsia="仿宋_GB2312" w:cs="仿宋_GB2312"/>
                <w:sz w:val="24"/>
              </w:rPr>
            </w:pPr>
          </w:p>
        </w:tc>
        <w:tc>
          <w:tcPr>
            <w:tcW w:w="1260" w:type="dxa"/>
          </w:tcPr>
          <w:p w14:paraId="156BFDC1">
            <w:pPr>
              <w:autoSpaceDE w:val="0"/>
              <w:autoSpaceDN w:val="0"/>
              <w:spacing w:line="360" w:lineRule="auto"/>
              <w:jc w:val="center"/>
              <w:rPr>
                <w:rFonts w:ascii="仿宋_GB2312" w:hAnsi="仿宋" w:eastAsia="仿宋_GB2312" w:cs="仿宋_GB2312"/>
                <w:sz w:val="24"/>
              </w:rPr>
            </w:pPr>
          </w:p>
        </w:tc>
      </w:tr>
      <w:tr w14:paraId="04FF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224E17">
            <w:pPr>
              <w:autoSpaceDE w:val="0"/>
              <w:autoSpaceDN w:val="0"/>
              <w:spacing w:line="360" w:lineRule="auto"/>
              <w:jc w:val="center"/>
              <w:rPr>
                <w:rFonts w:ascii="仿宋_GB2312" w:hAnsi="仿宋" w:eastAsia="仿宋_GB2312" w:cs="仿宋_GB2312"/>
                <w:sz w:val="24"/>
              </w:rPr>
            </w:pPr>
          </w:p>
        </w:tc>
        <w:tc>
          <w:tcPr>
            <w:tcW w:w="2340" w:type="dxa"/>
          </w:tcPr>
          <w:p w14:paraId="30D221C8">
            <w:pPr>
              <w:autoSpaceDE w:val="0"/>
              <w:autoSpaceDN w:val="0"/>
              <w:spacing w:line="360" w:lineRule="auto"/>
              <w:jc w:val="center"/>
              <w:rPr>
                <w:rFonts w:ascii="仿宋_GB2312" w:hAnsi="仿宋" w:eastAsia="仿宋_GB2312" w:cs="仿宋_GB2312"/>
                <w:sz w:val="24"/>
              </w:rPr>
            </w:pPr>
          </w:p>
        </w:tc>
        <w:tc>
          <w:tcPr>
            <w:tcW w:w="1095" w:type="dxa"/>
          </w:tcPr>
          <w:p w14:paraId="45B530A2">
            <w:pPr>
              <w:autoSpaceDE w:val="0"/>
              <w:autoSpaceDN w:val="0"/>
              <w:spacing w:line="360" w:lineRule="auto"/>
              <w:jc w:val="center"/>
              <w:rPr>
                <w:rFonts w:ascii="仿宋_GB2312" w:hAnsi="仿宋" w:eastAsia="仿宋_GB2312" w:cs="仿宋_GB2312"/>
                <w:sz w:val="24"/>
              </w:rPr>
            </w:pPr>
          </w:p>
        </w:tc>
        <w:tc>
          <w:tcPr>
            <w:tcW w:w="1245" w:type="dxa"/>
          </w:tcPr>
          <w:p w14:paraId="687A9E15">
            <w:pPr>
              <w:autoSpaceDE w:val="0"/>
              <w:autoSpaceDN w:val="0"/>
              <w:spacing w:line="360" w:lineRule="auto"/>
              <w:jc w:val="center"/>
              <w:rPr>
                <w:rFonts w:ascii="仿宋_GB2312" w:hAnsi="仿宋" w:eastAsia="仿宋_GB2312" w:cs="仿宋_GB2312"/>
                <w:sz w:val="24"/>
              </w:rPr>
            </w:pPr>
          </w:p>
        </w:tc>
        <w:tc>
          <w:tcPr>
            <w:tcW w:w="1980" w:type="dxa"/>
          </w:tcPr>
          <w:p w14:paraId="792A5F78">
            <w:pPr>
              <w:autoSpaceDE w:val="0"/>
              <w:autoSpaceDN w:val="0"/>
              <w:spacing w:line="360" w:lineRule="auto"/>
              <w:jc w:val="center"/>
              <w:rPr>
                <w:rFonts w:ascii="仿宋_GB2312" w:hAnsi="仿宋" w:eastAsia="仿宋_GB2312" w:cs="仿宋_GB2312"/>
                <w:sz w:val="24"/>
              </w:rPr>
            </w:pPr>
          </w:p>
        </w:tc>
        <w:tc>
          <w:tcPr>
            <w:tcW w:w="1260" w:type="dxa"/>
          </w:tcPr>
          <w:p w14:paraId="7EFC072A">
            <w:pPr>
              <w:autoSpaceDE w:val="0"/>
              <w:autoSpaceDN w:val="0"/>
              <w:spacing w:line="360" w:lineRule="auto"/>
              <w:jc w:val="center"/>
              <w:rPr>
                <w:rFonts w:ascii="仿宋_GB2312" w:hAnsi="仿宋" w:eastAsia="仿宋_GB2312" w:cs="仿宋_GB2312"/>
                <w:sz w:val="24"/>
              </w:rPr>
            </w:pPr>
          </w:p>
        </w:tc>
      </w:tr>
    </w:tbl>
    <w:p w14:paraId="588DAA07">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w:t>
      </w:r>
      <w:r>
        <w:rPr>
          <w:rFonts w:hint="eastAsia" w:ascii="仿宋_GB2312" w:hAnsi="仿宋" w:eastAsia="仿宋_GB2312" w:cs="仿宋_GB2312"/>
          <w:b/>
          <w:sz w:val="24"/>
          <w:lang w:val="en-US" w:eastAsia="zh-CN"/>
        </w:rPr>
        <w:t>售后</w:t>
      </w:r>
      <w:r>
        <w:rPr>
          <w:rFonts w:hint="eastAsia" w:ascii="仿宋_GB2312" w:hAnsi="仿宋" w:eastAsia="仿宋_GB2312" w:cs="仿宋_GB2312"/>
          <w:b/>
          <w:sz w:val="24"/>
        </w:rPr>
        <w:t>服务机构均在本表注明，包括投标人本单位和符合条件的第三方服务机构；</w:t>
      </w:r>
    </w:p>
    <w:p w14:paraId="6E7C1EF6">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kern w:val="0"/>
          <w:sz w:val="24"/>
        </w:rPr>
        <w:t>附表B：</w:t>
      </w:r>
      <w:r>
        <w:rPr>
          <w:rFonts w:hint="eastAsia" w:ascii="仿宋_GB2312" w:hAnsi="仿宋" w:eastAsia="仿宋_GB2312" w:cs="仿宋_GB2312"/>
          <w:b/>
          <w:kern w:val="0"/>
          <w:sz w:val="24"/>
          <w:lang w:val="en-US" w:eastAsia="zh-CN"/>
        </w:rPr>
        <w:t>售后</w:t>
      </w:r>
      <w:r>
        <w:rPr>
          <w:rFonts w:hint="eastAsia" w:ascii="仿宋_GB2312" w:hAnsi="仿宋" w:eastAsia="仿宋_GB2312" w:cs="仿宋_GB2312"/>
          <w:b/>
          <w:kern w:val="0"/>
          <w:sz w:val="24"/>
        </w:rPr>
        <w:t>服务人员情况表</w:t>
      </w:r>
      <w:r>
        <w:rPr>
          <w:rFonts w:hint="eastAsia" w:ascii="仿宋_GB2312" w:hAnsi="仿宋" w:eastAsia="仿宋_GB2312" w:cs="仿宋_GB2312"/>
          <w:sz w:val="24"/>
        </w:rPr>
        <w:t>（按此格式自制）</w:t>
      </w:r>
    </w:p>
    <w:tbl>
      <w:tblPr>
        <w:tblStyle w:val="35"/>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1404207">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1A78EAD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14:paraId="58B03A1B">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0557959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234C1C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484FC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18590B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E9A7EE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A5029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82451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B3B934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94443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0668A2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14:paraId="02C1BE0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60F2195C">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CB3EF3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6621DB5">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CC544E">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335AD54">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FAA6326">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83C21D7">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BFC2CF">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F43E446">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7B04511">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4C4ECBA8">
            <w:pPr>
              <w:autoSpaceDE w:val="0"/>
              <w:autoSpaceDN w:val="0"/>
              <w:spacing w:line="360" w:lineRule="auto"/>
              <w:rPr>
                <w:rFonts w:ascii="仿宋_GB2312" w:hAnsi="仿宋" w:eastAsia="仿宋_GB2312" w:cs="仿宋_GB2312"/>
                <w:sz w:val="24"/>
              </w:rPr>
            </w:pPr>
          </w:p>
        </w:tc>
      </w:tr>
      <w:tr w14:paraId="7370EA1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6F94605">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45E2CC0">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04CD54A">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9A3BD2F">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DAE8EB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286102">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E3D6E19">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69D4EDA">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D7584F9">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891B008">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03B834BC">
            <w:pPr>
              <w:autoSpaceDE w:val="0"/>
              <w:autoSpaceDN w:val="0"/>
              <w:spacing w:line="360" w:lineRule="auto"/>
              <w:rPr>
                <w:rFonts w:ascii="仿宋_GB2312" w:hAnsi="仿宋" w:eastAsia="仿宋_GB2312" w:cs="仿宋_GB2312"/>
                <w:sz w:val="24"/>
              </w:rPr>
            </w:pPr>
          </w:p>
        </w:tc>
      </w:tr>
      <w:tr w14:paraId="45536B7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E90FA60">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BC2239E">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32A3992">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F4D9A18">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A9B986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3EDF0A2">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EC41B2B">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AAB363">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E87B14A">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8BBD2C0">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4E42DC46">
            <w:pPr>
              <w:autoSpaceDE w:val="0"/>
              <w:autoSpaceDN w:val="0"/>
              <w:spacing w:line="360" w:lineRule="auto"/>
              <w:rPr>
                <w:rFonts w:ascii="仿宋_GB2312" w:hAnsi="仿宋" w:eastAsia="仿宋_GB2312" w:cs="仿宋_GB2312"/>
                <w:sz w:val="24"/>
              </w:rPr>
            </w:pPr>
          </w:p>
        </w:tc>
      </w:tr>
    </w:tbl>
    <w:p w14:paraId="05BDC670">
      <w:pPr>
        <w:snapToGrid w:val="0"/>
        <w:spacing w:before="165" w:beforeLines="50" w:line="360" w:lineRule="auto"/>
        <w:ind w:right="480"/>
        <w:rPr>
          <w:rFonts w:ascii="宋体" w:hAnsi="宋体"/>
          <w:sz w:val="24"/>
        </w:rPr>
      </w:pPr>
    </w:p>
    <w:p w14:paraId="1A717B08">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104809D">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C9D7FB4">
      <w:pPr>
        <w:spacing w:line="360" w:lineRule="auto"/>
        <w:ind w:firstLine="4048" w:firstLineChars="1687"/>
        <w:rPr>
          <w:rFonts w:ascii="宋体" w:hAnsi="宋体"/>
          <w:sz w:val="24"/>
        </w:rPr>
        <w:sectPr>
          <w:pgSz w:w="11906" w:h="16838"/>
          <w:pgMar w:top="1134" w:right="1134" w:bottom="1134" w:left="1134" w:header="720" w:footer="720" w:gutter="0"/>
          <w:cols w:space="720" w:num="1"/>
          <w:docGrid w:type="lines" w:linePitch="331" w:charSpace="0"/>
        </w:sectPr>
      </w:pPr>
    </w:p>
    <w:p w14:paraId="001C4D7A">
      <w:pPr>
        <w:snapToGrid w:val="0"/>
        <w:spacing w:before="165" w:beforeLines="50" w:after="50"/>
        <w:ind w:left="142"/>
        <w:jc w:val="center"/>
        <w:rPr>
          <w:rFonts w:ascii="宋体" w:hAnsi="宋体"/>
          <w:b/>
          <w:sz w:val="32"/>
          <w:szCs w:val="32"/>
        </w:rPr>
      </w:pPr>
      <w:r>
        <w:rPr>
          <w:rFonts w:hint="eastAsia" w:ascii="宋体" w:hAnsi="宋体"/>
          <w:b/>
          <w:sz w:val="32"/>
          <w:szCs w:val="32"/>
        </w:rPr>
        <w:t>四、项目实施人员一览表</w:t>
      </w:r>
    </w:p>
    <w:p w14:paraId="22E70088">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（由投标人根据采购需求及招标文件要求自行编制）</w:t>
      </w:r>
    </w:p>
    <w:p w14:paraId="5B85F6C2">
      <w:pPr>
        <w:rPr>
          <w:sz w:val="24"/>
        </w:rPr>
      </w:pPr>
      <w:r>
        <w:rPr>
          <w:rFonts w:hint="eastAsia"/>
          <w:sz w:val="24"/>
        </w:rPr>
        <w:t>所投分标：</w:t>
      </w:r>
      <w:r>
        <w:rPr>
          <w:rFonts w:hint="eastAsia"/>
          <w:sz w:val="24"/>
          <w:u w:val="single"/>
        </w:rPr>
        <w:t xml:space="preserve">     </w:t>
      </w:r>
      <w:r>
        <w:rPr>
          <w:rFonts w:hint="eastAsia"/>
          <w:sz w:val="24"/>
        </w:rPr>
        <w:t>分标</w:t>
      </w:r>
    </w:p>
    <w:p w14:paraId="6641CD57">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附表A:本项目的项目负责人情况表</w:t>
      </w:r>
    </w:p>
    <w:tbl>
      <w:tblPr>
        <w:tblStyle w:val="35"/>
        <w:tblW w:w="8755" w:type="dxa"/>
        <w:tblInd w:w="0" w:type="dxa"/>
        <w:tblLayout w:type="fixed"/>
        <w:tblCellMar>
          <w:top w:w="0" w:type="dxa"/>
          <w:left w:w="108" w:type="dxa"/>
          <w:bottom w:w="0" w:type="dxa"/>
          <w:right w:w="108" w:type="dxa"/>
        </w:tblCellMar>
      </w:tblPr>
      <w:tblGrid>
        <w:gridCol w:w="2061"/>
        <w:gridCol w:w="1287"/>
        <w:gridCol w:w="1260"/>
        <w:gridCol w:w="4147"/>
      </w:tblGrid>
      <w:tr w14:paraId="4274814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9106D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A6152E">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C403E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8785A44">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投标截止时间前三年业绩及承担的主要工作情况，曾担任项目负责人的项目应列明细</w:t>
            </w:r>
          </w:p>
        </w:tc>
      </w:tr>
      <w:tr w14:paraId="40AE9F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962450">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60F14D">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ACC57F3">
            <w:pPr>
              <w:autoSpaceDE w:val="0"/>
              <w:autoSpaceDN w:val="0"/>
              <w:spacing w:line="360" w:lineRule="auto"/>
              <w:jc w:val="center"/>
              <w:rPr>
                <w:rFonts w:ascii="仿宋_GB2312" w:hAnsi="仿宋"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7BF45A4">
            <w:pPr>
              <w:autoSpaceDE w:val="0"/>
              <w:autoSpaceDN w:val="0"/>
              <w:spacing w:line="360" w:lineRule="auto"/>
              <w:jc w:val="center"/>
              <w:rPr>
                <w:rFonts w:ascii="仿宋_GB2312" w:hAnsi="仿宋" w:eastAsia="仿宋_GB2312" w:cs="仿宋_GB2312"/>
                <w:sz w:val="24"/>
              </w:rPr>
            </w:pPr>
          </w:p>
        </w:tc>
      </w:tr>
      <w:tr w14:paraId="5EA816F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32C87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553AEB">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7A7319">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732188">
            <w:pPr>
              <w:autoSpaceDE w:val="0"/>
              <w:autoSpaceDN w:val="0"/>
              <w:spacing w:line="360" w:lineRule="auto"/>
              <w:jc w:val="center"/>
              <w:rPr>
                <w:rFonts w:ascii="仿宋_GB2312" w:hAnsi="仿宋" w:eastAsia="仿宋_GB2312" w:cs="仿宋_GB2312"/>
                <w:sz w:val="24"/>
              </w:rPr>
            </w:pPr>
          </w:p>
        </w:tc>
      </w:tr>
      <w:tr w14:paraId="2250D1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0C3647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54A4B0">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A316ED">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DA1F1B">
            <w:pPr>
              <w:autoSpaceDE w:val="0"/>
              <w:autoSpaceDN w:val="0"/>
              <w:spacing w:line="360" w:lineRule="auto"/>
              <w:jc w:val="center"/>
              <w:rPr>
                <w:rFonts w:ascii="仿宋_GB2312" w:hAnsi="仿宋" w:eastAsia="仿宋_GB2312" w:cs="仿宋_GB2312"/>
                <w:sz w:val="24"/>
              </w:rPr>
            </w:pPr>
          </w:p>
        </w:tc>
      </w:tr>
      <w:tr w14:paraId="7CA430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CDBD8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35987D9">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6DDE2B">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05886BA">
            <w:pPr>
              <w:autoSpaceDE w:val="0"/>
              <w:autoSpaceDN w:val="0"/>
              <w:spacing w:line="360" w:lineRule="auto"/>
              <w:jc w:val="center"/>
              <w:rPr>
                <w:rFonts w:ascii="仿宋_GB2312" w:hAnsi="仿宋" w:eastAsia="仿宋_GB2312" w:cs="仿宋_GB2312"/>
                <w:sz w:val="24"/>
              </w:rPr>
            </w:pPr>
          </w:p>
        </w:tc>
      </w:tr>
      <w:tr w14:paraId="6035ABC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D390BF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990B188">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B3E145">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B1F083">
            <w:pPr>
              <w:autoSpaceDE w:val="0"/>
              <w:autoSpaceDN w:val="0"/>
              <w:spacing w:line="360" w:lineRule="auto"/>
              <w:jc w:val="center"/>
              <w:rPr>
                <w:rFonts w:ascii="仿宋_GB2312" w:hAnsi="仿宋" w:eastAsia="仿宋_GB2312" w:cs="仿宋_GB2312"/>
                <w:sz w:val="24"/>
              </w:rPr>
            </w:pPr>
          </w:p>
        </w:tc>
      </w:tr>
      <w:tr w14:paraId="3CD725E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8B677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DEA63F8">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2859A8">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5FE77E">
            <w:pPr>
              <w:autoSpaceDE w:val="0"/>
              <w:autoSpaceDN w:val="0"/>
              <w:spacing w:line="360" w:lineRule="auto"/>
              <w:jc w:val="center"/>
              <w:rPr>
                <w:rFonts w:ascii="仿宋_GB2312" w:hAnsi="仿宋" w:eastAsia="仿宋_GB2312" w:cs="仿宋_GB2312"/>
                <w:sz w:val="24"/>
              </w:rPr>
            </w:pPr>
          </w:p>
        </w:tc>
      </w:tr>
      <w:tr w14:paraId="4639143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A9FC1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77603F">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EED576">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C0047C">
            <w:pPr>
              <w:autoSpaceDE w:val="0"/>
              <w:autoSpaceDN w:val="0"/>
              <w:spacing w:line="360" w:lineRule="auto"/>
              <w:jc w:val="center"/>
              <w:rPr>
                <w:rFonts w:ascii="仿宋_GB2312" w:hAnsi="仿宋" w:eastAsia="仿宋_GB2312" w:cs="仿宋_GB2312"/>
                <w:sz w:val="24"/>
              </w:rPr>
            </w:pPr>
          </w:p>
        </w:tc>
      </w:tr>
      <w:tr w14:paraId="05705B2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7A6B5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0A58A70">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54544C">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1CD1DE">
            <w:pPr>
              <w:autoSpaceDE w:val="0"/>
              <w:autoSpaceDN w:val="0"/>
              <w:spacing w:line="360" w:lineRule="auto"/>
              <w:jc w:val="center"/>
              <w:rPr>
                <w:rFonts w:ascii="仿宋_GB2312" w:hAnsi="仿宋" w:eastAsia="仿宋_GB2312" w:cs="仿宋_GB2312"/>
                <w:sz w:val="24"/>
              </w:rPr>
            </w:pPr>
          </w:p>
        </w:tc>
      </w:tr>
      <w:tr w14:paraId="1127694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EC3FB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99D3E3">
            <w:pPr>
              <w:autoSpaceDE w:val="0"/>
              <w:autoSpaceDN w:val="0"/>
              <w:spacing w:line="360" w:lineRule="auto"/>
              <w:jc w:val="center"/>
              <w:rPr>
                <w:rFonts w:ascii="仿宋_GB2312" w:hAnsi="仿宋"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B56F76">
            <w:pPr>
              <w:autoSpaceDE w:val="0"/>
              <w:autoSpaceDN w:val="0"/>
              <w:spacing w:line="360" w:lineRule="auto"/>
              <w:jc w:val="center"/>
              <w:rPr>
                <w:rFonts w:ascii="仿宋_GB2312" w:hAnsi="仿宋"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2E01BA">
            <w:pPr>
              <w:autoSpaceDE w:val="0"/>
              <w:autoSpaceDN w:val="0"/>
              <w:spacing w:line="360" w:lineRule="auto"/>
              <w:jc w:val="center"/>
              <w:rPr>
                <w:rFonts w:ascii="仿宋_GB2312" w:hAnsi="仿宋" w:eastAsia="仿宋_GB2312" w:cs="仿宋_GB2312"/>
                <w:sz w:val="24"/>
              </w:rPr>
            </w:pPr>
          </w:p>
        </w:tc>
      </w:tr>
    </w:tbl>
    <w:p w14:paraId="0D645C71">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注：如有请随表提交相应的证书复印件。</w:t>
      </w:r>
    </w:p>
    <w:p w14:paraId="1D302558">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EFAB9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EE3731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17FE1E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496CCB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1D6FFD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AD94E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36BAFEC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83D5C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09103DD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E822B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1EAE8C9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777301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0FF18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902049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31FE085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2030A5">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7934D16">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3DD68B5">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821C621">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9D122CE">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A1EA1E">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BA0A75B">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FD24F4F">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786A47D">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E544FDC">
            <w:pPr>
              <w:autoSpaceDE w:val="0"/>
              <w:autoSpaceDN w:val="0"/>
              <w:spacing w:line="360" w:lineRule="auto"/>
              <w:rPr>
                <w:rFonts w:ascii="仿宋_GB2312" w:hAnsi="仿宋" w:eastAsia="仿宋_GB2312" w:cs="仿宋_GB2312"/>
                <w:sz w:val="24"/>
              </w:rPr>
            </w:pPr>
          </w:p>
        </w:tc>
      </w:tr>
      <w:tr w14:paraId="0FBD613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2CA1F63">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9ECF51F">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3770FC3">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E70F7C1">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8879F70">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4A6C42B">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01FE0B">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BEB0DAA">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21246D9">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8941822">
            <w:pPr>
              <w:autoSpaceDE w:val="0"/>
              <w:autoSpaceDN w:val="0"/>
              <w:spacing w:line="360" w:lineRule="auto"/>
              <w:rPr>
                <w:rFonts w:ascii="仿宋_GB2312" w:hAnsi="仿宋" w:eastAsia="仿宋_GB2312" w:cs="仿宋_GB2312"/>
                <w:sz w:val="24"/>
              </w:rPr>
            </w:pPr>
          </w:p>
        </w:tc>
      </w:tr>
    </w:tbl>
    <w:p w14:paraId="31998314">
      <w:pPr>
        <w:spacing w:line="360" w:lineRule="auto"/>
        <w:rPr>
          <w:rFonts w:ascii="仿宋_GB2312" w:hAnsi="仿宋" w:eastAsia="仿宋_GB2312" w:cs="仿宋_GB2312"/>
          <w:b/>
          <w:sz w:val="24"/>
        </w:rPr>
      </w:pPr>
      <w:r>
        <w:rPr>
          <w:rFonts w:hint="eastAsia" w:ascii="仿宋_GB2312" w:hAnsi="仿宋" w:eastAsia="仿宋_GB2312" w:cs="仿宋_GB2312"/>
          <w:b/>
          <w:sz w:val="24"/>
        </w:rPr>
        <w:t>注：投标人可按上述的格式自行编制，如有请随表提交相应的证书复印件。</w:t>
      </w:r>
    </w:p>
    <w:p w14:paraId="0D549B2F">
      <w:pPr>
        <w:spacing w:line="360" w:lineRule="auto"/>
        <w:rPr>
          <w:rFonts w:ascii="仿宋_GB2312" w:hAnsi="仿宋" w:eastAsia="仿宋_GB2312" w:cs="仿宋_GB2312"/>
          <w:b/>
          <w:sz w:val="24"/>
        </w:rPr>
      </w:pPr>
    </w:p>
    <w:p w14:paraId="3E734249">
      <w:pPr>
        <w:spacing w:line="360" w:lineRule="auto"/>
        <w:rPr>
          <w:rFonts w:ascii="仿宋_GB2312" w:hAnsi="仿宋" w:eastAsia="仿宋_GB2312" w:cs="仿宋_GB2312"/>
          <w:b/>
          <w:bCs/>
          <w:sz w:val="24"/>
        </w:rPr>
      </w:pPr>
      <w:r>
        <w:rPr>
          <w:rFonts w:hint="eastAsia" w:ascii="仿宋_GB2312" w:hAnsi="仿宋" w:eastAsia="仿宋_GB2312" w:cs="仿宋_GB2312"/>
          <w:b/>
          <w:sz w:val="24"/>
        </w:rPr>
        <w:t>附表C:本项目的项目负责人和项目小组人员投标截止时间</w:t>
      </w:r>
      <w:r>
        <w:rPr>
          <w:rFonts w:hint="eastAsia" w:ascii="仿宋_GB2312" w:hAnsi="仿宋" w:eastAsia="仿宋_GB2312" w:cs="仿宋_GB2312"/>
          <w:b/>
          <w:sz w:val="24"/>
          <w:lang w:eastAsia="zh-CN"/>
        </w:rPr>
        <w:t>前</w:t>
      </w:r>
      <w:r>
        <w:rPr>
          <w:rFonts w:hint="eastAsia" w:ascii="仿宋_GB2312" w:hAnsi="仿宋" w:eastAsia="仿宋_GB2312" w:cs="仿宋_GB2312"/>
          <w:b/>
          <w:sz w:val="24"/>
        </w:rPr>
        <w:t>半年内任意1个月社保缴纳证明材料复印件</w:t>
      </w:r>
      <w:r>
        <w:rPr>
          <w:rFonts w:hint="eastAsia" w:ascii="仿宋_GB2312" w:hAnsi="仿宋" w:eastAsia="仿宋_GB2312" w:cs="仿宋_GB2312"/>
          <w:b/>
          <w:sz w:val="24"/>
          <w:lang w:val="en-US" w:eastAsia="zh-CN"/>
        </w:rPr>
        <w:t>或劳动合同</w:t>
      </w:r>
      <w:r>
        <w:rPr>
          <w:rFonts w:hint="eastAsia" w:ascii="仿宋_GB2312" w:hAnsi="仿宋" w:eastAsia="仿宋_GB2312" w:cs="仿宋_GB2312"/>
          <w:b/>
          <w:sz w:val="24"/>
        </w:rPr>
        <w:t>。</w:t>
      </w:r>
      <w:bookmarkStart w:id="94" w:name="_GoBack"/>
      <w:bookmarkEnd w:id="94"/>
    </w:p>
    <w:p w14:paraId="34D2B792">
      <w:pPr>
        <w:snapToGrid w:val="0"/>
        <w:spacing w:line="360" w:lineRule="auto"/>
        <w:ind w:firstLine="4320" w:firstLineChars="18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B6D58DF">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  年  月   日</w:t>
      </w:r>
    </w:p>
    <w:p w14:paraId="4DB6F258">
      <w:pPr>
        <w:snapToGrid w:val="0"/>
        <w:spacing w:before="50" w:after="50"/>
        <w:rPr>
          <w:rFonts w:ascii="宋体" w:hAnsi="宋体"/>
          <w:sz w:val="24"/>
        </w:rPr>
      </w:pPr>
    </w:p>
    <w:p w14:paraId="6676AB52">
      <w:pPr>
        <w:snapToGrid w:val="0"/>
        <w:spacing w:before="165" w:beforeLines="50" w:after="50"/>
        <w:jc w:val="left"/>
        <w:rPr>
          <w:rFonts w:ascii="宋体" w:hAnsi="宋体"/>
          <w:sz w:val="24"/>
        </w:rPr>
      </w:pPr>
      <w:r>
        <w:rPr>
          <w:rFonts w:ascii="宋体" w:hAnsi="宋体"/>
          <w:b/>
          <w:sz w:val="24"/>
        </w:rPr>
        <w:br w:type="page"/>
      </w:r>
      <w:r>
        <w:rPr>
          <w:rFonts w:hint="eastAsia" w:ascii="宋体" w:hAnsi="宋体"/>
          <w:sz w:val="24"/>
        </w:rPr>
        <w:t xml:space="preserve"> </w:t>
      </w:r>
    </w:p>
    <w:p w14:paraId="092E10B3">
      <w:pPr>
        <w:snapToGrid w:val="0"/>
        <w:spacing w:before="165" w:beforeLines="50" w:after="50"/>
        <w:ind w:left="142"/>
        <w:jc w:val="center"/>
        <w:rPr>
          <w:rFonts w:ascii="宋体" w:hAnsi="宋体"/>
          <w:b/>
          <w:sz w:val="32"/>
          <w:szCs w:val="32"/>
        </w:rPr>
      </w:pPr>
      <w:r>
        <w:rPr>
          <w:rFonts w:hint="eastAsia" w:ascii="宋体" w:hAnsi="宋体"/>
          <w:b/>
          <w:sz w:val="32"/>
          <w:szCs w:val="32"/>
        </w:rPr>
        <w:t>五、投标人对项目的合理化建议和改进措施（如无，可不提供）</w:t>
      </w:r>
    </w:p>
    <w:p w14:paraId="26B4C916">
      <w:pPr>
        <w:spacing w:line="360" w:lineRule="auto"/>
        <w:ind w:firstLine="4048" w:firstLineChars="1687"/>
        <w:rPr>
          <w:rFonts w:ascii="仿宋_GB2312" w:hAnsi="仿宋" w:eastAsia="仿宋_GB2312" w:cs="仿宋_GB2312"/>
          <w:sz w:val="24"/>
        </w:rPr>
      </w:pPr>
      <w:r>
        <w:rPr>
          <w:rFonts w:hint="eastAsia" w:ascii="仿宋_GB2312" w:hAnsi="仿宋" w:eastAsia="仿宋_GB2312" w:cs="仿宋_GB2312"/>
          <w:sz w:val="24"/>
        </w:rPr>
        <w:t>（格式自拟）</w:t>
      </w:r>
    </w:p>
    <w:p w14:paraId="6B23E1A9">
      <w:pPr>
        <w:snapToGrid w:val="0"/>
        <w:spacing w:line="360" w:lineRule="auto"/>
        <w:ind w:firstLine="4935" w:firstLineChars="2350"/>
        <w:rPr>
          <w:rFonts w:hAnsi="宋体"/>
          <w:szCs w:val="21"/>
        </w:rPr>
      </w:pPr>
      <w:r>
        <w:rPr>
          <w:rFonts w:hAnsi="宋体"/>
          <w:szCs w:val="21"/>
        </w:rPr>
        <w:t xml:space="preserve"> </w:t>
      </w:r>
    </w:p>
    <w:p w14:paraId="1C6C2C18">
      <w:pPr>
        <w:snapToGrid w:val="0"/>
        <w:spacing w:line="360" w:lineRule="auto"/>
        <w:ind w:firstLine="4935" w:firstLineChars="2350"/>
        <w:rPr>
          <w:rFonts w:hAnsi="宋体"/>
          <w:szCs w:val="21"/>
        </w:rPr>
      </w:pPr>
    </w:p>
    <w:p w14:paraId="48D9CE9C">
      <w:pPr>
        <w:snapToGrid w:val="0"/>
        <w:spacing w:line="360" w:lineRule="auto"/>
        <w:ind w:firstLine="4935" w:firstLineChars="2350"/>
        <w:rPr>
          <w:rFonts w:hAnsi="宋体"/>
          <w:szCs w:val="21"/>
        </w:rPr>
      </w:pPr>
    </w:p>
    <w:p w14:paraId="16FA89E5">
      <w:pPr>
        <w:snapToGrid w:val="0"/>
        <w:spacing w:line="360" w:lineRule="auto"/>
        <w:ind w:firstLine="4935" w:firstLineChars="2350"/>
        <w:rPr>
          <w:rFonts w:hAnsi="宋体"/>
          <w:szCs w:val="21"/>
        </w:rPr>
      </w:pPr>
    </w:p>
    <w:p w14:paraId="4ADB353E">
      <w:pPr>
        <w:snapToGrid w:val="0"/>
        <w:spacing w:line="360" w:lineRule="auto"/>
        <w:ind w:firstLine="4935" w:firstLineChars="2350"/>
        <w:rPr>
          <w:rFonts w:ascii="仿宋_GB2312" w:hAnsi="仿宋" w:eastAsia="仿宋_GB2312" w:cs="仿宋_GB2312"/>
          <w:kern w:val="0"/>
          <w:sz w:val="24"/>
        </w:rPr>
      </w:pPr>
      <w:r>
        <w:rPr>
          <w:rFonts w:hAnsi="宋体"/>
          <w:szCs w:val="21"/>
        </w:rPr>
        <w:t xml:space="preserve">  </w:t>
      </w:r>
      <w:r>
        <w:rPr>
          <w:rFonts w:hint="eastAsia" w:ascii="仿宋_GB2312" w:hAnsi="仿宋" w:eastAsia="仿宋_GB2312" w:cs="仿宋_GB2312"/>
          <w:kern w:val="0"/>
          <w:sz w:val="24"/>
          <w:lang w:val="zh-CN"/>
        </w:rPr>
        <w:t>投标人名称(电子签章)：</w:t>
      </w:r>
    </w:p>
    <w:p w14:paraId="7D15744C">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ACF638D">
      <w:pPr>
        <w:spacing w:line="360" w:lineRule="auto"/>
        <w:jc w:val="center"/>
        <w:rPr>
          <w:rFonts w:ascii="宋体" w:hAnsi="宋体"/>
          <w:b/>
          <w:sz w:val="32"/>
          <w:szCs w:val="32"/>
        </w:rPr>
      </w:pPr>
      <w:r>
        <w:rPr>
          <w:rFonts w:hint="eastAsia" w:ascii="宋体" w:hAnsi="宋体"/>
          <w:b/>
          <w:sz w:val="32"/>
          <w:szCs w:val="32"/>
        </w:rPr>
        <w:t>六、除招标文件规定必须提供以外，投标人需要说明的其他文件和说明</w:t>
      </w:r>
    </w:p>
    <w:p w14:paraId="45A10777">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（由投标人根据采购需求自行编制）</w:t>
      </w:r>
    </w:p>
    <w:p w14:paraId="004DC2B3">
      <w:pPr>
        <w:spacing w:line="360" w:lineRule="auto"/>
        <w:jc w:val="center"/>
        <w:rPr>
          <w:rFonts w:ascii="仿宋_GB2312" w:hAnsi="仿宋" w:eastAsia="仿宋_GB2312" w:cs="仿宋_GB2312"/>
          <w:sz w:val="18"/>
          <w:szCs w:val="18"/>
        </w:rPr>
      </w:pPr>
    </w:p>
    <w:p w14:paraId="5B511B2E">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FB7EF34">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CB65BFE">
      <w:pPr>
        <w:spacing w:line="360" w:lineRule="auto"/>
        <w:jc w:val="center"/>
        <w:rPr>
          <w:rFonts w:ascii="仿宋_GB2312" w:hAnsi="仿宋" w:eastAsia="仿宋_GB2312" w:cs="仿宋_GB2312"/>
          <w:sz w:val="24"/>
        </w:rPr>
      </w:pPr>
    </w:p>
    <w:p w14:paraId="4E24634F">
      <w:pPr>
        <w:spacing w:line="360" w:lineRule="auto"/>
        <w:jc w:val="center"/>
        <w:rPr>
          <w:rFonts w:ascii="仿宋_GB2312" w:hAnsi="仿宋" w:eastAsia="仿宋_GB2312" w:cs="仿宋_GB2312"/>
          <w:sz w:val="24"/>
        </w:rPr>
      </w:pPr>
    </w:p>
    <w:p w14:paraId="1EF4C7E4">
      <w:pPr>
        <w:spacing w:line="360" w:lineRule="auto"/>
        <w:jc w:val="center"/>
        <w:rPr>
          <w:rFonts w:ascii="仿宋_GB2312" w:hAnsi="仿宋" w:eastAsia="仿宋_GB2312" w:cs="仿宋_GB2312"/>
          <w:sz w:val="24"/>
        </w:rPr>
      </w:pPr>
    </w:p>
    <w:p w14:paraId="4D1D3EE2">
      <w:pPr>
        <w:spacing w:line="360" w:lineRule="auto"/>
        <w:jc w:val="center"/>
        <w:rPr>
          <w:rFonts w:ascii="仿宋_GB2312" w:hAnsi="仿宋" w:eastAsia="仿宋_GB2312" w:cs="仿宋_GB2312"/>
          <w:sz w:val="24"/>
        </w:rPr>
      </w:pPr>
    </w:p>
    <w:p w14:paraId="23270279">
      <w:pPr>
        <w:rPr>
          <w:rFonts w:ascii="仿宋_GB2312" w:hAnsi="仿宋" w:eastAsia="仿宋_GB2312" w:cs="仿宋_GB2312"/>
          <w:sz w:val="24"/>
        </w:rPr>
      </w:pPr>
      <w:r>
        <w:rPr>
          <w:rFonts w:ascii="仿宋_GB2312" w:hAnsi="仿宋" w:eastAsia="仿宋_GB2312" w:cs="仿宋_GB2312"/>
          <w:sz w:val="24"/>
        </w:rPr>
        <w:br w:type="page"/>
      </w:r>
    </w:p>
    <w:p w14:paraId="42D63437">
      <w:pPr>
        <w:spacing w:line="360" w:lineRule="auto"/>
        <w:jc w:val="center"/>
        <w:rPr>
          <w:rFonts w:ascii="仿宋_GB2312" w:hAnsi="仿宋" w:eastAsia="仿宋_GB2312" w:cs="仿宋_GB2312"/>
          <w:sz w:val="24"/>
        </w:rPr>
      </w:pPr>
    </w:p>
    <w:p w14:paraId="7A7275A4">
      <w:pPr>
        <w:jc w:val="center"/>
        <w:outlineLvl w:val="1"/>
        <w:rPr>
          <w:rFonts w:hAnsi="宋体"/>
          <w:b/>
          <w:bCs/>
          <w:sz w:val="28"/>
          <w:szCs w:val="28"/>
        </w:rPr>
      </w:pPr>
      <w:bookmarkStart w:id="83" w:name="_Toc10070"/>
      <w:bookmarkStart w:id="84" w:name="_Toc14373"/>
      <w:bookmarkStart w:id="85" w:name="_Toc21750"/>
      <w:r>
        <w:rPr>
          <w:rFonts w:hint="eastAsia" w:hAnsi="宋体"/>
          <w:b/>
          <w:bCs/>
          <w:sz w:val="28"/>
          <w:szCs w:val="28"/>
        </w:rPr>
        <w:t>第</w:t>
      </w:r>
      <w:r>
        <w:rPr>
          <w:rFonts w:hint="eastAsia" w:hAnsi="宋体"/>
          <w:b/>
          <w:bCs/>
          <w:sz w:val="28"/>
          <w:szCs w:val="28"/>
          <w:lang w:val="en-US" w:eastAsia="zh-CN"/>
        </w:rPr>
        <w:t>四</w:t>
      </w:r>
      <w:r>
        <w:rPr>
          <w:rFonts w:hint="eastAsia" w:hAnsi="宋体"/>
          <w:b/>
          <w:bCs/>
          <w:sz w:val="28"/>
          <w:szCs w:val="28"/>
        </w:rPr>
        <w:t>节 报价文件格式</w:t>
      </w:r>
      <w:bookmarkEnd w:id="83"/>
      <w:bookmarkEnd w:id="84"/>
      <w:bookmarkEnd w:id="85"/>
    </w:p>
    <w:p w14:paraId="2C18A5F1">
      <w:pPr>
        <w:snapToGrid w:val="0"/>
        <w:spacing w:before="165" w:beforeLines="50" w:after="50" w:line="400" w:lineRule="exact"/>
        <w:rPr>
          <w:rFonts w:ascii="宋体" w:hAnsi="宋体"/>
          <w:bCs/>
          <w:sz w:val="32"/>
          <w:szCs w:val="20"/>
        </w:rPr>
      </w:pPr>
      <w:r>
        <w:rPr>
          <w:rFonts w:hint="eastAsia" w:ascii="宋体" w:hAnsi="宋体"/>
          <w:sz w:val="24"/>
        </w:rPr>
        <w:t xml:space="preserve">                                                            </w:t>
      </w:r>
      <w:r>
        <w:rPr>
          <w:rFonts w:hint="eastAsia" w:ascii="宋体" w:hAnsi="宋体"/>
          <w:bCs/>
        </w:rPr>
        <w:t>电子投标文件</w:t>
      </w:r>
    </w:p>
    <w:p w14:paraId="6A65F722">
      <w:pPr>
        <w:snapToGrid w:val="0"/>
        <w:spacing w:before="165" w:beforeLines="50" w:after="50" w:line="400" w:lineRule="exact"/>
        <w:jc w:val="center"/>
        <w:rPr>
          <w:rFonts w:ascii="宋体" w:hAnsi="宋体"/>
          <w:bCs/>
          <w:sz w:val="24"/>
          <w:szCs w:val="20"/>
        </w:rPr>
      </w:pPr>
    </w:p>
    <w:p w14:paraId="2508F231">
      <w:pPr>
        <w:snapToGrid w:val="0"/>
        <w:spacing w:before="165" w:beforeLines="50" w:after="50" w:line="400" w:lineRule="exact"/>
        <w:jc w:val="center"/>
        <w:rPr>
          <w:rFonts w:ascii="宋体" w:hAnsi="宋体"/>
          <w:b/>
          <w:bCs/>
          <w:sz w:val="32"/>
          <w:szCs w:val="32"/>
        </w:rPr>
      </w:pPr>
      <w:r>
        <w:rPr>
          <w:rFonts w:hint="eastAsia" w:ascii="宋体" w:hAnsi="宋体"/>
          <w:b/>
          <w:bCs/>
          <w:sz w:val="32"/>
          <w:szCs w:val="32"/>
        </w:rPr>
        <w:t>报价文件（封面）</w:t>
      </w:r>
    </w:p>
    <w:p w14:paraId="3116B1AD">
      <w:pPr>
        <w:snapToGrid w:val="0"/>
        <w:spacing w:before="165" w:beforeLines="50" w:after="50" w:line="400" w:lineRule="exact"/>
        <w:rPr>
          <w:rFonts w:ascii="宋体" w:hAnsi="宋体"/>
          <w:bCs/>
          <w:sz w:val="24"/>
          <w:szCs w:val="20"/>
        </w:rPr>
      </w:pPr>
    </w:p>
    <w:p w14:paraId="4563FB49">
      <w:pPr>
        <w:snapToGrid w:val="0"/>
        <w:spacing w:before="165" w:beforeLines="50" w:after="50" w:line="400" w:lineRule="exact"/>
        <w:rPr>
          <w:rFonts w:ascii="宋体" w:hAnsi="宋体"/>
          <w:bCs/>
          <w:sz w:val="24"/>
          <w:szCs w:val="20"/>
        </w:rPr>
      </w:pPr>
    </w:p>
    <w:p w14:paraId="7AEB95DB">
      <w:pPr>
        <w:snapToGrid w:val="0"/>
        <w:spacing w:before="165" w:beforeLines="50" w:after="50" w:line="400" w:lineRule="exact"/>
        <w:rPr>
          <w:rFonts w:ascii="宋体" w:hAnsi="宋体"/>
          <w:bCs/>
          <w:sz w:val="24"/>
          <w:szCs w:val="20"/>
        </w:rPr>
      </w:pPr>
    </w:p>
    <w:p w14:paraId="473AB5C7">
      <w:pPr>
        <w:snapToGrid w:val="0"/>
        <w:spacing w:before="165" w:beforeLines="50" w:after="50" w:line="400" w:lineRule="exact"/>
        <w:rPr>
          <w:rFonts w:ascii="宋体" w:hAnsi="宋体"/>
          <w:bCs/>
          <w:sz w:val="24"/>
          <w:szCs w:val="20"/>
        </w:rPr>
      </w:pPr>
    </w:p>
    <w:p w14:paraId="4F0B5B4F">
      <w:pPr>
        <w:snapToGrid w:val="0"/>
        <w:spacing w:before="165" w:beforeLines="50" w:after="50" w:line="400" w:lineRule="exact"/>
        <w:ind w:firstLine="360" w:firstLineChars="150"/>
        <w:rPr>
          <w:rFonts w:ascii="宋体" w:hAnsi="宋体"/>
          <w:bCs/>
          <w:sz w:val="24"/>
        </w:rPr>
      </w:pPr>
      <w:r>
        <w:rPr>
          <w:rFonts w:hint="eastAsia" w:ascii="宋体" w:hAnsi="宋体"/>
          <w:bCs/>
          <w:sz w:val="24"/>
        </w:rPr>
        <w:t xml:space="preserve">项目名称： </w:t>
      </w:r>
    </w:p>
    <w:p w14:paraId="46EDC80A">
      <w:pPr>
        <w:snapToGrid w:val="0"/>
        <w:spacing w:before="165" w:beforeLines="50" w:after="50" w:line="400" w:lineRule="exact"/>
        <w:ind w:firstLine="360" w:firstLineChars="150"/>
        <w:rPr>
          <w:rFonts w:ascii="宋体" w:hAnsi="宋体"/>
          <w:bCs/>
          <w:sz w:val="24"/>
        </w:rPr>
      </w:pPr>
    </w:p>
    <w:p w14:paraId="22685B39">
      <w:pPr>
        <w:snapToGrid w:val="0"/>
        <w:spacing w:before="165" w:beforeLines="50" w:after="50" w:line="400" w:lineRule="exact"/>
        <w:ind w:firstLine="360" w:firstLineChars="150"/>
        <w:rPr>
          <w:rFonts w:ascii="宋体" w:hAnsi="宋体"/>
          <w:bCs/>
          <w:sz w:val="24"/>
        </w:rPr>
      </w:pPr>
      <w:r>
        <w:rPr>
          <w:rFonts w:hint="eastAsia" w:ascii="宋体" w:hAnsi="宋体"/>
          <w:bCs/>
          <w:sz w:val="24"/>
        </w:rPr>
        <w:t xml:space="preserve">项目编号： </w:t>
      </w:r>
    </w:p>
    <w:p w14:paraId="4C604CB4">
      <w:pPr>
        <w:snapToGrid w:val="0"/>
        <w:spacing w:before="165" w:beforeLines="50" w:after="50" w:line="400" w:lineRule="exact"/>
        <w:ind w:firstLine="360" w:firstLineChars="150"/>
        <w:rPr>
          <w:rFonts w:ascii="宋体" w:hAnsi="宋体"/>
          <w:bCs/>
          <w:sz w:val="24"/>
        </w:rPr>
      </w:pPr>
    </w:p>
    <w:p w14:paraId="74DA0A4D">
      <w:pPr>
        <w:snapToGrid w:val="0"/>
        <w:spacing w:before="165" w:beforeLines="50" w:after="50" w:line="400" w:lineRule="exact"/>
        <w:ind w:firstLine="360" w:firstLineChars="150"/>
        <w:rPr>
          <w:rFonts w:ascii="宋体" w:hAnsi="宋体"/>
          <w:bCs/>
          <w:sz w:val="24"/>
        </w:rPr>
      </w:pPr>
      <w:r>
        <w:rPr>
          <w:rFonts w:hint="eastAsia" w:ascii="宋体" w:hAnsi="宋体"/>
          <w:bCs/>
          <w:sz w:val="24"/>
        </w:rPr>
        <w:t>所投分标：</w:t>
      </w:r>
    </w:p>
    <w:p w14:paraId="60AD3704">
      <w:pPr>
        <w:snapToGrid w:val="0"/>
        <w:spacing w:before="165" w:beforeLines="50" w:after="50" w:line="400" w:lineRule="exact"/>
        <w:ind w:firstLine="360" w:firstLineChars="150"/>
        <w:rPr>
          <w:rFonts w:ascii="宋体" w:hAnsi="宋体"/>
          <w:bCs/>
          <w:sz w:val="24"/>
        </w:rPr>
      </w:pPr>
    </w:p>
    <w:p w14:paraId="10898283">
      <w:pPr>
        <w:snapToGrid w:val="0"/>
        <w:spacing w:before="165" w:beforeLines="50" w:after="50" w:line="400" w:lineRule="exact"/>
        <w:ind w:firstLine="360" w:firstLineChars="150"/>
        <w:rPr>
          <w:rFonts w:ascii="宋体" w:hAnsi="宋体"/>
          <w:bCs/>
          <w:sz w:val="24"/>
        </w:rPr>
      </w:pPr>
      <w:r>
        <w:rPr>
          <w:rFonts w:hint="eastAsia" w:ascii="宋体" w:hAnsi="宋体"/>
          <w:bCs/>
          <w:sz w:val="24"/>
        </w:rPr>
        <w:t>投标人名称：</w:t>
      </w:r>
    </w:p>
    <w:p w14:paraId="48139EEA">
      <w:pPr>
        <w:snapToGrid w:val="0"/>
        <w:spacing w:before="165" w:beforeLines="50" w:after="50" w:line="400" w:lineRule="exact"/>
        <w:ind w:firstLine="360" w:firstLineChars="150"/>
        <w:rPr>
          <w:rFonts w:ascii="宋体" w:hAnsi="宋体"/>
          <w:bCs/>
          <w:sz w:val="24"/>
        </w:rPr>
      </w:pPr>
    </w:p>
    <w:p w14:paraId="798EA7CE">
      <w:pPr>
        <w:snapToGrid w:val="0"/>
        <w:spacing w:before="165" w:beforeLines="50" w:after="50" w:line="400" w:lineRule="exact"/>
        <w:ind w:firstLine="360" w:firstLineChars="150"/>
        <w:rPr>
          <w:rFonts w:ascii="宋体" w:hAnsi="宋体"/>
          <w:bCs/>
          <w:sz w:val="24"/>
        </w:rPr>
      </w:pPr>
      <w:r>
        <w:rPr>
          <w:rFonts w:hint="eastAsia" w:ascii="宋体" w:hAnsi="宋体"/>
          <w:bCs/>
          <w:sz w:val="24"/>
        </w:rPr>
        <w:t>投标人地址：</w:t>
      </w:r>
    </w:p>
    <w:p w14:paraId="29FEC1F8">
      <w:pPr>
        <w:snapToGrid w:val="0"/>
        <w:spacing w:before="50" w:after="50" w:line="400" w:lineRule="exact"/>
        <w:ind w:firstLine="960" w:firstLineChars="400"/>
        <w:rPr>
          <w:rFonts w:ascii="宋体" w:hAnsi="宋体"/>
          <w:bCs/>
          <w:sz w:val="24"/>
        </w:rPr>
      </w:pPr>
    </w:p>
    <w:p w14:paraId="450A07E8">
      <w:pPr>
        <w:snapToGrid w:val="0"/>
        <w:spacing w:before="165" w:beforeLines="50" w:after="50" w:line="400" w:lineRule="exact"/>
        <w:rPr>
          <w:rFonts w:ascii="宋体" w:hAnsi="宋体"/>
          <w:sz w:val="24"/>
        </w:rPr>
        <w:sectPr>
          <w:pgSz w:w="11906" w:h="16838"/>
          <w:pgMar w:top="1134" w:right="1134" w:bottom="1134" w:left="1134" w:header="720" w:footer="720" w:gutter="0"/>
          <w:cols w:space="720" w:num="1"/>
          <w:docGrid w:type="lines" w:linePitch="331" w:charSpace="0"/>
        </w:sectPr>
      </w:pPr>
      <w:r>
        <w:rPr>
          <w:rFonts w:hint="eastAsia" w:ascii="宋体" w:hAnsi="宋体"/>
          <w:sz w:val="24"/>
        </w:rPr>
        <w:t xml:space="preserve">                                                       年  月  日</w:t>
      </w:r>
    </w:p>
    <w:p w14:paraId="72A1B15F">
      <w:pPr>
        <w:rPr>
          <w:rFonts w:ascii="宋体" w:hAnsi="宋体" w:cs="宋体"/>
        </w:rPr>
      </w:pPr>
    </w:p>
    <w:p w14:paraId="1A23A67A">
      <w:pPr>
        <w:snapToGrid w:val="0"/>
        <w:spacing w:before="165" w:beforeLines="50" w:after="50" w:line="400" w:lineRule="exact"/>
        <w:jc w:val="center"/>
        <w:rPr>
          <w:rFonts w:ascii="宋体" w:hAnsi="宋体"/>
          <w:b/>
          <w:bCs/>
          <w:sz w:val="32"/>
          <w:szCs w:val="32"/>
        </w:rPr>
      </w:pPr>
      <w:r>
        <w:rPr>
          <w:rFonts w:hint="eastAsia" w:ascii="宋体" w:hAnsi="宋体"/>
          <w:b/>
          <w:bCs/>
          <w:sz w:val="32"/>
          <w:szCs w:val="32"/>
        </w:rPr>
        <w:t>报价文件目录</w:t>
      </w:r>
    </w:p>
    <w:p w14:paraId="137A92FE">
      <w:pPr>
        <w:rPr>
          <w:rFonts w:ascii="宋体" w:hAnsi="宋体" w:cs="宋体"/>
        </w:rPr>
      </w:pPr>
    </w:p>
    <w:p w14:paraId="4157FCBD">
      <w:pPr>
        <w:rPr>
          <w:rFonts w:ascii="仿宋_GB2312" w:hAnsi="仿宋" w:eastAsia="仿宋_GB2312" w:cs="仿宋_GB2312"/>
          <w:kern w:val="0"/>
          <w:sz w:val="24"/>
        </w:rPr>
      </w:pPr>
      <w:r>
        <w:rPr>
          <w:rFonts w:hint="eastAsia" w:ascii="仿宋_GB2312" w:hAnsi="仿宋" w:eastAsia="仿宋_GB2312" w:cs="仿宋_GB2312"/>
          <w:kern w:val="0"/>
          <w:sz w:val="24"/>
        </w:rPr>
        <w:t>一、投标函…………………………………………………………………………………（页码）</w:t>
      </w:r>
    </w:p>
    <w:p w14:paraId="5B00B4A3">
      <w:pPr>
        <w:rPr>
          <w:rFonts w:hint="eastAsia" w:ascii="仿宋_GB2312" w:hAnsi="仿宋" w:eastAsia="仿宋_GB2312" w:cs="仿宋_GB2312"/>
          <w:kern w:val="0"/>
          <w:sz w:val="24"/>
        </w:rPr>
      </w:pPr>
      <w:r>
        <w:rPr>
          <w:rFonts w:hint="eastAsia" w:ascii="仿宋_GB2312" w:hAnsi="仿宋" w:eastAsia="仿宋_GB2312" w:cs="仿宋_GB2312"/>
          <w:kern w:val="0"/>
          <w:sz w:val="24"/>
        </w:rPr>
        <w:t>二、开标一览表……………………………………………………………………………（页码）</w:t>
      </w:r>
    </w:p>
    <w:p w14:paraId="07541927">
      <w:pPr>
        <w:rPr>
          <w:rFonts w:hint="eastAsia" w:ascii="仿宋_GB2312" w:hAnsi="仿宋" w:eastAsia="仿宋_GB2312" w:cs="仿宋_GB2312"/>
          <w:kern w:val="0"/>
          <w:sz w:val="24"/>
          <w:lang w:val="en-US" w:eastAsia="zh-CN"/>
        </w:rPr>
      </w:pPr>
      <w:r>
        <w:rPr>
          <w:rFonts w:hint="eastAsia" w:ascii="仿宋_GB2312" w:hAnsi="仿宋" w:eastAsia="仿宋_GB2312" w:cs="仿宋_GB2312"/>
          <w:kern w:val="0"/>
          <w:sz w:val="24"/>
          <w:lang w:val="en-US" w:eastAsia="zh-CN"/>
        </w:rPr>
        <w:t>三、投标人针对报价需要说明的其他文件和说明，如《中小企业声明函》</w:t>
      </w:r>
      <w:r>
        <w:rPr>
          <w:rFonts w:hint="eastAsia" w:ascii="仿宋_GB2312" w:hAnsi="仿宋" w:eastAsia="仿宋_GB2312" w:cs="仿宋_GB2312"/>
          <w:kern w:val="0"/>
          <w:sz w:val="24"/>
        </w:rPr>
        <w:t>…………（页码）</w:t>
      </w:r>
    </w:p>
    <w:p w14:paraId="4AAAB7C2">
      <w:pPr>
        <w:spacing w:line="500" w:lineRule="exact"/>
        <w:jc w:val="center"/>
        <w:rPr>
          <w:b/>
          <w:bCs/>
          <w:sz w:val="30"/>
          <w:szCs w:val="30"/>
        </w:rPr>
      </w:pPr>
    </w:p>
    <w:p w14:paraId="11B22B70">
      <w:pPr>
        <w:spacing w:line="500" w:lineRule="exact"/>
        <w:jc w:val="center"/>
        <w:rPr>
          <w:b/>
          <w:bCs/>
          <w:sz w:val="30"/>
          <w:szCs w:val="30"/>
        </w:rPr>
      </w:pPr>
    </w:p>
    <w:p w14:paraId="0EA89D3C">
      <w:pPr>
        <w:spacing w:line="500" w:lineRule="exact"/>
        <w:jc w:val="center"/>
        <w:rPr>
          <w:b/>
          <w:bCs/>
          <w:sz w:val="30"/>
          <w:szCs w:val="30"/>
        </w:rPr>
      </w:pPr>
    </w:p>
    <w:p w14:paraId="21FBD96B">
      <w:pPr>
        <w:spacing w:line="500" w:lineRule="exact"/>
        <w:jc w:val="center"/>
        <w:rPr>
          <w:b/>
          <w:bCs/>
          <w:sz w:val="30"/>
          <w:szCs w:val="30"/>
        </w:rPr>
      </w:pPr>
    </w:p>
    <w:p w14:paraId="6DBAA8D5">
      <w:pPr>
        <w:spacing w:line="500" w:lineRule="exact"/>
        <w:jc w:val="center"/>
        <w:rPr>
          <w:b/>
          <w:bCs/>
          <w:sz w:val="30"/>
          <w:szCs w:val="30"/>
        </w:rPr>
      </w:pPr>
    </w:p>
    <w:p w14:paraId="75458B2E">
      <w:pPr>
        <w:spacing w:line="500" w:lineRule="exact"/>
        <w:jc w:val="center"/>
        <w:rPr>
          <w:b/>
          <w:bCs/>
          <w:sz w:val="30"/>
          <w:szCs w:val="30"/>
        </w:rPr>
      </w:pPr>
    </w:p>
    <w:p w14:paraId="1C386DFB">
      <w:pPr>
        <w:spacing w:line="500" w:lineRule="exact"/>
        <w:jc w:val="center"/>
        <w:rPr>
          <w:b/>
          <w:bCs/>
          <w:sz w:val="30"/>
          <w:szCs w:val="30"/>
        </w:rPr>
      </w:pPr>
    </w:p>
    <w:p w14:paraId="71818716">
      <w:pPr>
        <w:spacing w:line="500" w:lineRule="exact"/>
        <w:jc w:val="center"/>
        <w:rPr>
          <w:b/>
          <w:bCs/>
          <w:sz w:val="30"/>
          <w:szCs w:val="30"/>
        </w:rPr>
      </w:pPr>
    </w:p>
    <w:p w14:paraId="78E0A27D">
      <w:pPr>
        <w:spacing w:line="500" w:lineRule="exact"/>
        <w:jc w:val="center"/>
        <w:rPr>
          <w:b/>
          <w:bCs/>
          <w:sz w:val="30"/>
          <w:szCs w:val="30"/>
        </w:rPr>
      </w:pPr>
    </w:p>
    <w:p w14:paraId="23CBFE53">
      <w:pPr>
        <w:spacing w:line="500" w:lineRule="exact"/>
        <w:jc w:val="center"/>
        <w:rPr>
          <w:b/>
          <w:bCs/>
          <w:sz w:val="30"/>
          <w:szCs w:val="30"/>
        </w:rPr>
      </w:pPr>
    </w:p>
    <w:p w14:paraId="27A10272">
      <w:pPr>
        <w:spacing w:line="500" w:lineRule="exact"/>
        <w:jc w:val="center"/>
        <w:rPr>
          <w:b/>
          <w:bCs/>
          <w:sz w:val="30"/>
          <w:szCs w:val="30"/>
        </w:rPr>
      </w:pPr>
    </w:p>
    <w:p w14:paraId="676A95CD">
      <w:pPr>
        <w:spacing w:line="500" w:lineRule="exact"/>
        <w:jc w:val="center"/>
        <w:rPr>
          <w:b/>
          <w:bCs/>
          <w:sz w:val="30"/>
          <w:szCs w:val="30"/>
        </w:rPr>
      </w:pPr>
    </w:p>
    <w:p w14:paraId="783CC3AD">
      <w:pPr>
        <w:spacing w:line="500" w:lineRule="exact"/>
        <w:jc w:val="center"/>
        <w:rPr>
          <w:b/>
          <w:bCs/>
          <w:sz w:val="30"/>
          <w:szCs w:val="30"/>
        </w:rPr>
      </w:pPr>
    </w:p>
    <w:p w14:paraId="077A18E8">
      <w:pPr>
        <w:spacing w:line="500" w:lineRule="exact"/>
        <w:jc w:val="center"/>
        <w:rPr>
          <w:b/>
          <w:bCs/>
          <w:sz w:val="30"/>
          <w:szCs w:val="30"/>
        </w:rPr>
      </w:pPr>
    </w:p>
    <w:p w14:paraId="63F3A443">
      <w:pPr>
        <w:spacing w:line="500" w:lineRule="exact"/>
        <w:jc w:val="center"/>
        <w:rPr>
          <w:b/>
          <w:bCs/>
          <w:sz w:val="30"/>
          <w:szCs w:val="30"/>
        </w:rPr>
      </w:pPr>
    </w:p>
    <w:p w14:paraId="275449C9">
      <w:pPr>
        <w:spacing w:line="500" w:lineRule="exact"/>
        <w:jc w:val="center"/>
        <w:rPr>
          <w:b/>
          <w:bCs/>
          <w:sz w:val="30"/>
          <w:szCs w:val="30"/>
        </w:rPr>
      </w:pPr>
    </w:p>
    <w:p w14:paraId="025EBA84">
      <w:pPr>
        <w:spacing w:line="500" w:lineRule="exact"/>
        <w:jc w:val="center"/>
        <w:rPr>
          <w:b/>
          <w:bCs/>
          <w:sz w:val="30"/>
          <w:szCs w:val="30"/>
        </w:rPr>
      </w:pPr>
    </w:p>
    <w:p w14:paraId="555D5F1B">
      <w:pPr>
        <w:spacing w:line="500" w:lineRule="exact"/>
        <w:jc w:val="center"/>
        <w:rPr>
          <w:b/>
          <w:bCs/>
          <w:sz w:val="30"/>
          <w:szCs w:val="30"/>
        </w:rPr>
      </w:pPr>
    </w:p>
    <w:p w14:paraId="31DDCC68">
      <w:pPr>
        <w:spacing w:line="500" w:lineRule="exact"/>
        <w:jc w:val="center"/>
        <w:rPr>
          <w:b/>
          <w:bCs/>
          <w:sz w:val="30"/>
          <w:szCs w:val="30"/>
        </w:rPr>
      </w:pPr>
    </w:p>
    <w:p w14:paraId="177E753E">
      <w:pPr>
        <w:spacing w:line="500" w:lineRule="exact"/>
        <w:jc w:val="center"/>
        <w:rPr>
          <w:b/>
          <w:bCs/>
          <w:sz w:val="30"/>
          <w:szCs w:val="30"/>
        </w:rPr>
      </w:pPr>
    </w:p>
    <w:p w14:paraId="49F4BB2E">
      <w:pPr>
        <w:spacing w:line="500" w:lineRule="exact"/>
        <w:jc w:val="center"/>
        <w:rPr>
          <w:b/>
          <w:bCs/>
          <w:sz w:val="30"/>
          <w:szCs w:val="30"/>
        </w:rPr>
      </w:pPr>
    </w:p>
    <w:p w14:paraId="6F645BD9">
      <w:pPr>
        <w:spacing w:line="500" w:lineRule="exact"/>
        <w:jc w:val="center"/>
        <w:rPr>
          <w:b/>
          <w:bCs/>
          <w:sz w:val="30"/>
          <w:szCs w:val="30"/>
        </w:rPr>
      </w:pPr>
    </w:p>
    <w:p w14:paraId="0F3E98C1">
      <w:pPr>
        <w:spacing w:line="500" w:lineRule="exact"/>
        <w:jc w:val="center"/>
        <w:rPr>
          <w:b/>
          <w:bCs/>
          <w:sz w:val="30"/>
          <w:szCs w:val="30"/>
        </w:rPr>
      </w:pPr>
    </w:p>
    <w:p w14:paraId="41BA4F41">
      <w:pPr>
        <w:spacing w:line="500" w:lineRule="exact"/>
        <w:jc w:val="center"/>
        <w:rPr>
          <w:b/>
          <w:bCs/>
          <w:sz w:val="30"/>
          <w:szCs w:val="30"/>
        </w:rPr>
      </w:pPr>
    </w:p>
    <w:p w14:paraId="1AEB5A9C">
      <w:pPr>
        <w:spacing w:line="500" w:lineRule="exact"/>
        <w:jc w:val="center"/>
        <w:rPr>
          <w:b/>
          <w:bCs/>
          <w:sz w:val="30"/>
          <w:szCs w:val="30"/>
        </w:rPr>
      </w:pPr>
    </w:p>
    <w:p w14:paraId="5D65A0F4">
      <w:pPr>
        <w:spacing w:line="500" w:lineRule="exact"/>
        <w:jc w:val="center"/>
        <w:rPr>
          <w:b/>
          <w:bCs/>
          <w:sz w:val="30"/>
          <w:szCs w:val="30"/>
        </w:rPr>
      </w:pPr>
      <w:r>
        <w:rPr>
          <w:rFonts w:hint="eastAsia"/>
          <w:b/>
          <w:bCs/>
          <w:sz w:val="30"/>
          <w:szCs w:val="30"/>
        </w:rPr>
        <w:t>一、投标函</w:t>
      </w:r>
    </w:p>
    <w:p w14:paraId="78A0F840">
      <w:pPr>
        <w:spacing w:line="440" w:lineRule="exact"/>
        <w:ind w:firstLine="420" w:firstLineChars="200"/>
      </w:pPr>
      <w:r>
        <w:rPr>
          <w:rFonts w:hint="eastAsia"/>
        </w:rPr>
        <w:t>致：</w:t>
      </w:r>
      <w:r>
        <w:rPr>
          <w:u w:val="single"/>
        </w:rPr>
        <w:t xml:space="preserve">                      </w:t>
      </w:r>
      <w:r>
        <w:rPr>
          <w:rFonts w:hint="eastAsia"/>
        </w:rPr>
        <w:t>（采购代理机构名称）</w:t>
      </w:r>
    </w:p>
    <w:p w14:paraId="1797E30A">
      <w:pPr>
        <w:spacing w:line="440" w:lineRule="exact"/>
        <w:ind w:firstLine="420" w:firstLineChars="200"/>
      </w:pPr>
      <w:r>
        <w:rPr>
          <w:rFonts w:hint="eastAsia"/>
        </w:rPr>
        <w:t>我方已仔细阅读了贵方组织的</w:t>
      </w:r>
      <w:r>
        <w:rPr>
          <w:u w:val="single"/>
        </w:rPr>
        <w:t xml:space="preserve">                    </w:t>
      </w:r>
      <w:r>
        <w:rPr>
          <w:rFonts w:hint="eastAsia"/>
        </w:rPr>
        <w:t>项目（项目编号：</w:t>
      </w:r>
      <w:r>
        <w:rPr>
          <w:rFonts w:hint="eastAsia"/>
          <w:u w:val="single"/>
        </w:rPr>
        <w:t xml:space="preserve">             </w:t>
      </w:r>
      <w:r>
        <w:rPr>
          <w:rFonts w:hint="eastAsia"/>
        </w:rPr>
        <w:t>）的招标文件的全部内容，授权</w:t>
      </w:r>
      <w:r>
        <w:rPr>
          <w:u w:val="single"/>
        </w:rPr>
        <w:t xml:space="preserve">                      </w:t>
      </w:r>
      <w:r>
        <w:rPr>
          <w:rFonts w:hint="eastAsia"/>
        </w:rPr>
        <w:t>(全权代表姓名)</w:t>
      </w:r>
      <w:r>
        <w:rPr>
          <w:u w:val="single"/>
        </w:rPr>
        <w:t xml:space="preserve">          </w:t>
      </w:r>
      <w:r>
        <w:rPr>
          <w:rFonts w:hint="eastAsia"/>
        </w:rPr>
        <w:t xml:space="preserve"> (职务、职称)为全权代表，现正式递交下述文件参加贵方组织的本次政府采购活动： </w:t>
      </w:r>
    </w:p>
    <w:p w14:paraId="2722ED08">
      <w:pPr>
        <w:spacing w:line="440" w:lineRule="exact"/>
        <w:ind w:firstLine="482"/>
      </w:pPr>
      <w:r>
        <w:rPr>
          <w:rFonts w:hint="eastAsia"/>
        </w:rPr>
        <w:t>一、报价文件电子版一份（包含按投标人须知前附表要求提交的全部文件）；</w:t>
      </w:r>
    </w:p>
    <w:p w14:paraId="47BC50B7">
      <w:pPr>
        <w:spacing w:line="440" w:lineRule="exact"/>
        <w:ind w:firstLine="482"/>
      </w:pPr>
      <w:r>
        <w:rPr>
          <w:rFonts w:hint="eastAsia"/>
        </w:rPr>
        <w:t>二、资格文件电子版一份（包含按投标人须知前附表要求提交的全部文件）；</w:t>
      </w:r>
    </w:p>
    <w:p w14:paraId="477C506B">
      <w:pPr>
        <w:spacing w:line="440" w:lineRule="exact"/>
        <w:ind w:firstLine="482"/>
      </w:pPr>
      <w:r>
        <w:rPr>
          <w:rFonts w:hint="eastAsia"/>
        </w:rPr>
        <w:t>三、</w:t>
      </w:r>
      <w:r>
        <w:rPr>
          <w:rFonts w:hint="eastAsia" w:hAnsi="宋体"/>
        </w:rPr>
        <w:t>技术</w:t>
      </w:r>
      <w:r>
        <w:rPr>
          <w:rFonts w:hint="eastAsia"/>
        </w:rPr>
        <w:t>文件电子版一份（包含按投标人须知前附表要求提交的全部文件）；</w:t>
      </w:r>
    </w:p>
    <w:p w14:paraId="4D569642">
      <w:pPr>
        <w:spacing w:line="440" w:lineRule="exact"/>
        <w:ind w:firstLine="482"/>
      </w:pPr>
      <w:r>
        <w:rPr>
          <w:rFonts w:hint="eastAsia" w:hAnsi="宋体"/>
        </w:rPr>
        <w:t>四、</w:t>
      </w:r>
      <w:r>
        <w:rPr>
          <w:rFonts w:hint="eastAsia"/>
        </w:rPr>
        <w:t>商务</w:t>
      </w:r>
      <w:r>
        <w:rPr>
          <w:rFonts w:hint="eastAsia" w:hAnsi="宋体"/>
        </w:rPr>
        <w:t>文件</w:t>
      </w:r>
      <w:r>
        <w:rPr>
          <w:rFonts w:hint="eastAsia"/>
        </w:rPr>
        <w:t>电子版一份（包含按投标人须知前附表要求提交的全部文件）；</w:t>
      </w:r>
    </w:p>
    <w:p w14:paraId="2D6925B7">
      <w:pPr>
        <w:spacing w:line="440" w:lineRule="exact"/>
        <w:ind w:firstLine="482"/>
      </w:pPr>
      <w:r>
        <w:rPr>
          <w:rFonts w:hint="eastAsia"/>
        </w:rPr>
        <w:t>据此函，签字人兹宣布：</w:t>
      </w:r>
    </w:p>
    <w:p w14:paraId="4969D610">
      <w:pPr>
        <w:pStyle w:val="17"/>
        <w:spacing w:line="440" w:lineRule="exact"/>
        <w:ind w:firstLine="420" w:firstLineChars="200"/>
        <w:rPr>
          <w:rFonts w:ascii="Times New Roman" w:hAnsi="Times New Roman"/>
        </w:rPr>
      </w:pPr>
      <w:r>
        <w:rPr>
          <w:rFonts w:hint="eastAsia"/>
        </w:rPr>
        <w:t>1、我方愿意以（大写）人民币</w:t>
      </w:r>
      <w:r>
        <w:rPr>
          <w:rFonts w:hint="eastAsia"/>
          <w:u w:val="single"/>
        </w:rPr>
        <w:t xml:space="preserve">              </w:t>
      </w:r>
      <w:r>
        <w:rPr>
          <w:rFonts w:hint="eastAsia"/>
        </w:rPr>
        <w:t>元 (￥</w:t>
      </w:r>
      <w:r>
        <w:rPr>
          <w:rFonts w:hint="eastAsia"/>
          <w:u w:val="single"/>
        </w:rPr>
        <w:t xml:space="preserve">          </w:t>
      </w:r>
      <w:r>
        <w:rPr>
          <w:rFonts w:hint="eastAsia"/>
        </w:rPr>
        <w:t>元)的投标总报价，</w:t>
      </w:r>
      <w:r>
        <w:rPr>
          <w:rFonts w:hint="eastAsia"/>
          <w:lang w:val="zh-TW"/>
        </w:rPr>
        <w:t>服务期限</w:t>
      </w:r>
      <w:r>
        <w:rPr>
          <w:rFonts w:hint="eastAsia"/>
        </w:rPr>
        <w:t>（无分标时填写）</w:t>
      </w:r>
      <w:r>
        <w:rPr>
          <w:rFonts w:hint="eastAsia"/>
          <w:u w:val="single"/>
        </w:rPr>
        <w:t xml:space="preserve">              </w:t>
      </w:r>
      <w:r>
        <w:rPr>
          <w:rFonts w:hint="eastAsia"/>
        </w:rPr>
        <w:t>，提供本项目</w:t>
      </w:r>
      <w:r>
        <w:rPr>
          <w:rFonts w:hint="eastAsia" w:hAnsi="Times New Roman"/>
        </w:rPr>
        <w:t>招标文件第二章</w:t>
      </w:r>
      <w:r>
        <w:rPr>
          <w:rFonts w:hint="eastAsia"/>
        </w:rPr>
        <w:t>“服务需求一览表”中的相应的采购内容。</w:t>
      </w:r>
    </w:p>
    <w:p w14:paraId="0AA825B3">
      <w:pPr>
        <w:pStyle w:val="17"/>
        <w:spacing w:line="440" w:lineRule="exact"/>
        <w:ind w:firstLine="420" w:firstLineChars="200"/>
        <w:rPr>
          <w:rFonts w:ascii="Times New Roman" w:hAnsi="Times New Roman"/>
        </w:rPr>
      </w:pPr>
      <w:r>
        <w:rPr>
          <w:rFonts w:hint="eastAsia"/>
        </w:rPr>
        <w:t>其中（有分标时填写）：</w:t>
      </w:r>
    </w:p>
    <w:p w14:paraId="33043B23">
      <w:pPr>
        <w:pStyle w:val="17"/>
        <w:spacing w:line="360" w:lineRule="exact"/>
        <w:ind w:firstLine="420" w:firstLineChars="200"/>
        <w:rPr>
          <w:u w:val="single"/>
        </w:rPr>
      </w:pPr>
      <w:r>
        <w:rPr>
          <w:rFonts w:hint="eastAsia"/>
          <w:u w:val="single"/>
        </w:rPr>
        <w:t xml:space="preserve">  </w:t>
      </w:r>
      <w:r>
        <w:rPr>
          <w:rFonts w:hint="eastAsia"/>
        </w:rPr>
        <w:t>分标报价为（大写）人民币</w:t>
      </w:r>
      <w:r>
        <w:rPr>
          <w:rFonts w:hint="eastAsia"/>
          <w:u w:val="single"/>
        </w:rPr>
        <w:t xml:space="preserve">              </w:t>
      </w:r>
      <w:r>
        <w:rPr>
          <w:rFonts w:hint="eastAsia"/>
        </w:rPr>
        <w:t>元 (￥</w:t>
      </w:r>
      <w:r>
        <w:rPr>
          <w:rFonts w:hint="eastAsia"/>
          <w:u w:val="single"/>
        </w:rPr>
        <w:t xml:space="preserve">          </w:t>
      </w:r>
      <w:r>
        <w:rPr>
          <w:rFonts w:hint="eastAsia"/>
        </w:rPr>
        <w:t>元)，</w:t>
      </w:r>
      <w:r>
        <w:rPr>
          <w:rFonts w:hint="eastAsia"/>
          <w:lang w:val="zh-TW"/>
        </w:rPr>
        <w:t>服务期限</w:t>
      </w:r>
      <w:r>
        <w:rPr>
          <w:rFonts w:hint="eastAsia"/>
        </w:rPr>
        <w:t>：</w:t>
      </w:r>
      <w:r>
        <w:rPr>
          <w:rFonts w:hint="eastAsia"/>
          <w:u w:val="single"/>
        </w:rPr>
        <w:t xml:space="preserve">          </w:t>
      </w:r>
      <w:r>
        <w:rPr>
          <w:rFonts w:hint="eastAsia"/>
        </w:rPr>
        <w:t>；</w:t>
      </w:r>
    </w:p>
    <w:p w14:paraId="4D10549F">
      <w:pPr>
        <w:pStyle w:val="17"/>
        <w:spacing w:line="360" w:lineRule="exact"/>
        <w:ind w:firstLine="420" w:firstLineChars="200"/>
        <w:rPr>
          <w:u w:val="single"/>
        </w:rPr>
      </w:pPr>
      <w:r>
        <w:rPr>
          <w:rFonts w:hint="eastAsia"/>
          <w:u w:val="single"/>
        </w:rPr>
        <w:t xml:space="preserve">  </w:t>
      </w:r>
      <w:r>
        <w:rPr>
          <w:rFonts w:hint="eastAsia"/>
        </w:rPr>
        <w:t>分标报价为（大写）人民币</w:t>
      </w:r>
      <w:r>
        <w:rPr>
          <w:rFonts w:hint="eastAsia"/>
          <w:u w:val="single"/>
        </w:rPr>
        <w:t xml:space="preserve">              </w:t>
      </w:r>
      <w:r>
        <w:rPr>
          <w:rFonts w:hint="eastAsia"/>
        </w:rPr>
        <w:t>元 (￥</w:t>
      </w:r>
      <w:r>
        <w:rPr>
          <w:rFonts w:hint="eastAsia"/>
          <w:u w:val="single"/>
        </w:rPr>
        <w:t xml:space="preserve">          </w:t>
      </w:r>
      <w:r>
        <w:rPr>
          <w:rFonts w:hint="eastAsia"/>
        </w:rPr>
        <w:t>元)，</w:t>
      </w:r>
      <w:r>
        <w:rPr>
          <w:rFonts w:hint="eastAsia"/>
          <w:lang w:val="zh-TW"/>
        </w:rPr>
        <w:t>服务期限</w:t>
      </w:r>
      <w:r>
        <w:rPr>
          <w:rFonts w:hint="eastAsia"/>
        </w:rPr>
        <w:t>：</w:t>
      </w:r>
      <w:r>
        <w:rPr>
          <w:rFonts w:hint="eastAsia"/>
          <w:u w:val="single"/>
        </w:rPr>
        <w:t xml:space="preserve">          </w:t>
      </w:r>
      <w:r>
        <w:rPr>
          <w:rFonts w:hint="eastAsia"/>
        </w:rPr>
        <w:t>；</w:t>
      </w:r>
    </w:p>
    <w:p w14:paraId="56E48D9C">
      <w:pPr>
        <w:pStyle w:val="17"/>
        <w:spacing w:line="360" w:lineRule="exact"/>
        <w:ind w:firstLine="420" w:firstLineChars="200"/>
        <w:rPr>
          <w:u w:val="single"/>
        </w:rPr>
      </w:pPr>
      <w:r>
        <w:rPr>
          <w:rFonts w:hint="eastAsia"/>
        </w:rPr>
        <w:t>......</w:t>
      </w:r>
    </w:p>
    <w:p w14:paraId="2D0D315B">
      <w:pPr>
        <w:spacing w:line="440" w:lineRule="exact"/>
        <w:ind w:firstLine="420" w:firstLineChars="200"/>
        <w:rPr>
          <w:u w:val="single"/>
        </w:rPr>
      </w:pPr>
      <w:r>
        <w:rPr>
          <w:rFonts w:hint="eastAsia"/>
        </w:rPr>
        <w:t>2、我方同意自本项目招标文件“第三章 投标人须知”第一节 投标人须知前附表 第21.2项规定的投标截止时间（开标时间）起遵循</w:t>
      </w:r>
      <w:r>
        <w:rPr>
          <w:rFonts w:hint="eastAsia" w:hAnsi="宋体"/>
        </w:rPr>
        <w:t>本投标函</w:t>
      </w:r>
      <w:r>
        <w:rPr>
          <w:rFonts w:hint="eastAsia"/>
        </w:rPr>
        <w:t>，并承诺在“投标人须知前附表”第17.2项规定的投标有效期内不修改、撤销投标文件。</w:t>
      </w:r>
    </w:p>
    <w:p w14:paraId="266A0C8D">
      <w:pPr>
        <w:spacing w:line="360" w:lineRule="exact"/>
        <w:ind w:firstLine="420" w:firstLineChars="200"/>
        <w:rPr>
          <w:u w:val="single"/>
        </w:rPr>
      </w:pPr>
      <w:r>
        <w:rPr>
          <w:rFonts w:hint="eastAsia"/>
        </w:rPr>
        <w:t>3、我方所递交的投标文件及有关资料都是内容完整、真实和准确的。</w:t>
      </w:r>
    </w:p>
    <w:p w14:paraId="0E56B6C6">
      <w:pPr>
        <w:spacing w:line="360" w:lineRule="exact"/>
        <w:ind w:firstLine="420" w:firstLineChars="200"/>
        <w:rPr>
          <w:u w:val="single"/>
        </w:rPr>
      </w:pPr>
      <w:r>
        <w:rPr>
          <w:rFonts w:hint="eastAsia"/>
        </w:rPr>
        <w:t>4、我方承诺未被列入失信被执行人、重大税收违法案件当事人名单、政府采购严重违法失信行为记录名单，并已经具备《中华人民共和国政府采购法》中规定的参加政府采购活动的投标人应当具备的条件：</w:t>
      </w:r>
    </w:p>
    <w:p w14:paraId="41B4BE45">
      <w:pPr>
        <w:numPr>
          <w:ilvl w:val="0"/>
          <w:numId w:val="2"/>
        </w:numPr>
        <w:spacing w:line="440" w:lineRule="exact"/>
      </w:pPr>
      <w:r>
        <w:rPr>
          <w:rFonts w:hint="eastAsia"/>
        </w:rPr>
        <w:t>具有独立承担民事责任的能力；</w:t>
      </w:r>
    </w:p>
    <w:p w14:paraId="4FD9B67A">
      <w:pPr>
        <w:numPr>
          <w:ilvl w:val="0"/>
          <w:numId w:val="2"/>
        </w:numPr>
        <w:spacing w:line="440" w:lineRule="exact"/>
      </w:pPr>
      <w:r>
        <w:rPr>
          <w:rFonts w:hint="eastAsia"/>
        </w:rPr>
        <w:t>具有良好的商业信誉和健全的财务会计制度；</w:t>
      </w:r>
    </w:p>
    <w:p w14:paraId="4DF9E105">
      <w:pPr>
        <w:numPr>
          <w:ilvl w:val="0"/>
          <w:numId w:val="2"/>
        </w:numPr>
        <w:spacing w:line="440" w:lineRule="exact"/>
      </w:pPr>
      <w:r>
        <w:rPr>
          <w:rFonts w:hint="eastAsia"/>
        </w:rPr>
        <w:t>具有履行合同所必需的设备和专业技术能力；</w:t>
      </w:r>
    </w:p>
    <w:p w14:paraId="575DE610">
      <w:pPr>
        <w:numPr>
          <w:ilvl w:val="0"/>
          <w:numId w:val="2"/>
        </w:numPr>
        <w:spacing w:line="440" w:lineRule="exact"/>
      </w:pPr>
      <w:r>
        <w:rPr>
          <w:rFonts w:hint="eastAsia"/>
        </w:rPr>
        <w:t>有依法缴纳税收和社会保障资金的良好记录；</w:t>
      </w:r>
    </w:p>
    <w:p w14:paraId="63599B92">
      <w:pPr>
        <w:numPr>
          <w:ilvl w:val="0"/>
          <w:numId w:val="2"/>
        </w:numPr>
        <w:spacing w:line="440" w:lineRule="exact"/>
      </w:pPr>
      <w:r>
        <w:rPr>
          <w:rFonts w:hint="eastAsia"/>
        </w:rPr>
        <w:t>参加政府采购活动前三年内，在经营活动中没有重大违法记录；</w:t>
      </w:r>
    </w:p>
    <w:p w14:paraId="47E28302">
      <w:pPr>
        <w:numPr>
          <w:ilvl w:val="0"/>
          <w:numId w:val="2"/>
        </w:numPr>
        <w:spacing w:line="440" w:lineRule="exact"/>
      </w:pPr>
      <w:r>
        <w:rPr>
          <w:rFonts w:hint="eastAsia"/>
        </w:rPr>
        <w:t>法律、行政法规规定的其他条件。</w:t>
      </w:r>
    </w:p>
    <w:p w14:paraId="55D3A96A">
      <w:pPr>
        <w:spacing w:line="440" w:lineRule="exact"/>
        <w:ind w:firstLine="482"/>
      </w:pPr>
      <w:r>
        <w:rPr>
          <w:rFonts w:hint="eastAsia"/>
        </w:rPr>
        <w:t>5、</w:t>
      </w:r>
      <w:r>
        <w:rPr>
          <w:rFonts w:hint="eastAsia"/>
          <w:szCs w:val="21"/>
        </w:rPr>
        <w:t>如本项目采购内容涉及须符合国家强制规定的，我方承诺我方本次投标（包括资格条件和所投产品）均符合国家有关强制规定。</w:t>
      </w:r>
    </w:p>
    <w:p w14:paraId="6B6DCFC4">
      <w:pPr>
        <w:spacing w:line="440" w:lineRule="exact"/>
        <w:ind w:firstLine="420" w:firstLineChars="200"/>
      </w:pPr>
      <w:r>
        <w:rPr>
          <w:rFonts w:hint="eastAsia"/>
        </w:rPr>
        <w:t>6、如我方中标，我方承诺在收到中标通知书后，在中标通知书规定的期限内，</w:t>
      </w:r>
      <w:r>
        <w:rPr>
          <w:rFonts w:hint="eastAsia" w:hAnsi="宋体"/>
        </w:rPr>
        <w:t>根据招标文件、我方的投标文件及有关澄清承诺书的要求按第五章“拟签订的合同文本”与采购人订立书面合同，并按照合同约定</w:t>
      </w:r>
      <w:r>
        <w:rPr>
          <w:rFonts w:hint="eastAsia"/>
        </w:rPr>
        <w:t>承担完成合同的责任和义务。</w:t>
      </w:r>
    </w:p>
    <w:p w14:paraId="2BBCEF0F">
      <w:pPr>
        <w:spacing w:line="440" w:lineRule="exact"/>
        <w:ind w:firstLine="420" w:firstLineChars="200"/>
      </w:pPr>
      <w:r>
        <w:rPr>
          <w:rFonts w:hint="eastAsia"/>
        </w:rPr>
        <w:t>7、我方已详细审核招标文件，我方知道必须放弃提出含糊不清或误解问题的权利。</w:t>
      </w:r>
    </w:p>
    <w:p w14:paraId="6E62B51B">
      <w:pPr>
        <w:spacing w:line="440" w:lineRule="exact"/>
        <w:ind w:firstLine="420" w:firstLineChars="200"/>
      </w:pPr>
      <w:r>
        <w:rPr>
          <w:rFonts w:hint="eastAsia"/>
        </w:rPr>
        <w:t>8、我方同意应贵方要求提供与本投标有关的任何数据或资料。若贵方需要，我方愿意提供我方作出的一切承诺的证明材料。</w:t>
      </w:r>
    </w:p>
    <w:p w14:paraId="15CF9A11">
      <w:pPr>
        <w:spacing w:line="440" w:lineRule="exact"/>
        <w:ind w:firstLine="420" w:firstLineChars="200"/>
      </w:pPr>
      <w:r>
        <w:rPr>
          <w:rFonts w:hint="eastAsia"/>
        </w:rPr>
        <w:t>9、我方完全理解贵方不一定接受投标报价最低的投标人为中标人的行为。</w:t>
      </w:r>
    </w:p>
    <w:p w14:paraId="2A7ACA92">
      <w:pPr>
        <w:spacing w:line="440" w:lineRule="exact"/>
        <w:ind w:firstLine="420" w:firstLineChars="200"/>
      </w:pPr>
      <w:r>
        <w:rPr>
          <w:rFonts w:hint="eastAsia"/>
        </w:rPr>
        <w:t>10、我方将严格遵守《中华人民共和国政府采购法》第七十七条的规定，即投标人有下列情形之一的，处以采购金额千分之五以上千分之十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14:paraId="6FC6D904">
      <w:pPr>
        <w:numPr>
          <w:ilvl w:val="0"/>
          <w:numId w:val="3"/>
        </w:numPr>
        <w:spacing w:line="440" w:lineRule="exact"/>
        <w:rPr>
          <w:rFonts w:hAnsi="宋体"/>
        </w:rPr>
      </w:pPr>
      <w:r>
        <w:rPr>
          <w:rFonts w:hint="eastAsia" w:hAnsi="宋体"/>
        </w:rPr>
        <w:t>提供虚假材料谋取中标、成交的；</w:t>
      </w:r>
    </w:p>
    <w:p w14:paraId="441ED12A">
      <w:pPr>
        <w:numPr>
          <w:ilvl w:val="0"/>
          <w:numId w:val="3"/>
        </w:numPr>
        <w:spacing w:line="440" w:lineRule="exact"/>
        <w:rPr>
          <w:rFonts w:hAnsi="宋体"/>
        </w:rPr>
      </w:pPr>
      <w:r>
        <w:rPr>
          <w:rFonts w:hint="eastAsia" w:hAnsi="宋体"/>
        </w:rPr>
        <w:t>采取不正当手段诋毁、排挤其他投标人的；</w:t>
      </w:r>
    </w:p>
    <w:p w14:paraId="0E3BE6D7">
      <w:pPr>
        <w:numPr>
          <w:ilvl w:val="0"/>
          <w:numId w:val="3"/>
        </w:numPr>
        <w:spacing w:line="440" w:lineRule="exact"/>
      </w:pPr>
      <w:r>
        <w:rPr>
          <w:rFonts w:hint="eastAsia" w:hAnsi="宋体"/>
        </w:rPr>
        <w:t>与采购人、其他投标人或者采购代理机构恶意串通的；</w:t>
      </w:r>
    </w:p>
    <w:p w14:paraId="6586C57B">
      <w:pPr>
        <w:numPr>
          <w:ilvl w:val="0"/>
          <w:numId w:val="3"/>
        </w:numPr>
        <w:spacing w:line="440" w:lineRule="exact"/>
      </w:pPr>
      <w:r>
        <w:rPr>
          <w:rFonts w:hint="eastAsia" w:hAnsi="宋体"/>
        </w:rPr>
        <w:t>向采购人、采购代理机构行贿或者提供其他不正当利益的；</w:t>
      </w:r>
    </w:p>
    <w:p w14:paraId="4998A9DE">
      <w:pPr>
        <w:numPr>
          <w:ilvl w:val="0"/>
          <w:numId w:val="3"/>
        </w:numPr>
        <w:spacing w:line="440" w:lineRule="exact"/>
      </w:pPr>
      <w:r>
        <w:rPr>
          <w:rFonts w:hint="eastAsia" w:hAnsi="宋体"/>
        </w:rPr>
        <w:t>在招标采购过程中与采购人进行协商谈判的；</w:t>
      </w:r>
    </w:p>
    <w:p w14:paraId="0C3103A4">
      <w:pPr>
        <w:numPr>
          <w:ilvl w:val="0"/>
          <w:numId w:val="3"/>
        </w:numPr>
        <w:spacing w:line="440" w:lineRule="exact"/>
      </w:pPr>
      <w:r>
        <w:rPr>
          <w:rFonts w:hint="eastAsia" w:hAnsi="宋体"/>
        </w:rPr>
        <w:t>拒绝有关部门监督检查或提供虚假情况的。</w:t>
      </w:r>
    </w:p>
    <w:p w14:paraId="433E29B0">
      <w:pPr>
        <w:spacing w:line="440" w:lineRule="exact"/>
        <w:ind w:left="420"/>
      </w:pPr>
      <w:r>
        <w:rPr>
          <w:rFonts w:hint="eastAsia"/>
        </w:rPr>
        <w:t>11、我方及由本人担任法定代表人的其他机构最近三年内被处罚的违法行为有：</w:t>
      </w:r>
      <w:r>
        <w:rPr>
          <w:rFonts w:hint="eastAsia"/>
          <w:u w:val="single"/>
        </w:rPr>
        <w:t xml:space="preserve">                                        </w:t>
      </w:r>
    </w:p>
    <w:p w14:paraId="47ABE79B">
      <w:pPr>
        <w:spacing w:line="440" w:lineRule="exact"/>
        <w:ind w:left="420"/>
      </w:pPr>
      <w:r>
        <w:rPr>
          <w:rFonts w:hint="eastAsia"/>
          <w:u w:val="single"/>
        </w:rPr>
        <w:t xml:space="preserve">                                                                                                                        </w:t>
      </w:r>
    </w:p>
    <w:p w14:paraId="246188C5">
      <w:pPr>
        <w:spacing w:line="360" w:lineRule="auto"/>
        <w:ind w:firstLine="420"/>
      </w:pPr>
      <w:r>
        <w:rPr>
          <w:rFonts w:hint="eastAsia"/>
        </w:rPr>
        <w:t>12、以上事项如有虚假或隐瞒，我方愿意承担一切后果，并不再寻求任何旨在减轻或免除法律责任的辩解。</w:t>
      </w:r>
    </w:p>
    <w:p w14:paraId="7A1EECBA">
      <w:pPr>
        <w:spacing w:line="360" w:lineRule="auto"/>
        <w:ind w:firstLine="420"/>
      </w:pPr>
      <w:r>
        <w:rPr>
          <w:rFonts w:hint="eastAsia"/>
        </w:rPr>
        <w:t>13、与本投标有关的一切正式往来信函请寄：</w:t>
      </w:r>
    </w:p>
    <w:p w14:paraId="45152EF2">
      <w:pPr>
        <w:spacing w:line="360" w:lineRule="auto"/>
        <w:ind w:firstLine="420"/>
      </w:pPr>
      <w:r>
        <w:rPr>
          <w:rFonts w:hint="eastAsia"/>
        </w:rPr>
        <w:t>地址：</w:t>
      </w:r>
      <w:r>
        <w:rPr>
          <w:rFonts w:hint="eastAsia"/>
          <w:u w:val="single"/>
        </w:rPr>
        <w:t xml:space="preserve">                                                        </w:t>
      </w:r>
      <w:r>
        <w:rPr>
          <w:rFonts w:hint="eastAsia"/>
        </w:rPr>
        <w:t xml:space="preserve"> </w:t>
      </w:r>
    </w:p>
    <w:p w14:paraId="75F02927">
      <w:pPr>
        <w:spacing w:line="360" w:lineRule="auto"/>
        <w:ind w:firstLine="420"/>
        <w:rPr>
          <w:u w:val="single"/>
        </w:rPr>
      </w:pPr>
      <w:r>
        <w:rPr>
          <w:rFonts w:hint="eastAsia"/>
        </w:rPr>
        <w:t>电话：</w:t>
      </w:r>
      <w:r>
        <w:rPr>
          <w:rFonts w:hint="eastAsia"/>
          <w:u w:val="single"/>
        </w:rPr>
        <w:t xml:space="preserve">                                      　　　　　　　　　</w:t>
      </w:r>
    </w:p>
    <w:p w14:paraId="300D35D4">
      <w:pPr>
        <w:spacing w:line="360" w:lineRule="auto"/>
        <w:ind w:firstLine="420"/>
      </w:pPr>
      <w:r>
        <w:rPr>
          <w:rFonts w:hint="eastAsia"/>
        </w:rPr>
        <w:t>传真：</w:t>
      </w:r>
      <w:r>
        <w:rPr>
          <w:rFonts w:hint="eastAsia"/>
          <w:u w:val="single"/>
        </w:rPr>
        <w:t>　　　　　　　　　　　　　　　　　　　　　　　　　　　　</w:t>
      </w:r>
    </w:p>
    <w:p w14:paraId="6BE62930">
      <w:pPr>
        <w:spacing w:line="360" w:lineRule="auto"/>
        <w:ind w:firstLine="420"/>
        <w:rPr>
          <w:u w:val="single"/>
        </w:rPr>
      </w:pPr>
      <w:r>
        <w:rPr>
          <w:rFonts w:hint="eastAsia"/>
        </w:rPr>
        <w:t>邮政编码：</w:t>
      </w:r>
      <w:r>
        <w:rPr>
          <w:rFonts w:hint="eastAsia"/>
          <w:u w:val="single"/>
        </w:rPr>
        <w:t xml:space="preserve">                                                    </w:t>
      </w:r>
    </w:p>
    <w:p w14:paraId="46C79DC2">
      <w:pPr>
        <w:spacing w:line="360" w:lineRule="auto"/>
        <w:ind w:firstLine="420"/>
        <w:rPr>
          <w:u w:val="single"/>
        </w:rPr>
      </w:pPr>
      <w:r>
        <w:rPr>
          <w:rFonts w:hint="eastAsia"/>
        </w:rPr>
        <w:t>开户名称：</w:t>
      </w:r>
      <w:r>
        <w:rPr>
          <w:rFonts w:hint="eastAsia"/>
          <w:u w:val="single"/>
        </w:rPr>
        <w:t xml:space="preserve">                                                    </w:t>
      </w:r>
    </w:p>
    <w:p w14:paraId="76AE924B">
      <w:pPr>
        <w:spacing w:line="360" w:lineRule="auto"/>
        <w:ind w:firstLine="420"/>
        <w:rPr>
          <w:u w:val="single"/>
        </w:rPr>
      </w:pPr>
      <w:r>
        <w:rPr>
          <w:rFonts w:hint="eastAsia"/>
        </w:rPr>
        <w:t>开户银行：</w:t>
      </w:r>
      <w:r>
        <w:rPr>
          <w:rFonts w:hint="eastAsia"/>
          <w:u w:val="single"/>
        </w:rPr>
        <w:t xml:space="preserve">                                                    </w:t>
      </w:r>
    </w:p>
    <w:p w14:paraId="630D2CE4">
      <w:pPr>
        <w:spacing w:line="360" w:lineRule="auto"/>
        <w:ind w:firstLine="420"/>
        <w:rPr>
          <w:u w:val="single"/>
        </w:rPr>
      </w:pPr>
      <w:r>
        <w:rPr>
          <w:rFonts w:hint="eastAsia"/>
        </w:rPr>
        <w:t>银行账号：</w:t>
      </w:r>
      <w:r>
        <w:rPr>
          <w:rFonts w:hint="eastAsia"/>
          <w:u w:val="single"/>
        </w:rPr>
        <w:t xml:space="preserve">                                                    </w:t>
      </w:r>
    </w:p>
    <w:p w14:paraId="0B200350">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178EE9C">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7DDE861">
      <w:pPr>
        <w:snapToGrid w:val="0"/>
        <w:spacing w:line="360" w:lineRule="auto"/>
        <w:ind w:firstLine="5160" w:firstLineChars="2150"/>
        <w:rPr>
          <w:rFonts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61739BF4">
      <w:pPr>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6725AD71">
      <w:pPr>
        <w:snapToGrid w:val="0"/>
        <w:spacing w:before="50" w:after="50" w:line="360" w:lineRule="auto"/>
        <w:rPr>
          <w:rFonts w:ascii="宋体" w:hAnsi="宋体"/>
          <w:sz w:val="24"/>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14:paraId="7C4DC4E0">
      <w:pPr>
        <w:snapToGrid w:val="0"/>
        <w:spacing w:before="50" w:after="50" w:line="360" w:lineRule="auto"/>
        <w:rPr>
          <w:rFonts w:ascii="宋体" w:hAnsi="宋体"/>
          <w:sz w:val="24"/>
          <w:u w:val="single"/>
        </w:rPr>
      </w:pP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12AE6A7A">
      <w:pPr>
        <w:spacing w:line="360" w:lineRule="auto"/>
        <w:rPr>
          <w:rFonts w:hAnsi="宋体"/>
          <w:sz w:val="24"/>
        </w:rPr>
      </w:pPr>
      <w:r>
        <w:rPr>
          <w:rFonts w:hint="eastAsia" w:hAnsi="宋体"/>
          <w:sz w:val="24"/>
        </w:rPr>
        <w:t>投标人名称：</w:t>
      </w:r>
      <w:r>
        <w:rPr>
          <w:rFonts w:hint="eastAsia" w:hAnsi="宋体"/>
          <w:sz w:val="24"/>
          <w:u w:val="single"/>
        </w:rPr>
        <w:t xml:space="preserve">                     </w:t>
      </w:r>
      <w:r>
        <w:rPr>
          <w:rFonts w:hint="eastAsia" w:hAnsi="宋体"/>
          <w:sz w:val="24"/>
        </w:rPr>
        <w:t xml:space="preserve">   </w:t>
      </w:r>
    </w:p>
    <w:tbl>
      <w:tblPr>
        <w:tblStyle w:val="35"/>
        <w:tblW w:w="9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143"/>
        <w:gridCol w:w="1309"/>
        <w:gridCol w:w="884"/>
        <w:gridCol w:w="1462"/>
        <w:gridCol w:w="1080"/>
        <w:gridCol w:w="1080"/>
      </w:tblGrid>
      <w:tr w14:paraId="44E2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42C2A5E7">
            <w:pPr>
              <w:jc w:val="center"/>
              <w:rPr>
                <w:rFonts w:ascii="宋体" w:hAnsi="宋体"/>
                <w:szCs w:val="22"/>
                <w:highlight w:val="none"/>
              </w:rPr>
            </w:pPr>
            <w:r>
              <w:rPr>
                <w:rFonts w:hint="eastAsia" w:ascii="宋体" w:hAnsi="宋体"/>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72FF1FB0">
            <w:pPr>
              <w:jc w:val="center"/>
              <w:rPr>
                <w:rFonts w:ascii="宋体" w:hAnsi="宋体"/>
                <w:szCs w:val="22"/>
                <w:highlight w:val="none"/>
              </w:rPr>
            </w:pPr>
            <w:r>
              <w:rPr>
                <w:rFonts w:hint="eastAsia" w:ascii="宋体" w:hAnsi="宋体"/>
                <w:szCs w:val="22"/>
                <w:highlight w:val="none"/>
              </w:rPr>
              <w:t>服务名称</w:t>
            </w:r>
          </w:p>
        </w:tc>
        <w:tc>
          <w:tcPr>
            <w:tcW w:w="2143" w:type="dxa"/>
            <w:tcBorders>
              <w:top w:val="single" w:color="auto" w:sz="4" w:space="0"/>
              <w:left w:val="single" w:color="auto" w:sz="4" w:space="0"/>
              <w:bottom w:val="single" w:color="auto" w:sz="4" w:space="0"/>
              <w:right w:val="single" w:color="auto" w:sz="4" w:space="0"/>
            </w:tcBorders>
            <w:vAlign w:val="center"/>
          </w:tcPr>
          <w:p w14:paraId="4AF9B054">
            <w:pPr>
              <w:jc w:val="center"/>
              <w:rPr>
                <w:rFonts w:ascii="宋体" w:hAnsi="宋体"/>
                <w:szCs w:val="22"/>
                <w:highlight w:val="none"/>
              </w:rPr>
            </w:pPr>
            <w:r>
              <w:rPr>
                <w:rFonts w:hint="eastAsia" w:ascii="宋体" w:hAnsi="宋体"/>
                <w:color w:val="0D0D0D"/>
                <w:szCs w:val="22"/>
                <w:highlight w:val="none"/>
              </w:rPr>
              <w:t>具体服务内容（含具体服务范围、服务时间、服务标准等内容）</w:t>
            </w:r>
          </w:p>
        </w:tc>
        <w:tc>
          <w:tcPr>
            <w:tcW w:w="1309" w:type="dxa"/>
            <w:tcBorders>
              <w:top w:val="single" w:color="auto" w:sz="4" w:space="0"/>
              <w:left w:val="single" w:color="auto" w:sz="4" w:space="0"/>
              <w:bottom w:val="single" w:color="auto" w:sz="4" w:space="0"/>
              <w:right w:val="single" w:color="auto" w:sz="4" w:space="0"/>
            </w:tcBorders>
            <w:vAlign w:val="center"/>
          </w:tcPr>
          <w:p w14:paraId="1A227EA2">
            <w:pPr>
              <w:jc w:val="center"/>
              <w:rPr>
                <w:rFonts w:ascii="宋体" w:hAnsi="宋体"/>
                <w:szCs w:val="22"/>
                <w:highlight w:val="none"/>
              </w:rPr>
            </w:pPr>
            <w:r>
              <w:rPr>
                <w:rFonts w:hint="eastAsia" w:ascii="宋体" w:hAnsi="宋体"/>
                <w:szCs w:val="22"/>
                <w:highlight w:val="none"/>
              </w:rPr>
              <w:t>数量</w:t>
            </w:r>
            <w:r>
              <w:rPr>
                <w:rFonts w:ascii="宋体" w:hAnsi="宋体"/>
                <w:szCs w:val="22"/>
                <w:highlight w:val="none"/>
              </w:rPr>
              <w:t>①</w:t>
            </w:r>
          </w:p>
        </w:tc>
        <w:tc>
          <w:tcPr>
            <w:tcW w:w="884" w:type="dxa"/>
            <w:tcBorders>
              <w:top w:val="single" w:color="auto" w:sz="4" w:space="0"/>
              <w:left w:val="single" w:color="auto" w:sz="4" w:space="0"/>
              <w:bottom w:val="single" w:color="auto" w:sz="4" w:space="0"/>
              <w:right w:val="single" w:color="auto" w:sz="4" w:space="0"/>
            </w:tcBorders>
            <w:vAlign w:val="center"/>
          </w:tcPr>
          <w:p w14:paraId="70F43E4F">
            <w:pPr>
              <w:jc w:val="center"/>
              <w:rPr>
                <w:rFonts w:ascii="宋体" w:hAnsi="宋体"/>
                <w:szCs w:val="22"/>
                <w:highlight w:val="none"/>
              </w:rPr>
            </w:pPr>
            <w:r>
              <w:rPr>
                <w:rFonts w:hint="eastAsia" w:ascii="宋体" w:hAnsi="宋体"/>
                <w:szCs w:val="22"/>
                <w:highlight w:val="none"/>
              </w:rPr>
              <w:t>单价</w:t>
            </w:r>
            <w:r>
              <w:rPr>
                <w:rFonts w:ascii="宋体" w:hAnsi="宋体"/>
                <w:szCs w:val="22"/>
                <w:highlight w:val="none"/>
              </w:rPr>
              <w:t>(</w:t>
            </w:r>
            <w:r>
              <w:rPr>
                <w:rFonts w:hint="eastAsia" w:ascii="宋体" w:hAnsi="宋体"/>
                <w:szCs w:val="22"/>
                <w:highlight w:val="none"/>
              </w:rPr>
              <w:t>元</w:t>
            </w:r>
            <w:r>
              <w:rPr>
                <w:rFonts w:ascii="宋体" w:hAnsi="宋体"/>
                <w:szCs w:val="22"/>
                <w:highlight w:val="none"/>
              </w:rPr>
              <w:t>)②</w:t>
            </w:r>
          </w:p>
        </w:tc>
        <w:tc>
          <w:tcPr>
            <w:tcW w:w="1462" w:type="dxa"/>
            <w:tcBorders>
              <w:top w:val="single" w:color="auto" w:sz="4" w:space="0"/>
              <w:left w:val="single" w:color="auto" w:sz="4" w:space="0"/>
              <w:bottom w:val="single" w:color="auto" w:sz="4" w:space="0"/>
              <w:right w:val="single" w:color="auto" w:sz="4" w:space="0"/>
            </w:tcBorders>
            <w:vAlign w:val="center"/>
          </w:tcPr>
          <w:p w14:paraId="7E7836AF">
            <w:pPr>
              <w:jc w:val="center"/>
              <w:rPr>
                <w:rFonts w:ascii="宋体" w:hAnsi="宋体"/>
                <w:szCs w:val="22"/>
                <w:highlight w:val="none"/>
              </w:rPr>
            </w:pPr>
            <w:r>
              <w:rPr>
                <w:rFonts w:hint="eastAsia" w:ascii="宋体" w:hAnsi="宋体"/>
                <w:szCs w:val="22"/>
                <w:highlight w:val="none"/>
              </w:rPr>
              <w:t>单项合价（元）</w:t>
            </w:r>
          </w:p>
          <w:p w14:paraId="1372977C">
            <w:pPr>
              <w:jc w:val="center"/>
              <w:rPr>
                <w:rFonts w:ascii="宋体" w:hAnsi="宋体"/>
                <w:szCs w:val="22"/>
                <w:highlight w:val="none"/>
              </w:rPr>
            </w:pPr>
            <w:r>
              <w:rPr>
                <w:rFonts w:ascii="宋体" w:hAnsi="宋体"/>
                <w:szCs w:val="22"/>
                <w:highlight w:val="none"/>
              </w:rPr>
              <w:t>③</w:t>
            </w:r>
            <w:r>
              <w:rPr>
                <w:rFonts w:hint="eastAsia" w:ascii="宋体" w:hAnsi="宋体"/>
                <w:szCs w:val="22"/>
                <w:highlight w:val="none"/>
              </w:rPr>
              <w:t>＝</w:t>
            </w:r>
            <w:r>
              <w:rPr>
                <w:rFonts w:ascii="宋体" w:hAnsi="宋体"/>
                <w:szCs w:val="22"/>
                <w:highlight w:val="none"/>
              </w:rPr>
              <w:t>①×②</w:t>
            </w:r>
          </w:p>
        </w:tc>
        <w:tc>
          <w:tcPr>
            <w:tcW w:w="1080" w:type="dxa"/>
            <w:tcBorders>
              <w:top w:val="single" w:color="auto" w:sz="4" w:space="0"/>
              <w:left w:val="single" w:color="auto" w:sz="4" w:space="0"/>
              <w:bottom w:val="single" w:color="auto" w:sz="4" w:space="0"/>
              <w:right w:val="single" w:color="auto" w:sz="4" w:space="0"/>
            </w:tcBorders>
            <w:vAlign w:val="center"/>
          </w:tcPr>
          <w:p w14:paraId="0C546F8F">
            <w:pPr>
              <w:jc w:val="center"/>
              <w:rPr>
                <w:rFonts w:ascii="宋体" w:hAnsi="宋体"/>
                <w:szCs w:val="22"/>
                <w:highlight w:val="none"/>
              </w:rPr>
            </w:pPr>
            <w:r>
              <w:rPr>
                <w:rFonts w:hint="eastAsia"/>
                <w:color w:val="0D0D0D"/>
                <w:highlight w:val="none"/>
              </w:rPr>
              <w:t>提交服务成果时间</w:t>
            </w:r>
          </w:p>
        </w:tc>
        <w:tc>
          <w:tcPr>
            <w:tcW w:w="1080" w:type="dxa"/>
            <w:tcBorders>
              <w:top w:val="single" w:color="auto" w:sz="4" w:space="0"/>
              <w:left w:val="single" w:color="auto" w:sz="4" w:space="0"/>
              <w:bottom w:val="single" w:color="auto" w:sz="4" w:space="0"/>
              <w:right w:val="single" w:color="auto" w:sz="4" w:space="0"/>
            </w:tcBorders>
            <w:vAlign w:val="center"/>
          </w:tcPr>
          <w:p w14:paraId="50BB81D9">
            <w:pPr>
              <w:jc w:val="center"/>
              <w:rPr>
                <w:rFonts w:hint="eastAsia" w:eastAsia="宋体"/>
                <w:color w:val="0D0D0D"/>
                <w:highlight w:val="none"/>
                <w:lang w:val="en-US" w:eastAsia="zh-CN"/>
              </w:rPr>
            </w:pPr>
            <w:r>
              <w:rPr>
                <w:rFonts w:hint="eastAsia"/>
                <w:color w:val="0D0D0D"/>
                <w:highlight w:val="none"/>
                <w:lang w:val="en-US" w:eastAsia="zh-CN"/>
              </w:rPr>
              <w:t>备注</w:t>
            </w:r>
          </w:p>
        </w:tc>
      </w:tr>
      <w:tr w14:paraId="1021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trPr>
        <w:tc>
          <w:tcPr>
            <w:tcW w:w="719" w:type="dxa"/>
            <w:tcBorders>
              <w:top w:val="single" w:color="auto" w:sz="4" w:space="0"/>
              <w:left w:val="single" w:color="auto" w:sz="4" w:space="0"/>
              <w:bottom w:val="single" w:color="auto" w:sz="4" w:space="0"/>
              <w:right w:val="single" w:color="auto" w:sz="4" w:space="0"/>
            </w:tcBorders>
            <w:vAlign w:val="center"/>
          </w:tcPr>
          <w:p w14:paraId="69E25E32">
            <w:pPr>
              <w:jc w:val="center"/>
              <w:rPr>
                <w:rFonts w:ascii="宋体" w:hAnsi="宋体"/>
                <w:szCs w:val="22"/>
                <w:highlight w:val="none"/>
              </w:rPr>
            </w:pPr>
            <w:r>
              <w:rPr>
                <w:rFonts w:ascii="宋体" w:hAnsi="宋体"/>
                <w:szCs w:val="22"/>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627EBE1F">
            <w:pPr>
              <w:jc w:val="center"/>
              <w:rPr>
                <w:rFonts w:ascii="宋体" w:hAnsi="宋体"/>
                <w:szCs w:val="22"/>
                <w:highlight w:val="none"/>
              </w:rPr>
            </w:pPr>
          </w:p>
        </w:tc>
        <w:tc>
          <w:tcPr>
            <w:tcW w:w="2143" w:type="dxa"/>
            <w:tcBorders>
              <w:top w:val="single" w:color="auto" w:sz="4" w:space="0"/>
              <w:left w:val="single" w:color="auto" w:sz="4" w:space="0"/>
              <w:bottom w:val="single" w:color="auto" w:sz="4" w:space="0"/>
              <w:right w:val="single" w:color="auto" w:sz="4" w:space="0"/>
            </w:tcBorders>
            <w:vAlign w:val="center"/>
          </w:tcPr>
          <w:p w14:paraId="6173EBC4">
            <w:pPr>
              <w:jc w:val="center"/>
              <w:rPr>
                <w:rFonts w:ascii="宋体" w:hAnsi="宋体"/>
                <w:szCs w:val="22"/>
                <w:highlight w:val="none"/>
              </w:rPr>
            </w:pPr>
          </w:p>
        </w:tc>
        <w:tc>
          <w:tcPr>
            <w:tcW w:w="1309" w:type="dxa"/>
            <w:tcBorders>
              <w:top w:val="single" w:color="auto" w:sz="4" w:space="0"/>
              <w:left w:val="single" w:color="auto" w:sz="4" w:space="0"/>
              <w:bottom w:val="single" w:color="auto" w:sz="4" w:space="0"/>
              <w:right w:val="single" w:color="auto" w:sz="4" w:space="0"/>
            </w:tcBorders>
            <w:vAlign w:val="center"/>
          </w:tcPr>
          <w:p w14:paraId="5532CF7D">
            <w:pPr>
              <w:jc w:val="center"/>
              <w:rPr>
                <w:rFonts w:ascii="宋体" w:hAnsi="宋体"/>
                <w:szCs w:val="22"/>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27DC268A">
            <w:pPr>
              <w:jc w:val="left"/>
              <w:rPr>
                <w:rFonts w:ascii="宋体" w:hAnsi="宋体"/>
                <w:szCs w:val="22"/>
                <w:highlight w:val="none"/>
              </w:rPr>
            </w:pPr>
          </w:p>
        </w:tc>
        <w:tc>
          <w:tcPr>
            <w:tcW w:w="1462" w:type="dxa"/>
            <w:tcBorders>
              <w:top w:val="single" w:color="auto" w:sz="4" w:space="0"/>
              <w:left w:val="single" w:color="auto" w:sz="4" w:space="0"/>
              <w:bottom w:val="single" w:color="auto" w:sz="4" w:space="0"/>
              <w:right w:val="single" w:color="auto" w:sz="4" w:space="0"/>
            </w:tcBorders>
            <w:vAlign w:val="center"/>
          </w:tcPr>
          <w:p w14:paraId="4FEE3E48">
            <w:pPr>
              <w:jc w:val="left"/>
              <w:rPr>
                <w:rFonts w:ascii="宋体" w:hAnsi="宋体"/>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C5653D8">
            <w:pPr>
              <w:jc w:val="center"/>
              <w:rPr>
                <w:rFonts w:ascii="宋体" w:hAnsi="宋体"/>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7F4AFE3E">
            <w:pPr>
              <w:jc w:val="center"/>
              <w:rPr>
                <w:rFonts w:ascii="宋体" w:hAnsi="宋体"/>
                <w:szCs w:val="22"/>
                <w:highlight w:val="none"/>
              </w:rPr>
            </w:pPr>
          </w:p>
        </w:tc>
      </w:tr>
      <w:tr w14:paraId="79BF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trPr>
        <w:tc>
          <w:tcPr>
            <w:tcW w:w="719" w:type="dxa"/>
            <w:tcBorders>
              <w:top w:val="single" w:color="auto" w:sz="4" w:space="0"/>
              <w:left w:val="single" w:color="auto" w:sz="4" w:space="0"/>
              <w:bottom w:val="single" w:color="auto" w:sz="4" w:space="0"/>
              <w:right w:val="single" w:color="auto" w:sz="4" w:space="0"/>
            </w:tcBorders>
            <w:vAlign w:val="center"/>
          </w:tcPr>
          <w:p w14:paraId="00C25DCD">
            <w:pPr>
              <w:jc w:val="center"/>
              <w:rPr>
                <w:rFonts w:ascii="宋体" w:hAnsi="宋体"/>
                <w:szCs w:val="22"/>
                <w:highlight w:val="none"/>
              </w:rPr>
            </w:pPr>
            <w:r>
              <w:rPr>
                <w:rFonts w:hint="eastAsia" w:ascii="宋体" w:hAnsi="宋体"/>
                <w:szCs w:val="22"/>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0E29697">
            <w:pPr>
              <w:jc w:val="center"/>
              <w:rPr>
                <w:rFonts w:ascii="宋体" w:hAnsi="宋体"/>
                <w:szCs w:val="22"/>
                <w:highlight w:val="none"/>
              </w:rPr>
            </w:pPr>
          </w:p>
        </w:tc>
        <w:tc>
          <w:tcPr>
            <w:tcW w:w="2143" w:type="dxa"/>
            <w:tcBorders>
              <w:top w:val="single" w:color="auto" w:sz="4" w:space="0"/>
              <w:left w:val="single" w:color="auto" w:sz="4" w:space="0"/>
              <w:bottom w:val="single" w:color="auto" w:sz="4" w:space="0"/>
              <w:right w:val="single" w:color="auto" w:sz="4" w:space="0"/>
            </w:tcBorders>
            <w:vAlign w:val="center"/>
          </w:tcPr>
          <w:p w14:paraId="14D357A7">
            <w:pPr>
              <w:jc w:val="center"/>
              <w:rPr>
                <w:rFonts w:ascii="宋体" w:hAnsi="宋体"/>
                <w:szCs w:val="22"/>
                <w:highlight w:val="none"/>
              </w:rPr>
            </w:pPr>
          </w:p>
        </w:tc>
        <w:tc>
          <w:tcPr>
            <w:tcW w:w="1309" w:type="dxa"/>
            <w:tcBorders>
              <w:top w:val="single" w:color="auto" w:sz="4" w:space="0"/>
              <w:left w:val="single" w:color="auto" w:sz="4" w:space="0"/>
              <w:bottom w:val="single" w:color="auto" w:sz="4" w:space="0"/>
              <w:right w:val="single" w:color="auto" w:sz="4" w:space="0"/>
            </w:tcBorders>
            <w:vAlign w:val="center"/>
          </w:tcPr>
          <w:p w14:paraId="6587D800">
            <w:pPr>
              <w:jc w:val="center"/>
              <w:rPr>
                <w:rFonts w:ascii="宋体" w:hAnsi="宋体"/>
                <w:szCs w:val="22"/>
                <w:highlight w:val="none"/>
              </w:rPr>
            </w:pPr>
          </w:p>
        </w:tc>
        <w:tc>
          <w:tcPr>
            <w:tcW w:w="884" w:type="dxa"/>
            <w:tcBorders>
              <w:top w:val="single" w:color="auto" w:sz="4" w:space="0"/>
              <w:left w:val="single" w:color="auto" w:sz="4" w:space="0"/>
              <w:bottom w:val="single" w:color="auto" w:sz="4" w:space="0"/>
              <w:right w:val="single" w:color="auto" w:sz="4" w:space="0"/>
            </w:tcBorders>
            <w:vAlign w:val="center"/>
          </w:tcPr>
          <w:p w14:paraId="6A709559">
            <w:pPr>
              <w:jc w:val="left"/>
              <w:rPr>
                <w:rFonts w:ascii="宋体" w:hAnsi="宋体"/>
                <w:szCs w:val="22"/>
                <w:highlight w:val="none"/>
              </w:rPr>
            </w:pPr>
          </w:p>
        </w:tc>
        <w:tc>
          <w:tcPr>
            <w:tcW w:w="1462" w:type="dxa"/>
            <w:tcBorders>
              <w:top w:val="single" w:color="auto" w:sz="4" w:space="0"/>
              <w:left w:val="single" w:color="auto" w:sz="4" w:space="0"/>
              <w:bottom w:val="single" w:color="auto" w:sz="4" w:space="0"/>
              <w:right w:val="single" w:color="auto" w:sz="4" w:space="0"/>
            </w:tcBorders>
            <w:vAlign w:val="center"/>
          </w:tcPr>
          <w:p w14:paraId="6A6C3047">
            <w:pPr>
              <w:jc w:val="left"/>
              <w:rPr>
                <w:rFonts w:ascii="宋体" w:hAnsi="宋体"/>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384B7059">
            <w:pPr>
              <w:jc w:val="center"/>
              <w:rPr>
                <w:rFonts w:ascii="宋体" w:hAnsi="宋体"/>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5D602905">
            <w:pPr>
              <w:jc w:val="center"/>
              <w:rPr>
                <w:rFonts w:ascii="宋体" w:hAnsi="宋体"/>
                <w:szCs w:val="22"/>
                <w:highlight w:val="none"/>
              </w:rPr>
            </w:pPr>
          </w:p>
        </w:tc>
      </w:tr>
      <w:tr w14:paraId="6E6A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37" w:type="dxa"/>
            <w:gridSpan w:val="8"/>
            <w:tcBorders>
              <w:top w:val="single" w:color="auto" w:sz="4" w:space="0"/>
              <w:left w:val="single" w:color="auto" w:sz="4" w:space="0"/>
              <w:bottom w:val="single" w:color="auto" w:sz="4" w:space="0"/>
              <w:right w:val="single" w:color="auto" w:sz="4" w:space="0"/>
            </w:tcBorders>
          </w:tcPr>
          <w:p w14:paraId="126B8690">
            <w:pPr>
              <w:spacing w:line="480" w:lineRule="auto"/>
              <w:rPr>
                <w:rFonts w:hint="eastAsia" w:ascii="宋体" w:hAnsi="宋体"/>
                <w:szCs w:val="22"/>
                <w:highlight w:val="none"/>
              </w:rPr>
            </w:pPr>
            <w:r>
              <w:rPr>
                <w:rFonts w:hint="eastAsia" w:ascii="宋体" w:hAnsi="宋体"/>
                <w:szCs w:val="22"/>
                <w:highlight w:val="none"/>
              </w:rPr>
              <w:t>报价合计（包含税费等所有费用）：（大写）人民币                    （￥</w:t>
            </w:r>
            <w:r>
              <w:rPr>
                <w:rFonts w:ascii="宋体" w:hAnsi="宋体"/>
                <w:szCs w:val="22"/>
                <w:highlight w:val="none"/>
              </w:rPr>
              <w:t xml:space="preserve">                </w:t>
            </w:r>
            <w:r>
              <w:rPr>
                <w:rFonts w:hint="eastAsia" w:ascii="宋体" w:hAnsi="宋体"/>
                <w:szCs w:val="22"/>
                <w:highlight w:val="none"/>
              </w:rPr>
              <w:t>元）</w:t>
            </w:r>
          </w:p>
        </w:tc>
      </w:tr>
    </w:tbl>
    <w:p w14:paraId="1D9C2746"/>
    <w:p w14:paraId="4CD2E00C">
      <w:pPr>
        <w:snapToGrid w:val="0"/>
        <w:spacing w:before="50" w:after="50" w:line="360" w:lineRule="auto"/>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16B638CD">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投标人需按本表格式填写，如有多分标，按分标分别提供开标一览表，必须加盖投标人有效电子公章。</w:t>
      </w:r>
    </w:p>
    <w:p w14:paraId="190119E5">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p>
    <w:p w14:paraId="6CE33E1C">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3、如为联合体投标，“投标人名称”处必须列明联合体各方名称，并标注联合体牵头人名称，且盖章处须加盖联合体各方公章。</w:t>
      </w:r>
    </w:p>
    <w:p w14:paraId="27747423">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、特别提示：采购机构将对项目名称和项目编号，中标人名称、地址和中标金额，主要中标标的的名称、服务范围、服务要求、服务时间、服务标准等予以公示。</w:t>
      </w:r>
    </w:p>
    <w:p w14:paraId="1F0440E2">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rPr>
        <w:t>5</w:t>
      </w:r>
      <w:r>
        <w:rPr>
          <w:rFonts w:hint="eastAsia"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14:paraId="61D40703">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13E2F3D">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3A0C0BB9">
      <w:pPr>
        <w:snapToGrid w:val="0"/>
        <w:spacing w:line="360" w:lineRule="auto"/>
        <w:ind w:firstLine="6450" w:firstLineChars="2150"/>
        <w:rPr>
          <w:rFonts w:hAnsi="宋体"/>
          <w:sz w:val="30"/>
        </w:rPr>
      </w:pPr>
    </w:p>
    <w:p w14:paraId="6405621E">
      <w:pPr>
        <w:snapToGrid w:val="0"/>
        <w:spacing w:line="360" w:lineRule="auto"/>
        <w:ind w:firstLine="6450" w:firstLineChars="2150"/>
        <w:rPr>
          <w:rFonts w:hAnsi="宋体"/>
          <w:sz w:val="30"/>
        </w:rPr>
      </w:pPr>
    </w:p>
    <w:p w14:paraId="6EF6A197">
      <w:pPr>
        <w:snapToGrid w:val="0"/>
        <w:spacing w:line="360" w:lineRule="auto"/>
        <w:ind w:firstLine="6450" w:firstLineChars="2150"/>
        <w:rPr>
          <w:rFonts w:hAnsi="宋体"/>
          <w:sz w:val="30"/>
        </w:rPr>
      </w:pPr>
    </w:p>
    <w:p w14:paraId="1390C0EE">
      <w:pPr>
        <w:spacing w:line="360" w:lineRule="auto"/>
        <w:jc w:val="center"/>
        <w:rPr>
          <w:rFonts w:hint="eastAsia" w:hAnsi="宋体"/>
          <w:b/>
          <w:bCs/>
          <w:sz w:val="30"/>
        </w:rPr>
      </w:pPr>
      <w:r>
        <w:rPr>
          <w:rFonts w:hint="eastAsia" w:hAnsi="宋体"/>
          <w:b/>
          <w:bCs/>
          <w:sz w:val="30"/>
          <w:lang w:val="en-US" w:eastAsia="zh-CN"/>
        </w:rPr>
        <w:t>三、投标人针对报价需要说明的其他文件和说明，如《中小企业声明函》</w:t>
      </w:r>
    </w:p>
    <w:p w14:paraId="45EB5EB0">
      <w:pPr>
        <w:jc w:val="center"/>
        <w:rPr>
          <w:b/>
          <w:sz w:val="30"/>
          <w:szCs w:val="30"/>
        </w:rPr>
      </w:pPr>
      <w:r>
        <w:rPr>
          <w:rFonts w:hint="eastAsia"/>
          <w:b/>
          <w:sz w:val="30"/>
          <w:szCs w:val="30"/>
        </w:rPr>
        <w:t>1、中小企业声明函</w:t>
      </w:r>
    </w:p>
    <w:p w14:paraId="6609B963">
      <w:pPr>
        <w:pStyle w:val="11"/>
        <w:rPr>
          <w:rFonts w:ascii="Times New Roman"/>
          <w:sz w:val="21"/>
          <w:szCs w:val="21"/>
        </w:rPr>
      </w:pPr>
      <w:r>
        <w:rPr>
          <w:rFonts w:hint="eastAsia" w:ascii="Times New Roman" w:hAnsi="宋体"/>
          <w:sz w:val="21"/>
          <w:szCs w:val="21"/>
        </w:rPr>
        <w:t>说明：</w:t>
      </w:r>
    </w:p>
    <w:p w14:paraId="15251BFD">
      <w:pPr>
        <w:pStyle w:val="11"/>
        <w:ind w:firstLine="420" w:firstLineChars="200"/>
        <w:rPr>
          <w:rFonts w:ascii="Times New Roman"/>
          <w:sz w:val="21"/>
          <w:szCs w:val="21"/>
        </w:rPr>
      </w:pPr>
      <w:r>
        <w:rPr>
          <w:rFonts w:ascii="Times New Roman"/>
          <w:sz w:val="21"/>
          <w:szCs w:val="21"/>
        </w:rPr>
        <w:t>1</w:t>
      </w:r>
      <w:r>
        <w:rPr>
          <w:rFonts w:hint="eastAsia" w:ascii="Times New Roman" w:hAnsi="宋体"/>
          <w:sz w:val="21"/>
          <w:szCs w:val="21"/>
        </w:rPr>
        <w:t>、本声明函主要供参加政府采购活动的中小企业填写，非中小企业无需填写。</w:t>
      </w:r>
    </w:p>
    <w:p w14:paraId="44394BE2">
      <w:pPr>
        <w:pStyle w:val="11"/>
        <w:ind w:firstLine="420" w:firstLineChars="200"/>
        <w:rPr>
          <w:rFonts w:ascii="Times New Roman" w:hAnsi="宋体"/>
          <w:sz w:val="21"/>
          <w:szCs w:val="21"/>
        </w:rPr>
      </w:pPr>
      <w:r>
        <w:rPr>
          <w:rFonts w:ascii="Times New Roman"/>
          <w:sz w:val="21"/>
          <w:szCs w:val="21"/>
        </w:rPr>
        <w:t>2</w:t>
      </w:r>
      <w:r>
        <w:rPr>
          <w:rFonts w:hint="eastAsia" w:ascii="Times New Roman" w:hAnsi="宋体"/>
          <w:sz w:val="21"/>
          <w:szCs w:val="21"/>
        </w:rPr>
        <w:t>、小型、微型企业提供中型企业提供的服务的，视同为中型企业。</w:t>
      </w:r>
    </w:p>
    <w:p w14:paraId="78040DF0">
      <w:pPr>
        <w:pStyle w:val="11"/>
        <w:ind w:firstLine="420" w:firstLineChars="200"/>
        <w:rPr>
          <w:rFonts w:ascii="Times New Roman" w:hAnsi="宋体"/>
          <w:sz w:val="21"/>
          <w:szCs w:val="21"/>
        </w:rPr>
      </w:pPr>
    </w:p>
    <w:p w14:paraId="33B6D6A6">
      <w:pPr>
        <w:spacing w:line="500" w:lineRule="exact"/>
        <w:ind w:right="142" w:firstLine="420" w:firstLineChars="200"/>
        <w:rPr>
          <w:rFonts w:ascii="宋体" w:hAnsi="宋体"/>
        </w:rPr>
      </w:pPr>
      <w:r>
        <w:rPr>
          <w:rFonts w:hint="eastAsia" w:ascii="宋体" w:hAnsi="宋体"/>
        </w:rPr>
        <w:t>本公司（联合体）郑重声明，根据《政府采购促进中小企业发展管理办法》（财库﹝2020﹞46号）的规定，本公司（联合体）参加</w:t>
      </w:r>
      <w:r>
        <w:rPr>
          <w:rFonts w:hint="eastAsia" w:ascii="宋体" w:hAnsi="宋体"/>
          <w:u w:val="single"/>
          <w:lang w:eastAsia="zh-CN"/>
        </w:rPr>
        <w:t>《南宁市中心城区新城片区XC-01（桃源桥北）单元控制性详细规划及城市设计》修编</w:t>
      </w:r>
      <w:r>
        <w:rPr>
          <w:rFonts w:hint="eastAsia" w:ascii="宋体" w:hAnsi="宋体"/>
        </w:rPr>
        <w:t>采购活动，服务全部由符合政策要求的中小企业承接。相关企业（含联合体中的中小企业、签订分包意向协议的中小企业）的具体情况如下：</w:t>
      </w:r>
    </w:p>
    <w:p w14:paraId="56ECE95F">
      <w:pPr>
        <w:tabs>
          <w:tab w:val="left" w:pos="1384"/>
          <w:tab w:val="left" w:pos="4562"/>
          <w:tab w:val="left" w:pos="6803"/>
        </w:tabs>
        <w:spacing w:before="13" w:line="500" w:lineRule="exact"/>
        <w:ind w:right="142" w:firstLine="600" w:firstLineChars="286"/>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（招标文件中明确的所属行业）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 xml:space="preserve">      </w:t>
      </w:r>
      <w:r>
        <w:rPr>
          <w:rFonts w:hint="eastAsia" w:ascii="宋体" w:hAnsi="宋体"/>
          <w:szCs w:val="21"/>
        </w:rPr>
        <w:t>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60EDEBB3">
      <w:pPr>
        <w:tabs>
          <w:tab w:val="left" w:pos="1065"/>
          <w:tab w:val="left" w:pos="4262"/>
          <w:tab w:val="left" w:pos="6477"/>
        </w:tabs>
        <w:spacing w:before="20" w:line="500" w:lineRule="exact"/>
        <w:ind w:right="84" w:firstLine="600" w:firstLineChars="286"/>
        <w:rPr>
          <w:rFonts w:ascii="宋体" w:hAnsi="宋体"/>
          <w:szCs w:val="21"/>
          <w:u w:val="single"/>
        </w:rPr>
      </w:pPr>
      <w:r>
        <w:rPr>
          <w:rFonts w:hint="eastAsia" w:ascii="宋体" w:hAnsi="宋体"/>
          <w:szCs w:val="21"/>
        </w:rPr>
        <w:t>2.</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（招标文件中明确的所属行业）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 xml:space="preserve">      </w:t>
      </w:r>
      <w:r>
        <w:rPr>
          <w:rFonts w:hint="eastAsia" w:ascii="宋体" w:hAnsi="宋体"/>
          <w:szCs w:val="21"/>
        </w:rPr>
        <w:t>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C1D3E54">
      <w:pPr>
        <w:spacing w:before="34" w:line="500" w:lineRule="exact"/>
        <w:ind w:left="765" w:right="142" w:hanging="5"/>
        <w:rPr>
          <w:rFonts w:ascii="宋体" w:hAnsi="宋体"/>
        </w:rPr>
      </w:pPr>
      <w:r>
        <w:rPr>
          <w:rFonts w:hint="eastAsia" w:ascii="宋体" w:hAnsi="宋体"/>
        </w:rPr>
        <w:t xml:space="preserve">…… </w:t>
      </w:r>
    </w:p>
    <w:p w14:paraId="078DCD02">
      <w:pPr>
        <w:spacing w:before="34" w:line="500" w:lineRule="exact"/>
        <w:ind w:right="142" w:firstLine="420" w:firstLineChars="200"/>
        <w:rPr>
          <w:rFonts w:ascii="宋体" w:hAnsi="宋体"/>
        </w:rPr>
      </w:pPr>
      <w:r>
        <w:rPr>
          <w:rFonts w:hint="eastAsia" w:ascii="宋体" w:hAnsi="宋体"/>
        </w:rPr>
        <w:t>以上企业，不属于大企业的分支机构，不存在控股股东为大企业的情形，也不存在与大企业的负责人为同一人的情形。</w:t>
      </w:r>
    </w:p>
    <w:p w14:paraId="4F30F602">
      <w:pPr>
        <w:spacing w:before="34" w:line="500" w:lineRule="exact"/>
        <w:ind w:right="142" w:firstLine="420" w:firstLineChars="200"/>
        <w:rPr>
          <w:rFonts w:ascii="宋体" w:hAnsi="宋体"/>
        </w:rPr>
      </w:pPr>
      <w:r>
        <w:rPr>
          <w:rFonts w:hint="eastAsia" w:ascii="宋体" w:hAnsi="宋体"/>
        </w:rPr>
        <w:t>本企业对上述声明内容的真实性负责。如有虚假，将依法承担相应责任。</w:t>
      </w:r>
    </w:p>
    <w:p w14:paraId="02999816">
      <w:pPr>
        <w:spacing w:line="360" w:lineRule="auto"/>
        <w:ind w:firstLine="420" w:firstLineChars="200"/>
        <w:rPr>
          <w:rFonts w:hAnsi="宋体"/>
          <w:szCs w:val="21"/>
        </w:rPr>
      </w:pPr>
    </w:p>
    <w:p w14:paraId="068BDEC5">
      <w:pPr>
        <w:spacing w:line="360" w:lineRule="auto"/>
        <w:ind w:firstLine="420" w:firstLineChars="200"/>
        <w:rPr>
          <w:rFonts w:hAnsi="宋体"/>
          <w:szCs w:val="21"/>
        </w:rPr>
      </w:pPr>
    </w:p>
    <w:p w14:paraId="2124C18C">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84A6706">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4E427DC5">
      <w:pPr>
        <w:snapToGrid w:val="0"/>
        <w:spacing w:before="50" w:after="165" w:afterLines="50" w:line="360" w:lineRule="auto"/>
        <w:jc w:val="left"/>
        <w:rPr>
          <w:rFonts w:hAnsi="宋体" w:cs="宋体"/>
          <w:sz w:val="20"/>
        </w:rPr>
      </w:pPr>
      <w:r>
        <w:rPr>
          <w:rFonts w:hint="eastAsia" w:hAnsi="宋体" w:cs="宋体"/>
          <w:sz w:val="20"/>
        </w:rPr>
        <w:t>注：</w:t>
      </w:r>
    </w:p>
    <w:p w14:paraId="1C8BC23F">
      <w:pPr>
        <w:numPr>
          <w:ilvl w:val="0"/>
          <w:numId w:val="4"/>
        </w:numPr>
        <w:snapToGrid w:val="0"/>
        <w:spacing w:before="50" w:after="165" w:afterLines="50" w:line="360" w:lineRule="auto"/>
        <w:jc w:val="left"/>
        <w:rPr>
          <w:sz w:val="20"/>
        </w:rPr>
      </w:pPr>
      <w:r>
        <w:rPr>
          <w:rFonts w:hint="eastAsia"/>
          <w:sz w:val="20"/>
        </w:rPr>
        <w:t>从业人员、营业收入、资产总额填报上一年度数据，无上一年度数据的新成立企业可不填报。</w:t>
      </w:r>
    </w:p>
    <w:p w14:paraId="517042A2">
      <w:pPr>
        <w:snapToGrid w:val="0"/>
        <w:spacing w:before="50" w:after="165" w:afterLines="50" w:line="360" w:lineRule="auto"/>
        <w:ind w:firstLine="300" w:firstLineChars="150"/>
        <w:jc w:val="left"/>
        <w:rPr>
          <w:sz w:val="20"/>
        </w:r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5E91DC1F">
      <w:pPr>
        <w:snapToGrid w:val="0"/>
        <w:spacing w:before="50" w:after="165" w:afterLines="50" w:line="360" w:lineRule="auto"/>
        <w:ind w:firstLine="300" w:firstLineChars="150"/>
        <w:jc w:val="left"/>
        <w:rPr>
          <w:sz w:val="20"/>
        </w:rPr>
      </w:pPr>
      <w:r>
        <w:rPr>
          <w:rFonts w:hint="eastAsia"/>
          <w:sz w:val="20"/>
        </w:rPr>
        <w:br w:type="page"/>
      </w:r>
    </w:p>
    <w:p w14:paraId="5F49F38C">
      <w:pPr>
        <w:snapToGrid w:val="0"/>
        <w:spacing w:before="165" w:beforeLines="50" w:after="50"/>
        <w:ind w:firstLine="3092" w:firstLineChars="1100"/>
        <w:outlineLvl w:val="1"/>
        <w:rPr>
          <w:rFonts w:ascii="宋体" w:hAnsi="宋体"/>
          <w:b/>
          <w:bCs/>
          <w:sz w:val="28"/>
          <w:szCs w:val="28"/>
        </w:rPr>
      </w:pPr>
      <w:r>
        <w:rPr>
          <w:rFonts w:hint="eastAsia" w:ascii="宋体" w:hAnsi="宋体"/>
          <w:b/>
          <w:bCs/>
          <w:sz w:val="28"/>
          <w:szCs w:val="28"/>
        </w:rPr>
        <w:t>2、其他文书、文件格式</w:t>
      </w:r>
    </w:p>
    <w:p w14:paraId="21347EE7">
      <w:pPr>
        <w:spacing w:line="360" w:lineRule="auto"/>
        <w:jc w:val="center"/>
        <w:rPr>
          <w:b/>
          <w:sz w:val="30"/>
          <w:szCs w:val="30"/>
        </w:rPr>
      </w:pPr>
      <w:r>
        <w:rPr>
          <w:rFonts w:hint="eastAsia"/>
          <w:b/>
          <w:sz w:val="30"/>
          <w:szCs w:val="30"/>
        </w:rPr>
        <w:t>残疾人福利性单位声明函（格式）</w:t>
      </w:r>
    </w:p>
    <w:p w14:paraId="7923DF97">
      <w:pPr>
        <w:spacing w:line="360" w:lineRule="auto"/>
        <w:jc w:val="center"/>
        <w:rPr>
          <w:b/>
          <w:sz w:val="30"/>
          <w:szCs w:val="30"/>
        </w:rPr>
      </w:pPr>
    </w:p>
    <w:p w14:paraId="160E08F3">
      <w:pPr>
        <w:spacing w:line="360" w:lineRule="auto"/>
        <w:jc w:val="left"/>
        <w:rPr>
          <w:rFonts w:ascii="仿宋_GB2312" w:eastAsia="仿宋_GB2312"/>
          <w:sz w:val="24"/>
        </w:rPr>
      </w:pPr>
      <w:r>
        <w:rPr>
          <w:rFonts w:hint="eastAsia"/>
          <w:sz w:val="30"/>
          <w:szCs w:val="30"/>
        </w:rPr>
        <w:t xml:space="preserve">   </w:t>
      </w:r>
      <w:r>
        <w:rPr>
          <w:rFonts w:hint="eastAsia" w:ascii="仿宋_GB2312" w:eastAsia="仿宋_GB2312"/>
          <w:sz w:val="24"/>
        </w:rPr>
        <w:t>本公司郑重声明，根据《财政部 民政部 中国残疾人联合会关于促进残疾人就业政府采购政策的通知》（财库〔2017〕 141号）的规定，本公司为符合条件的残疾人福利性单位，且本公司参加</w:t>
      </w:r>
      <w:r>
        <w:rPr>
          <w:rFonts w:hint="eastAsia" w:ascii="仿宋_GB2312" w:eastAsia="仿宋_GB2312"/>
          <w:sz w:val="24"/>
          <w:u w:val="single"/>
        </w:rPr>
        <w:t xml:space="preserve">        </w:t>
      </w:r>
      <w:r>
        <w:rPr>
          <w:rFonts w:hint="eastAsia" w:ascii="仿宋_GB2312" w:eastAsia="仿宋_GB2312"/>
          <w:sz w:val="24"/>
        </w:rPr>
        <w:t>单位的</w:t>
      </w:r>
      <w:r>
        <w:rPr>
          <w:rFonts w:hint="eastAsia" w:ascii="仿宋_GB2312" w:eastAsia="仿宋_GB2312"/>
          <w:sz w:val="24"/>
          <w:u w:val="single"/>
        </w:rPr>
        <w:t xml:space="preserve">          </w:t>
      </w:r>
      <w:r>
        <w:rPr>
          <w:rFonts w:hint="eastAsia" w:ascii="仿宋_GB2312" w:eastAsia="仿宋_GB2312"/>
          <w:sz w:val="24"/>
        </w:rPr>
        <w:t>项目采购活动提供本公司制造的货物（由本公司承担工程/提供服务），或者提供其他残疾人福利性单位制造的货物（不包括使用非残疾人福利性单位注册商标的货物）。</w:t>
      </w:r>
    </w:p>
    <w:p w14:paraId="1DB9532D">
      <w:pPr>
        <w:spacing w:line="360" w:lineRule="auto"/>
        <w:ind w:firstLine="480" w:firstLineChars="200"/>
        <w:jc w:val="left"/>
        <w:rPr>
          <w:rFonts w:ascii="仿宋_GB2312" w:eastAsia="仿宋_GB2312"/>
          <w:sz w:val="24"/>
        </w:rPr>
      </w:pPr>
      <w:r>
        <w:rPr>
          <w:rFonts w:hint="eastAsia" w:ascii="仿宋_GB2312" w:eastAsia="仿宋_GB2312"/>
          <w:sz w:val="24"/>
        </w:rPr>
        <w:t>本公司对上述声明的真实性负责。如有虚假，将依法承担相应责任。</w:t>
      </w:r>
    </w:p>
    <w:p w14:paraId="6B2B69B7">
      <w:pPr>
        <w:spacing w:line="360" w:lineRule="auto"/>
        <w:jc w:val="left"/>
        <w:rPr>
          <w:b/>
          <w:szCs w:val="21"/>
        </w:rPr>
      </w:pPr>
    </w:p>
    <w:p w14:paraId="6021E479">
      <w:pPr>
        <w:spacing w:line="360" w:lineRule="auto"/>
        <w:jc w:val="left"/>
        <w:rPr>
          <w:b/>
          <w:szCs w:val="21"/>
        </w:rPr>
      </w:pPr>
    </w:p>
    <w:p w14:paraId="28F49CB9">
      <w:pPr>
        <w:snapToGrid w:val="0"/>
        <w:spacing w:line="360" w:lineRule="auto"/>
        <w:ind w:left="5137" w:leftChars="1736" w:hanging="1491" w:hangingChars="825"/>
        <w:rPr>
          <w:rFonts w:ascii="仿宋_GB2312" w:hAnsi="仿宋" w:eastAsia="仿宋_GB2312" w:cs="仿宋_GB2312"/>
          <w:kern w:val="0"/>
          <w:sz w:val="24"/>
        </w:rPr>
      </w:pPr>
      <w:r>
        <w:rPr>
          <w:rFonts w:hint="eastAsia"/>
          <w:b/>
          <w:sz w:val="18"/>
          <w:szCs w:val="18"/>
        </w:rPr>
        <w:t xml:space="preserve">                                                                    </w:t>
      </w:r>
      <w:r>
        <w:rPr>
          <w:rFonts w:hint="eastAsia" w:ascii="仿宋_GB2312" w:hAnsi="仿宋" w:eastAsia="仿宋_GB2312" w:cs="仿宋_GB2312"/>
          <w:kern w:val="0"/>
          <w:sz w:val="24"/>
          <w:lang w:val="zh-CN"/>
        </w:rPr>
        <w:t>投标人名称(电子签章)：</w:t>
      </w:r>
    </w:p>
    <w:p w14:paraId="197BF2A6">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14:paraId="0CD8848B">
      <w:pPr>
        <w:spacing w:line="360" w:lineRule="auto"/>
        <w:ind w:left="5132" w:leftChars="1979" w:hanging="976" w:hangingChars="488"/>
        <w:rPr>
          <w:sz w:val="20"/>
        </w:rPr>
      </w:pPr>
    </w:p>
    <w:p w14:paraId="178FB57E">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29C3462">
      <w:pPr>
        <w:jc w:val="center"/>
        <w:rPr>
          <w:rFonts w:ascii="宋体" w:hAnsi="宋体" w:cs="宋体"/>
          <w:b/>
          <w:bCs/>
          <w:sz w:val="32"/>
          <w:szCs w:val="32"/>
        </w:rPr>
      </w:pPr>
      <w:r>
        <w:rPr>
          <w:sz w:val="20"/>
        </w:rPr>
        <w:br w:type="page"/>
      </w:r>
      <w:r>
        <w:rPr>
          <w:rFonts w:hint="eastAsia" w:ascii="宋体" w:hAnsi="宋体" w:cs="宋体"/>
          <w:b/>
          <w:bCs/>
          <w:sz w:val="32"/>
          <w:szCs w:val="32"/>
        </w:rPr>
        <w:t>知识产权合规性声明</w:t>
      </w:r>
    </w:p>
    <w:p w14:paraId="21F47197">
      <w:pPr>
        <w:rPr>
          <w:rFonts w:ascii="仿宋_GB2312" w:hAnsi="仿宋_GB2312" w:eastAsia="仿宋_GB2312" w:cs="仿宋_GB2312"/>
          <w:sz w:val="30"/>
          <w:szCs w:val="30"/>
        </w:rPr>
      </w:pPr>
    </w:p>
    <w:p w14:paraId="55620CC3">
      <w:pPr>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本企业（单位）自愿参与政府投资政府采购的</w:t>
      </w:r>
      <w:r>
        <w:rPr>
          <w:rFonts w:hint="eastAsia" w:ascii="仿宋_GB2312" w:hAnsi="仿宋_GB2312" w:eastAsia="仿宋_GB2312" w:cs="仿宋_GB2312"/>
          <w:sz w:val="30"/>
          <w:szCs w:val="30"/>
          <w:u w:val="single"/>
        </w:rPr>
        <w:t>[项目采购-项目名称_]</w:t>
      </w:r>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39448E5">
      <w:pPr>
        <w:snapToGrid w:val="0"/>
        <w:spacing w:line="360" w:lineRule="auto"/>
        <w:ind w:left="5137" w:leftChars="1736" w:hanging="1491" w:hangingChars="825"/>
        <w:rPr>
          <w:b/>
          <w:sz w:val="18"/>
          <w:szCs w:val="18"/>
        </w:rPr>
      </w:pPr>
    </w:p>
    <w:p w14:paraId="437FE21E">
      <w:pPr>
        <w:snapToGrid w:val="0"/>
        <w:spacing w:line="360" w:lineRule="auto"/>
        <w:ind w:left="5137" w:leftChars="1736" w:hanging="1491" w:hangingChars="825"/>
        <w:rPr>
          <w:b/>
          <w:sz w:val="18"/>
          <w:szCs w:val="18"/>
        </w:rPr>
      </w:pPr>
    </w:p>
    <w:p w14:paraId="7F5BFDA4">
      <w:pPr>
        <w:snapToGrid w:val="0"/>
        <w:spacing w:line="360" w:lineRule="auto"/>
        <w:ind w:left="5137" w:leftChars="1736" w:hanging="1491" w:hangingChars="825"/>
        <w:rPr>
          <w:b/>
          <w:sz w:val="18"/>
          <w:szCs w:val="18"/>
        </w:rPr>
      </w:pPr>
    </w:p>
    <w:p w14:paraId="30055479">
      <w:pPr>
        <w:snapToGrid w:val="0"/>
        <w:spacing w:line="360" w:lineRule="auto"/>
        <w:ind w:left="5137" w:leftChars="1736" w:hanging="1491" w:hangingChars="825"/>
        <w:rPr>
          <w:b/>
          <w:sz w:val="18"/>
          <w:szCs w:val="18"/>
        </w:rPr>
      </w:pPr>
    </w:p>
    <w:p w14:paraId="330C156C">
      <w:pPr>
        <w:snapToGrid w:val="0"/>
        <w:spacing w:line="360" w:lineRule="auto"/>
        <w:ind w:left="5626" w:leftChars="1736" w:hanging="1980" w:hangingChars="825"/>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3753F72C">
      <w:pPr>
        <w:snapToGrid w:val="0"/>
        <w:spacing w:line="360" w:lineRule="auto"/>
        <w:ind w:firstLine="5160" w:firstLineChars="2150"/>
        <w:rPr>
          <w:sz w:val="20"/>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en-US" w:eastAsia="zh-CN"/>
        </w:rPr>
        <w:t>日</w:t>
      </w:r>
    </w:p>
    <w:p w14:paraId="1C6208FC">
      <w:pPr>
        <w:tabs>
          <w:tab w:val="left" w:pos="2472"/>
        </w:tabs>
        <w:spacing w:line="460" w:lineRule="exact"/>
        <w:jc w:val="both"/>
        <w:rPr>
          <w:b/>
          <w:sz w:val="36"/>
        </w:rPr>
      </w:pPr>
    </w:p>
    <w:p w14:paraId="72593E02">
      <w:pPr>
        <w:tabs>
          <w:tab w:val="left" w:pos="2472"/>
        </w:tabs>
        <w:spacing w:line="460" w:lineRule="exact"/>
        <w:jc w:val="center"/>
        <w:outlineLvl w:val="0"/>
        <w:rPr>
          <w:b/>
          <w:sz w:val="36"/>
        </w:rPr>
      </w:pPr>
      <w:bookmarkStart w:id="86" w:name="_Toc31289"/>
      <w:bookmarkStart w:id="87" w:name="_Toc15742"/>
      <w:r>
        <w:rPr>
          <w:rFonts w:hint="eastAsia"/>
          <w:b/>
          <w:sz w:val="36"/>
        </w:rPr>
        <w:t>第七章 质疑、投诉证明材料格式</w:t>
      </w:r>
      <w:bookmarkEnd w:id="86"/>
      <w:bookmarkEnd w:id="87"/>
    </w:p>
    <w:p w14:paraId="23561A91">
      <w:pPr>
        <w:snapToGrid w:val="0"/>
        <w:spacing w:before="50" w:after="165" w:afterLines="50"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p>
    <w:p w14:paraId="7EB4B4CE">
      <w:pPr>
        <w:widowControl/>
        <w:shd w:val="clear" w:color="auto" w:fill="FFFFFF"/>
        <w:spacing w:line="260" w:lineRule="exact"/>
        <w:jc w:val="left"/>
        <w:rPr>
          <w:rFonts w:ascii="宋体" w:hAnsi="宋体"/>
          <w:b/>
          <w:bCs/>
          <w:sz w:val="28"/>
          <w:szCs w:val="28"/>
        </w:rPr>
      </w:pPr>
    </w:p>
    <w:p w14:paraId="1336E84F">
      <w:pPr>
        <w:pStyle w:val="4"/>
        <w:jc w:val="center"/>
        <w:rPr>
          <w:rFonts w:ascii="宋体" w:hAnsi="宋体"/>
          <w:b w:val="0"/>
          <w:bCs w:val="0"/>
        </w:rPr>
      </w:pPr>
      <w:bookmarkStart w:id="88" w:name="_Toc23780"/>
      <w:bookmarkStart w:id="89" w:name="_Toc7208"/>
      <w:bookmarkStart w:id="90" w:name="_Toc4900"/>
      <w:r>
        <w:rPr>
          <w:rFonts w:hint="eastAsia" w:ascii="宋体" w:hAnsi="宋体"/>
          <w:b w:val="0"/>
          <w:bCs w:val="0"/>
        </w:rPr>
        <w:t>第一节 质疑函（格式）</w:t>
      </w:r>
      <w:bookmarkEnd w:id="88"/>
      <w:bookmarkEnd w:id="89"/>
      <w:bookmarkEnd w:id="90"/>
    </w:p>
    <w:p w14:paraId="221B8A43">
      <w:pPr>
        <w:jc w:val="center"/>
        <w:rPr>
          <w:rFonts w:ascii="仿宋" w:hAnsi="仿宋" w:eastAsia="仿宋" w:cs="仿宋"/>
          <w:b/>
          <w:bCs/>
          <w:sz w:val="44"/>
          <w:szCs w:val="44"/>
        </w:rPr>
      </w:pPr>
      <w:r>
        <w:rPr>
          <w:rFonts w:hint="eastAsia" w:ascii="仿宋" w:hAnsi="仿宋" w:eastAsia="仿宋" w:cs="仿宋"/>
          <w:b/>
          <w:bCs/>
          <w:sz w:val="44"/>
          <w:szCs w:val="44"/>
        </w:rPr>
        <w:t>质疑函范本</w:t>
      </w:r>
    </w:p>
    <w:p w14:paraId="540DB2D4">
      <w:pPr>
        <w:adjustRightInd w:val="0"/>
        <w:snapToGrid w:val="0"/>
        <w:spacing w:before="331" w:beforeLines="100" w:line="360" w:lineRule="auto"/>
        <w:rPr>
          <w:rFonts w:ascii="黑体" w:hAnsi="黑体" w:eastAsia="黑体" w:cs="仿宋"/>
          <w:bCs/>
          <w:sz w:val="32"/>
          <w:szCs w:val="32"/>
        </w:rPr>
      </w:pPr>
      <w:r>
        <w:rPr>
          <w:rFonts w:hint="eastAsia" w:ascii="黑体" w:hAnsi="黑体" w:eastAsia="黑体" w:cs="仿宋"/>
          <w:bCs/>
          <w:sz w:val="32"/>
          <w:szCs w:val="32"/>
        </w:rPr>
        <w:t>一、质疑投标人基本信息</w:t>
      </w:r>
    </w:p>
    <w:p w14:paraId="18934EAE">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质疑投标人：</w:t>
      </w:r>
      <w:r>
        <w:rPr>
          <w:rFonts w:hint="eastAsia" w:ascii="仿宋" w:hAnsi="仿宋" w:eastAsia="仿宋" w:cs="仿宋"/>
          <w:sz w:val="32"/>
          <w:szCs w:val="32"/>
          <w:u w:val="dotted"/>
        </w:rPr>
        <w:t xml:space="preserve">                                        </w:t>
      </w:r>
    </w:p>
    <w:p w14:paraId="4F25BBCB">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4EE495C3">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2D1F4E67">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593CBE13">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354C6243">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5D049D3A">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14:paraId="5C9671B5">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78BB14EE">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10B6D678">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1A177409">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招标文件获取日期：</w:t>
      </w:r>
      <w:r>
        <w:rPr>
          <w:rFonts w:hint="eastAsia" w:ascii="仿宋" w:hAnsi="仿宋" w:eastAsia="仿宋" w:cs="仿宋"/>
          <w:sz w:val="32"/>
          <w:szCs w:val="32"/>
          <w:u w:val="dotted"/>
        </w:rPr>
        <w:t xml:space="preserve">                                           </w:t>
      </w:r>
    </w:p>
    <w:p w14:paraId="57CB419C">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14:paraId="7C981C14">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52B9A6AA">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039C4B47">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14:paraId="452F9C25">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4C880F5C">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14:paraId="295A7C58">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14:paraId="67CA5649">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14:paraId="424E16E1">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14:paraId="3C118FFC">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753BB4B7">
      <w:pPr>
        <w:rPr>
          <w:rFonts w:ascii="仿宋_GB2312" w:eastAsia="仿宋_GB2312"/>
          <w:sz w:val="30"/>
          <w:szCs w:val="30"/>
        </w:rPr>
      </w:pPr>
      <w:r>
        <w:rPr>
          <w:rFonts w:hint="eastAsia" w:ascii="仿宋_GB2312" w:eastAsia="仿宋_GB2312"/>
          <w:sz w:val="30"/>
          <w:szCs w:val="30"/>
        </w:rPr>
        <w:t xml:space="preserve">签字(签章)：                   公章：                      </w:t>
      </w:r>
    </w:p>
    <w:p w14:paraId="02F9F435">
      <w:pPr>
        <w:rPr>
          <w:rFonts w:ascii="仿宋_GB2312" w:eastAsia="仿宋_GB2312"/>
          <w:sz w:val="30"/>
          <w:szCs w:val="30"/>
        </w:rPr>
      </w:pPr>
      <w:r>
        <w:rPr>
          <w:rFonts w:hint="eastAsia" w:ascii="仿宋_GB2312" w:eastAsia="仿宋_GB2312"/>
          <w:sz w:val="30"/>
          <w:szCs w:val="30"/>
        </w:rPr>
        <w:t xml:space="preserve">日期：    </w:t>
      </w:r>
    </w:p>
    <w:p w14:paraId="4C8BE12C">
      <w:pPr>
        <w:rPr>
          <w:rFonts w:ascii="黑体" w:hAnsi="黑体" w:eastAsia="黑体"/>
          <w:b/>
          <w:sz w:val="32"/>
          <w:szCs w:val="32"/>
        </w:rPr>
      </w:pPr>
    </w:p>
    <w:p w14:paraId="5E8A4140">
      <w:pPr>
        <w:rPr>
          <w:rFonts w:ascii="黑体" w:hAnsi="黑体" w:eastAsia="黑体"/>
          <w:b/>
          <w:sz w:val="32"/>
          <w:szCs w:val="32"/>
        </w:rPr>
      </w:pPr>
    </w:p>
    <w:p w14:paraId="045242A6">
      <w:pPr>
        <w:rPr>
          <w:rFonts w:ascii="黑体" w:hAnsi="黑体" w:eastAsia="黑体"/>
          <w:b/>
          <w:sz w:val="32"/>
          <w:szCs w:val="32"/>
        </w:rPr>
      </w:pPr>
      <w:r>
        <w:rPr>
          <w:rFonts w:hint="eastAsia" w:ascii="黑体" w:hAnsi="黑体" w:eastAsia="黑体"/>
          <w:b/>
          <w:sz w:val="32"/>
          <w:szCs w:val="32"/>
        </w:rPr>
        <w:t>质疑函制作说明：</w:t>
      </w:r>
    </w:p>
    <w:p w14:paraId="58212865">
      <w:pPr>
        <w:widowControl/>
        <w:ind w:firstLine="640" w:firstLineChars="200"/>
        <w:jc w:val="left"/>
        <w:rPr>
          <w:rFonts w:ascii="仿宋_GB2312" w:eastAsia="仿宋_GB2312"/>
          <w:sz w:val="32"/>
          <w:szCs w:val="32"/>
        </w:rPr>
      </w:pPr>
      <w:r>
        <w:rPr>
          <w:rFonts w:hint="eastAsia" w:ascii="仿宋_GB2312" w:eastAsia="仿宋_GB2312"/>
          <w:sz w:val="32"/>
          <w:szCs w:val="32"/>
        </w:rPr>
        <w:t>1.投标人提出质疑时，应提交质疑函和必要的证明材料。</w:t>
      </w:r>
    </w:p>
    <w:p w14:paraId="55AB85E5">
      <w:pPr>
        <w:widowControl/>
        <w:ind w:firstLine="640" w:firstLineChars="200"/>
        <w:jc w:val="left"/>
        <w:rPr>
          <w:rFonts w:ascii="仿宋_GB2312" w:eastAsia="仿宋_GB2312"/>
          <w:sz w:val="32"/>
          <w:szCs w:val="32"/>
        </w:rPr>
      </w:pPr>
      <w:r>
        <w:rPr>
          <w:rFonts w:hint="eastAsia" w:ascii="仿宋_GB2312" w:eastAsia="仿宋_GB2312"/>
          <w:sz w:val="32"/>
          <w:szCs w:val="32"/>
        </w:rPr>
        <w:t>2.质疑投标人若委托代理人进行质疑的，质疑函应按要求列明“授权代表”的有关内容，并在附件中提交由质疑</w:t>
      </w:r>
      <w:r>
        <w:rPr>
          <w:rFonts w:hint="eastAsia" w:ascii="仿宋_GB2312" w:hAnsi="宋体" w:eastAsia="仿宋_GB2312" w:cs="宋体"/>
          <w:kern w:val="0"/>
          <w:sz w:val="32"/>
          <w:szCs w:val="32"/>
        </w:rPr>
        <w:t>投标人签署的授权委托书。授权委托书应载明代理人的姓名或者名称、代理事项、具体权限、期限和相关事项。</w:t>
      </w:r>
    </w:p>
    <w:p w14:paraId="31EFC040">
      <w:pPr>
        <w:widowControl/>
        <w:ind w:firstLine="640" w:firstLineChars="200"/>
        <w:jc w:val="left"/>
        <w:rPr>
          <w:rFonts w:ascii="仿宋_GB2312" w:eastAsia="仿宋_GB2312"/>
          <w:sz w:val="32"/>
          <w:szCs w:val="32"/>
        </w:rPr>
      </w:pPr>
      <w:r>
        <w:rPr>
          <w:rFonts w:hint="eastAsia" w:ascii="仿宋_GB2312" w:eastAsia="仿宋_GB2312"/>
          <w:sz w:val="32"/>
          <w:szCs w:val="32"/>
        </w:rPr>
        <w:t>3.质疑投标人若对项目的某一分包进行质疑，质疑函中应列明具体分包号。</w:t>
      </w:r>
    </w:p>
    <w:p w14:paraId="3B6BC086">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6EBFF63F">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75F95558">
      <w:pPr>
        <w:widowControl/>
        <w:ind w:firstLine="640" w:firstLineChars="200"/>
        <w:jc w:val="left"/>
        <w:rPr>
          <w:rFonts w:ascii="仿宋_GB2312" w:eastAsia="仿宋_GB2312"/>
          <w:sz w:val="32"/>
          <w:szCs w:val="32"/>
        </w:rPr>
      </w:pPr>
      <w:r>
        <w:rPr>
          <w:rFonts w:hint="eastAsia" w:ascii="仿宋_GB2312" w:eastAsia="仿宋_GB2312"/>
          <w:sz w:val="32"/>
          <w:szCs w:val="32"/>
        </w:rPr>
        <w:t>6.质疑投标人为自然人的，质疑函应由本人签字；质疑投标人为法人或者其他组织的，质疑函应由法定代表人、主要负责人，或者其授权代表签字或者盖章，并加盖公章。</w:t>
      </w:r>
    </w:p>
    <w:p w14:paraId="7221888F">
      <w:pPr>
        <w:widowControl/>
        <w:ind w:firstLine="600" w:firstLineChars="200"/>
        <w:jc w:val="left"/>
        <w:rPr>
          <w:rFonts w:ascii="仿宋_GB2312" w:eastAsia="仿宋_GB2312"/>
          <w:sz w:val="30"/>
          <w:szCs w:val="30"/>
        </w:rPr>
      </w:pPr>
    </w:p>
    <w:p w14:paraId="3B4D6157">
      <w:pPr>
        <w:snapToGrid w:val="0"/>
        <w:spacing w:before="50" w:after="165" w:afterLines="50" w:line="360" w:lineRule="auto"/>
        <w:ind w:firstLine="480" w:firstLineChars="200"/>
        <w:jc w:val="left"/>
        <w:rPr>
          <w:rFonts w:ascii="ˎ̥" w:hAnsi="ˎ̥" w:cs="宋体"/>
          <w:kern w:val="0"/>
          <w:sz w:val="24"/>
        </w:rPr>
        <w:sectPr>
          <w:pgSz w:w="11906" w:h="16838"/>
          <w:pgMar w:top="1134" w:right="1134" w:bottom="1134" w:left="1134" w:header="720" w:footer="720" w:gutter="0"/>
          <w:cols w:space="720" w:num="1"/>
          <w:docGrid w:type="lines" w:linePitch="331" w:charSpace="0"/>
        </w:sectPr>
      </w:pPr>
    </w:p>
    <w:p w14:paraId="0F825BCC">
      <w:pPr>
        <w:pStyle w:val="4"/>
        <w:jc w:val="center"/>
        <w:rPr>
          <w:rFonts w:ascii="宋体" w:hAnsi="宋体"/>
          <w:b w:val="0"/>
          <w:bCs w:val="0"/>
        </w:rPr>
      </w:pPr>
      <w:bookmarkStart w:id="91" w:name="_Toc31052"/>
      <w:bookmarkStart w:id="92" w:name="_Toc31743"/>
      <w:bookmarkStart w:id="93" w:name="_Toc2814"/>
      <w:r>
        <w:rPr>
          <w:rFonts w:hint="eastAsia" w:ascii="宋体" w:hAnsi="宋体"/>
          <w:b w:val="0"/>
          <w:bCs w:val="0"/>
        </w:rPr>
        <w:t>第二节 投诉书（格式）</w:t>
      </w:r>
      <w:bookmarkEnd w:id="91"/>
      <w:bookmarkEnd w:id="92"/>
      <w:bookmarkEnd w:id="93"/>
    </w:p>
    <w:p w14:paraId="597B2CBB">
      <w:pPr>
        <w:jc w:val="center"/>
        <w:rPr>
          <w:rFonts w:ascii="宋体" w:hAnsi="宋体"/>
          <w:b/>
          <w:sz w:val="44"/>
          <w:szCs w:val="44"/>
        </w:rPr>
      </w:pPr>
      <w:r>
        <w:rPr>
          <w:rFonts w:hint="eastAsia" w:ascii="宋体" w:hAnsi="宋体"/>
          <w:b/>
          <w:sz w:val="44"/>
          <w:szCs w:val="44"/>
        </w:rPr>
        <w:t>投诉书范本</w:t>
      </w:r>
    </w:p>
    <w:p w14:paraId="2C51860E">
      <w:pPr>
        <w:rPr>
          <w:rFonts w:ascii="黑体" w:hAnsi="黑体" w:eastAsia="黑体"/>
          <w:sz w:val="32"/>
          <w:szCs w:val="32"/>
        </w:rPr>
      </w:pPr>
      <w:r>
        <w:rPr>
          <w:rFonts w:hint="eastAsia" w:ascii="黑体" w:hAnsi="黑体" w:eastAsia="黑体"/>
          <w:sz w:val="32"/>
          <w:szCs w:val="32"/>
        </w:rPr>
        <w:t>一、投诉相关主体基本情况</w:t>
      </w:r>
    </w:p>
    <w:p w14:paraId="0622C119">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0E4E2970">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673660FB">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654748E4">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6E1E47BD">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12809493">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14:paraId="0E89770F">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E3CD3BD">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87FED39">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D5DAB32">
      <w:pPr>
        <w:rPr>
          <w:rFonts w:ascii="仿宋_GB2312" w:eastAsia="仿宋_GB2312"/>
          <w:sz w:val="32"/>
          <w:szCs w:val="32"/>
        </w:rPr>
      </w:pPr>
      <w:r>
        <w:rPr>
          <w:rFonts w:hint="eastAsia" w:ascii="仿宋_GB2312" w:eastAsia="仿宋_GB2312"/>
          <w:sz w:val="32"/>
          <w:szCs w:val="32"/>
        </w:rPr>
        <w:t>被投诉人2</w:t>
      </w:r>
    </w:p>
    <w:p w14:paraId="15D8E9BD">
      <w:pPr>
        <w:rPr>
          <w:rFonts w:ascii="仿宋_GB2312" w:eastAsia="仿宋_GB2312"/>
          <w:sz w:val="32"/>
          <w:szCs w:val="32"/>
          <w:u w:val="dotted"/>
        </w:rPr>
      </w:pPr>
      <w:r>
        <w:rPr>
          <w:rFonts w:hint="eastAsia" w:ascii="仿宋_GB2312" w:eastAsia="仿宋_GB2312"/>
          <w:sz w:val="32"/>
          <w:szCs w:val="32"/>
        </w:rPr>
        <w:t>……</w:t>
      </w:r>
    </w:p>
    <w:p w14:paraId="546F5CF4">
      <w:pPr>
        <w:rPr>
          <w:rFonts w:ascii="仿宋_GB2312" w:eastAsia="仿宋_GB2312"/>
          <w:sz w:val="32"/>
          <w:szCs w:val="32"/>
          <w:u w:val="single"/>
        </w:rPr>
      </w:pPr>
      <w:r>
        <w:rPr>
          <w:rFonts w:hint="eastAsia" w:ascii="仿宋_GB2312" w:eastAsia="仿宋_GB2312"/>
          <w:sz w:val="32"/>
          <w:szCs w:val="32"/>
        </w:rPr>
        <w:t>相关投标人：</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908A30F">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8BE4FF3">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45EF0132">
      <w:pPr>
        <w:rPr>
          <w:rFonts w:ascii="黑体" w:hAnsi="黑体" w:eastAsia="黑体"/>
          <w:sz w:val="32"/>
          <w:szCs w:val="32"/>
        </w:rPr>
      </w:pPr>
      <w:r>
        <w:rPr>
          <w:rFonts w:hint="eastAsia" w:ascii="黑体" w:hAnsi="黑体" w:eastAsia="黑体"/>
          <w:sz w:val="32"/>
          <w:szCs w:val="32"/>
        </w:rPr>
        <w:t>二、投诉项目基本情况</w:t>
      </w:r>
    </w:p>
    <w:p w14:paraId="0093AB62">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5F7F3B22">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2784C83B">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B348C96">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1F8E6368">
      <w:pPr>
        <w:rPr>
          <w:rFonts w:ascii="仿宋_GB2312" w:eastAsia="仿宋_GB2312"/>
          <w:sz w:val="32"/>
          <w:szCs w:val="32"/>
          <w:u w:val="dotted"/>
        </w:rPr>
      </w:pPr>
      <w:r>
        <w:rPr>
          <w:rFonts w:hint="eastAsia" w:ascii="仿宋_GB2312" w:eastAsia="仿宋_GB2312"/>
          <w:sz w:val="32"/>
          <w:szCs w:val="32"/>
        </w:rPr>
        <w:t>招标文件公告: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27EBDA8B">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16AB8DE9">
      <w:pPr>
        <w:rPr>
          <w:rFonts w:ascii="黑体" w:hAnsi="黑体" w:eastAsia="黑体"/>
          <w:sz w:val="32"/>
          <w:szCs w:val="32"/>
        </w:rPr>
      </w:pPr>
      <w:r>
        <w:rPr>
          <w:rFonts w:hint="eastAsia" w:ascii="黑体" w:hAnsi="黑体" w:eastAsia="黑体"/>
          <w:sz w:val="32"/>
          <w:szCs w:val="32"/>
        </w:rPr>
        <w:t>三、质疑基本情况</w:t>
      </w:r>
    </w:p>
    <w:p w14:paraId="4358E5BB">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61912DDE">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54491625">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14176561">
      <w:pPr>
        <w:rPr>
          <w:rFonts w:ascii="黑体" w:hAnsi="黑体" w:eastAsia="黑体"/>
          <w:sz w:val="32"/>
          <w:szCs w:val="32"/>
        </w:rPr>
      </w:pPr>
      <w:r>
        <w:rPr>
          <w:rFonts w:hint="eastAsia" w:ascii="黑体" w:hAnsi="黑体" w:eastAsia="黑体"/>
          <w:sz w:val="32"/>
          <w:szCs w:val="32"/>
        </w:rPr>
        <w:t>四、投诉事项具体内容</w:t>
      </w:r>
    </w:p>
    <w:p w14:paraId="63397324">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1A0F29E8">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512A26D0">
      <w:pPr>
        <w:rPr>
          <w:rFonts w:ascii="仿宋_GB2312" w:eastAsia="仿宋_GB2312"/>
          <w:sz w:val="32"/>
          <w:szCs w:val="32"/>
          <w:u w:val="dotted"/>
        </w:rPr>
      </w:pPr>
      <w:r>
        <w:rPr>
          <w:rFonts w:hint="eastAsia" w:ascii="仿宋_GB2312" w:eastAsia="仿宋_GB2312"/>
          <w:sz w:val="32"/>
          <w:szCs w:val="32"/>
          <w:u w:val="dotted"/>
        </w:rPr>
        <w:t xml:space="preserve">                                                      </w:t>
      </w:r>
    </w:p>
    <w:p w14:paraId="39AE7C6F">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10C86742">
      <w:pPr>
        <w:rPr>
          <w:rFonts w:ascii="仿宋_GB2312" w:eastAsia="仿宋_GB2312"/>
          <w:sz w:val="32"/>
          <w:szCs w:val="32"/>
          <w:u w:val="dotted"/>
        </w:rPr>
      </w:pPr>
      <w:r>
        <w:rPr>
          <w:rFonts w:hint="eastAsia" w:ascii="仿宋_GB2312" w:eastAsia="仿宋_GB2312"/>
          <w:sz w:val="32"/>
          <w:szCs w:val="32"/>
          <w:u w:val="dotted"/>
        </w:rPr>
        <w:t xml:space="preserve">                                                      </w:t>
      </w:r>
    </w:p>
    <w:p w14:paraId="039CB47D">
      <w:pPr>
        <w:rPr>
          <w:rFonts w:ascii="仿宋_GB2312" w:eastAsia="仿宋_GB2312"/>
          <w:sz w:val="32"/>
          <w:szCs w:val="32"/>
        </w:rPr>
      </w:pPr>
      <w:r>
        <w:rPr>
          <w:rFonts w:hint="eastAsia" w:ascii="仿宋_GB2312" w:eastAsia="仿宋_GB2312"/>
          <w:sz w:val="32"/>
          <w:szCs w:val="32"/>
        </w:rPr>
        <w:t>投诉事项2</w:t>
      </w:r>
    </w:p>
    <w:p w14:paraId="7FC91B8D">
      <w:pPr>
        <w:rPr>
          <w:rFonts w:ascii="仿宋_GB2312" w:eastAsia="仿宋_GB2312"/>
          <w:sz w:val="32"/>
          <w:szCs w:val="32"/>
          <w:u w:val="dotted"/>
        </w:rPr>
      </w:pPr>
      <w:r>
        <w:rPr>
          <w:rFonts w:hint="eastAsia" w:ascii="仿宋_GB2312" w:eastAsia="仿宋_GB2312"/>
          <w:sz w:val="32"/>
          <w:szCs w:val="32"/>
        </w:rPr>
        <w:t>……</w:t>
      </w:r>
    </w:p>
    <w:p w14:paraId="56ECF2DB">
      <w:pPr>
        <w:rPr>
          <w:rFonts w:ascii="黑体" w:hAnsi="黑体" w:eastAsia="黑体"/>
          <w:sz w:val="32"/>
          <w:szCs w:val="32"/>
        </w:rPr>
      </w:pPr>
      <w:r>
        <w:rPr>
          <w:rFonts w:hint="eastAsia" w:ascii="黑体" w:hAnsi="黑体" w:eastAsia="黑体"/>
          <w:sz w:val="32"/>
          <w:szCs w:val="32"/>
        </w:rPr>
        <w:t>五、与投诉事项相关的投诉请求</w:t>
      </w:r>
    </w:p>
    <w:p w14:paraId="544AD55E">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23008ECC">
      <w:pPr>
        <w:rPr>
          <w:rFonts w:ascii="仿宋_GB2312" w:eastAsia="仿宋_GB2312"/>
          <w:sz w:val="32"/>
          <w:szCs w:val="32"/>
          <w:u w:val="single"/>
        </w:rPr>
      </w:pPr>
      <w:r>
        <w:rPr>
          <w:rFonts w:hint="eastAsia" w:ascii="仿宋_GB2312" w:eastAsia="仿宋_GB2312"/>
          <w:sz w:val="32"/>
          <w:szCs w:val="32"/>
        </w:rPr>
        <w:t xml:space="preserve">                                                                                                    </w:t>
      </w:r>
    </w:p>
    <w:p w14:paraId="450B457A">
      <w:pPr>
        <w:rPr>
          <w:rFonts w:ascii="仿宋_GB2312" w:eastAsia="仿宋_GB2312"/>
          <w:sz w:val="32"/>
          <w:szCs w:val="32"/>
        </w:rPr>
      </w:pPr>
      <w:r>
        <w:rPr>
          <w:rFonts w:hint="eastAsia" w:ascii="仿宋_GB2312" w:eastAsia="仿宋_GB2312"/>
          <w:sz w:val="32"/>
          <w:szCs w:val="32"/>
        </w:rPr>
        <w:t xml:space="preserve">签字(签章)：                   公章：                      </w:t>
      </w:r>
    </w:p>
    <w:p w14:paraId="4FE9773F">
      <w:pPr>
        <w:rPr>
          <w:rFonts w:ascii="仿宋_GB2312" w:eastAsia="仿宋_GB2312"/>
          <w:sz w:val="32"/>
          <w:szCs w:val="32"/>
        </w:rPr>
      </w:pPr>
      <w:r>
        <w:rPr>
          <w:rFonts w:hint="eastAsia" w:ascii="仿宋_GB2312" w:eastAsia="仿宋_GB2312"/>
          <w:sz w:val="32"/>
          <w:szCs w:val="32"/>
        </w:rPr>
        <w:t xml:space="preserve">日期：    </w:t>
      </w:r>
    </w:p>
    <w:p w14:paraId="2D4F7E7C">
      <w:pPr>
        <w:rPr>
          <w:rFonts w:ascii="黑体" w:hAnsi="黑体" w:eastAsia="黑体"/>
          <w:b/>
          <w:sz w:val="32"/>
          <w:szCs w:val="32"/>
        </w:rPr>
      </w:pPr>
    </w:p>
    <w:p w14:paraId="134005AD">
      <w:pPr>
        <w:rPr>
          <w:rFonts w:ascii="黑体" w:hAnsi="黑体" w:eastAsia="黑体"/>
          <w:b/>
          <w:sz w:val="32"/>
          <w:szCs w:val="32"/>
        </w:rPr>
      </w:pPr>
      <w:r>
        <w:rPr>
          <w:rFonts w:hint="eastAsia" w:ascii="黑体" w:hAnsi="黑体" w:eastAsia="黑体"/>
          <w:b/>
          <w:sz w:val="32"/>
          <w:szCs w:val="32"/>
        </w:rPr>
        <w:t>投诉书制作说明：</w:t>
      </w:r>
    </w:p>
    <w:p w14:paraId="45F2A81D">
      <w:pPr>
        <w:widowControl/>
        <w:ind w:firstLine="640" w:firstLineChars="200"/>
        <w:rPr>
          <w:rFonts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1.投诉人提起投诉时，应当提交投诉书和必要的证明材料，并按照被投诉人和与投诉事项有关的投标人数量提供投诉书副本。</w:t>
      </w:r>
    </w:p>
    <w:p w14:paraId="42FF388B">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09A40EB2">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013D5FAC">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012D333B">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060F3007">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7798D3F5">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630591C2">
      <w:pPr>
        <w:snapToGrid w:val="0"/>
        <w:spacing w:before="50" w:after="165" w:afterLines="50" w:line="360" w:lineRule="auto"/>
        <w:ind w:firstLine="480" w:firstLineChars="200"/>
        <w:jc w:val="left"/>
        <w:rPr>
          <w:sz w:val="24"/>
        </w:rPr>
      </w:pPr>
    </w:p>
    <w:p w14:paraId="1BFC74D4"/>
    <w:p w14:paraId="7AE14C9F"/>
    <w:p w14:paraId="0AFB086D"/>
    <w:sectPr>
      <w:footerReference r:id="rId25" w:type="first"/>
      <w:headerReference r:id="rId22" w:type="default"/>
      <w:footerReference r:id="rId23" w:type="default"/>
      <w:footerReference r:id="rId24"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64DFC5-F3B8-47E1-952A-B69F9B10DFEF}"/>
  </w:font>
  <w:font w:name="Arial">
    <w:panose1 w:val="020B0604020202020204"/>
    <w:charset w:val="01"/>
    <w:family w:val="swiss"/>
    <w:pitch w:val="default"/>
    <w:sig w:usb0="E0002AFF" w:usb1="C0007843" w:usb2="00000009" w:usb3="00000000" w:csb0="400001FF" w:csb1="FFFF0000"/>
    <w:embedRegular r:id="rId2" w:fontKey="{F18D68F8-01E1-4B5C-954C-749F9C1C957B}"/>
  </w:font>
  <w:font w:name="黑体">
    <w:panose1 w:val="02010609060101010101"/>
    <w:charset w:val="86"/>
    <w:family w:val="auto"/>
    <w:pitch w:val="default"/>
    <w:sig w:usb0="800002BF" w:usb1="38CF7CFA" w:usb2="00000016" w:usb3="00000000" w:csb0="00040001" w:csb1="00000000"/>
    <w:embedRegular r:id="rId3" w:fontKey="{6FE624A3-4F35-4209-B8D2-9C0191752344}"/>
  </w:font>
  <w:font w:name="Courier New">
    <w:panose1 w:val="02070309020205020404"/>
    <w:charset w:val="01"/>
    <w:family w:val="modern"/>
    <w:pitch w:val="default"/>
    <w:sig w:usb0="E0002AFF" w:usb1="C0007843" w:usb2="00000009" w:usb3="00000000" w:csb0="400001FF" w:csb1="FFFF0000"/>
    <w:embedRegular r:id="rId4" w:fontKey="{44715DB1-781A-42B0-B78A-A5FB36D52B4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5" w:fontKey="{B67D89F0-6EE8-4040-939B-2812F427678F}"/>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MingLiU">
    <w:panose1 w:val="02020509000000000000"/>
    <w:charset w:val="88"/>
    <w:family w:val="modern"/>
    <w:pitch w:val="default"/>
    <w:sig w:usb0="A00002FF" w:usb1="28CFFCFA" w:usb2="00000016" w:usb3="00000000" w:csb0="0010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embedRegular r:id="rId6" w:fontKey="{6D88E30C-F80B-4357-A4F2-AEE265048E16}"/>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7" w:fontKey="{16C2A872-5F59-404C-9616-74D23F9EF748}"/>
  </w:font>
  <w:font w:name="仿宋">
    <w:panose1 w:val="02010609060101010101"/>
    <w:charset w:val="86"/>
    <w:family w:val="modern"/>
    <w:pitch w:val="default"/>
    <w:sig w:usb0="800002BF" w:usb1="38CF7CFA" w:usb2="00000016" w:usb3="00000000" w:csb0="00040001" w:csb1="00000000"/>
    <w:embedRegular r:id="rId8" w:fontKey="{9A5A7A5D-3AE2-4EC3-A2E9-E0BDA061DF3B}"/>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embedRegular r:id="rId9" w:fontKey="{E336E911-1AF8-49DD-8B28-463312777DF2}"/>
  </w:font>
  <w:font w:name="MS Gothic">
    <w:panose1 w:val="020B0609070205080204"/>
    <w:charset w:val="80"/>
    <w:family w:val="modern"/>
    <w:pitch w:val="default"/>
    <w:sig w:usb0="E00002FF" w:usb1="6AC7FDFB" w:usb2="00000012" w:usb3="00000000" w:csb0="4002009F" w:csb1="DFD70000"/>
    <w:embedRegular r:id="rId10" w:fontKey="{5FD6299A-9988-4827-AFC6-110578D14094}"/>
  </w:font>
  <w:font w:name="Helvetica">
    <w:altName w:val="Arial"/>
    <w:panose1 w:val="020B0604020202020204"/>
    <w:charset w:val="00"/>
    <w:family w:val="swiss"/>
    <w:pitch w:val="default"/>
    <w:sig w:usb0="00000000" w:usb1="00000000" w:usb2="00000009" w:usb3="00000000" w:csb0="000001FF" w:csb1="00000000"/>
    <w:embedRegular r:id="rId11" w:fontKey="{6FC933C2-90FC-4B93-B078-D188863F6DD8}"/>
  </w:font>
  <w:font w:name="Helvetica Neue">
    <w:altName w:val="微软雅黑"/>
    <w:panose1 w:val="00000000000000000000"/>
    <w:charset w:val="01"/>
    <w:family w:val="auto"/>
    <w:pitch w:val="default"/>
    <w:sig w:usb0="00000000" w:usb1="00000000" w:usb2="00000000" w:usb3="00000000" w:csb0="00040001" w:csb1="00000000"/>
    <w:embedRegular r:id="rId12" w:fontKey="{EA08879C-544D-41F8-872D-87B23DC96099}"/>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embedRegular r:id="rId13" w:fontKey="{C5F13DCA-D8E4-41BB-859A-F09B8A772822}"/>
  </w:font>
  <w:font w:name="ˎ̥">
    <w:altName w:val="Times New Roman"/>
    <w:panose1 w:val="00000000000000000000"/>
    <w:charset w:val="00"/>
    <w:family w:val="roman"/>
    <w:pitch w:val="default"/>
    <w:sig w:usb0="00000000" w:usb1="00000000" w:usb2="00000000" w:usb3="00000000" w:csb0="00040001" w:csb1="00000000"/>
    <w:embedRegular r:id="rId14" w:fontKey="{8F593584-AB35-4CC2-912F-4EF8A6572CDC}"/>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AB0D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EC81C">
    <w:pPr>
      <w:framePr w:wrap="around" w:vAnchor="text" w:hAnchor="margin" w:xAlign="center" w:y="1"/>
    </w:pPr>
    <w:r>
      <w:fldChar w:fldCharType="begin"/>
    </w:r>
    <w:r>
      <w:instrText xml:space="preserve">PAGE  </w:instrText>
    </w:r>
    <w:r>
      <w:fldChar w:fldCharType="end"/>
    </w:r>
  </w:p>
  <w:p w14:paraId="331C64B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19A3A">
    <w:pPr>
      <w:framePr w:wrap="around" w:vAnchor="text" w:hAnchor="margin" w:xAlign="right" w:y="1"/>
    </w:pPr>
    <w:r>
      <w:fldChar w:fldCharType="begin"/>
    </w:r>
    <w:r>
      <w:instrText xml:space="preserve">PAGE  </w:instrText>
    </w:r>
    <w:r>
      <w:fldChar w:fldCharType="separate"/>
    </w:r>
    <w:r>
      <w:t>122</w:t>
    </w:r>
    <w:r>
      <w:fldChar w:fldCharType="end"/>
    </w:r>
  </w:p>
  <w:p w14:paraId="527CD193">
    <w:pPr>
      <w:ind w:right="360"/>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95C4C">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25A027CE">
                          <w:pPr>
                            <w:jc w:val="center"/>
                          </w:pPr>
                          <w:r>
                            <w:fldChar w:fldCharType="begin"/>
                          </w:r>
                          <w:r>
                            <w:instrText xml:space="preserve"> PAGE   \* MERGEFORMAT </w:instrText>
                          </w:r>
                          <w:r>
                            <w:fldChar w:fldCharType="separate"/>
                          </w:r>
                          <w:r>
                            <w:rPr>
                              <w:lang w:val="zh-CN"/>
                            </w:rPr>
                            <w:t>97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4ls6kI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iiaBMysMNfzw4/vh5+/D&#10;r28sj/Z0zheUdesoL/RvoI+pUap3NyC/eGbhuhF2o64QoWuUqIheepk9eDrg+Aiy7t5DRXXENkAC&#10;6ms0EZDcYIROrdmfWqP6wGQsmc9en19wJukqP89ns4vILRPF+NihD28VGBaDkiN1PoGL3Y0PQ+qY&#10;EmtZWOm2Td1v7V8HhBlPEvnId2Ae+nV/NGMN1Z5kIAzDRF+JggbwK2cdDVLJLf0bztp3loyIMzcG&#10;OAbrMRBW0sOSB86G8DoMs7l1qDcN4Y5WX5FZK52ERFcHDkeWNBrJiuMYx9l7uE9Zf77u4h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5X5J0AAAAAMBAAAPAAAAAAAAAAEAIAAAACIAAABkcnMvZG93&#10;bnJldi54bWxQSwECFAAUAAAACACHTuJA3iWzqQgCAAACBAAADgAAAAAAAAABACAAAAAfAQAAZHJz&#10;L2Uyb0RvYy54bWxQSwUGAAAAAAYABgBZAQAAmQUAAAAA&#10;">
              <v:fill on="f" focussize="0,0"/>
              <v:stroke on="f"/>
              <v:imagedata o:title=""/>
              <o:lock v:ext="edit" aspectratio="f"/>
              <v:textbox inset="0mm,0mm,0mm,0mm" style="mso-fit-shape-to-text:t;">
                <w:txbxContent>
                  <w:p w14:paraId="25A027CE">
                    <w:pPr>
                      <w:jc w:val="center"/>
                    </w:pPr>
                    <w:r>
                      <w:fldChar w:fldCharType="begin"/>
                    </w:r>
                    <w:r>
                      <w:instrText xml:space="preserve"> PAGE   \* MERGEFORMAT </w:instrText>
                    </w:r>
                    <w:r>
                      <w:fldChar w:fldCharType="separate"/>
                    </w:r>
                    <w:r>
                      <w:rPr>
                        <w:lang w:val="zh-CN"/>
                      </w:rPr>
                      <w:t>97</w:t>
                    </w:r>
                    <w:r>
                      <w:fldChar w:fldCharType="end"/>
                    </w:r>
                  </w:p>
                </w:txbxContent>
              </v:textbox>
            </v:shape>
          </w:pict>
        </mc:Fallback>
      </mc:AlternateContent>
    </w:r>
  </w:p>
  <w:p w14:paraId="00681F2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44BC">
    <w:pPr>
      <w:framePr w:wrap="around" w:vAnchor="text" w:hAnchor="margin" w:xAlign="center" w:y="1"/>
    </w:pPr>
    <w:r>
      <w:fldChar w:fldCharType="begin"/>
    </w:r>
    <w:r>
      <w:instrText xml:space="preserve">PAGE  </w:instrText>
    </w:r>
    <w:r>
      <w:fldChar w:fldCharType="end"/>
    </w:r>
  </w:p>
  <w:p w14:paraId="69C3D02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B586B">
    <w:pPr>
      <w:framePr w:wrap="around" w:vAnchor="text" w:hAnchor="margin" w:xAlign="right" w:y="1"/>
    </w:pPr>
    <w:r>
      <w:fldChar w:fldCharType="begin"/>
    </w:r>
    <w:r>
      <w:instrText xml:space="preserve">PAGE  </w:instrText>
    </w:r>
    <w:r>
      <w:fldChar w:fldCharType="separate"/>
    </w:r>
    <w:r>
      <w:t>122</w:t>
    </w:r>
    <w:r>
      <w:fldChar w:fldCharType="end"/>
    </w:r>
  </w:p>
  <w:p w14:paraId="3CBAD6D8">
    <w:pPr>
      <w:ind w:right="360"/>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C25CE">
    <w:pPr>
      <w:jc w:val="center"/>
    </w:pPr>
    <w:r>
      <w:fldChar w:fldCharType="begin"/>
    </w:r>
    <w:r>
      <w:instrText xml:space="preserve"> PAGE   \* MERGEFORMAT </w:instrText>
    </w:r>
    <w:r>
      <w:fldChar w:fldCharType="separate"/>
    </w:r>
    <w:r>
      <w:rPr>
        <w:lang w:val="zh-CN"/>
      </w:rPr>
      <w:t>108</w:t>
    </w:r>
    <w:r>
      <w:fldChar w:fldCharType="end"/>
    </w:r>
  </w:p>
  <w:p w14:paraId="46F956F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B2478">
    <w:pPr>
      <w:framePr w:wrap="around" w:vAnchor="text" w:hAnchor="margin" w:xAlign="center" w:y="1"/>
    </w:pPr>
    <w:r>
      <w:fldChar w:fldCharType="begin"/>
    </w:r>
    <w:r>
      <w:instrText xml:space="preserve">PAGE  </w:instrText>
    </w:r>
    <w:r>
      <w:fldChar w:fldCharType="end"/>
    </w:r>
  </w:p>
  <w:p w14:paraId="2E9BFFC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BBF5B">
    <w:pPr>
      <w:framePr w:wrap="around" w:vAnchor="text" w:hAnchor="margin" w:xAlign="right" w:y="1"/>
    </w:pPr>
    <w:r>
      <w:fldChar w:fldCharType="begin"/>
    </w:r>
    <w:r>
      <w:instrText xml:space="preserve">PAGE  </w:instrText>
    </w:r>
    <w:r>
      <w:fldChar w:fldCharType="separate"/>
    </w:r>
    <w:r>
      <w:t>122</w:t>
    </w:r>
    <w:r>
      <w:fldChar w:fldCharType="end"/>
    </w:r>
  </w:p>
  <w:p w14:paraId="00D14ADA">
    <w:pPr>
      <w:ind w:right="360"/>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1392F">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51B5BDC6">
                          <w:pPr>
                            <w:jc w:val="center"/>
                          </w:pPr>
                          <w:r>
                            <w:fldChar w:fldCharType="begin"/>
                          </w:r>
                          <w:r>
                            <w:instrText xml:space="preserve">PAGE   \* MERGEFORMAT</w:instrText>
                          </w:r>
                          <w:r>
                            <w:fldChar w:fldCharType="separate"/>
                          </w:r>
                          <w:r>
                            <w:rPr>
                              <w:lang w:val="zh-CN"/>
                            </w:rPr>
                            <w:t>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D0lWDgCgIAAAEEAAAOAAAAAAAAAAEAIAAAAB8BAABk&#10;cnMvZTJvRG9jLnhtbFBLBQYAAAAABgAGAFkBAACbBQAAAAA=&#10;">
              <v:fill on="f" focussize="0,0"/>
              <v:stroke on="f"/>
              <v:imagedata o:title=""/>
              <o:lock v:ext="edit" aspectratio="f"/>
              <v:textbox inset="0mm,0mm,0mm,0mm" style="mso-fit-shape-to-text:t;">
                <w:txbxContent>
                  <w:p w14:paraId="51B5BDC6">
                    <w:pPr>
                      <w:jc w:val="center"/>
                    </w:pPr>
                    <w:r>
                      <w:fldChar w:fldCharType="begin"/>
                    </w:r>
                    <w:r>
                      <w:instrText xml:space="preserve">PAGE   \* MERGEFORMAT</w:instrText>
                    </w:r>
                    <w:r>
                      <w:fldChar w:fldCharType="separate"/>
                    </w:r>
                    <w:r>
                      <w:rPr>
                        <w:lang w:val="zh-CN"/>
                      </w:rP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7143B">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3B71F95">
                          <w:pPr>
                            <w:jc w:val="center"/>
                          </w:pPr>
                          <w:r>
                            <w:fldChar w:fldCharType="begin"/>
                          </w:r>
                          <w:r>
                            <w:instrText xml:space="preserve">PAGE   \* MERGEFORMAT</w:instrText>
                          </w:r>
                          <w:r>
                            <w:fldChar w:fldCharType="separate"/>
                          </w:r>
                          <w:r>
                            <w:rPr>
                              <w:lang w:val="zh-CN"/>
                            </w:rPr>
                            <w:t>42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9ynYvwsCAAACBAAADgAAAAAAAAABACAAAAAfAQAA&#10;ZHJzL2Uyb0RvYy54bWxQSwUGAAAAAAYABgBZAQAAnAUAAAAA&#10;">
              <v:fill on="f" focussize="0,0"/>
              <v:stroke on="f"/>
              <v:imagedata o:title=""/>
              <o:lock v:ext="edit" aspectratio="f"/>
              <v:textbox inset="0mm,0mm,0mm,0mm" style="mso-fit-shape-to-text:t;">
                <w:txbxContent>
                  <w:p w14:paraId="73B71F95">
                    <w:pPr>
                      <w:jc w:val="center"/>
                    </w:pPr>
                    <w:r>
                      <w:fldChar w:fldCharType="begin"/>
                    </w:r>
                    <w:r>
                      <w:instrText xml:space="preserve">PAGE   \* MERGEFORMAT</w:instrText>
                    </w:r>
                    <w:r>
                      <w:fldChar w:fldCharType="separate"/>
                    </w:r>
                    <w:r>
                      <w:rPr>
                        <w:lang w:val="zh-CN"/>
                      </w:rPr>
                      <w:t>42</w:t>
                    </w:r>
                    <w:r>
                      <w:fldChar w:fldCharType="end"/>
                    </w:r>
                  </w:p>
                </w:txbxContent>
              </v:textbox>
            </v:shape>
          </w:pict>
        </mc:Fallback>
      </mc:AlternateContent>
    </w:r>
  </w:p>
  <w:p w14:paraId="20D8AB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DE72">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B76F88D">
                          <w:pPr>
                            <w:jc w:val="center"/>
                          </w:pPr>
                          <w:r>
                            <w:fldChar w:fldCharType="begin"/>
                          </w:r>
                          <w:r>
                            <w:instrText xml:space="preserve">PAGE   \* MERGEFORMAT</w:instrText>
                          </w:r>
                          <w:r>
                            <w:fldChar w:fldCharType="separate"/>
                          </w:r>
                          <w:r>
                            <w:rPr>
                              <w:lang w:val="zh-CN"/>
                            </w:rPr>
                            <w:t>51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2DHgK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quQXnFlhqOGHH98PP38f&#10;fn1jF9GezvmCsm4d5YX+DfQ0NEmqdzcgv3hm4boRdqOuEKFrlKiIXh5fZg+eDjg+gqy791BRHbEN&#10;kID6Gk30jtxghE6t2Z9ao/rAZCyZz16fE0VJV/l5PpslbpkoxscOfXirwLAYlByp8wlc7G58iGRE&#10;MabEWhZWum1T91v71wElxpNEPvIdmId+3R/NWEO1JxkIwzDRV6KgAfzKWUeDVHJL/4az9p0lI+LM&#10;jQGOwXoMhJX0sOSBsyG8DsNsbh3qTUO4o9VXZNZKJyHR1YHDkSWNRtJ3HOM4ew/3KevP1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9gx4CgIAAAIEAAAOAAAAAAAAAAEAIAAAAB8BAABk&#10;cnMvZTJvRG9jLnhtbFBLBQYAAAAABgAGAFkBAACbBQAAAAA=&#10;">
              <v:fill on="f" focussize="0,0"/>
              <v:stroke on="f"/>
              <v:imagedata o:title=""/>
              <o:lock v:ext="edit" aspectratio="f"/>
              <v:textbox inset="0mm,0mm,0mm,0mm" style="mso-fit-shape-to-text:t;">
                <w:txbxContent>
                  <w:p w14:paraId="5B76F88D">
                    <w:pPr>
                      <w:jc w:val="center"/>
                    </w:pPr>
                    <w:r>
                      <w:fldChar w:fldCharType="begin"/>
                    </w:r>
                    <w:r>
                      <w:instrText xml:space="preserve">PAGE   \* MERGEFORMAT</w:instrText>
                    </w:r>
                    <w:r>
                      <w:fldChar w:fldCharType="separate"/>
                    </w:r>
                    <w:r>
                      <w:rPr>
                        <w:lang w:val="zh-CN"/>
                      </w:rPr>
                      <w:t>51</w:t>
                    </w:r>
                    <w:r>
                      <w:fldChar w:fldCharType="end"/>
                    </w:r>
                  </w:p>
                </w:txbxContent>
              </v:textbox>
            </v:shape>
          </w:pict>
        </mc:Fallback>
      </mc:AlternateContent>
    </w:r>
  </w:p>
  <w:p w14:paraId="5C8597B7">
    <w:pPr>
      <w:tabs>
        <w:tab w:val="center" w:pos="481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A0F05">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1E6883E">
                          <w:pPr>
                            <w:jc w:val="center"/>
                          </w:pPr>
                          <w:r>
                            <w:fldChar w:fldCharType="begin"/>
                          </w:r>
                          <w:r>
                            <w:instrText xml:space="preserve"> PAGE   \* MERGEFORMAT </w:instrText>
                          </w:r>
                          <w:r>
                            <w:fldChar w:fldCharType="separate"/>
                          </w:r>
                          <w:r>
                            <w:rPr>
                              <w:lang w:val="zh-CN"/>
                            </w:rPr>
                            <w:t>68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dDvzoKAgAAAg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quQzzqww1PDDj++Hn78P&#10;v76xWbSnc76grFtHeaF/Az0NTZLq3Q3IL55ZuG6E3agrROgaJSqil8eX2YOnA46PIOvuPVRUR2wD&#10;JKC+RhO9IzcYoVNr9qfWqD4wGUvms9fnF5xJusrP89nsIlUQxfjYoQ9vFRgWg5IjdT6Bi92ND5GM&#10;KMaUWMvCSrdt6n5r/zqgxHiSyEe+A/PQr/ujGWuo9iQDYRgm+koUNIBfOetokEpu6d9w1r6zZESc&#10;uTHAMViPgbCSHpY8cDaE12GYza1DvWkId7T6isxa6SQkujpwOLKk0Uj6jmMcZ+/hPmX9+bq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HQ786CgIAAAIEAAAOAAAAAAAAAAEAIAAAAB8BAABk&#10;cnMvZTJvRG9jLnhtbFBLBQYAAAAABgAGAFkBAACbBQAAAAA=&#10;">
              <v:fill on="f" focussize="0,0"/>
              <v:stroke on="f"/>
              <v:imagedata o:title=""/>
              <o:lock v:ext="edit" aspectratio="f"/>
              <v:textbox inset="0mm,0mm,0mm,0mm" style="mso-fit-shape-to-text:t;">
                <w:txbxContent>
                  <w:p w14:paraId="71E6883E">
                    <w:pPr>
                      <w:jc w:val="center"/>
                    </w:pPr>
                    <w:r>
                      <w:fldChar w:fldCharType="begin"/>
                    </w:r>
                    <w:r>
                      <w:instrText xml:space="preserve"> PAGE   \* MERGEFORMAT </w:instrText>
                    </w:r>
                    <w:r>
                      <w:fldChar w:fldCharType="separate"/>
                    </w:r>
                    <w:r>
                      <w:rPr>
                        <w:lang w:val="zh-CN"/>
                      </w:rPr>
                      <w:t>68</w:t>
                    </w:r>
                    <w:r>
                      <w:fldChar w:fldCharType="end"/>
                    </w:r>
                  </w:p>
                </w:txbxContent>
              </v:textbox>
            </v:shape>
          </w:pict>
        </mc:Fallback>
      </mc:AlternateContent>
    </w:r>
  </w:p>
  <w:p w14:paraId="648B34C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D5B4A">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19DE677">
                          <w:pPr>
                            <w:jc w:val="center"/>
                          </w:pPr>
                          <w:r>
                            <w:fldChar w:fldCharType="begin"/>
                          </w:r>
                          <w:r>
                            <w:instrText xml:space="preserve"> PAGE   \* MERGEFORMAT </w:instrText>
                          </w:r>
                          <w:r>
                            <w:fldChar w:fldCharType="separate"/>
                          </w:r>
                          <w:r>
                            <w:rPr>
                              <w:lang w:val="zh-CN"/>
                            </w:rPr>
                            <w:t>74</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AuT9QsCgIAAAIEAAAOAAAAAAAAAAEAIAAAAB8BAABk&#10;cnMvZTJvRG9jLnhtbFBLBQYAAAAABgAGAFkBAACbBQAAAAA=&#10;">
              <v:fill on="f" focussize="0,0"/>
              <v:stroke on="f"/>
              <v:imagedata o:title=""/>
              <o:lock v:ext="edit" aspectratio="f"/>
              <v:textbox inset="0mm,0mm,0mm,0mm" style="mso-fit-shape-to-text:t;">
                <w:txbxContent>
                  <w:p w14:paraId="519DE677">
                    <w:pPr>
                      <w:jc w:val="center"/>
                    </w:pPr>
                    <w:r>
                      <w:fldChar w:fldCharType="begin"/>
                    </w:r>
                    <w:r>
                      <w:instrText xml:space="preserve"> PAGE   \* MERGEFORMAT </w:instrText>
                    </w:r>
                    <w:r>
                      <w:fldChar w:fldCharType="separate"/>
                    </w:r>
                    <w:r>
                      <w:rPr>
                        <w:lang w:val="zh-CN"/>
                      </w:rPr>
                      <w:t>74</w:t>
                    </w:r>
                    <w:r>
                      <w:fldChar w:fldCharType="end"/>
                    </w:r>
                  </w:p>
                </w:txbxContent>
              </v:textbox>
            </v:shape>
          </w:pict>
        </mc:Fallback>
      </mc:AlternateContent>
    </w:r>
  </w:p>
  <w:p w14:paraId="3512ABA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1D9C5">
    <w:pPr>
      <w:framePr w:wrap="around" w:vAnchor="text" w:hAnchor="margin" w:xAlign="center" w:y="1"/>
    </w:pPr>
    <w:r>
      <w:fldChar w:fldCharType="begin"/>
    </w:r>
    <w:r>
      <w:instrText xml:space="preserve">PAGE  </w:instrText>
    </w:r>
    <w:r>
      <w:fldChar w:fldCharType="end"/>
    </w:r>
  </w:p>
  <w:p w14:paraId="12FC355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8E2EB">
    <w:pPr>
      <w:framePr w:wrap="around" w:vAnchor="text" w:hAnchor="margin" w:xAlign="right" w:y="1"/>
    </w:pPr>
    <w:r>
      <w:fldChar w:fldCharType="begin"/>
    </w:r>
    <w:r>
      <w:instrText xml:space="preserve">PAGE  </w:instrText>
    </w:r>
    <w:r>
      <w:fldChar w:fldCharType="separate"/>
    </w:r>
    <w:r>
      <w:t>122</w:t>
    </w:r>
    <w:r>
      <w:fldChar w:fldCharType="end"/>
    </w:r>
  </w:p>
  <w:p w14:paraId="09850C16">
    <w:pPr>
      <w:ind w:right="360"/>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640DD">
    <w:pPr>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1AF46E7">
                          <w:pPr>
                            <w:jc w:val="center"/>
                          </w:pPr>
                          <w:r>
                            <w:fldChar w:fldCharType="begin"/>
                          </w:r>
                          <w:r>
                            <w:instrText xml:space="preserve"> PAGE   \* MERGEFORMAT </w:instrText>
                          </w:r>
                          <w:r>
                            <w:fldChar w:fldCharType="separate"/>
                          </w:r>
                          <w:r>
                            <w:rPr>
                              <w:lang w:val="zh-CN"/>
                            </w:rPr>
                            <w:t>76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BW+mduCgIAAAIEAAAOAAAAAAAAAAEAIAAAAB8BAABk&#10;cnMvZTJvRG9jLnhtbFBLBQYAAAAABgAGAFkBAACbBQAAAAA=&#10;">
              <v:fill on="f" focussize="0,0"/>
              <v:stroke on="f"/>
              <v:imagedata o:title=""/>
              <o:lock v:ext="edit" aspectratio="f"/>
              <v:textbox inset="0mm,0mm,0mm,0mm" style="mso-fit-shape-to-text:t;">
                <w:txbxContent>
                  <w:p w14:paraId="71AF46E7">
                    <w:pPr>
                      <w:jc w:val="center"/>
                    </w:pPr>
                    <w:r>
                      <w:fldChar w:fldCharType="begin"/>
                    </w:r>
                    <w:r>
                      <w:instrText xml:space="preserve"> PAGE   \* MERGEFORMAT </w:instrText>
                    </w:r>
                    <w:r>
                      <w:fldChar w:fldCharType="separate"/>
                    </w:r>
                    <w:r>
                      <w:rPr>
                        <w:lang w:val="zh-CN"/>
                      </w:rPr>
                      <w:t>76</w:t>
                    </w:r>
                    <w:r>
                      <w:fldChar w:fldCharType="end"/>
                    </w:r>
                  </w:p>
                </w:txbxContent>
              </v:textbox>
            </v:shape>
          </w:pict>
        </mc:Fallback>
      </mc:AlternateContent>
    </w:r>
  </w:p>
  <w:p w14:paraId="48D8E61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1D749">
    <w:pPr>
      <w:pStyle w:val="19"/>
      <w:tabs>
        <w:tab w:val="center" w:pos="0"/>
      </w:tabs>
      <w:ind w:left="0" w:left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0FB0B">
    <w:pPr>
      <w:pStyle w:val="19"/>
      <w:tabs>
        <w:tab w:val="center" w:pos="0"/>
      </w:tabs>
      <w:ind w:left="5250"/>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67157">
    <w:pPr>
      <w:pStyle w:val="19"/>
      <w:ind w:left="525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892F0">
    <w:pPr>
      <w:pStyle w:val="19"/>
      <w:ind w:left="525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14B17">
    <w:pPr>
      <w:pStyle w:val="19"/>
      <w:ind w:left="525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18808">
    <w:pPr>
      <w:pStyle w:val="19"/>
      <w:ind w:left="52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B7645F7"/>
    <w:multiLevelType w:val="singleLevel"/>
    <w:tmpl w:val="2B7645F7"/>
    <w:lvl w:ilvl="0" w:tentative="0">
      <w:start w:val="1"/>
      <w:numFmt w:val="decimal"/>
      <w:suff w:val="nothing"/>
      <w:lvlText w:val="（%1）"/>
      <w:lvlJc w:val="left"/>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num w:numId="1">
    <w:abstractNumId w:val="2"/>
  </w:num>
  <w:num w:numId="2">
    <w:abstractNumId w:val="1"/>
    <w:lvlOverride w:ilvl="0">
      <w:startOverride w:val="1"/>
    </w:lvlOverride>
  </w:num>
  <w:num w:numId="3">
    <w:abstractNumId w:val="0"/>
    <w:lvlOverride w:ilvl="0">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hMDYxNTU3MzkyMGFlNjBkZjAwMjJjZTg1OGEzMmEifQ=="/>
  </w:docVars>
  <w:rsids>
    <w:rsidRoot w:val="00B83D31"/>
    <w:rsid w:val="000860A9"/>
    <w:rsid w:val="0009435C"/>
    <w:rsid w:val="000F662E"/>
    <w:rsid w:val="00223DA7"/>
    <w:rsid w:val="002733A7"/>
    <w:rsid w:val="002E2693"/>
    <w:rsid w:val="002F7B2D"/>
    <w:rsid w:val="00322035"/>
    <w:rsid w:val="003564ED"/>
    <w:rsid w:val="003B63B2"/>
    <w:rsid w:val="0040517F"/>
    <w:rsid w:val="004368C7"/>
    <w:rsid w:val="00485728"/>
    <w:rsid w:val="004B7A89"/>
    <w:rsid w:val="004E42C1"/>
    <w:rsid w:val="00527C90"/>
    <w:rsid w:val="00540799"/>
    <w:rsid w:val="005B679A"/>
    <w:rsid w:val="00615E34"/>
    <w:rsid w:val="006728E1"/>
    <w:rsid w:val="00690DBF"/>
    <w:rsid w:val="006B23CD"/>
    <w:rsid w:val="006F2051"/>
    <w:rsid w:val="00717531"/>
    <w:rsid w:val="0079412A"/>
    <w:rsid w:val="00796CA8"/>
    <w:rsid w:val="007D73E1"/>
    <w:rsid w:val="00816742"/>
    <w:rsid w:val="008273CF"/>
    <w:rsid w:val="00880146"/>
    <w:rsid w:val="00885245"/>
    <w:rsid w:val="00963ADA"/>
    <w:rsid w:val="00A57445"/>
    <w:rsid w:val="00AE6CBD"/>
    <w:rsid w:val="00AF772F"/>
    <w:rsid w:val="00B83D31"/>
    <w:rsid w:val="00BA077B"/>
    <w:rsid w:val="00C3340C"/>
    <w:rsid w:val="00CB1669"/>
    <w:rsid w:val="00CE05DE"/>
    <w:rsid w:val="00D04426"/>
    <w:rsid w:val="00D20DA4"/>
    <w:rsid w:val="00D95B45"/>
    <w:rsid w:val="00E04CB2"/>
    <w:rsid w:val="00E26F56"/>
    <w:rsid w:val="00E33070"/>
    <w:rsid w:val="00E946D4"/>
    <w:rsid w:val="00ED27E5"/>
    <w:rsid w:val="00ED33C1"/>
    <w:rsid w:val="00F31DD6"/>
    <w:rsid w:val="00F952D1"/>
    <w:rsid w:val="00FD60F9"/>
    <w:rsid w:val="00FF2A6B"/>
    <w:rsid w:val="012375FA"/>
    <w:rsid w:val="0196014B"/>
    <w:rsid w:val="01986DCB"/>
    <w:rsid w:val="02046F8A"/>
    <w:rsid w:val="02261C62"/>
    <w:rsid w:val="023B77C8"/>
    <w:rsid w:val="024A2C41"/>
    <w:rsid w:val="02B953D3"/>
    <w:rsid w:val="02DC56B0"/>
    <w:rsid w:val="033638BC"/>
    <w:rsid w:val="04E20948"/>
    <w:rsid w:val="058645FB"/>
    <w:rsid w:val="068F6D0F"/>
    <w:rsid w:val="069C3C54"/>
    <w:rsid w:val="07045514"/>
    <w:rsid w:val="073256F9"/>
    <w:rsid w:val="075A7AEE"/>
    <w:rsid w:val="07F25F78"/>
    <w:rsid w:val="08E914C2"/>
    <w:rsid w:val="0A373DED"/>
    <w:rsid w:val="0A5B101A"/>
    <w:rsid w:val="0A7A0F19"/>
    <w:rsid w:val="0B80600C"/>
    <w:rsid w:val="0C7E602C"/>
    <w:rsid w:val="0D074560"/>
    <w:rsid w:val="0DBF524C"/>
    <w:rsid w:val="0DC23CCF"/>
    <w:rsid w:val="0DEB14A0"/>
    <w:rsid w:val="0E682AF0"/>
    <w:rsid w:val="0EEC624B"/>
    <w:rsid w:val="0F296733"/>
    <w:rsid w:val="0F564FEF"/>
    <w:rsid w:val="10232267"/>
    <w:rsid w:val="11D329A9"/>
    <w:rsid w:val="1225566E"/>
    <w:rsid w:val="128A4873"/>
    <w:rsid w:val="143359CC"/>
    <w:rsid w:val="15086F25"/>
    <w:rsid w:val="16784C85"/>
    <w:rsid w:val="1680548D"/>
    <w:rsid w:val="182A6BA6"/>
    <w:rsid w:val="1890336F"/>
    <w:rsid w:val="18964DB2"/>
    <w:rsid w:val="19155381"/>
    <w:rsid w:val="19381467"/>
    <w:rsid w:val="197E295B"/>
    <w:rsid w:val="1A43009A"/>
    <w:rsid w:val="1A6835ED"/>
    <w:rsid w:val="1B013245"/>
    <w:rsid w:val="1B737891"/>
    <w:rsid w:val="1BAE5363"/>
    <w:rsid w:val="1C4E1577"/>
    <w:rsid w:val="1CE56C4B"/>
    <w:rsid w:val="1D7F0913"/>
    <w:rsid w:val="1D900946"/>
    <w:rsid w:val="1E297CDA"/>
    <w:rsid w:val="1E472722"/>
    <w:rsid w:val="23706662"/>
    <w:rsid w:val="24C06B88"/>
    <w:rsid w:val="26560EF1"/>
    <w:rsid w:val="26705ECD"/>
    <w:rsid w:val="26AA5B59"/>
    <w:rsid w:val="26FD715C"/>
    <w:rsid w:val="2886146E"/>
    <w:rsid w:val="29F066B0"/>
    <w:rsid w:val="2ACD2D2F"/>
    <w:rsid w:val="2EA46DEB"/>
    <w:rsid w:val="2F25260C"/>
    <w:rsid w:val="2FD933F6"/>
    <w:rsid w:val="30772DDA"/>
    <w:rsid w:val="307F4167"/>
    <w:rsid w:val="3195318B"/>
    <w:rsid w:val="31F77BC2"/>
    <w:rsid w:val="32FA5DBA"/>
    <w:rsid w:val="335F4A81"/>
    <w:rsid w:val="350D73D3"/>
    <w:rsid w:val="35CD6336"/>
    <w:rsid w:val="379608E9"/>
    <w:rsid w:val="38564F1B"/>
    <w:rsid w:val="387766BB"/>
    <w:rsid w:val="38AE01EB"/>
    <w:rsid w:val="38E6209F"/>
    <w:rsid w:val="39B44A4F"/>
    <w:rsid w:val="39F0209E"/>
    <w:rsid w:val="3A7C331E"/>
    <w:rsid w:val="3C131844"/>
    <w:rsid w:val="3C131A3E"/>
    <w:rsid w:val="3C972E5F"/>
    <w:rsid w:val="3DF81A0A"/>
    <w:rsid w:val="3E381C93"/>
    <w:rsid w:val="3ED953EC"/>
    <w:rsid w:val="3F2446D7"/>
    <w:rsid w:val="3FE6781E"/>
    <w:rsid w:val="41667B72"/>
    <w:rsid w:val="43A63197"/>
    <w:rsid w:val="43B9111D"/>
    <w:rsid w:val="445157F9"/>
    <w:rsid w:val="445E1745"/>
    <w:rsid w:val="44C30A62"/>
    <w:rsid w:val="44EE01CF"/>
    <w:rsid w:val="45C55EC6"/>
    <w:rsid w:val="482A4A72"/>
    <w:rsid w:val="489664B9"/>
    <w:rsid w:val="49696031"/>
    <w:rsid w:val="4A2F63BA"/>
    <w:rsid w:val="4C3B0D25"/>
    <w:rsid w:val="4D9D1CC4"/>
    <w:rsid w:val="4FF92705"/>
    <w:rsid w:val="50387632"/>
    <w:rsid w:val="50946199"/>
    <w:rsid w:val="52750905"/>
    <w:rsid w:val="5316734A"/>
    <w:rsid w:val="53581E49"/>
    <w:rsid w:val="53BF62DB"/>
    <w:rsid w:val="54D74A08"/>
    <w:rsid w:val="55AA2756"/>
    <w:rsid w:val="5705691D"/>
    <w:rsid w:val="570F7A5E"/>
    <w:rsid w:val="575965E0"/>
    <w:rsid w:val="58A14277"/>
    <w:rsid w:val="59F8644B"/>
    <w:rsid w:val="5A8030E4"/>
    <w:rsid w:val="5B294982"/>
    <w:rsid w:val="5C545A2F"/>
    <w:rsid w:val="5C5E4003"/>
    <w:rsid w:val="5D794766"/>
    <w:rsid w:val="5DEB75DC"/>
    <w:rsid w:val="5E9370EE"/>
    <w:rsid w:val="5F146DD1"/>
    <w:rsid w:val="5F643ACD"/>
    <w:rsid w:val="5F643BFE"/>
    <w:rsid w:val="5F6B37BB"/>
    <w:rsid w:val="5F8B56A5"/>
    <w:rsid w:val="60244AC1"/>
    <w:rsid w:val="60593F9F"/>
    <w:rsid w:val="611C05BC"/>
    <w:rsid w:val="62591744"/>
    <w:rsid w:val="62F277E6"/>
    <w:rsid w:val="642A1A22"/>
    <w:rsid w:val="65610AE6"/>
    <w:rsid w:val="659673E1"/>
    <w:rsid w:val="65D31FB8"/>
    <w:rsid w:val="66F0188A"/>
    <w:rsid w:val="67E55EF8"/>
    <w:rsid w:val="68617A69"/>
    <w:rsid w:val="6880042B"/>
    <w:rsid w:val="68E721D3"/>
    <w:rsid w:val="68FC7602"/>
    <w:rsid w:val="69CC12FA"/>
    <w:rsid w:val="6AA05B7D"/>
    <w:rsid w:val="6B6317EA"/>
    <w:rsid w:val="6C1D31AD"/>
    <w:rsid w:val="6CCE0EE6"/>
    <w:rsid w:val="6D1C6FDF"/>
    <w:rsid w:val="6D266F73"/>
    <w:rsid w:val="6D747729"/>
    <w:rsid w:val="6EA057D2"/>
    <w:rsid w:val="6F732038"/>
    <w:rsid w:val="6F993367"/>
    <w:rsid w:val="6FD360C5"/>
    <w:rsid w:val="71792369"/>
    <w:rsid w:val="721E621C"/>
    <w:rsid w:val="72231B12"/>
    <w:rsid w:val="72386804"/>
    <w:rsid w:val="73BD39A6"/>
    <w:rsid w:val="7438751D"/>
    <w:rsid w:val="757E5B9F"/>
    <w:rsid w:val="75933079"/>
    <w:rsid w:val="75B01451"/>
    <w:rsid w:val="75EB1328"/>
    <w:rsid w:val="76005E71"/>
    <w:rsid w:val="779C1F25"/>
    <w:rsid w:val="78CB247D"/>
    <w:rsid w:val="792C4472"/>
    <w:rsid w:val="7A1A39BC"/>
    <w:rsid w:val="7A25474D"/>
    <w:rsid w:val="7B771530"/>
    <w:rsid w:val="7BEA75F6"/>
    <w:rsid w:val="7C10780F"/>
    <w:rsid w:val="7C4F3DF1"/>
    <w:rsid w:val="7C8F1F73"/>
    <w:rsid w:val="7CD14CD1"/>
    <w:rsid w:val="7D330E3C"/>
    <w:rsid w:val="7DD54CAE"/>
    <w:rsid w:val="7EAB0300"/>
    <w:rsid w:val="7F544A56"/>
    <w:rsid w:val="7F9072E2"/>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qFormat="1"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2"/>
    <w:qFormat/>
    <w:uiPriority w:val="9"/>
    <w:pPr>
      <w:keepNext/>
      <w:keepLines/>
      <w:spacing w:before="340" w:after="330" w:line="576" w:lineRule="auto"/>
      <w:outlineLvl w:val="0"/>
    </w:pPr>
    <w:rPr>
      <w:b/>
      <w:bCs/>
      <w:kern w:val="44"/>
      <w:sz w:val="44"/>
      <w:szCs w:val="44"/>
    </w:rPr>
  </w:style>
  <w:style w:type="paragraph" w:styleId="4">
    <w:name w:val="heading 2"/>
    <w:basedOn w:val="1"/>
    <w:next w:val="1"/>
    <w:link w:val="43"/>
    <w:qFormat/>
    <w:uiPriority w:val="9"/>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44"/>
    <w:qFormat/>
    <w:uiPriority w:val="9"/>
    <w:pPr>
      <w:keepNext/>
      <w:keepLines/>
      <w:spacing w:line="600" w:lineRule="exact"/>
      <w:ind w:firstLine="643" w:firstLineChars="200"/>
      <w:outlineLvl w:val="2"/>
    </w:pPr>
    <w:rPr>
      <w:b/>
      <w:bCs/>
      <w:sz w:val="32"/>
      <w:szCs w:val="32"/>
    </w:rPr>
  </w:style>
  <w:style w:type="paragraph" w:styleId="6">
    <w:name w:val="heading 4"/>
    <w:basedOn w:val="1"/>
    <w:next w:val="1"/>
    <w:link w:val="45"/>
    <w:qFormat/>
    <w:uiPriority w:val="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6"/>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qFormat/>
    <w:uiPriority w:val="0"/>
    <w:pPr>
      <w:spacing w:after="120"/>
    </w:pPr>
  </w:style>
  <w:style w:type="paragraph" w:styleId="8">
    <w:name w:val="toc 7"/>
    <w:basedOn w:val="1"/>
    <w:next w:val="1"/>
    <w:unhideWhenUsed/>
    <w:qFormat/>
    <w:uiPriority w:val="39"/>
    <w:pPr>
      <w:jc w:val="left"/>
    </w:pPr>
    <w:rPr>
      <w:rFonts w:ascii="Calibri" w:hAnsi="Calibri"/>
      <w:sz w:val="22"/>
      <w:szCs w:val="22"/>
    </w:rPr>
  </w:style>
  <w:style w:type="paragraph" w:styleId="9">
    <w:name w:val="Normal Indent"/>
    <w:basedOn w:val="1"/>
    <w:unhideWhenUsed/>
    <w:qFormat/>
    <w:uiPriority w:val="99"/>
    <w:pPr>
      <w:ind w:firstLine="420"/>
    </w:pPr>
    <w:rPr>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53"/>
    <w:unhideWhenUsed/>
    <w:qFormat/>
    <w:uiPriority w:val="99"/>
    <w:rPr>
      <w:rFonts w:ascii="宋体"/>
      <w:sz w:val="18"/>
      <w:szCs w:val="18"/>
    </w:rPr>
  </w:style>
  <w:style w:type="paragraph" w:styleId="12">
    <w:name w:val="annotation text"/>
    <w:basedOn w:val="1"/>
    <w:link w:val="55"/>
    <w:unhideWhenUsed/>
    <w:qFormat/>
    <w:uiPriority w:val="0"/>
    <w:pPr>
      <w:jc w:val="left"/>
    </w:pPr>
  </w:style>
  <w:style w:type="paragraph" w:styleId="13">
    <w:name w:val="Body Text 3"/>
    <w:basedOn w:val="1"/>
    <w:link w:val="56"/>
    <w:unhideWhenUsed/>
    <w:qFormat/>
    <w:uiPriority w:val="99"/>
    <w:pPr>
      <w:spacing w:after="120"/>
    </w:pPr>
    <w:rPr>
      <w:sz w:val="16"/>
      <w:szCs w:val="16"/>
    </w:rPr>
  </w:style>
  <w:style w:type="paragraph" w:styleId="14">
    <w:name w:val="Body Text Indent"/>
    <w:basedOn w:val="1"/>
    <w:next w:val="1"/>
    <w:link w:val="58"/>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next w:val="6"/>
    <w:link w:val="59"/>
    <w:qFormat/>
    <w:uiPriority w:val="0"/>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60"/>
    <w:unhideWhenUsed/>
    <w:qFormat/>
    <w:uiPriority w:val="99"/>
    <w:pPr>
      <w:ind w:left="100" w:leftChars="2500"/>
    </w:pPr>
  </w:style>
  <w:style w:type="paragraph" w:styleId="20">
    <w:name w:val="Body Text Indent 2"/>
    <w:basedOn w:val="1"/>
    <w:link w:val="61"/>
    <w:unhideWhenUsed/>
    <w:qFormat/>
    <w:uiPriority w:val="99"/>
    <w:pPr>
      <w:spacing w:after="120" w:line="480" w:lineRule="auto"/>
      <w:ind w:left="420" w:leftChars="200"/>
    </w:pPr>
  </w:style>
  <w:style w:type="paragraph" w:styleId="21">
    <w:name w:val="Balloon Text"/>
    <w:basedOn w:val="1"/>
    <w:link w:val="63"/>
    <w:unhideWhenUsed/>
    <w:qFormat/>
    <w:uiPriority w:val="99"/>
    <w:rPr>
      <w:sz w:val="18"/>
      <w:szCs w:val="18"/>
    </w:rPr>
  </w:style>
  <w:style w:type="paragraph" w:styleId="22">
    <w:name w:val="footer"/>
    <w:basedOn w:val="1"/>
    <w:link w:val="64"/>
    <w:unhideWhenUsed/>
    <w:qFormat/>
    <w:uiPriority w:val="99"/>
    <w:pPr>
      <w:tabs>
        <w:tab w:val="center" w:pos="4153"/>
        <w:tab w:val="right" w:pos="8306"/>
      </w:tabs>
      <w:snapToGrid w:val="0"/>
      <w:jc w:val="left"/>
    </w:pPr>
    <w:rPr>
      <w:sz w:val="18"/>
      <w:szCs w:val="18"/>
    </w:rPr>
  </w:style>
  <w:style w:type="paragraph" w:styleId="23">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360" w:after="360"/>
      <w:jc w:val="left"/>
    </w:pPr>
    <w:rPr>
      <w:rFonts w:ascii="Calibri" w:hAnsi="Calibri"/>
      <w:b/>
      <w:bCs/>
      <w:caps/>
      <w:sz w:val="22"/>
      <w:szCs w:val="22"/>
      <w:u w:val="single"/>
    </w:rPr>
  </w:style>
  <w:style w:type="paragraph" w:styleId="25">
    <w:name w:val="toc 4"/>
    <w:basedOn w:val="1"/>
    <w:next w:val="1"/>
    <w:unhideWhenUsed/>
    <w:qFormat/>
    <w:uiPriority w:val="39"/>
    <w:pPr>
      <w:jc w:val="left"/>
    </w:pPr>
    <w:rPr>
      <w:rFonts w:ascii="Calibri" w:hAnsi="Calibri"/>
      <w:sz w:val="22"/>
      <w:szCs w:val="22"/>
    </w:rPr>
  </w:style>
  <w:style w:type="paragraph" w:styleId="26">
    <w:name w:val="List"/>
    <w:basedOn w:val="1"/>
    <w:unhideWhenUsed/>
    <w:qFormat/>
    <w:uiPriority w:val="99"/>
    <w:pPr>
      <w:ind w:left="200" w:hanging="200" w:hangingChars="200"/>
    </w:pPr>
    <w:rPr>
      <w:sz w:val="28"/>
    </w:rPr>
  </w:style>
  <w:style w:type="paragraph" w:styleId="27">
    <w:name w:val="toc 6"/>
    <w:basedOn w:val="1"/>
    <w:next w:val="1"/>
    <w:unhideWhenUsed/>
    <w:qFormat/>
    <w:uiPriority w:val="39"/>
    <w:pPr>
      <w:jc w:val="left"/>
    </w:pPr>
    <w:rPr>
      <w:rFonts w:ascii="Calibri" w:hAnsi="Calibri"/>
      <w:sz w:val="22"/>
      <w:szCs w:val="22"/>
    </w:rPr>
  </w:style>
  <w:style w:type="paragraph" w:styleId="28">
    <w:name w:val="Body Text Indent 3"/>
    <w:basedOn w:val="1"/>
    <w:unhideWhenUsed/>
    <w:qFormat/>
    <w:uiPriority w:val="0"/>
    <w:pPr>
      <w:spacing w:after="120"/>
      <w:ind w:left="420" w:leftChars="200"/>
    </w:pPr>
    <w:rPr>
      <w:sz w:val="16"/>
      <w:szCs w:val="16"/>
    </w:rPr>
  </w:style>
  <w:style w:type="paragraph" w:styleId="29">
    <w:name w:val="toc 2"/>
    <w:basedOn w:val="1"/>
    <w:next w:val="1"/>
    <w:unhideWhenUsed/>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2">
    <w:name w:val="annotation subject"/>
    <w:basedOn w:val="12"/>
    <w:next w:val="12"/>
    <w:link w:val="66"/>
    <w:unhideWhenUsed/>
    <w:qFormat/>
    <w:uiPriority w:val="99"/>
    <w:rPr>
      <w:b/>
      <w:bCs/>
    </w:rPr>
  </w:style>
  <w:style w:type="paragraph" w:styleId="33">
    <w:name w:val="Body Text First Indent 2"/>
    <w:basedOn w:val="14"/>
    <w:next w:val="34"/>
    <w:link w:val="68"/>
    <w:qFormat/>
    <w:uiPriority w:val="0"/>
    <w:pPr>
      <w:spacing w:after="120" w:line="240" w:lineRule="auto"/>
      <w:ind w:left="420" w:leftChars="200" w:firstLine="420" w:firstLineChars="200"/>
    </w:pPr>
    <w:rPr>
      <w:szCs w:val="24"/>
    </w:rPr>
  </w:style>
  <w:style w:type="paragraph" w:styleId="34">
    <w:name w:val="Intense Quote"/>
    <w:basedOn w:val="1"/>
    <w:next w:val="1"/>
    <w:link w:val="67"/>
    <w:qFormat/>
    <w:uiPriority w:val="0"/>
    <w:pPr>
      <w:pBdr>
        <w:bottom w:val="single" w:color="4F81BD" w:sz="4" w:space="4"/>
      </w:pBdr>
      <w:ind w:left="936" w:right="936"/>
    </w:pPr>
    <w:rPr>
      <w:rFonts w:ascii="Calibri" w:hAnsi="Calibri"/>
      <w:b/>
      <w:i/>
      <w:color w:val="4F81BD"/>
    </w:rPr>
  </w:style>
  <w:style w:type="character" w:styleId="37">
    <w:name w:val="page number"/>
    <w:unhideWhenUsed/>
    <w:qFormat/>
    <w:uiPriority w:val="0"/>
  </w:style>
  <w:style w:type="character" w:styleId="38">
    <w:name w:val="FollowedHyperlink"/>
    <w:unhideWhenUsed/>
    <w:qFormat/>
    <w:uiPriority w:val="99"/>
    <w:rPr>
      <w:color w:val="800080"/>
      <w:u w:val="single"/>
    </w:rPr>
  </w:style>
  <w:style w:type="character" w:styleId="39">
    <w:name w:val="Hyperlink"/>
    <w:unhideWhenUsed/>
    <w:qFormat/>
    <w:uiPriority w:val="99"/>
    <w:rPr>
      <w:color w:val="0000FF"/>
      <w:u w:val="single"/>
    </w:rPr>
  </w:style>
  <w:style w:type="character" w:styleId="40">
    <w:name w:val="annotation reference"/>
    <w:unhideWhenUsed/>
    <w:qFormat/>
    <w:uiPriority w:val="99"/>
    <w:rPr>
      <w:sz w:val="21"/>
      <w:szCs w:val="21"/>
    </w:rPr>
  </w:style>
  <w:style w:type="character" w:customStyle="1" w:styleId="41">
    <w:name w:val="正文文本 字符1"/>
    <w:link w:val="2"/>
    <w:qFormat/>
    <w:uiPriority w:val="0"/>
    <w:rPr>
      <w:rFonts w:ascii="Times New Roman" w:hAnsi="Times New Roman" w:eastAsia="宋体" w:cs="Times New Roman"/>
      <w:szCs w:val="24"/>
    </w:rPr>
  </w:style>
  <w:style w:type="character" w:customStyle="1" w:styleId="42">
    <w:name w:val="标题 1 字符1"/>
    <w:link w:val="3"/>
    <w:qFormat/>
    <w:uiPriority w:val="9"/>
    <w:rPr>
      <w:rFonts w:ascii="Times New Roman" w:hAnsi="Times New Roman" w:eastAsia="宋体" w:cs="Times New Roman"/>
      <w:b/>
      <w:bCs/>
      <w:kern w:val="44"/>
      <w:sz w:val="44"/>
      <w:szCs w:val="44"/>
    </w:rPr>
  </w:style>
  <w:style w:type="character" w:customStyle="1" w:styleId="43">
    <w:name w:val="标题 2 字符1"/>
    <w:link w:val="4"/>
    <w:qFormat/>
    <w:uiPriority w:val="9"/>
    <w:rPr>
      <w:rFonts w:ascii="Arial" w:hAnsi="Arial" w:eastAsia="黑体" w:cs="Times New Roman"/>
      <w:b/>
      <w:bCs/>
      <w:sz w:val="32"/>
      <w:szCs w:val="32"/>
    </w:rPr>
  </w:style>
  <w:style w:type="character" w:customStyle="1" w:styleId="44">
    <w:name w:val="标题 3 字符1"/>
    <w:link w:val="5"/>
    <w:qFormat/>
    <w:uiPriority w:val="9"/>
    <w:rPr>
      <w:rFonts w:ascii="Times New Roman" w:hAnsi="Times New Roman" w:eastAsia="宋体" w:cs="Times New Roman"/>
      <w:b/>
      <w:bCs/>
      <w:sz w:val="32"/>
      <w:szCs w:val="32"/>
    </w:rPr>
  </w:style>
  <w:style w:type="character" w:customStyle="1" w:styleId="45">
    <w:name w:val="标题 4 字符1"/>
    <w:link w:val="6"/>
    <w:qFormat/>
    <w:uiPriority w:val="9"/>
    <w:rPr>
      <w:rFonts w:ascii="Arial" w:hAnsi="Times New Roman" w:eastAsia="黑体" w:cs="Times New Roman"/>
      <w:kern w:val="0"/>
      <w:sz w:val="28"/>
      <w:szCs w:val="20"/>
    </w:rPr>
  </w:style>
  <w:style w:type="character" w:customStyle="1" w:styleId="46">
    <w:name w:val="标题 5 字符1"/>
    <w:link w:val="7"/>
    <w:qFormat/>
    <w:uiPriority w:val="9"/>
    <w:rPr>
      <w:rFonts w:ascii="Times New Roman" w:hAnsi="Times New Roman" w:eastAsia="宋体" w:cs="Times New Roman"/>
      <w:b/>
      <w:bCs/>
      <w:sz w:val="28"/>
      <w:szCs w:val="28"/>
    </w:rPr>
  </w:style>
  <w:style w:type="character" w:customStyle="1" w:styleId="47">
    <w:name w:val="标题 1 字符"/>
    <w:basedOn w:val="36"/>
    <w:qFormat/>
    <w:uiPriority w:val="0"/>
    <w:rPr>
      <w:rFonts w:ascii="Times New Roman" w:hAnsi="Times New Roman" w:eastAsia="宋体" w:cs="Times New Roman"/>
      <w:b/>
      <w:bCs/>
      <w:kern w:val="44"/>
      <w:sz w:val="44"/>
      <w:szCs w:val="44"/>
    </w:rPr>
  </w:style>
  <w:style w:type="character" w:customStyle="1" w:styleId="48">
    <w:name w:val="标题 2 字符"/>
    <w:basedOn w:val="36"/>
    <w:qFormat/>
    <w:uiPriority w:val="0"/>
    <w:rPr>
      <w:rFonts w:asciiTheme="majorHAnsi" w:hAnsiTheme="majorHAnsi" w:eastAsiaTheme="majorEastAsia" w:cstheme="majorBidi"/>
      <w:b/>
      <w:bCs/>
      <w:sz w:val="32"/>
      <w:szCs w:val="32"/>
    </w:rPr>
  </w:style>
  <w:style w:type="character" w:customStyle="1" w:styleId="49">
    <w:name w:val="标题 3 字符"/>
    <w:basedOn w:val="36"/>
    <w:qFormat/>
    <w:uiPriority w:val="0"/>
    <w:rPr>
      <w:rFonts w:ascii="Times New Roman" w:hAnsi="Times New Roman" w:eastAsia="宋体" w:cs="Times New Roman"/>
      <w:b/>
      <w:bCs/>
      <w:sz w:val="32"/>
      <w:szCs w:val="32"/>
    </w:rPr>
  </w:style>
  <w:style w:type="character" w:customStyle="1" w:styleId="50">
    <w:name w:val="标题 4 字符"/>
    <w:basedOn w:val="36"/>
    <w:qFormat/>
    <w:uiPriority w:val="0"/>
    <w:rPr>
      <w:rFonts w:asciiTheme="majorHAnsi" w:hAnsiTheme="majorHAnsi" w:eastAsiaTheme="majorEastAsia" w:cstheme="majorBidi"/>
      <w:b/>
      <w:bCs/>
      <w:sz w:val="28"/>
      <w:szCs w:val="28"/>
    </w:rPr>
  </w:style>
  <w:style w:type="character" w:customStyle="1" w:styleId="51">
    <w:name w:val="标题 5 字符"/>
    <w:basedOn w:val="36"/>
    <w:qFormat/>
    <w:uiPriority w:val="9"/>
    <w:rPr>
      <w:rFonts w:ascii="Times New Roman" w:hAnsi="Times New Roman" w:eastAsia="宋体" w:cs="Times New Roman"/>
      <w:b/>
      <w:bCs/>
      <w:sz w:val="28"/>
      <w:szCs w:val="28"/>
    </w:rPr>
  </w:style>
  <w:style w:type="character" w:customStyle="1" w:styleId="52">
    <w:name w:val="正文文本 字符"/>
    <w:basedOn w:val="36"/>
    <w:qFormat/>
    <w:uiPriority w:val="99"/>
    <w:rPr>
      <w:rFonts w:ascii="Times New Roman" w:hAnsi="Times New Roman" w:eastAsia="宋体" w:cs="Times New Roman"/>
      <w:szCs w:val="24"/>
    </w:rPr>
  </w:style>
  <w:style w:type="character" w:customStyle="1" w:styleId="53">
    <w:name w:val="文档结构图 字符1"/>
    <w:link w:val="11"/>
    <w:qFormat/>
    <w:uiPriority w:val="99"/>
    <w:rPr>
      <w:rFonts w:ascii="宋体" w:hAnsi="Times New Roman" w:eastAsia="宋体" w:cs="Times New Roman"/>
      <w:sz w:val="18"/>
      <w:szCs w:val="18"/>
    </w:rPr>
  </w:style>
  <w:style w:type="character" w:customStyle="1" w:styleId="54">
    <w:name w:val="文档结构图 字符"/>
    <w:basedOn w:val="36"/>
    <w:qFormat/>
    <w:uiPriority w:val="0"/>
    <w:rPr>
      <w:rFonts w:ascii="Microsoft YaHei UI" w:hAnsi="Times New Roman" w:eastAsia="Microsoft YaHei UI" w:cs="Times New Roman"/>
      <w:sz w:val="18"/>
      <w:szCs w:val="18"/>
    </w:rPr>
  </w:style>
  <w:style w:type="character" w:customStyle="1" w:styleId="55">
    <w:name w:val="批注文字 字符"/>
    <w:basedOn w:val="36"/>
    <w:link w:val="12"/>
    <w:qFormat/>
    <w:uiPriority w:val="0"/>
    <w:rPr>
      <w:rFonts w:ascii="Times New Roman" w:hAnsi="Times New Roman" w:eastAsia="宋体" w:cs="Times New Roman"/>
      <w:szCs w:val="24"/>
    </w:rPr>
  </w:style>
  <w:style w:type="character" w:customStyle="1" w:styleId="56">
    <w:name w:val="正文文本 3 字符1"/>
    <w:link w:val="13"/>
    <w:qFormat/>
    <w:uiPriority w:val="99"/>
    <w:rPr>
      <w:rFonts w:ascii="Times New Roman" w:hAnsi="Times New Roman" w:eastAsia="宋体" w:cs="Times New Roman"/>
      <w:sz w:val="16"/>
      <w:szCs w:val="16"/>
    </w:rPr>
  </w:style>
  <w:style w:type="character" w:customStyle="1" w:styleId="57">
    <w:name w:val="正文文本 3 字符"/>
    <w:basedOn w:val="36"/>
    <w:qFormat/>
    <w:uiPriority w:val="99"/>
    <w:rPr>
      <w:rFonts w:ascii="Times New Roman" w:hAnsi="Times New Roman" w:eastAsia="宋体" w:cs="Times New Roman"/>
      <w:sz w:val="16"/>
      <w:szCs w:val="16"/>
    </w:rPr>
  </w:style>
  <w:style w:type="character" w:customStyle="1" w:styleId="58">
    <w:name w:val="正文文本缩进 字符"/>
    <w:basedOn w:val="36"/>
    <w:link w:val="14"/>
    <w:qFormat/>
    <w:uiPriority w:val="0"/>
    <w:rPr>
      <w:rFonts w:ascii="宋体" w:hAnsi="Courier New" w:eastAsia="宋体" w:cs="Times New Roman"/>
      <w:spacing w:val="-4"/>
      <w:sz w:val="18"/>
      <w:szCs w:val="20"/>
    </w:rPr>
  </w:style>
  <w:style w:type="character" w:customStyle="1" w:styleId="59">
    <w:name w:val="纯文本 字符"/>
    <w:basedOn w:val="36"/>
    <w:link w:val="17"/>
    <w:qFormat/>
    <w:uiPriority w:val="0"/>
    <w:rPr>
      <w:rFonts w:ascii="宋体" w:hAnsi="Courier New" w:eastAsia="宋体" w:cs="Times New Roman"/>
      <w:szCs w:val="20"/>
    </w:rPr>
  </w:style>
  <w:style w:type="character" w:customStyle="1" w:styleId="60">
    <w:name w:val="日期 字符"/>
    <w:basedOn w:val="36"/>
    <w:link w:val="19"/>
    <w:qFormat/>
    <w:uiPriority w:val="99"/>
    <w:rPr>
      <w:rFonts w:ascii="Times New Roman" w:hAnsi="Times New Roman" w:eastAsia="宋体" w:cs="Times New Roman"/>
      <w:szCs w:val="24"/>
    </w:rPr>
  </w:style>
  <w:style w:type="character" w:customStyle="1" w:styleId="61">
    <w:name w:val="正文文本缩进 2 字符1"/>
    <w:link w:val="20"/>
    <w:qFormat/>
    <w:uiPriority w:val="99"/>
    <w:rPr>
      <w:rFonts w:ascii="Times New Roman" w:hAnsi="Times New Roman" w:eastAsia="宋体" w:cs="Times New Roman"/>
      <w:szCs w:val="24"/>
    </w:rPr>
  </w:style>
  <w:style w:type="character" w:customStyle="1" w:styleId="62">
    <w:name w:val="正文文本缩进 2 字符"/>
    <w:basedOn w:val="36"/>
    <w:qFormat/>
    <w:uiPriority w:val="0"/>
    <w:rPr>
      <w:rFonts w:ascii="Times New Roman" w:hAnsi="Times New Roman" w:eastAsia="宋体" w:cs="Times New Roman"/>
      <w:szCs w:val="24"/>
    </w:rPr>
  </w:style>
  <w:style w:type="character" w:customStyle="1" w:styleId="63">
    <w:name w:val="批注框文本 字符"/>
    <w:basedOn w:val="36"/>
    <w:link w:val="21"/>
    <w:qFormat/>
    <w:uiPriority w:val="99"/>
    <w:rPr>
      <w:rFonts w:ascii="Times New Roman" w:hAnsi="Times New Roman" w:eastAsia="宋体" w:cs="Times New Roman"/>
      <w:sz w:val="18"/>
      <w:szCs w:val="18"/>
    </w:rPr>
  </w:style>
  <w:style w:type="character" w:customStyle="1" w:styleId="64">
    <w:name w:val="页脚 字符"/>
    <w:basedOn w:val="36"/>
    <w:link w:val="22"/>
    <w:qFormat/>
    <w:uiPriority w:val="99"/>
    <w:rPr>
      <w:rFonts w:ascii="Times New Roman" w:hAnsi="Times New Roman" w:eastAsia="宋体" w:cs="Times New Roman"/>
      <w:sz w:val="18"/>
      <w:szCs w:val="18"/>
    </w:rPr>
  </w:style>
  <w:style w:type="character" w:customStyle="1" w:styleId="65">
    <w:name w:val="页眉 字符"/>
    <w:basedOn w:val="36"/>
    <w:link w:val="23"/>
    <w:qFormat/>
    <w:uiPriority w:val="99"/>
    <w:rPr>
      <w:rFonts w:ascii="Times New Roman" w:hAnsi="Times New Roman" w:eastAsia="宋体" w:cs="Times New Roman"/>
      <w:sz w:val="18"/>
      <w:szCs w:val="18"/>
    </w:rPr>
  </w:style>
  <w:style w:type="character" w:customStyle="1" w:styleId="66">
    <w:name w:val="批注主题 字符"/>
    <w:basedOn w:val="55"/>
    <w:link w:val="32"/>
    <w:qFormat/>
    <w:uiPriority w:val="99"/>
    <w:rPr>
      <w:rFonts w:ascii="Times New Roman" w:hAnsi="Times New Roman" w:eastAsia="宋体" w:cs="Times New Roman"/>
      <w:b/>
      <w:bCs/>
      <w:szCs w:val="24"/>
    </w:rPr>
  </w:style>
  <w:style w:type="character" w:customStyle="1" w:styleId="67">
    <w:name w:val="明显引用 字符"/>
    <w:basedOn w:val="36"/>
    <w:link w:val="34"/>
    <w:qFormat/>
    <w:uiPriority w:val="0"/>
    <w:rPr>
      <w:rFonts w:ascii="Calibri" w:hAnsi="Calibri" w:eastAsia="宋体" w:cs="Times New Roman"/>
      <w:b/>
      <w:i/>
      <w:color w:val="4F81BD"/>
      <w:szCs w:val="24"/>
    </w:rPr>
  </w:style>
  <w:style w:type="character" w:customStyle="1" w:styleId="68">
    <w:name w:val="正文文本首行缩进 2 字符"/>
    <w:basedOn w:val="58"/>
    <w:link w:val="33"/>
    <w:qFormat/>
    <w:uiPriority w:val="0"/>
    <w:rPr>
      <w:rFonts w:ascii="宋体" w:hAnsi="Courier New" w:eastAsia="宋体" w:cs="Times New Roman"/>
      <w:spacing w:val="-4"/>
      <w:sz w:val="18"/>
      <w:szCs w:val="24"/>
    </w:rPr>
  </w:style>
  <w:style w:type="character" w:customStyle="1" w:styleId="69">
    <w:name w:val="页脚 字符2"/>
    <w:qFormat/>
    <w:uiPriority w:val="99"/>
    <w:rPr>
      <w:kern w:val="2"/>
      <w:sz w:val="18"/>
      <w:szCs w:val="18"/>
    </w:rPr>
  </w:style>
  <w:style w:type="character" w:customStyle="1" w:styleId="70">
    <w:name w:val="标题 2 Char"/>
    <w:qFormat/>
    <w:uiPriority w:val="0"/>
    <w:rPr>
      <w:rFonts w:ascii="Arial" w:hAnsi="Arial" w:eastAsia="黑体"/>
      <w:b/>
      <w:bCs/>
      <w:kern w:val="2"/>
      <w:sz w:val="32"/>
      <w:szCs w:val="32"/>
    </w:rPr>
  </w:style>
  <w:style w:type="character" w:customStyle="1" w:styleId="71">
    <w:name w:val="批注文字 Char"/>
    <w:qFormat/>
    <w:uiPriority w:val="0"/>
    <w:rPr>
      <w:kern w:val="2"/>
      <w:sz w:val="21"/>
      <w:szCs w:val="24"/>
    </w:rPr>
  </w:style>
  <w:style w:type="character" w:customStyle="1" w:styleId="72">
    <w:name w:val="正文文本缩进 Char"/>
    <w:qFormat/>
    <w:uiPriority w:val="0"/>
    <w:rPr>
      <w:rFonts w:ascii="宋体" w:hAnsi="Courier New" w:eastAsia="宋体"/>
      <w:spacing w:val="-4"/>
      <w:kern w:val="2"/>
      <w:sz w:val="18"/>
      <w:lang w:val="en-US" w:eastAsia="zh-CN" w:bidi="ar-SA"/>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日期 Char"/>
    <w:qFormat/>
    <w:uiPriority w:val="0"/>
    <w:rPr>
      <w:kern w:val="2"/>
      <w:sz w:val="21"/>
      <w:szCs w:val="24"/>
    </w:rPr>
  </w:style>
  <w:style w:type="character" w:customStyle="1" w:styleId="75">
    <w:name w:val="批注框文本 Char"/>
    <w:qFormat/>
    <w:uiPriority w:val="0"/>
    <w:rPr>
      <w:kern w:val="2"/>
      <w:sz w:val="18"/>
      <w:szCs w:val="18"/>
    </w:rPr>
  </w:style>
  <w:style w:type="character" w:customStyle="1" w:styleId="76">
    <w:name w:val="页眉 Char"/>
    <w:qFormat/>
    <w:uiPriority w:val="99"/>
    <w:rPr>
      <w:kern w:val="2"/>
      <w:sz w:val="18"/>
      <w:szCs w:val="18"/>
    </w:rPr>
  </w:style>
  <w:style w:type="character" w:customStyle="1" w:styleId="77">
    <w:name w:val="批注主题 Char"/>
    <w:qFormat/>
    <w:uiPriority w:val="99"/>
    <w:rPr>
      <w:b/>
      <w:bCs/>
      <w:kern w:val="2"/>
      <w:sz w:val="21"/>
      <w:szCs w:val="24"/>
    </w:rPr>
  </w:style>
  <w:style w:type="character" w:customStyle="1" w:styleId="78">
    <w:name w:val="Char Char1"/>
    <w:qFormat/>
    <w:uiPriority w:val="0"/>
    <w:rPr>
      <w:rFonts w:ascii="宋体" w:hAnsi="Courier New" w:eastAsia="宋体"/>
      <w:kern w:val="2"/>
      <w:sz w:val="21"/>
      <w:lang w:val="en-US" w:eastAsia="zh-CN" w:bidi="ar-SA"/>
    </w:rPr>
  </w:style>
  <w:style w:type="character" w:customStyle="1" w:styleId="79">
    <w:name w:val="纯文本 字符2"/>
    <w:qFormat/>
    <w:uiPriority w:val="0"/>
    <w:rPr>
      <w:rFonts w:ascii="宋体" w:hAnsi="Courier New" w:eastAsia="宋体" w:cs="Courier New"/>
      <w:szCs w:val="21"/>
    </w:rPr>
  </w:style>
  <w:style w:type="character" w:customStyle="1" w:styleId="80">
    <w:name w:val="正文文本_"/>
    <w:link w:val="81"/>
    <w:qFormat/>
    <w:uiPriority w:val="0"/>
    <w:rPr>
      <w:rFonts w:ascii="MingLiU" w:hAnsi="MingLiU" w:eastAsia="MingLiU" w:cs="MingLiU"/>
      <w:spacing w:val="9"/>
      <w:sz w:val="19"/>
      <w:szCs w:val="19"/>
      <w:shd w:val="clear" w:color="auto" w:fill="FFFFFF"/>
    </w:rPr>
  </w:style>
  <w:style w:type="paragraph" w:customStyle="1" w:styleId="81">
    <w:name w:val="正文文本1"/>
    <w:basedOn w:val="1"/>
    <w:link w:val="80"/>
    <w:qFormat/>
    <w:uiPriority w:val="0"/>
    <w:pPr>
      <w:shd w:val="clear" w:color="auto" w:fill="FFFFFF"/>
      <w:spacing w:line="302" w:lineRule="exact"/>
      <w:ind w:firstLine="460"/>
      <w:jc w:val="left"/>
    </w:pPr>
    <w:rPr>
      <w:rFonts w:ascii="MingLiU" w:hAnsi="MingLiU" w:eastAsia="MingLiU" w:cs="MingLiU"/>
      <w:spacing w:val="9"/>
      <w:sz w:val="19"/>
      <w:szCs w:val="19"/>
    </w:rPr>
  </w:style>
  <w:style w:type="character" w:customStyle="1" w:styleId="82">
    <w:name w:val="纯文本 Char1"/>
    <w:link w:val="83"/>
    <w:qFormat/>
    <w:uiPriority w:val="99"/>
    <w:rPr>
      <w:rFonts w:ascii="宋体" w:hAnsi="Courier New" w:eastAsia="宋体"/>
    </w:rPr>
  </w:style>
  <w:style w:type="paragraph" w:customStyle="1" w:styleId="83">
    <w:name w:val="纯文本1"/>
    <w:basedOn w:val="1"/>
    <w:link w:val="82"/>
    <w:qFormat/>
    <w:uiPriority w:val="99"/>
    <w:rPr>
      <w:rFonts w:ascii="宋体" w:hAnsi="Courier New" w:cstheme="minorBidi"/>
      <w:szCs w:val="22"/>
    </w:rPr>
  </w:style>
  <w:style w:type="character" w:customStyle="1" w:styleId="84">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8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6">
    <w:name w:val="批注文字 字符1"/>
    <w:qFormat/>
    <w:uiPriority w:val="0"/>
    <w:rPr>
      <w:rFonts w:ascii="Times New Roman" w:hAnsi="Times New Roman"/>
      <w:kern w:val="2"/>
      <w:sz w:val="21"/>
      <w:szCs w:val="24"/>
    </w:rPr>
  </w:style>
  <w:style w:type="character" w:customStyle="1" w:styleId="87">
    <w:name w:val="正文2 Char Char"/>
    <w:link w:val="88"/>
    <w:qFormat/>
    <w:uiPriority w:val="0"/>
    <w:rPr>
      <w:sz w:val="24"/>
    </w:rPr>
  </w:style>
  <w:style w:type="paragraph" w:customStyle="1" w:styleId="88">
    <w:name w:val="正文2"/>
    <w:basedOn w:val="1"/>
    <w:link w:val="87"/>
    <w:qFormat/>
    <w:uiPriority w:val="0"/>
    <w:pPr>
      <w:adjustRightInd w:val="0"/>
      <w:spacing w:before="156" w:line="360" w:lineRule="auto"/>
      <w:ind w:firstLine="510" w:firstLineChars="200"/>
    </w:pPr>
    <w:rPr>
      <w:rFonts w:asciiTheme="minorHAnsi" w:hAnsiTheme="minorHAnsi" w:eastAsiaTheme="minorEastAsia" w:cstheme="minorBidi"/>
      <w:sz w:val="24"/>
      <w:szCs w:val="22"/>
    </w:rPr>
  </w:style>
  <w:style w:type="character" w:customStyle="1" w:styleId="89">
    <w:name w:val="纯文本 Char_0"/>
    <w:link w:val="90"/>
    <w:qFormat/>
    <w:uiPriority w:val="0"/>
    <w:rPr>
      <w:rFonts w:ascii="宋体" w:hAnsi="Courier New"/>
      <w:szCs w:val="21"/>
    </w:rPr>
  </w:style>
  <w:style w:type="paragraph" w:customStyle="1" w:styleId="90">
    <w:name w:val="纯文本_0_0"/>
    <w:basedOn w:val="1"/>
    <w:link w:val="89"/>
    <w:qFormat/>
    <w:uiPriority w:val="0"/>
    <w:rPr>
      <w:rFonts w:ascii="宋体" w:hAnsi="Courier New" w:eastAsiaTheme="minorEastAsia" w:cstheme="minorBidi"/>
      <w:szCs w:val="21"/>
    </w:rPr>
  </w:style>
  <w:style w:type="character" w:customStyle="1" w:styleId="91">
    <w:name w:val="批注文字 Char1"/>
    <w:qFormat/>
    <w:uiPriority w:val="0"/>
    <w:rPr>
      <w:rFonts w:ascii="Times New Roman" w:hAnsi="Times New Roman"/>
      <w:kern w:val="2"/>
      <w:sz w:val="21"/>
      <w:szCs w:val="24"/>
    </w:rPr>
  </w:style>
  <w:style w:type="paragraph" w:styleId="92">
    <w:name w:val="List Paragraph"/>
    <w:basedOn w:val="1"/>
    <w:qFormat/>
    <w:uiPriority w:val="34"/>
    <w:pPr>
      <w:ind w:firstLine="420" w:firstLineChars="200"/>
    </w:pPr>
  </w:style>
  <w:style w:type="paragraph" w:customStyle="1" w:styleId="93">
    <w:name w:val="Char Char Char1 Char Char Char Char Char Char Char"/>
    <w:basedOn w:val="1"/>
    <w:qFormat/>
    <w:uiPriority w:val="0"/>
  </w:style>
  <w:style w:type="paragraph" w:customStyle="1" w:styleId="94">
    <w:name w:val="Char Char Char"/>
    <w:basedOn w:val="1"/>
    <w:qFormat/>
    <w:uiPriority w:val="0"/>
    <w:rPr>
      <w:szCs w:val="20"/>
    </w:rPr>
  </w:style>
  <w:style w:type="paragraph" w:customStyle="1" w:styleId="95">
    <w:name w:val="Char Char Char Char Char Char Char Char Char Char Char Char"/>
    <w:basedOn w:val="1"/>
    <w:qFormat/>
    <w:uiPriority w:val="0"/>
    <w:pPr>
      <w:widowControl/>
      <w:spacing w:after="160" w:line="240" w:lineRule="exact"/>
      <w:jc w:val="left"/>
    </w:pPr>
  </w:style>
  <w:style w:type="paragraph" w:customStyle="1" w:styleId="96">
    <w:name w:val="列出段落1"/>
    <w:basedOn w:val="1"/>
    <w:qFormat/>
    <w:uiPriority w:val="0"/>
    <w:pPr>
      <w:spacing w:before="100" w:beforeAutospacing="1" w:after="100" w:afterAutospacing="1" w:line="360" w:lineRule="auto"/>
      <w:ind w:firstLine="420" w:firstLineChars="200"/>
    </w:pPr>
  </w:style>
  <w:style w:type="paragraph" w:customStyle="1" w:styleId="97">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8">
    <w:name w:val="样式 标题 2 + 非加粗 首行缩进:  2 字符"/>
    <w:basedOn w:val="4"/>
    <w:qFormat/>
    <w:uiPriority w:val="0"/>
    <w:pPr>
      <w:spacing w:before="0" w:after="0" w:line="600" w:lineRule="exact"/>
      <w:ind w:firstLine="640" w:firstLineChars="200"/>
      <w:jc w:val="left"/>
    </w:pPr>
    <w:rPr>
      <w:rFonts w:cs="宋体"/>
      <w:b w:val="0"/>
      <w:bCs w:val="0"/>
      <w:szCs w:val="20"/>
    </w:rPr>
  </w:style>
  <w:style w:type="paragraph" w:customStyle="1" w:styleId="99">
    <w:name w:val="Table Paragraph"/>
    <w:basedOn w:val="1"/>
    <w:qFormat/>
    <w:uiPriority w:val="1"/>
    <w:pPr>
      <w:jc w:val="left"/>
    </w:pPr>
    <w:rPr>
      <w:rFonts w:ascii="Calibri" w:hAnsi="Calibri"/>
      <w:kern w:val="0"/>
      <w:sz w:val="22"/>
      <w:szCs w:val="22"/>
      <w:lang w:eastAsia="en-US"/>
    </w:rPr>
  </w:style>
  <w:style w:type="paragraph" w:customStyle="1" w:styleId="100">
    <w:name w:val="Char"/>
    <w:basedOn w:val="1"/>
    <w:qFormat/>
    <w:uiPriority w:val="0"/>
    <w:rPr>
      <w:szCs w:val="21"/>
    </w:rPr>
  </w:style>
  <w:style w:type="paragraph" w:customStyle="1" w:styleId="101">
    <w:name w:val="Char Char Char Char Char Char Char"/>
    <w:basedOn w:val="1"/>
    <w:qFormat/>
    <w:uiPriority w:val="0"/>
  </w:style>
  <w:style w:type="paragraph" w:customStyle="1" w:styleId="10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03">
    <w:name w:val="表格文字"/>
    <w:basedOn w:val="1"/>
    <w:qFormat/>
    <w:uiPriority w:val="0"/>
    <w:pPr>
      <w:adjustRightInd w:val="0"/>
      <w:spacing w:line="420" w:lineRule="atLeast"/>
      <w:jc w:val="left"/>
      <w:textAlignment w:val="baseline"/>
    </w:pPr>
    <w:rPr>
      <w:kern w:val="0"/>
    </w:rPr>
  </w:style>
  <w:style w:type="paragraph" w:customStyle="1" w:styleId="104">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05">
    <w:name w:val="正文段"/>
    <w:basedOn w:val="1"/>
    <w:qFormat/>
    <w:uiPriority w:val="0"/>
    <w:pPr>
      <w:widowControl/>
      <w:snapToGrid w:val="0"/>
      <w:spacing w:after="156" w:afterLines="50"/>
      <w:ind w:firstLine="200" w:firstLineChars="200"/>
    </w:pPr>
    <w:rPr>
      <w:kern w:val="0"/>
      <w:sz w:val="24"/>
      <w:szCs w:val="20"/>
    </w:rPr>
  </w:style>
  <w:style w:type="paragraph" w:customStyle="1" w:styleId="106">
    <w:name w:val="Char Char Char Char"/>
    <w:basedOn w:val="1"/>
    <w:qFormat/>
    <w:uiPriority w:val="0"/>
    <w:pPr>
      <w:widowControl/>
      <w:spacing w:after="160" w:line="240" w:lineRule="exact"/>
      <w:jc w:val="left"/>
    </w:pPr>
  </w:style>
  <w:style w:type="paragraph" w:customStyle="1" w:styleId="107">
    <w:name w:val="样式 标题 1 + 居中 段前: 0 磅 段后: 0 磅 行距: 固定值 30 磅"/>
    <w:basedOn w:val="3"/>
    <w:qFormat/>
    <w:uiPriority w:val="0"/>
    <w:pPr>
      <w:spacing w:before="0" w:after="0" w:line="600" w:lineRule="exact"/>
      <w:jc w:val="center"/>
    </w:pPr>
    <w:rPr>
      <w:rFonts w:cs="宋体"/>
      <w:szCs w:val="20"/>
    </w:rPr>
  </w:style>
  <w:style w:type="paragraph" w:customStyle="1" w:styleId="108">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9">
    <w:name w:val="p0"/>
    <w:basedOn w:val="1"/>
    <w:qFormat/>
    <w:uiPriority w:val="0"/>
    <w:pPr>
      <w:widowControl/>
    </w:pPr>
    <w:rPr>
      <w:kern w:val="0"/>
      <w:szCs w:val="21"/>
    </w:rPr>
  </w:style>
  <w:style w:type="paragraph" w:customStyle="1" w:styleId="110">
    <w:name w:val="默认段落字体 Para Char Char Char Char Char Char Char Char Char1 Char Char Char Char"/>
    <w:basedOn w:val="1"/>
    <w:qFormat/>
    <w:uiPriority w:val="0"/>
    <w:rPr>
      <w:rFonts w:ascii="Tahoma" w:hAnsi="Tahoma"/>
      <w:sz w:val="24"/>
      <w:szCs w:val="20"/>
    </w:rPr>
  </w:style>
  <w:style w:type="character" w:customStyle="1" w:styleId="111">
    <w:name w:val="页脚 字符1"/>
    <w:qFormat/>
    <w:uiPriority w:val="99"/>
    <w:rPr>
      <w:kern w:val="2"/>
      <w:sz w:val="18"/>
      <w:szCs w:val="18"/>
    </w:rPr>
  </w:style>
  <w:style w:type="character" w:customStyle="1" w:styleId="112">
    <w:name w:val="页眉 字符1"/>
    <w:qFormat/>
    <w:uiPriority w:val="99"/>
    <w:rPr>
      <w:kern w:val="2"/>
      <w:sz w:val="18"/>
      <w:szCs w:val="18"/>
    </w:rPr>
  </w:style>
  <w:style w:type="paragraph" w:customStyle="1" w:styleId="113">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5">
    <w:name w:val="书籍标题1"/>
    <w:qFormat/>
    <w:uiPriority w:val="33"/>
    <w:rPr>
      <w:rFonts w:ascii="Calibri" w:hAnsi="Calibri" w:eastAsia="宋体" w:cs="Times New Roman"/>
      <w:b/>
      <w:bCs/>
      <w:i/>
      <w:iCs/>
      <w:spacing w:val="5"/>
    </w:rPr>
  </w:style>
  <w:style w:type="character" w:customStyle="1" w:styleId="116">
    <w:name w:val="!FL正文 Char"/>
    <w:link w:val="117"/>
    <w:qFormat/>
    <w:uiPriority w:val="0"/>
    <w:rPr>
      <w:rFonts w:ascii="仿宋_GB2312" w:hAnsi="Arial" w:eastAsia="仿宋_GB2312" w:cs="Times New Roman"/>
      <w:bCs/>
      <w:kern w:val="0"/>
      <w:sz w:val="30"/>
      <w:szCs w:val="24"/>
    </w:rPr>
  </w:style>
  <w:style w:type="paragraph" w:customStyle="1" w:styleId="117">
    <w:name w:val="!FL正文"/>
    <w:basedOn w:val="1"/>
    <w:link w:val="116"/>
    <w:qFormat/>
    <w:uiPriority w:val="0"/>
    <w:pPr>
      <w:spacing w:line="360" w:lineRule="auto"/>
      <w:ind w:firstLine="600" w:firstLineChars="200"/>
    </w:pPr>
    <w:rPr>
      <w:rFonts w:ascii="仿宋_GB2312" w:hAnsi="Arial" w:eastAsia="仿宋_GB2312"/>
      <w:bCs/>
      <w:kern w:val="0"/>
      <w:sz w:val="30"/>
    </w:rPr>
  </w:style>
  <w:style w:type="paragraph" w:customStyle="1" w:styleId="118">
    <w:name w:val="列出段落7"/>
    <w:basedOn w:val="1"/>
    <w:qFormat/>
    <w:uiPriority w:val="99"/>
    <w:pPr>
      <w:ind w:firstLine="420" w:firstLineChars="200"/>
    </w:pPr>
    <w:rPr>
      <w:rFonts w:ascii="Calibri" w:hAnsi="Calibri"/>
    </w:rPr>
  </w:style>
  <w:style w:type="character" w:customStyle="1" w:styleId="119">
    <w:name w:val="页眉 字符2"/>
    <w:qFormat/>
    <w:uiPriority w:val="99"/>
    <w:rPr>
      <w:kern w:val="2"/>
      <w:sz w:val="18"/>
      <w:szCs w:val="18"/>
    </w:rPr>
  </w:style>
  <w:style w:type="paragraph" w:customStyle="1" w:styleId="12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21">
    <w:name w:val="_Style 19"/>
    <w:basedOn w:val="1"/>
    <w:next w:val="92"/>
    <w:qFormat/>
    <w:uiPriority w:val="34"/>
    <w:pPr>
      <w:ind w:firstLine="420" w:firstLineChars="200"/>
    </w:pPr>
  </w:style>
  <w:style w:type="paragraph" w:customStyle="1" w:styleId="122">
    <w:name w:val="修订3"/>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10464</Words>
  <Characters>12456</Characters>
  <Lines>483</Lines>
  <Paragraphs>136</Paragraphs>
  <TotalTime>7</TotalTime>
  <ScaleCrop>false</ScaleCrop>
  <LinksUpToDate>false</LinksUpToDate>
  <CharactersWithSpaces>12671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2025-05-07T05:25:00Z</dcterms:created>
  <dc:creator>NTKO</dc:creator>
  <cp:lastModifiedBy>黄</cp:lastModifiedBy>
  <cp:lastPrinted>2026-05-20T07:10:00Z</cp:lastPrinted>
  <dcterms:modified xsi:type="dcterms:W3CDTF">2026-05-21T05:54:12Z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eyJoZGlkIjoiNDE5MjNjZmZmYTcwYTFmYjEyNTA2M2NiMDQ2ZmZjOWQiLCJ1c2VySWQiOiI1NDY4OTM2MTgifQ==</vt:lpwstr>
  </property>
  <property fmtid="{D5CDD505-2E9C-101B-9397-08002B2CF9AE}" pid="3" name="KSOProductBuildVer">
    <vt:lpwstr>2052-12.1.0.26375</vt:lpwstr>
  </property>
  <property fmtid="{D5CDD505-2E9C-101B-9397-08002B2CF9AE}" pid="4" name="ICV">
    <vt:lpwstr>05104767260D42E6B21E1848741A01E4_13</vt:lpwstr>
  </property>
</Properties>
</file>