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385855C">
      <w:pPr>
        <w:tabs>
          <w:tab w:val="left" w:pos="1710"/>
        </w:tabs>
        <w:rPr>
          <w:color w:val="auto"/>
          <w:highlight w:val="none"/>
        </w:rPr>
      </w:pPr>
      <w:bookmarkStart w:id="0" w:name="_Toc217446030"/>
      <w:bookmarkStart w:id="1" w:name="_Toc183682338"/>
      <w:r>
        <w:rPr>
          <w:rFonts w:hint="eastAsia"/>
          <w:color w:val="auto"/>
          <w:highlight w:val="none"/>
          <w:lang w:eastAsia="zh-CN"/>
        </w:rPr>
        <w:drawing>
          <wp:anchor distT="0" distB="0" distL="114300" distR="114300" simplePos="0" relativeHeight="251661312" behindDoc="1" locked="0" layoutInCell="1" allowOverlap="1">
            <wp:simplePos x="0" y="0"/>
            <wp:positionH relativeFrom="column">
              <wp:posOffset>-920115</wp:posOffset>
            </wp:positionH>
            <wp:positionV relativeFrom="paragraph">
              <wp:posOffset>-900430</wp:posOffset>
            </wp:positionV>
            <wp:extent cx="7590155" cy="10781030"/>
            <wp:effectExtent l="0" t="0" r="10795"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20"/>
                    <a:stretch>
                      <a:fillRect/>
                    </a:stretch>
                  </pic:blipFill>
                  <pic:spPr>
                    <a:xfrm>
                      <a:off x="0" y="0"/>
                      <a:ext cx="7590155" cy="10781030"/>
                    </a:xfrm>
                    <a:prstGeom prst="rect">
                      <a:avLst/>
                    </a:prstGeom>
                  </pic:spPr>
                </pic:pic>
              </a:graphicData>
            </a:graphic>
          </wp:anchor>
        </w:drawing>
      </w:r>
    </w:p>
    <w:p w14:paraId="7459EF50">
      <w:pPr>
        <w:tabs>
          <w:tab w:val="left" w:pos="1710"/>
        </w:tabs>
        <w:rPr>
          <w:color w:val="auto"/>
          <w:highlight w:val="none"/>
        </w:rPr>
      </w:pPr>
    </w:p>
    <w:p w14:paraId="393EC88C">
      <w:pPr>
        <w:tabs>
          <w:tab w:val="left" w:pos="1710"/>
        </w:tabs>
        <w:rPr>
          <w:color w:val="auto"/>
          <w:highlight w:val="none"/>
        </w:rPr>
      </w:pPr>
      <w:r>
        <w:rPr>
          <w:rFonts w:hint="eastAsia"/>
          <w:color w:val="auto"/>
          <w:highlight w:val="none"/>
        </w:rPr>
        <w:drawing>
          <wp:anchor distT="0" distB="0" distL="114300" distR="114300" simplePos="0" relativeHeight="251660288" behindDoc="0" locked="0" layoutInCell="1" allowOverlap="1">
            <wp:simplePos x="0" y="0"/>
            <wp:positionH relativeFrom="column">
              <wp:posOffset>71120</wp:posOffset>
            </wp:positionH>
            <wp:positionV relativeFrom="paragraph">
              <wp:posOffset>53340</wp:posOffset>
            </wp:positionV>
            <wp:extent cx="5422265" cy="737870"/>
            <wp:effectExtent l="0" t="0" r="6985" b="5080"/>
            <wp:wrapNone/>
            <wp:docPr id="19" name="图片 19"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1LOGO中英文全称横式"/>
                    <pic:cNvPicPr>
                      <a:picLocks noChangeAspect="1"/>
                    </pic:cNvPicPr>
                  </pic:nvPicPr>
                  <pic:blipFill>
                    <a:blip r:embed="rId21"/>
                    <a:stretch>
                      <a:fillRect/>
                    </a:stretch>
                  </pic:blipFill>
                  <pic:spPr>
                    <a:xfrm>
                      <a:off x="0" y="0"/>
                      <a:ext cx="5422265" cy="737870"/>
                    </a:xfrm>
                    <a:prstGeom prst="rect">
                      <a:avLst/>
                    </a:prstGeom>
                  </pic:spPr>
                </pic:pic>
              </a:graphicData>
            </a:graphic>
          </wp:anchor>
        </w:drawing>
      </w:r>
    </w:p>
    <w:p w14:paraId="38A07FB2">
      <w:pPr>
        <w:tabs>
          <w:tab w:val="left" w:pos="1710"/>
        </w:tabs>
        <w:rPr>
          <w:color w:val="auto"/>
          <w:highlight w:val="none"/>
        </w:rPr>
      </w:pPr>
    </w:p>
    <w:p w14:paraId="004FAB88">
      <w:pPr>
        <w:tabs>
          <w:tab w:val="left" w:pos="1710"/>
        </w:tabs>
        <w:rPr>
          <w:color w:val="auto"/>
          <w:highlight w:val="none"/>
        </w:rPr>
      </w:pPr>
    </w:p>
    <w:tbl>
      <w:tblPr>
        <w:tblStyle w:val="53"/>
        <w:tblpPr w:leftFromText="180" w:rightFromText="180" w:vertAnchor="text" w:horzAnchor="page" w:tblpX="2468" w:tblpY="2012"/>
        <w:tblOverlap w:val="never"/>
        <w:tblW w:w="71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0231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7197" w:type="dxa"/>
            <w:gridSpan w:val="2"/>
            <w:tcBorders>
              <w:top w:val="nil"/>
              <w:left w:val="nil"/>
              <w:right w:val="nil"/>
            </w:tcBorders>
          </w:tcPr>
          <w:p w14:paraId="0B74280C">
            <w:pPr>
              <w:snapToGrid w:val="0"/>
              <w:spacing w:line="240" w:lineRule="atLeast"/>
              <w:jc w:val="center"/>
              <w:rPr>
                <w:b/>
                <w:color w:val="auto"/>
                <w:sz w:val="60"/>
                <w:szCs w:val="60"/>
                <w:highlight w:val="none"/>
              </w:rPr>
            </w:pPr>
            <w:r>
              <w:rPr>
                <w:rFonts w:hint="eastAsia"/>
                <w:b/>
                <w:color w:val="auto"/>
                <w:sz w:val="60"/>
                <w:szCs w:val="60"/>
                <w:highlight w:val="none"/>
              </w:rPr>
              <w:t xml:space="preserve"> 采购文件</w:t>
            </w:r>
          </w:p>
        </w:tc>
      </w:tr>
      <w:tr w14:paraId="6814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exact"/>
        </w:trPr>
        <w:tc>
          <w:tcPr>
            <w:tcW w:w="1764" w:type="dxa"/>
            <w:vAlign w:val="center"/>
          </w:tcPr>
          <w:p w14:paraId="2E87D6F9">
            <w:pPr>
              <w:rPr>
                <w:b/>
                <w:color w:val="auto"/>
                <w:sz w:val="32"/>
                <w:szCs w:val="32"/>
                <w:highlight w:val="none"/>
              </w:rPr>
            </w:pPr>
            <w:r>
              <w:rPr>
                <w:b/>
                <w:color w:val="auto"/>
                <w:sz w:val="32"/>
                <w:szCs w:val="32"/>
                <w:highlight w:val="none"/>
              </w:rPr>
              <w:t>项目名称：</w:t>
            </w:r>
          </w:p>
        </w:tc>
        <w:tc>
          <w:tcPr>
            <w:tcW w:w="5433" w:type="dxa"/>
            <w:vAlign w:val="center"/>
          </w:tcPr>
          <w:p w14:paraId="2C4EDA2B">
            <w:pPr>
              <w:rPr>
                <w:b/>
                <w:color w:val="auto"/>
                <w:sz w:val="32"/>
                <w:szCs w:val="32"/>
                <w:highlight w:val="none"/>
              </w:rPr>
            </w:pPr>
            <w:r>
              <w:rPr>
                <w:rFonts w:hint="eastAsia"/>
                <w:b/>
                <w:color w:val="auto"/>
                <w:sz w:val="32"/>
                <w:szCs w:val="32"/>
                <w:highlight w:val="none"/>
              </w:rPr>
              <w:t>2026年广西药品智慧监管信息化运维项目</w:t>
            </w:r>
          </w:p>
        </w:tc>
      </w:tr>
      <w:tr w14:paraId="5E61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64" w:type="dxa"/>
            <w:vAlign w:val="center"/>
          </w:tcPr>
          <w:p w14:paraId="70CE1B33">
            <w:pPr>
              <w:rPr>
                <w:b/>
                <w:color w:val="auto"/>
                <w:sz w:val="32"/>
                <w:szCs w:val="32"/>
                <w:highlight w:val="none"/>
              </w:rPr>
            </w:pPr>
            <w:r>
              <w:rPr>
                <w:b/>
                <w:color w:val="auto"/>
                <w:sz w:val="32"/>
                <w:szCs w:val="32"/>
                <w:highlight w:val="none"/>
              </w:rPr>
              <w:t>项目编号：</w:t>
            </w:r>
          </w:p>
        </w:tc>
        <w:tc>
          <w:tcPr>
            <w:tcW w:w="5433" w:type="dxa"/>
            <w:vAlign w:val="center"/>
          </w:tcPr>
          <w:p w14:paraId="2DF65682">
            <w:pPr>
              <w:rPr>
                <w:b/>
                <w:color w:val="auto"/>
                <w:sz w:val="32"/>
                <w:szCs w:val="32"/>
                <w:highlight w:val="none"/>
              </w:rPr>
            </w:pPr>
            <w:r>
              <w:rPr>
                <w:b/>
                <w:color w:val="auto"/>
                <w:sz w:val="32"/>
                <w:szCs w:val="32"/>
                <w:highlight w:val="none"/>
              </w:rPr>
              <w:t>GXZC2026-C3-002075-JDZB</w:t>
            </w:r>
          </w:p>
        </w:tc>
      </w:tr>
      <w:tr w14:paraId="163D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64" w:type="dxa"/>
            <w:vAlign w:val="center"/>
          </w:tcPr>
          <w:p w14:paraId="60090835">
            <w:pPr>
              <w:rPr>
                <w:b/>
                <w:color w:val="auto"/>
                <w:sz w:val="32"/>
                <w:szCs w:val="32"/>
                <w:highlight w:val="none"/>
              </w:rPr>
            </w:pPr>
            <w:r>
              <w:rPr>
                <w:b/>
                <w:color w:val="auto"/>
                <w:sz w:val="32"/>
                <w:szCs w:val="32"/>
                <w:highlight w:val="none"/>
              </w:rPr>
              <w:t>联系电话：</w:t>
            </w:r>
          </w:p>
        </w:tc>
        <w:tc>
          <w:tcPr>
            <w:tcW w:w="5433" w:type="dxa"/>
            <w:vAlign w:val="center"/>
          </w:tcPr>
          <w:p w14:paraId="558CD110">
            <w:pPr>
              <w:rPr>
                <w:b/>
                <w:color w:val="auto"/>
                <w:sz w:val="32"/>
                <w:szCs w:val="32"/>
                <w:highlight w:val="none"/>
              </w:rPr>
            </w:pPr>
            <w:r>
              <w:rPr>
                <w:rFonts w:hint="eastAsia"/>
                <w:b/>
                <w:color w:val="auto"/>
                <w:sz w:val="32"/>
                <w:szCs w:val="32"/>
                <w:highlight w:val="none"/>
              </w:rPr>
              <w:t>0771-2808981</w:t>
            </w:r>
          </w:p>
        </w:tc>
      </w:tr>
      <w:tr w14:paraId="1E91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764" w:type="dxa"/>
            <w:vAlign w:val="center"/>
          </w:tcPr>
          <w:p w14:paraId="467356FC">
            <w:pPr>
              <w:rPr>
                <w:b/>
                <w:color w:val="auto"/>
                <w:sz w:val="32"/>
                <w:szCs w:val="32"/>
                <w:highlight w:val="none"/>
              </w:rPr>
            </w:pPr>
            <w:r>
              <w:rPr>
                <w:rFonts w:hint="eastAsia"/>
                <w:b/>
                <w:color w:val="auto"/>
                <w:sz w:val="32"/>
                <w:szCs w:val="32"/>
                <w:highlight w:val="none"/>
              </w:rPr>
              <w:t>采购方式：</w:t>
            </w:r>
          </w:p>
        </w:tc>
        <w:tc>
          <w:tcPr>
            <w:tcW w:w="5433" w:type="dxa"/>
            <w:vAlign w:val="center"/>
          </w:tcPr>
          <w:p w14:paraId="51DCCC2D">
            <w:pPr>
              <w:rPr>
                <w:b/>
                <w:color w:val="auto"/>
                <w:sz w:val="32"/>
                <w:szCs w:val="32"/>
                <w:highlight w:val="none"/>
              </w:rPr>
            </w:pPr>
            <w:r>
              <w:rPr>
                <w:rFonts w:hint="eastAsia"/>
                <w:b/>
                <w:color w:val="auto"/>
                <w:sz w:val="32"/>
                <w:szCs w:val="32"/>
                <w:highlight w:val="none"/>
              </w:rPr>
              <w:t>竞争性磋商</w:t>
            </w:r>
          </w:p>
        </w:tc>
      </w:tr>
    </w:tbl>
    <w:p w14:paraId="563BECCC">
      <w:pPr>
        <w:tabs>
          <w:tab w:val="left" w:pos="1710"/>
        </w:tabs>
        <w:rPr>
          <w:color w:val="auto"/>
          <w:highlight w:val="none"/>
        </w:rPr>
      </w:pPr>
    </w:p>
    <w:p w14:paraId="53F8435F">
      <w:pPr>
        <w:rPr>
          <w:color w:val="auto"/>
          <w:highlight w:val="none"/>
        </w:rPr>
      </w:pPr>
    </w:p>
    <w:p w14:paraId="763D779D">
      <w:pPr>
        <w:rPr>
          <w:color w:val="auto"/>
          <w:highlight w:val="none"/>
        </w:rPr>
      </w:pPr>
    </w:p>
    <w:p w14:paraId="2F22B5A7">
      <w:pPr>
        <w:rPr>
          <w:color w:val="auto"/>
          <w:highlight w:val="none"/>
        </w:rPr>
      </w:pPr>
    </w:p>
    <w:p w14:paraId="619F85A2">
      <w:pPr>
        <w:rPr>
          <w:color w:val="auto"/>
          <w:highlight w:val="none"/>
        </w:rPr>
      </w:pPr>
    </w:p>
    <w:p w14:paraId="3FD67A02">
      <w:pPr>
        <w:rPr>
          <w:color w:val="auto"/>
          <w:highlight w:val="none"/>
        </w:rPr>
      </w:pPr>
    </w:p>
    <w:p w14:paraId="2213769F">
      <w:pPr>
        <w:rPr>
          <w:color w:val="auto"/>
          <w:highlight w:val="none"/>
        </w:rPr>
      </w:pPr>
    </w:p>
    <w:p w14:paraId="5FBA67B5">
      <w:pPr>
        <w:rPr>
          <w:color w:val="auto"/>
          <w:highlight w:val="none"/>
        </w:rPr>
      </w:pPr>
    </w:p>
    <w:p w14:paraId="0D298291">
      <w:pPr>
        <w:rPr>
          <w:color w:val="auto"/>
          <w:highlight w:val="none"/>
        </w:rPr>
      </w:pPr>
    </w:p>
    <w:p w14:paraId="0C82B92A">
      <w:pPr>
        <w:rPr>
          <w:color w:val="auto"/>
          <w:highlight w:val="none"/>
        </w:rPr>
      </w:pPr>
    </w:p>
    <w:p w14:paraId="0E06347C">
      <w:pPr>
        <w:rPr>
          <w:color w:val="auto"/>
          <w:highlight w:val="none"/>
        </w:rPr>
      </w:pPr>
    </w:p>
    <w:p w14:paraId="1F1843AE">
      <w:pPr>
        <w:rPr>
          <w:color w:val="auto"/>
          <w:highlight w:val="none"/>
        </w:rPr>
      </w:pPr>
    </w:p>
    <w:p w14:paraId="00E91A65">
      <w:pPr>
        <w:rPr>
          <w:color w:val="auto"/>
          <w:highlight w:val="none"/>
        </w:rPr>
      </w:pPr>
    </w:p>
    <w:p w14:paraId="09A6404E">
      <w:pPr>
        <w:rPr>
          <w:color w:val="auto"/>
          <w:highlight w:val="none"/>
        </w:rPr>
      </w:pPr>
    </w:p>
    <w:p w14:paraId="49FD98DF">
      <w:pPr>
        <w:rPr>
          <w:color w:val="auto"/>
          <w:highlight w:val="none"/>
        </w:rPr>
      </w:pPr>
    </w:p>
    <w:tbl>
      <w:tblPr>
        <w:tblStyle w:val="53"/>
        <w:tblpPr w:leftFromText="180" w:rightFromText="180" w:vertAnchor="text" w:horzAnchor="page" w:tblpX="1856" w:tblpY="4044"/>
        <w:tblOverlap w:val="never"/>
        <w:tblW w:w="8284" w:type="dxa"/>
        <w:tblInd w:w="0" w:type="dxa"/>
        <w:tblLayout w:type="fixed"/>
        <w:tblCellMar>
          <w:top w:w="0" w:type="dxa"/>
          <w:left w:w="108" w:type="dxa"/>
          <w:bottom w:w="0" w:type="dxa"/>
          <w:right w:w="108" w:type="dxa"/>
        </w:tblCellMar>
      </w:tblPr>
      <w:tblGrid>
        <w:gridCol w:w="2707"/>
        <w:gridCol w:w="6"/>
        <w:gridCol w:w="5571"/>
      </w:tblGrid>
      <w:tr w14:paraId="723D3F56">
        <w:tblPrEx>
          <w:tblCellMar>
            <w:top w:w="0" w:type="dxa"/>
            <w:left w:w="108" w:type="dxa"/>
            <w:bottom w:w="0" w:type="dxa"/>
            <w:right w:w="108" w:type="dxa"/>
          </w:tblCellMar>
        </w:tblPrEx>
        <w:trPr>
          <w:trHeight w:val="703" w:hRule="atLeast"/>
        </w:trPr>
        <w:tc>
          <w:tcPr>
            <w:tcW w:w="2707" w:type="dxa"/>
            <w:vAlign w:val="center"/>
          </w:tcPr>
          <w:p w14:paraId="20DE929F">
            <w:pPr>
              <w:autoSpaceDE w:val="0"/>
              <w:autoSpaceDN w:val="0"/>
              <w:adjustRightInd w:val="0"/>
              <w:jc w:val="right"/>
              <w:rPr>
                <w:b/>
                <w:color w:val="auto"/>
                <w:sz w:val="32"/>
                <w:szCs w:val="32"/>
                <w:highlight w:val="none"/>
              </w:rPr>
            </w:pPr>
            <w:r>
              <w:rPr>
                <w:b/>
                <w:color w:val="auto"/>
                <w:sz w:val="32"/>
                <w:szCs w:val="32"/>
                <w:highlight w:val="none"/>
              </w:rPr>
              <w:t xml:space="preserve">  采购人：</w:t>
            </w:r>
          </w:p>
        </w:tc>
        <w:tc>
          <w:tcPr>
            <w:tcW w:w="5577" w:type="dxa"/>
            <w:gridSpan w:val="2"/>
            <w:vAlign w:val="center"/>
          </w:tcPr>
          <w:p w14:paraId="15AB9343">
            <w:pPr>
              <w:autoSpaceDE w:val="0"/>
              <w:autoSpaceDN w:val="0"/>
              <w:adjustRightInd w:val="0"/>
              <w:rPr>
                <w:b/>
                <w:color w:val="auto"/>
                <w:sz w:val="32"/>
                <w:szCs w:val="32"/>
                <w:highlight w:val="none"/>
              </w:rPr>
            </w:pPr>
            <w:r>
              <w:rPr>
                <w:rFonts w:hint="eastAsia"/>
                <w:b/>
                <w:color w:val="auto"/>
                <w:sz w:val="32"/>
                <w:szCs w:val="32"/>
                <w:highlight w:val="none"/>
              </w:rPr>
              <w:t>广西壮族自治区药品监督管理局</w:t>
            </w:r>
          </w:p>
        </w:tc>
      </w:tr>
      <w:tr w14:paraId="09EC2377">
        <w:tblPrEx>
          <w:tblCellMar>
            <w:top w:w="0" w:type="dxa"/>
            <w:left w:w="108" w:type="dxa"/>
            <w:bottom w:w="0" w:type="dxa"/>
            <w:right w:w="108" w:type="dxa"/>
          </w:tblCellMar>
        </w:tblPrEx>
        <w:trPr>
          <w:trHeight w:val="703" w:hRule="atLeast"/>
        </w:trPr>
        <w:tc>
          <w:tcPr>
            <w:tcW w:w="2713" w:type="dxa"/>
            <w:gridSpan w:val="2"/>
            <w:vAlign w:val="center"/>
          </w:tcPr>
          <w:p w14:paraId="32B3C9D1">
            <w:pPr>
              <w:autoSpaceDE w:val="0"/>
              <w:autoSpaceDN w:val="0"/>
              <w:adjustRightInd w:val="0"/>
              <w:jc w:val="right"/>
              <w:rPr>
                <w:b/>
                <w:color w:val="auto"/>
                <w:sz w:val="32"/>
                <w:szCs w:val="32"/>
                <w:highlight w:val="none"/>
              </w:rPr>
            </w:pPr>
            <w:r>
              <w:rPr>
                <w:b/>
                <w:color w:val="auto"/>
                <w:sz w:val="32"/>
                <w:szCs w:val="32"/>
                <w:highlight w:val="none"/>
              </w:rPr>
              <w:t>采购代理机构：</w:t>
            </w:r>
          </w:p>
        </w:tc>
        <w:tc>
          <w:tcPr>
            <w:tcW w:w="5571" w:type="dxa"/>
            <w:vAlign w:val="center"/>
          </w:tcPr>
          <w:p w14:paraId="36522F44">
            <w:pPr>
              <w:autoSpaceDE w:val="0"/>
              <w:autoSpaceDN w:val="0"/>
              <w:adjustRightInd w:val="0"/>
              <w:rPr>
                <w:b/>
                <w:color w:val="auto"/>
                <w:sz w:val="32"/>
                <w:szCs w:val="32"/>
                <w:highlight w:val="none"/>
                <w:u w:val="single"/>
              </w:rPr>
            </w:pPr>
            <w:r>
              <w:rPr>
                <w:b/>
                <w:color w:val="auto"/>
                <w:sz w:val="32"/>
                <w:szCs w:val="32"/>
                <w:highlight w:val="none"/>
              </w:rPr>
              <w:t>广西机电设备招标有限公司</w:t>
            </w:r>
          </w:p>
        </w:tc>
      </w:tr>
    </w:tbl>
    <w:p w14:paraId="431944F4">
      <w:pPr>
        <w:rPr>
          <w:color w:val="auto"/>
          <w:highlight w:val="none"/>
        </w:rPr>
      </w:pPr>
    </w:p>
    <w:p w14:paraId="3B770B60">
      <w:pPr>
        <w:autoSpaceDE w:val="0"/>
        <w:autoSpaceDN w:val="0"/>
        <w:adjustRightInd w:val="0"/>
        <w:jc w:val="center"/>
        <w:rPr>
          <w:b/>
          <w:color w:val="auto"/>
          <w:sz w:val="32"/>
          <w:szCs w:val="32"/>
          <w:highlight w:val="none"/>
        </w:rPr>
      </w:pPr>
    </w:p>
    <w:p w14:paraId="60FC2755">
      <w:pPr>
        <w:autoSpaceDE w:val="0"/>
        <w:autoSpaceDN w:val="0"/>
        <w:adjustRightInd w:val="0"/>
        <w:jc w:val="center"/>
        <w:rPr>
          <w:b/>
          <w:color w:val="auto"/>
          <w:sz w:val="32"/>
          <w:szCs w:val="32"/>
          <w:highlight w:val="none"/>
        </w:rPr>
      </w:pPr>
    </w:p>
    <w:p w14:paraId="447DD054">
      <w:pPr>
        <w:autoSpaceDE w:val="0"/>
        <w:autoSpaceDN w:val="0"/>
        <w:adjustRightInd w:val="0"/>
        <w:jc w:val="center"/>
        <w:rPr>
          <w:b/>
          <w:color w:val="auto"/>
          <w:sz w:val="32"/>
          <w:szCs w:val="32"/>
          <w:highlight w:val="none"/>
        </w:rPr>
      </w:pPr>
    </w:p>
    <w:p w14:paraId="29AE084C">
      <w:pPr>
        <w:autoSpaceDE w:val="0"/>
        <w:autoSpaceDN w:val="0"/>
        <w:adjustRightInd w:val="0"/>
        <w:jc w:val="center"/>
        <w:rPr>
          <w:b/>
          <w:color w:val="auto"/>
          <w:sz w:val="32"/>
          <w:szCs w:val="32"/>
          <w:highlight w:val="none"/>
        </w:rPr>
      </w:pPr>
    </w:p>
    <w:p w14:paraId="14812706">
      <w:pPr>
        <w:autoSpaceDE w:val="0"/>
        <w:autoSpaceDN w:val="0"/>
        <w:adjustRightInd w:val="0"/>
        <w:jc w:val="center"/>
        <w:rPr>
          <w:b/>
          <w:color w:val="auto"/>
          <w:sz w:val="32"/>
          <w:szCs w:val="32"/>
          <w:highlight w:val="none"/>
        </w:rPr>
      </w:pPr>
    </w:p>
    <w:p w14:paraId="39C2DBBC">
      <w:pPr>
        <w:autoSpaceDE w:val="0"/>
        <w:autoSpaceDN w:val="0"/>
        <w:adjustRightInd w:val="0"/>
        <w:jc w:val="center"/>
        <w:rPr>
          <w:b/>
          <w:color w:val="auto"/>
          <w:sz w:val="32"/>
          <w:szCs w:val="32"/>
          <w:highlight w:val="none"/>
        </w:rPr>
      </w:pPr>
    </w:p>
    <w:p w14:paraId="03748AE0">
      <w:pPr>
        <w:autoSpaceDE w:val="0"/>
        <w:autoSpaceDN w:val="0"/>
        <w:adjustRightInd w:val="0"/>
        <w:jc w:val="center"/>
        <w:rPr>
          <w:b/>
          <w:color w:val="auto"/>
          <w:sz w:val="32"/>
          <w:szCs w:val="32"/>
          <w:highlight w:val="none"/>
        </w:rPr>
      </w:pPr>
    </w:p>
    <w:p w14:paraId="2900631B">
      <w:pPr>
        <w:autoSpaceDE w:val="0"/>
        <w:autoSpaceDN w:val="0"/>
        <w:adjustRightInd w:val="0"/>
        <w:jc w:val="center"/>
        <w:rPr>
          <w:b/>
          <w:color w:val="auto"/>
          <w:sz w:val="32"/>
          <w:szCs w:val="32"/>
          <w:highlight w:val="none"/>
        </w:rPr>
      </w:pPr>
    </w:p>
    <w:p w14:paraId="0EE6D156">
      <w:pPr>
        <w:autoSpaceDE w:val="0"/>
        <w:autoSpaceDN w:val="0"/>
        <w:adjustRightInd w:val="0"/>
        <w:jc w:val="center"/>
        <w:rPr>
          <w:b/>
          <w:color w:val="auto"/>
          <w:sz w:val="32"/>
          <w:szCs w:val="32"/>
          <w:highlight w:val="none"/>
        </w:rPr>
      </w:pPr>
    </w:p>
    <w:p w14:paraId="47F99181">
      <w:pPr>
        <w:autoSpaceDE w:val="0"/>
        <w:autoSpaceDN w:val="0"/>
        <w:adjustRightInd w:val="0"/>
        <w:jc w:val="center"/>
        <w:rPr>
          <w:b/>
          <w:color w:val="auto"/>
          <w:sz w:val="32"/>
          <w:szCs w:val="32"/>
          <w:highlight w:val="none"/>
        </w:rPr>
      </w:pPr>
    </w:p>
    <w:p w14:paraId="4C4FE3B8">
      <w:pPr>
        <w:autoSpaceDE w:val="0"/>
        <w:autoSpaceDN w:val="0"/>
        <w:adjustRightInd w:val="0"/>
        <w:jc w:val="center"/>
        <w:rPr>
          <w:b/>
          <w:color w:val="auto"/>
          <w:sz w:val="32"/>
          <w:szCs w:val="32"/>
          <w:highlight w:val="none"/>
        </w:rPr>
      </w:pPr>
    </w:p>
    <w:p w14:paraId="2FDFEC3A">
      <w:pPr>
        <w:autoSpaceDE w:val="0"/>
        <w:autoSpaceDN w:val="0"/>
        <w:adjustRightInd w:val="0"/>
        <w:jc w:val="center"/>
        <w:rPr>
          <w:b/>
          <w:color w:val="auto"/>
          <w:sz w:val="32"/>
          <w:szCs w:val="32"/>
          <w:highlight w:val="none"/>
        </w:rPr>
      </w:pPr>
    </w:p>
    <w:p w14:paraId="3C763381">
      <w:pPr>
        <w:autoSpaceDE w:val="0"/>
        <w:autoSpaceDN w:val="0"/>
        <w:adjustRightInd w:val="0"/>
        <w:jc w:val="center"/>
        <w:rPr>
          <w:b/>
          <w:color w:val="auto"/>
          <w:sz w:val="32"/>
          <w:szCs w:val="32"/>
          <w:highlight w:val="none"/>
        </w:rPr>
      </w:pPr>
    </w:p>
    <w:p w14:paraId="573A5AC0">
      <w:pPr>
        <w:autoSpaceDE w:val="0"/>
        <w:autoSpaceDN w:val="0"/>
        <w:adjustRightInd w:val="0"/>
        <w:jc w:val="center"/>
        <w:rPr>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b/>
          <w:color w:val="auto"/>
          <w:sz w:val="32"/>
          <w:szCs w:val="32"/>
          <w:highlight w:val="none"/>
        </w:rPr>
        <w:t>202</w:t>
      </w:r>
      <w:r>
        <w:rPr>
          <w:rFonts w:hint="eastAsia"/>
          <w:b/>
          <w:color w:val="auto"/>
          <w:sz w:val="32"/>
          <w:szCs w:val="32"/>
          <w:highlight w:val="none"/>
        </w:rPr>
        <w:t>6</w:t>
      </w:r>
      <w:r>
        <w:rPr>
          <w:b/>
          <w:color w:val="auto"/>
          <w:sz w:val="32"/>
          <w:szCs w:val="32"/>
          <w:highlight w:val="none"/>
        </w:rPr>
        <w:t>年</w:t>
      </w:r>
      <w:r>
        <w:rPr>
          <w:rFonts w:hint="eastAsia"/>
          <w:b/>
          <w:color w:val="auto"/>
          <w:sz w:val="32"/>
          <w:szCs w:val="32"/>
          <w:highlight w:val="none"/>
          <w:lang w:val="en-US" w:eastAsia="zh-CN"/>
        </w:rPr>
        <w:t>06</w:t>
      </w:r>
      <w:r>
        <w:rPr>
          <w:b/>
          <w:color w:val="auto"/>
          <w:sz w:val="32"/>
          <w:szCs w:val="32"/>
          <w:highlight w:val="none"/>
        </w:rPr>
        <w:t>月</w:t>
      </w:r>
    </w:p>
    <w:p w14:paraId="04A61D23">
      <w:pPr>
        <w:rPr>
          <w:color w:val="auto"/>
          <w:sz w:val="32"/>
          <w:szCs w:val="32"/>
          <w:highlight w:val="none"/>
        </w:rPr>
      </w:pPr>
    </w:p>
    <w:p w14:paraId="73B881A2">
      <w:pPr>
        <w:pStyle w:val="28"/>
        <w:snapToGrid w:val="0"/>
        <w:spacing w:before="120" w:after="120" w:line="320" w:lineRule="exact"/>
        <w:jc w:val="center"/>
        <w:rPr>
          <w:rFonts w:ascii="Times New Roman" w:hAnsi="Times New Roman" w:cs="Times New Roman"/>
          <w:color w:val="auto"/>
          <w:sz w:val="32"/>
          <w:szCs w:val="32"/>
          <w:highlight w:val="none"/>
        </w:rPr>
      </w:pPr>
      <w:bookmarkStart w:id="2" w:name="_Toc28372"/>
      <w:bookmarkStart w:id="3" w:name="_Toc17133"/>
      <w:r>
        <w:rPr>
          <w:rFonts w:ascii="Times New Roman" w:hAnsi="Times New Roman" w:cs="Times New Roman"/>
          <w:color w:val="auto"/>
          <w:sz w:val="32"/>
          <w:szCs w:val="32"/>
          <w:highlight w:val="none"/>
        </w:rPr>
        <w:t>目    录</w:t>
      </w:r>
      <w:bookmarkEnd w:id="2"/>
      <w:bookmarkEnd w:id="3"/>
    </w:p>
    <w:p w14:paraId="1123750E">
      <w:pPr>
        <w:pStyle w:val="35"/>
        <w:tabs>
          <w:tab w:val="right" w:leader="dot" w:pos="9070"/>
          <w:tab w:val="clear" w:pos="8398"/>
        </w:tabs>
        <w:ind w:firstLine="241"/>
        <w:rPr>
          <w:rFonts w:hint="eastAsia"/>
          <w:color w:val="auto"/>
          <w:highlight w:val="none"/>
        </w:rPr>
      </w:pPr>
      <w:r>
        <w:rPr>
          <w:rFonts w:ascii="Times New Roman" w:hAnsi="Times New Roman"/>
          <w:color w:val="auto"/>
          <w:highlight w:val="none"/>
        </w:rPr>
        <w:fldChar w:fldCharType="begin"/>
      </w:r>
      <w:r>
        <w:rPr>
          <w:rStyle w:val="59"/>
          <w:rFonts w:ascii="Times New Roman" w:hAnsi="Times New Roman"/>
          <w:color w:val="auto"/>
          <w:highlight w:val="none"/>
        </w:rPr>
        <w:instrText xml:space="preserve"> TOC \o "1-1" \h \z \u </w:instrText>
      </w:r>
      <w:r>
        <w:rPr>
          <w:rFonts w:ascii="Times New Roman" w:hAnsi="Times New Roman"/>
          <w:color w:val="auto"/>
          <w:highlight w:val="none"/>
        </w:rPr>
        <w:fldChar w:fldCharType="separate"/>
      </w:r>
      <w:r>
        <w:rPr>
          <w:color w:val="auto"/>
          <w:highlight w:val="none"/>
        </w:rPr>
        <w:fldChar w:fldCharType="begin"/>
      </w:r>
      <w:r>
        <w:rPr>
          <w:color w:val="auto"/>
          <w:highlight w:val="none"/>
        </w:rPr>
        <w:instrText xml:space="preserve"> HYPERLINK \l "_Toc3139" </w:instrText>
      </w:r>
      <w:r>
        <w:rPr>
          <w:color w:val="auto"/>
          <w:highlight w:val="none"/>
        </w:rPr>
        <w:fldChar w:fldCharType="separate"/>
      </w:r>
      <w:r>
        <w:rPr>
          <w:rFonts w:ascii="Times New Roman" w:hAnsi="Times New Roman"/>
          <w:color w:val="auto"/>
          <w:szCs w:val="32"/>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_Toc3139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4703D3FE">
      <w:pPr>
        <w:pStyle w:val="35"/>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"_Toc30113" </w:instrText>
      </w:r>
      <w:r>
        <w:rPr>
          <w:color w:val="auto"/>
          <w:highlight w:val="none"/>
        </w:rPr>
        <w:fldChar w:fldCharType="separate"/>
      </w:r>
      <w:r>
        <w:rPr>
          <w:rFonts w:ascii="Times New Roman" w:hAnsi="Times New Roman"/>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_Toc30113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11412C60">
      <w:pPr>
        <w:pStyle w:val="35"/>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"_Toc25843" </w:instrText>
      </w:r>
      <w:r>
        <w:rPr>
          <w:color w:val="auto"/>
          <w:highlight w:val="none"/>
        </w:rPr>
        <w:fldChar w:fldCharType="separate"/>
      </w:r>
      <w:r>
        <w:rPr>
          <w:rFonts w:ascii="Times New Roman" w:hAnsi="Times New Roman"/>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_Toc25843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77FB947E">
      <w:pPr>
        <w:pStyle w:val="35"/>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"_Toc26283" </w:instrText>
      </w:r>
      <w:r>
        <w:rPr>
          <w:color w:val="auto"/>
          <w:highlight w:val="none"/>
        </w:rPr>
        <w:fldChar w:fldCharType="separate"/>
      </w:r>
      <w:r>
        <w:rPr>
          <w:rFonts w:ascii="Times New Roman" w:hAnsi="Times New Roman"/>
          <w:color w:val="auto"/>
          <w:szCs w:val="32"/>
          <w:highlight w:val="none"/>
        </w:rPr>
        <w:t>第四章  评审方法及标准</w:t>
      </w:r>
      <w:r>
        <w:rPr>
          <w:color w:val="auto"/>
          <w:highlight w:val="none"/>
        </w:rPr>
        <w:tab/>
      </w:r>
      <w:r>
        <w:rPr>
          <w:color w:val="auto"/>
          <w:highlight w:val="none"/>
        </w:rPr>
        <w:fldChar w:fldCharType="begin"/>
      </w:r>
      <w:r>
        <w:rPr>
          <w:color w:val="auto"/>
          <w:highlight w:val="none"/>
        </w:rPr>
        <w:instrText xml:space="preserve"> PAGEREF _Toc26283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7DFE31B3">
      <w:pPr>
        <w:pStyle w:val="35"/>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"_Toc15532" </w:instrText>
      </w:r>
      <w:r>
        <w:rPr>
          <w:color w:val="auto"/>
          <w:highlight w:val="none"/>
        </w:rPr>
        <w:fldChar w:fldCharType="separate"/>
      </w:r>
      <w:r>
        <w:rPr>
          <w:rFonts w:ascii="Times New Roman" w:hAnsi="Times New Roman"/>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_Toc15532 \h </w:instrText>
      </w:r>
      <w:r>
        <w:rPr>
          <w:color w:val="auto"/>
          <w:highlight w:val="none"/>
        </w:rPr>
        <w:fldChar w:fldCharType="separate"/>
      </w:r>
      <w:r>
        <w:rPr>
          <w:color w:val="auto"/>
          <w:highlight w:val="none"/>
        </w:rPr>
        <w:t>72</w:t>
      </w:r>
      <w:r>
        <w:rPr>
          <w:color w:val="auto"/>
          <w:highlight w:val="none"/>
        </w:rPr>
        <w:fldChar w:fldCharType="end"/>
      </w:r>
      <w:r>
        <w:rPr>
          <w:color w:val="auto"/>
          <w:highlight w:val="none"/>
        </w:rPr>
        <w:fldChar w:fldCharType="end"/>
      </w:r>
    </w:p>
    <w:p w14:paraId="79A02855">
      <w:pPr>
        <w:pStyle w:val="35"/>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"_Toc2716" </w:instrText>
      </w:r>
      <w:r>
        <w:rPr>
          <w:color w:val="auto"/>
          <w:highlight w:val="none"/>
        </w:rPr>
        <w:fldChar w:fldCharType="separate"/>
      </w:r>
      <w:r>
        <w:rPr>
          <w:color w:val="auto"/>
          <w:szCs w:val="32"/>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_Toc2716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4F42A8B9">
      <w:pPr>
        <w:pStyle w:val="35"/>
        <w:ind w:firstLine="241"/>
        <w:rPr>
          <w:rFonts w:ascii="Times New Roman" w:hAnsi="Times New Roman"/>
          <w:color w:val="auto"/>
          <w:sz w:val="28"/>
          <w:szCs w:val="28"/>
          <w:highlight w:val="none"/>
        </w:rPr>
      </w:pPr>
      <w:r>
        <w:rPr>
          <w:rFonts w:ascii="Times New Roman" w:hAnsi="Times New Roman"/>
          <w:color w:val="auto"/>
          <w:szCs w:val="28"/>
          <w:highlight w:val="none"/>
        </w:rPr>
        <w:fldChar w:fldCharType="end"/>
      </w:r>
    </w:p>
    <w:p w14:paraId="4B4FAE87">
      <w:pPr>
        <w:spacing w:before="120" w:beforeLines="50" w:line="480" w:lineRule="exact"/>
        <w:rPr>
          <w:color w:val="auto"/>
          <w:sz w:val="28"/>
          <w:szCs w:val="28"/>
          <w:highlight w:val="none"/>
        </w:rPr>
      </w:pPr>
    </w:p>
    <w:p w14:paraId="13C477CF">
      <w:pPr>
        <w:spacing w:before="120" w:beforeLines="50" w:line="480" w:lineRule="exact"/>
        <w:rPr>
          <w:color w:val="auto"/>
          <w:sz w:val="30"/>
          <w:highlight w:val="none"/>
        </w:rPr>
        <w:sectPr>
          <w:headerReference r:id="rId7" w:type="first"/>
          <w:pgSz w:w="11906" w:h="16838"/>
          <w:pgMar w:top="1418" w:right="1418" w:bottom="1246" w:left="1418" w:header="851" w:footer="992" w:gutter="0"/>
          <w:pgNumType w:start="0"/>
          <w:cols w:space="720" w:num="1"/>
          <w:titlePg/>
          <w:docGrid w:linePitch="312" w:charSpace="0"/>
        </w:sectPr>
      </w:pPr>
    </w:p>
    <w:p w14:paraId="2644B0DF">
      <w:pPr>
        <w:rPr>
          <w:color w:val="auto"/>
          <w:highlight w:val="none"/>
        </w:rPr>
      </w:pPr>
      <w:bookmarkStart w:id="4" w:name="_Toc254970489"/>
      <w:bookmarkStart w:id="5" w:name="_Toc254970630"/>
    </w:p>
    <w:p w14:paraId="3442178E">
      <w:pPr>
        <w:pStyle w:val="28"/>
        <w:snapToGrid w:val="0"/>
        <w:spacing w:before="120" w:after="120" w:line="320" w:lineRule="exact"/>
        <w:jc w:val="center"/>
        <w:outlineLvl w:val="0"/>
        <w:rPr>
          <w:rFonts w:ascii="Times New Roman" w:hAnsi="Times New Roman" w:cs="Times New Roman"/>
          <w:color w:val="auto"/>
          <w:sz w:val="32"/>
          <w:szCs w:val="32"/>
          <w:highlight w:val="none"/>
        </w:rPr>
      </w:pPr>
      <w:bookmarkStart w:id="6" w:name="_Toc3139"/>
      <w:r>
        <w:rPr>
          <w:rFonts w:ascii="Times New Roman" w:hAnsi="Times New Roman" w:cs="Times New Roman"/>
          <w:color w:val="auto"/>
          <w:sz w:val="32"/>
          <w:szCs w:val="32"/>
          <w:highlight w:val="none"/>
        </w:rPr>
        <w:t xml:space="preserve">第一章  </w:t>
      </w:r>
      <w:bookmarkEnd w:id="4"/>
      <w:bookmarkEnd w:id="5"/>
      <w:r>
        <w:rPr>
          <w:rFonts w:ascii="Times New Roman" w:hAnsi="Times New Roman" w:cs="Times New Roman"/>
          <w:color w:val="auto"/>
          <w:sz w:val="32"/>
          <w:szCs w:val="32"/>
          <w:highlight w:val="none"/>
        </w:rPr>
        <w:t>竞争性磋商公告</w:t>
      </w:r>
      <w:bookmarkEnd w:id="6"/>
    </w:p>
    <w:p w14:paraId="668E736E">
      <w:pPr>
        <w:spacing w:line="400" w:lineRule="exact"/>
        <w:jc w:val="center"/>
        <w:rPr>
          <w:b/>
          <w:bCs/>
          <w:color w:val="auto"/>
          <w:kern w:val="0"/>
          <w:sz w:val="24"/>
          <w:highlight w:val="none"/>
        </w:rPr>
      </w:pPr>
      <w:r>
        <w:rPr>
          <w:b/>
          <w:bCs/>
          <w:color w:val="auto"/>
          <w:kern w:val="0"/>
          <w:sz w:val="24"/>
          <w:highlight w:val="none"/>
        </w:rPr>
        <w:t>广西机电设备招标有限公司关于</w:t>
      </w:r>
      <w:r>
        <w:rPr>
          <w:rFonts w:hint="eastAsia"/>
          <w:b/>
          <w:bCs/>
          <w:color w:val="auto"/>
          <w:kern w:val="0"/>
          <w:sz w:val="24"/>
          <w:highlight w:val="none"/>
        </w:rPr>
        <w:t>2026年广西药品智慧监管信息化运维项目</w:t>
      </w:r>
    </w:p>
    <w:p w14:paraId="01EF42CB">
      <w:pPr>
        <w:spacing w:line="400" w:lineRule="exact"/>
        <w:jc w:val="center"/>
        <w:rPr>
          <w:b/>
          <w:bCs/>
          <w:color w:val="auto"/>
          <w:kern w:val="0"/>
          <w:sz w:val="24"/>
          <w:highlight w:val="none"/>
        </w:rPr>
      </w:pPr>
      <w:r>
        <w:rPr>
          <w:b/>
          <w:bCs/>
          <w:color w:val="auto"/>
          <w:sz w:val="24"/>
          <w:highlight w:val="none"/>
        </w:rPr>
        <w:t>(</w:t>
      </w:r>
      <w:r>
        <w:rPr>
          <w:rFonts w:hint="eastAsia"/>
          <w:b/>
          <w:bCs/>
          <w:color w:val="auto"/>
          <w:sz w:val="24"/>
          <w:highlight w:val="none"/>
          <w:lang w:eastAsia="zh-CN"/>
        </w:rPr>
        <w:t>GXZC2026-C3-002075-JDZB</w:t>
      </w:r>
      <w:r>
        <w:rPr>
          <w:rFonts w:hint="eastAsia"/>
          <w:b/>
          <w:bCs/>
          <w:color w:val="auto"/>
          <w:sz w:val="24"/>
          <w:highlight w:val="none"/>
        </w:rPr>
        <w:t xml:space="preserve"> </w:t>
      </w:r>
      <w:r>
        <w:rPr>
          <w:b/>
          <w:bCs/>
          <w:color w:val="auto"/>
          <w:sz w:val="24"/>
          <w:highlight w:val="none"/>
        </w:rPr>
        <w:t>)</w:t>
      </w:r>
      <w:r>
        <w:rPr>
          <w:b/>
          <w:bCs/>
          <w:color w:val="auto"/>
          <w:kern w:val="0"/>
          <w:sz w:val="24"/>
          <w:highlight w:val="none"/>
        </w:rPr>
        <w:t>竞争性磋商公告</w:t>
      </w:r>
    </w:p>
    <w:p w14:paraId="52E21493">
      <w:pPr>
        <w:spacing w:line="312" w:lineRule="auto"/>
        <w:jc w:val="left"/>
        <w:rPr>
          <w:b/>
          <w:bCs/>
          <w:color w:val="auto"/>
          <w:kern w:val="0"/>
          <w:sz w:val="22"/>
          <w:szCs w:val="22"/>
          <w:highlight w:val="none"/>
        </w:rPr>
      </w:pPr>
    </w:p>
    <w:p w14:paraId="463C3966">
      <w:pPr>
        <w:spacing w:line="312" w:lineRule="auto"/>
        <w:ind w:firstLine="420" w:firstLineChars="200"/>
        <w:jc w:val="left"/>
        <w:rPr>
          <w:b/>
          <w:bCs/>
          <w:color w:val="auto"/>
          <w:kern w:val="0"/>
          <w:sz w:val="22"/>
          <w:szCs w:val="22"/>
          <w:highlight w:val="none"/>
        </w:rPr>
      </w:pPr>
      <w:bookmarkStart w:id="7" w:name="_Hlk132795121"/>
      <w:r>
        <w:rPr>
          <w:rFonts w:hint="eastAsia"/>
          <w:color w:val="auto"/>
          <w:szCs w:val="21"/>
          <w:highlight w:val="none"/>
        </w:rPr>
        <w:t>项目概况：2026年广西药品智慧监管信息化运维项目采购项目的潜在供应商应在广西政府采购云平台（https://www.gcy.zfcg.gxzf.gov.cn/）获取采购文件，并于 2026年</w:t>
      </w:r>
      <w:r>
        <w:rPr>
          <w:rFonts w:hint="eastAsia"/>
          <w:color w:val="auto"/>
          <w:szCs w:val="21"/>
          <w:highlight w:val="none"/>
          <w:lang w:val="en-US" w:eastAsia="zh-CN"/>
        </w:rPr>
        <w:t>7</w:t>
      </w:r>
      <w:r>
        <w:rPr>
          <w:rFonts w:hint="eastAsia"/>
          <w:color w:val="auto"/>
          <w:szCs w:val="21"/>
          <w:highlight w:val="none"/>
        </w:rPr>
        <w:t>月</w:t>
      </w:r>
      <w:r>
        <w:rPr>
          <w:rFonts w:hint="eastAsia"/>
          <w:color w:val="auto"/>
          <w:szCs w:val="21"/>
          <w:highlight w:val="none"/>
          <w:lang w:val="en-US" w:eastAsia="zh-CN"/>
        </w:rPr>
        <w:t>13</w:t>
      </w:r>
      <w:r>
        <w:rPr>
          <w:rFonts w:hint="eastAsia"/>
          <w:color w:val="auto"/>
          <w:szCs w:val="21"/>
          <w:highlight w:val="none"/>
        </w:rPr>
        <w:t>日 09:30（北京时间）前提交响应文件。</w:t>
      </w:r>
      <w:bookmarkEnd w:id="7"/>
    </w:p>
    <w:p w14:paraId="0F72E16A">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一、项目基本情况</w:t>
      </w:r>
    </w:p>
    <w:p w14:paraId="453E4D70">
      <w:pPr>
        <w:spacing w:line="312" w:lineRule="auto"/>
        <w:ind w:firstLine="420" w:firstLineChars="200"/>
        <w:jc w:val="left"/>
        <w:rPr>
          <w:color w:val="auto"/>
          <w:kern w:val="0"/>
          <w:szCs w:val="21"/>
          <w:highlight w:val="none"/>
        </w:rPr>
      </w:pPr>
      <w:r>
        <w:rPr>
          <w:color w:val="auto"/>
          <w:kern w:val="0"/>
          <w:szCs w:val="21"/>
          <w:highlight w:val="none"/>
        </w:rPr>
        <w:t>项目编号：</w:t>
      </w:r>
      <w:r>
        <w:rPr>
          <w:rFonts w:hint="eastAsia"/>
          <w:color w:val="auto"/>
          <w:kern w:val="0"/>
          <w:szCs w:val="21"/>
          <w:highlight w:val="none"/>
        </w:rPr>
        <w:t xml:space="preserve"> </w:t>
      </w:r>
      <w:r>
        <w:rPr>
          <w:rFonts w:hint="eastAsia"/>
          <w:color w:val="auto"/>
          <w:kern w:val="0"/>
          <w:szCs w:val="21"/>
          <w:highlight w:val="none"/>
          <w:lang w:eastAsia="zh-CN"/>
        </w:rPr>
        <w:t>GXZC2026-C3-002075-JDZB</w:t>
      </w:r>
      <w:r>
        <w:rPr>
          <w:rFonts w:hint="eastAsia"/>
          <w:color w:val="auto"/>
          <w:kern w:val="0"/>
          <w:szCs w:val="21"/>
          <w:highlight w:val="none"/>
        </w:rPr>
        <w:t xml:space="preserve"> </w:t>
      </w:r>
    </w:p>
    <w:p w14:paraId="022DA8CB">
      <w:pPr>
        <w:spacing w:line="312" w:lineRule="auto"/>
        <w:ind w:firstLine="420" w:firstLineChars="200"/>
        <w:jc w:val="left"/>
        <w:rPr>
          <w:color w:val="auto"/>
          <w:kern w:val="0"/>
          <w:szCs w:val="21"/>
          <w:highlight w:val="none"/>
        </w:rPr>
      </w:pPr>
      <w:r>
        <w:rPr>
          <w:color w:val="auto"/>
          <w:kern w:val="0"/>
          <w:szCs w:val="21"/>
          <w:highlight w:val="none"/>
        </w:rPr>
        <w:t>项目名称：</w:t>
      </w:r>
      <w:r>
        <w:rPr>
          <w:rFonts w:hint="eastAsia"/>
          <w:color w:val="auto"/>
          <w:kern w:val="0"/>
          <w:szCs w:val="21"/>
          <w:highlight w:val="none"/>
        </w:rPr>
        <w:t>2026年广西药品智慧监管信息化运维项目</w:t>
      </w:r>
    </w:p>
    <w:p w14:paraId="2CB124D3">
      <w:pPr>
        <w:spacing w:line="312" w:lineRule="auto"/>
        <w:ind w:firstLine="420" w:firstLineChars="200"/>
        <w:jc w:val="left"/>
        <w:rPr>
          <w:color w:val="auto"/>
          <w:kern w:val="0"/>
          <w:szCs w:val="21"/>
          <w:highlight w:val="none"/>
        </w:rPr>
      </w:pPr>
      <w:r>
        <w:rPr>
          <w:rFonts w:hint="eastAsia"/>
          <w:color w:val="auto"/>
          <w:kern w:val="0"/>
          <w:szCs w:val="21"/>
          <w:highlight w:val="none"/>
        </w:rPr>
        <w:t>采购方式：竞争性磋商</w:t>
      </w:r>
    </w:p>
    <w:p w14:paraId="22DE8B86">
      <w:pPr>
        <w:spacing w:line="312" w:lineRule="auto"/>
        <w:ind w:firstLine="420" w:firstLineChars="200"/>
        <w:jc w:val="left"/>
        <w:rPr>
          <w:color w:val="auto"/>
          <w:kern w:val="0"/>
          <w:szCs w:val="21"/>
          <w:highlight w:val="none"/>
        </w:rPr>
      </w:pPr>
      <w:r>
        <w:rPr>
          <w:color w:val="auto"/>
          <w:kern w:val="0"/>
          <w:szCs w:val="21"/>
          <w:highlight w:val="none"/>
        </w:rPr>
        <w:t>预算</w:t>
      </w:r>
      <w:r>
        <w:rPr>
          <w:rFonts w:hint="eastAsia"/>
          <w:color w:val="auto"/>
          <w:kern w:val="0"/>
          <w:szCs w:val="21"/>
          <w:highlight w:val="none"/>
        </w:rPr>
        <w:t>总</w:t>
      </w:r>
      <w:r>
        <w:rPr>
          <w:color w:val="auto"/>
          <w:kern w:val="0"/>
          <w:szCs w:val="21"/>
          <w:highlight w:val="none"/>
        </w:rPr>
        <w:t>金额</w:t>
      </w:r>
      <w:r>
        <w:rPr>
          <w:rFonts w:hint="eastAsia"/>
          <w:color w:val="auto"/>
          <w:kern w:val="0"/>
          <w:szCs w:val="21"/>
          <w:highlight w:val="none"/>
        </w:rPr>
        <w:t>（元）</w:t>
      </w:r>
      <w:r>
        <w:rPr>
          <w:color w:val="auto"/>
          <w:kern w:val="0"/>
          <w:szCs w:val="21"/>
          <w:highlight w:val="none"/>
        </w:rPr>
        <w:t>：</w:t>
      </w:r>
      <w:r>
        <w:rPr>
          <w:rFonts w:hint="eastAsia"/>
          <w:color w:val="auto"/>
          <w:kern w:val="0"/>
          <w:szCs w:val="21"/>
          <w:highlight w:val="none"/>
        </w:rPr>
        <w:t>1490000</w:t>
      </w:r>
    </w:p>
    <w:p w14:paraId="4E9B4821">
      <w:pPr>
        <w:spacing w:line="312" w:lineRule="auto"/>
        <w:ind w:firstLine="420" w:firstLineChars="200"/>
        <w:jc w:val="left"/>
        <w:rPr>
          <w:color w:val="auto"/>
          <w:kern w:val="0"/>
          <w:szCs w:val="21"/>
          <w:highlight w:val="none"/>
        </w:rPr>
      </w:pPr>
      <w:r>
        <w:rPr>
          <w:rFonts w:hint="eastAsia"/>
          <w:color w:val="auto"/>
          <w:kern w:val="0"/>
          <w:szCs w:val="21"/>
          <w:highlight w:val="none"/>
        </w:rPr>
        <w:t>采购需求</w:t>
      </w:r>
      <w:r>
        <w:rPr>
          <w:color w:val="auto"/>
          <w:kern w:val="0"/>
          <w:szCs w:val="21"/>
          <w:highlight w:val="none"/>
        </w:rPr>
        <w:t>：</w:t>
      </w:r>
      <w:bookmarkStart w:id="8" w:name="_Hlk77608065"/>
    </w:p>
    <w:p w14:paraId="362AF986">
      <w:pPr>
        <w:spacing w:line="312" w:lineRule="auto"/>
        <w:ind w:firstLine="630" w:firstLineChars="300"/>
        <w:jc w:val="left"/>
        <w:rPr>
          <w:color w:val="auto"/>
          <w:kern w:val="0"/>
          <w:szCs w:val="21"/>
          <w:highlight w:val="none"/>
        </w:rPr>
      </w:pPr>
      <w:r>
        <w:rPr>
          <w:rFonts w:hint="eastAsia"/>
          <w:color w:val="auto"/>
          <w:kern w:val="0"/>
          <w:szCs w:val="21"/>
          <w:highlight w:val="none"/>
        </w:rPr>
        <w:t>标项一：</w:t>
      </w:r>
    </w:p>
    <w:p w14:paraId="29B353DC">
      <w:pPr>
        <w:spacing w:line="312" w:lineRule="auto"/>
        <w:ind w:firstLine="630" w:firstLineChars="300"/>
        <w:jc w:val="left"/>
        <w:rPr>
          <w:color w:val="auto"/>
          <w:kern w:val="0"/>
          <w:szCs w:val="21"/>
          <w:highlight w:val="none"/>
        </w:rPr>
      </w:pPr>
      <w:r>
        <w:rPr>
          <w:rFonts w:hint="eastAsia"/>
          <w:color w:val="auto"/>
          <w:kern w:val="0"/>
          <w:szCs w:val="21"/>
          <w:highlight w:val="none"/>
        </w:rPr>
        <w:t>标项名称：广西药品智慧监管平台系统运维服务</w:t>
      </w:r>
    </w:p>
    <w:p w14:paraId="5FA4F204">
      <w:pPr>
        <w:spacing w:line="312" w:lineRule="auto"/>
        <w:ind w:firstLine="630" w:firstLineChars="300"/>
        <w:jc w:val="left"/>
        <w:rPr>
          <w:color w:val="auto"/>
          <w:kern w:val="0"/>
          <w:szCs w:val="21"/>
          <w:highlight w:val="none"/>
        </w:rPr>
      </w:pPr>
      <w:r>
        <w:rPr>
          <w:rFonts w:hint="eastAsia"/>
          <w:color w:val="auto"/>
          <w:kern w:val="0"/>
          <w:szCs w:val="21"/>
          <w:highlight w:val="none"/>
        </w:rPr>
        <w:t>数量：1</w:t>
      </w:r>
    </w:p>
    <w:p w14:paraId="55E56E26">
      <w:pPr>
        <w:spacing w:line="312" w:lineRule="auto"/>
        <w:ind w:firstLine="630" w:firstLineChars="300"/>
        <w:jc w:val="left"/>
        <w:rPr>
          <w:color w:val="auto"/>
          <w:kern w:val="0"/>
          <w:szCs w:val="21"/>
          <w:highlight w:val="none"/>
        </w:rPr>
      </w:pPr>
      <w:r>
        <w:rPr>
          <w:rFonts w:hint="eastAsia"/>
          <w:color w:val="auto"/>
          <w:kern w:val="0"/>
          <w:szCs w:val="21"/>
          <w:highlight w:val="none"/>
        </w:rPr>
        <w:t>预算金额（元）：720000.00</w:t>
      </w:r>
    </w:p>
    <w:p w14:paraId="5DBF9AD1">
      <w:pPr>
        <w:spacing w:line="312" w:lineRule="auto"/>
        <w:ind w:firstLine="630" w:firstLineChars="300"/>
        <w:jc w:val="left"/>
        <w:rPr>
          <w:color w:val="auto"/>
          <w:kern w:val="0"/>
          <w:szCs w:val="21"/>
          <w:highlight w:val="none"/>
        </w:rPr>
      </w:pPr>
      <w:r>
        <w:rPr>
          <w:rFonts w:hint="eastAsia"/>
          <w:color w:val="auto"/>
          <w:kern w:val="0"/>
          <w:szCs w:val="21"/>
          <w:highlight w:val="none"/>
        </w:rPr>
        <w:t>简要规格描述或项目基本概况介绍、用途：广西药品智慧监管平台系统运维服务1项。具体详见采购文件。</w:t>
      </w:r>
    </w:p>
    <w:p w14:paraId="1AA33D2A">
      <w:pPr>
        <w:spacing w:line="312" w:lineRule="auto"/>
        <w:ind w:firstLine="630" w:firstLineChars="300"/>
        <w:jc w:val="left"/>
        <w:rPr>
          <w:color w:val="auto"/>
          <w:kern w:val="0"/>
          <w:szCs w:val="21"/>
          <w:highlight w:val="none"/>
        </w:rPr>
      </w:pPr>
      <w:r>
        <w:rPr>
          <w:rFonts w:hint="eastAsia"/>
          <w:color w:val="auto"/>
          <w:kern w:val="0"/>
          <w:szCs w:val="21"/>
          <w:highlight w:val="none"/>
        </w:rPr>
        <w:t>最高限价（如有）：720000.00</w:t>
      </w:r>
    </w:p>
    <w:p w14:paraId="036E23B1">
      <w:pPr>
        <w:spacing w:line="312" w:lineRule="auto"/>
        <w:ind w:firstLine="630" w:firstLineChars="300"/>
        <w:jc w:val="left"/>
        <w:rPr>
          <w:color w:val="auto"/>
          <w:kern w:val="0"/>
          <w:szCs w:val="21"/>
          <w:highlight w:val="none"/>
        </w:rPr>
      </w:pPr>
      <w:r>
        <w:rPr>
          <w:rFonts w:hint="eastAsia"/>
          <w:color w:val="auto"/>
          <w:kern w:val="0"/>
          <w:szCs w:val="21"/>
          <w:highlight w:val="none"/>
        </w:rPr>
        <w:t>合同履约期限：详见采购文件《第二章采购需求》“商务要求”。</w:t>
      </w:r>
    </w:p>
    <w:p w14:paraId="335BEFF4">
      <w:pPr>
        <w:spacing w:line="312" w:lineRule="auto"/>
        <w:ind w:firstLine="630" w:firstLineChars="300"/>
        <w:jc w:val="left"/>
        <w:rPr>
          <w:color w:val="auto"/>
          <w:kern w:val="0"/>
          <w:szCs w:val="21"/>
          <w:highlight w:val="none"/>
        </w:rPr>
      </w:pPr>
      <w:r>
        <w:rPr>
          <w:color w:val="auto"/>
          <w:kern w:val="0"/>
          <w:szCs w:val="21"/>
          <w:highlight w:val="none"/>
        </w:rPr>
        <w:t>本项目</w:t>
      </w:r>
      <w:r>
        <w:rPr>
          <w:rFonts w:hint="eastAsia"/>
          <w:color w:val="auto"/>
          <w:kern w:val="0"/>
          <w:szCs w:val="21"/>
          <w:highlight w:val="none"/>
        </w:rPr>
        <w:t>不接受</w:t>
      </w:r>
      <w:r>
        <w:rPr>
          <w:color w:val="auto"/>
          <w:kern w:val="0"/>
          <w:szCs w:val="21"/>
          <w:highlight w:val="none"/>
        </w:rPr>
        <w:t>联合体。</w:t>
      </w:r>
    </w:p>
    <w:p w14:paraId="3E6165F5">
      <w:pPr>
        <w:spacing w:line="312" w:lineRule="auto"/>
        <w:ind w:firstLine="630" w:firstLineChars="300"/>
        <w:jc w:val="left"/>
        <w:rPr>
          <w:color w:val="auto"/>
          <w:kern w:val="0"/>
          <w:szCs w:val="21"/>
          <w:highlight w:val="none"/>
        </w:rPr>
      </w:pPr>
      <w:r>
        <w:rPr>
          <w:rFonts w:hint="eastAsia"/>
          <w:color w:val="auto"/>
          <w:kern w:val="0"/>
          <w:szCs w:val="21"/>
          <w:highlight w:val="none"/>
        </w:rPr>
        <w:t>备注：采购计划号：广西政采[2026]13848号-003</w:t>
      </w:r>
    </w:p>
    <w:p w14:paraId="5439F752">
      <w:pPr>
        <w:spacing w:line="312" w:lineRule="auto"/>
        <w:ind w:firstLine="630" w:firstLineChars="300"/>
        <w:jc w:val="left"/>
        <w:rPr>
          <w:color w:val="auto"/>
          <w:kern w:val="0"/>
          <w:szCs w:val="21"/>
          <w:highlight w:val="none"/>
        </w:rPr>
      </w:pPr>
      <w:r>
        <w:rPr>
          <w:rFonts w:hint="eastAsia"/>
          <w:color w:val="auto"/>
          <w:kern w:val="0"/>
          <w:szCs w:val="21"/>
          <w:highlight w:val="none"/>
        </w:rPr>
        <w:t xml:space="preserve"> 标项二：</w:t>
      </w:r>
    </w:p>
    <w:p w14:paraId="4ED1F541">
      <w:pPr>
        <w:spacing w:line="312" w:lineRule="auto"/>
        <w:ind w:firstLine="630" w:firstLineChars="300"/>
        <w:jc w:val="left"/>
        <w:rPr>
          <w:color w:val="auto"/>
          <w:kern w:val="0"/>
          <w:szCs w:val="21"/>
          <w:highlight w:val="none"/>
        </w:rPr>
      </w:pPr>
      <w:r>
        <w:rPr>
          <w:rFonts w:hint="eastAsia"/>
          <w:color w:val="auto"/>
          <w:kern w:val="0"/>
          <w:szCs w:val="21"/>
          <w:highlight w:val="none"/>
        </w:rPr>
        <w:t>标项名称：APP安全应用加固</w:t>
      </w:r>
    </w:p>
    <w:p w14:paraId="67BAB11A">
      <w:pPr>
        <w:spacing w:line="312" w:lineRule="auto"/>
        <w:ind w:firstLine="630" w:firstLineChars="300"/>
        <w:jc w:val="left"/>
        <w:rPr>
          <w:color w:val="auto"/>
          <w:kern w:val="0"/>
          <w:szCs w:val="21"/>
          <w:highlight w:val="none"/>
        </w:rPr>
      </w:pPr>
      <w:r>
        <w:rPr>
          <w:rFonts w:hint="eastAsia"/>
          <w:color w:val="auto"/>
          <w:kern w:val="0"/>
          <w:szCs w:val="21"/>
          <w:highlight w:val="none"/>
        </w:rPr>
        <w:t>数量：1</w:t>
      </w:r>
    </w:p>
    <w:p w14:paraId="00292145">
      <w:pPr>
        <w:spacing w:line="312" w:lineRule="auto"/>
        <w:ind w:firstLine="630" w:firstLineChars="300"/>
        <w:jc w:val="left"/>
        <w:rPr>
          <w:color w:val="auto"/>
          <w:kern w:val="0"/>
          <w:szCs w:val="21"/>
          <w:highlight w:val="none"/>
        </w:rPr>
      </w:pPr>
      <w:r>
        <w:rPr>
          <w:rFonts w:hint="eastAsia"/>
          <w:color w:val="auto"/>
          <w:kern w:val="0"/>
          <w:szCs w:val="21"/>
          <w:highlight w:val="none"/>
        </w:rPr>
        <w:t>预算金额（元）：100000.00</w:t>
      </w:r>
    </w:p>
    <w:p w14:paraId="44EDF9FB">
      <w:pPr>
        <w:spacing w:line="312" w:lineRule="auto"/>
        <w:ind w:firstLine="630" w:firstLineChars="300"/>
        <w:jc w:val="left"/>
        <w:rPr>
          <w:color w:val="auto"/>
          <w:kern w:val="0"/>
          <w:szCs w:val="21"/>
          <w:highlight w:val="none"/>
        </w:rPr>
      </w:pPr>
      <w:r>
        <w:rPr>
          <w:rFonts w:hint="eastAsia"/>
          <w:color w:val="auto"/>
          <w:kern w:val="0"/>
          <w:szCs w:val="21"/>
          <w:highlight w:val="none"/>
        </w:rPr>
        <w:t>简要规格描述或项目基本概况介绍、用途：APP安全应用加固1项。具体详见采购文件。</w:t>
      </w:r>
    </w:p>
    <w:p w14:paraId="789BE893">
      <w:pPr>
        <w:spacing w:line="312" w:lineRule="auto"/>
        <w:ind w:firstLine="630" w:firstLineChars="300"/>
        <w:jc w:val="left"/>
        <w:rPr>
          <w:color w:val="auto"/>
          <w:kern w:val="0"/>
          <w:szCs w:val="21"/>
          <w:highlight w:val="none"/>
        </w:rPr>
      </w:pPr>
      <w:r>
        <w:rPr>
          <w:rFonts w:hint="eastAsia"/>
          <w:color w:val="auto"/>
          <w:kern w:val="0"/>
          <w:szCs w:val="21"/>
          <w:highlight w:val="none"/>
        </w:rPr>
        <w:t>最高限价（如有）：100000.00</w:t>
      </w:r>
    </w:p>
    <w:p w14:paraId="10364831">
      <w:pPr>
        <w:spacing w:line="312" w:lineRule="auto"/>
        <w:ind w:firstLine="630" w:firstLineChars="300"/>
        <w:jc w:val="left"/>
        <w:rPr>
          <w:color w:val="auto"/>
          <w:kern w:val="0"/>
          <w:szCs w:val="21"/>
          <w:highlight w:val="none"/>
        </w:rPr>
      </w:pPr>
      <w:r>
        <w:rPr>
          <w:rFonts w:hint="eastAsia"/>
          <w:color w:val="auto"/>
          <w:kern w:val="0"/>
          <w:szCs w:val="21"/>
          <w:highlight w:val="none"/>
        </w:rPr>
        <w:t>合同履约期限：详见采购文件《第二章采购需求》“商务要求”。</w:t>
      </w:r>
    </w:p>
    <w:p w14:paraId="0D7C2BC9">
      <w:pPr>
        <w:spacing w:line="312" w:lineRule="auto"/>
        <w:ind w:firstLine="630" w:firstLineChars="300"/>
        <w:jc w:val="left"/>
        <w:rPr>
          <w:color w:val="auto"/>
          <w:kern w:val="0"/>
          <w:szCs w:val="21"/>
          <w:highlight w:val="none"/>
        </w:rPr>
      </w:pPr>
      <w:r>
        <w:rPr>
          <w:color w:val="auto"/>
          <w:kern w:val="0"/>
          <w:szCs w:val="21"/>
          <w:highlight w:val="none"/>
        </w:rPr>
        <w:t>本项目</w:t>
      </w:r>
      <w:r>
        <w:rPr>
          <w:rFonts w:hint="eastAsia"/>
          <w:color w:val="auto"/>
          <w:kern w:val="0"/>
          <w:szCs w:val="21"/>
          <w:highlight w:val="none"/>
        </w:rPr>
        <w:t>不接受</w:t>
      </w:r>
      <w:r>
        <w:rPr>
          <w:color w:val="auto"/>
          <w:kern w:val="0"/>
          <w:szCs w:val="21"/>
          <w:highlight w:val="none"/>
        </w:rPr>
        <w:t>联合体。</w:t>
      </w:r>
    </w:p>
    <w:p w14:paraId="3FF6E0C3">
      <w:pPr>
        <w:spacing w:line="312" w:lineRule="auto"/>
        <w:ind w:firstLine="630" w:firstLineChars="300"/>
        <w:jc w:val="left"/>
        <w:rPr>
          <w:color w:val="auto"/>
          <w:kern w:val="0"/>
          <w:szCs w:val="21"/>
          <w:highlight w:val="none"/>
        </w:rPr>
      </w:pPr>
      <w:r>
        <w:rPr>
          <w:rFonts w:hint="eastAsia"/>
          <w:color w:val="auto"/>
          <w:kern w:val="0"/>
          <w:szCs w:val="21"/>
          <w:highlight w:val="none"/>
        </w:rPr>
        <w:t>备注：采购计划号：广西政采[2026]13848号-002</w:t>
      </w:r>
    </w:p>
    <w:p w14:paraId="2FABDD8E">
      <w:pPr>
        <w:spacing w:line="312" w:lineRule="auto"/>
        <w:ind w:firstLine="630" w:firstLineChars="300"/>
        <w:jc w:val="left"/>
        <w:rPr>
          <w:color w:val="auto"/>
          <w:kern w:val="0"/>
          <w:szCs w:val="21"/>
          <w:highlight w:val="none"/>
        </w:rPr>
      </w:pPr>
      <w:r>
        <w:rPr>
          <w:rFonts w:hint="eastAsia"/>
          <w:color w:val="auto"/>
          <w:kern w:val="0"/>
          <w:szCs w:val="21"/>
          <w:highlight w:val="none"/>
        </w:rPr>
        <w:t xml:space="preserve"> 标项三：</w:t>
      </w:r>
    </w:p>
    <w:p w14:paraId="6F5F5FC8">
      <w:pPr>
        <w:spacing w:line="312" w:lineRule="auto"/>
        <w:ind w:firstLine="630" w:firstLineChars="300"/>
        <w:jc w:val="left"/>
        <w:rPr>
          <w:color w:val="auto"/>
          <w:kern w:val="0"/>
          <w:szCs w:val="21"/>
          <w:highlight w:val="none"/>
        </w:rPr>
      </w:pPr>
      <w:r>
        <w:rPr>
          <w:rFonts w:hint="eastAsia"/>
          <w:color w:val="auto"/>
          <w:kern w:val="0"/>
          <w:szCs w:val="21"/>
          <w:highlight w:val="none"/>
        </w:rPr>
        <w:t>标项名称：OA对接综办平台改造</w:t>
      </w:r>
    </w:p>
    <w:p w14:paraId="38EA7BA2">
      <w:pPr>
        <w:spacing w:line="312" w:lineRule="auto"/>
        <w:ind w:firstLine="630" w:firstLineChars="300"/>
        <w:jc w:val="left"/>
        <w:rPr>
          <w:color w:val="auto"/>
          <w:kern w:val="0"/>
          <w:szCs w:val="21"/>
          <w:highlight w:val="none"/>
        </w:rPr>
      </w:pPr>
      <w:r>
        <w:rPr>
          <w:rFonts w:hint="eastAsia"/>
          <w:color w:val="auto"/>
          <w:kern w:val="0"/>
          <w:szCs w:val="21"/>
          <w:highlight w:val="none"/>
        </w:rPr>
        <w:t>数量：1</w:t>
      </w:r>
    </w:p>
    <w:p w14:paraId="1695D8FC">
      <w:pPr>
        <w:spacing w:line="312" w:lineRule="auto"/>
        <w:ind w:firstLine="630" w:firstLineChars="300"/>
        <w:jc w:val="left"/>
        <w:rPr>
          <w:color w:val="auto"/>
          <w:kern w:val="0"/>
          <w:szCs w:val="21"/>
          <w:highlight w:val="none"/>
        </w:rPr>
      </w:pPr>
      <w:r>
        <w:rPr>
          <w:rFonts w:hint="eastAsia"/>
          <w:color w:val="auto"/>
          <w:kern w:val="0"/>
          <w:szCs w:val="21"/>
          <w:highlight w:val="none"/>
        </w:rPr>
        <w:t>预算金额（元）：670000.00</w:t>
      </w:r>
    </w:p>
    <w:p w14:paraId="0DB1FAF1">
      <w:pPr>
        <w:spacing w:line="312" w:lineRule="auto"/>
        <w:ind w:firstLine="630" w:firstLineChars="300"/>
        <w:jc w:val="left"/>
        <w:rPr>
          <w:color w:val="auto"/>
          <w:kern w:val="0"/>
          <w:szCs w:val="21"/>
          <w:highlight w:val="none"/>
        </w:rPr>
      </w:pPr>
      <w:r>
        <w:rPr>
          <w:rFonts w:hint="eastAsia"/>
          <w:color w:val="auto"/>
          <w:kern w:val="0"/>
          <w:szCs w:val="21"/>
          <w:highlight w:val="none"/>
        </w:rPr>
        <w:t>简要规格描述或项目基本概况介绍、用途：OA对接综办平台改造1项。具体详见采购文件。</w:t>
      </w:r>
    </w:p>
    <w:p w14:paraId="0ADB25A9">
      <w:pPr>
        <w:spacing w:line="312" w:lineRule="auto"/>
        <w:ind w:firstLine="630" w:firstLineChars="300"/>
        <w:jc w:val="left"/>
        <w:rPr>
          <w:color w:val="auto"/>
          <w:kern w:val="0"/>
          <w:szCs w:val="21"/>
          <w:highlight w:val="none"/>
        </w:rPr>
      </w:pPr>
      <w:r>
        <w:rPr>
          <w:rFonts w:hint="eastAsia"/>
          <w:color w:val="auto"/>
          <w:kern w:val="0"/>
          <w:szCs w:val="21"/>
          <w:highlight w:val="none"/>
        </w:rPr>
        <w:t>最高限价（如有）：670000.00</w:t>
      </w:r>
    </w:p>
    <w:p w14:paraId="65366B33">
      <w:pPr>
        <w:spacing w:line="312" w:lineRule="auto"/>
        <w:ind w:firstLine="630" w:firstLineChars="300"/>
        <w:jc w:val="left"/>
        <w:rPr>
          <w:color w:val="auto"/>
          <w:kern w:val="0"/>
          <w:szCs w:val="21"/>
          <w:highlight w:val="none"/>
        </w:rPr>
      </w:pPr>
      <w:r>
        <w:rPr>
          <w:rFonts w:hint="eastAsia"/>
          <w:color w:val="auto"/>
          <w:kern w:val="0"/>
          <w:szCs w:val="21"/>
          <w:highlight w:val="none"/>
        </w:rPr>
        <w:t>合同履约期限：详见采购文件《第二章采购需求》“商务要求”。</w:t>
      </w:r>
    </w:p>
    <w:p w14:paraId="73BB66F4">
      <w:pPr>
        <w:spacing w:line="312" w:lineRule="auto"/>
        <w:ind w:firstLine="630" w:firstLineChars="300"/>
        <w:jc w:val="left"/>
        <w:rPr>
          <w:color w:val="auto"/>
          <w:kern w:val="0"/>
          <w:szCs w:val="21"/>
          <w:highlight w:val="none"/>
        </w:rPr>
      </w:pPr>
      <w:r>
        <w:rPr>
          <w:color w:val="auto"/>
          <w:kern w:val="0"/>
          <w:szCs w:val="21"/>
          <w:highlight w:val="none"/>
        </w:rPr>
        <w:t>本项目</w:t>
      </w:r>
      <w:r>
        <w:rPr>
          <w:rFonts w:hint="eastAsia"/>
          <w:color w:val="auto"/>
          <w:kern w:val="0"/>
          <w:szCs w:val="21"/>
          <w:highlight w:val="none"/>
        </w:rPr>
        <w:t>不接受</w:t>
      </w:r>
      <w:r>
        <w:rPr>
          <w:color w:val="auto"/>
          <w:kern w:val="0"/>
          <w:szCs w:val="21"/>
          <w:highlight w:val="none"/>
        </w:rPr>
        <w:t>联合体。</w:t>
      </w:r>
    </w:p>
    <w:p w14:paraId="486AE342">
      <w:pPr>
        <w:spacing w:line="312" w:lineRule="auto"/>
        <w:ind w:firstLine="630" w:firstLineChars="300"/>
        <w:jc w:val="left"/>
        <w:rPr>
          <w:color w:val="auto"/>
          <w:kern w:val="0"/>
          <w:szCs w:val="21"/>
          <w:highlight w:val="none"/>
        </w:rPr>
      </w:pPr>
      <w:r>
        <w:rPr>
          <w:rFonts w:hint="eastAsia"/>
          <w:color w:val="auto"/>
          <w:kern w:val="0"/>
          <w:szCs w:val="21"/>
          <w:highlight w:val="none"/>
        </w:rPr>
        <w:t>备注：采购计划号：广西政采[2026]13848号-001</w:t>
      </w:r>
    </w:p>
    <w:bookmarkEnd w:id="8"/>
    <w:p w14:paraId="120CAD74">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二、申请人的资格要求</w:t>
      </w:r>
    </w:p>
    <w:p w14:paraId="0B66F79C">
      <w:pPr>
        <w:spacing w:line="312" w:lineRule="auto"/>
        <w:ind w:firstLine="420" w:firstLineChars="200"/>
        <w:jc w:val="left"/>
        <w:rPr>
          <w:color w:val="auto"/>
          <w:szCs w:val="21"/>
          <w:highlight w:val="none"/>
        </w:rPr>
      </w:pPr>
      <w:r>
        <w:rPr>
          <w:color w:val="auto"/>
          <w:kern w:val="0"/>
          <w:szCs w:val="21"/>
          <w:highlight w:val="none"/>
        </w:rPr>
        <w:t>1</w:t>
      </w:r>
      <w:r>
        <w:rPr>
          <w:rFonts w:hint="eastAsia"/>
          <w:color w:val="auto"/>
          <w:kern w:val="0"/>
          <w:szCs w:val="21"/>
          <w:highlight w:val="none"/>
        </w:rPr>
        <w:t>.满足</w:t>
      </w:r>
      <w:r>
        <w:rPr>
          <w:color w:val="auto"/>
          <w:kern w:val="0"/>
          <w:szCs w:val="21"/>
          <w:highlight w:val="none"/>
        </w:rPr>
        <w:t>《中华人民共和国政府采购法》第二十二条规定</w:t>
      </w:r>
      <w:r>
        <w:rPr>
          <w:color w:val="auto"/>
          <w:szCs w:val="21"/>
          <w:highlight w:val="none"/>
        </w:rPr>
        <w:t>。</w:t>
      </w:r>
    </w:p>
    <w:p w14:paraId="72B8B561">
      <w:pPr>
        <w:spacing w:line="312" w:lineRule="auto"/>
        <w:ind w:firstLine="420" w:firstLineChars="200"/>
        <w:jc w:val="left"/>
        <w:rPr>
          <w:color w:val="auto"/>
          <w:szCs w:val="21"/>
          <w:highlight w:val="none"/>
        </w:rPr>
      </w:pPr>
      <w:r>
        <w:rPr>
          <w:rFonts w:hint="eastAsia"/>
          <w:color w:val="auto"/>
          <w:szCs w:val="21"/>
          <w:highlight w:val="none"/>
        </w:rPr>
        <w:t>2.落实政府采购政策需满足的资格要求：专门面向中小企业采购的项目（供应商均为中小微企业、监狱企业、残疾人福利性单位）。</w:t>
      </w:r>
    </w:p>
    <w:p w14:paraId="16B42FD0">
      <w:pPr>
        <w:spacing w:line="312" w:lineRule="auto"/>
        <w:ind w:firstLine="420" w:firstLineChars="200"/>
        <w:jc w:val="left"/>
        <w:rPr>
          <w:color w:val="auto"/>
          <w:kern w:val="0"/>
          <w:szCs w:val="21"/>
          <w:highlight w:val="none"/>
        </w:rPr>
      </w:pPr>
      <w:r>
        <w:rPr>
          <w:color w:val="auto"/>
          <w:kern w:val="0"/>
          <w:szCs w:val="21"/>
          <w:highlight w:val="none"/>
        </w:rPr>
        <w:t>3</w:t>
      </w:r>
      <w:r>
        <w:rPr>
          <w:rFonts w:hint="eastAsia"/>
          <w:color w:val="auto"/>
          <w:kern w:val="0"/>
          <w:szCs w:val="21"/>
          <w:highlight w:val="none"/>
        </w:rPr>
        <w:t>.本项目的</w:t>
      </w:r>
      <w:r>
        <w:rPr>
          <w:color w:val="auto"/>
          <w:kern w:val="0"/>
          <w:szCs w:val="21"/>
          <w:highlight w:val="none"/>
        </w:rPr>
        <w:t>特定资格</w:t>
      </w:r>
      <w:r>
        <w:rPr>
          <w:rFonts w:hint="eastAsia"/>
          <w:color w:val="auto"/>
          <w:kern w:val="0"/>
          <w:szCs w:val="21"/>
          <w:highlight w:val="none"/>
        </w:rPr>
        <w:t>要求</w:t>
      </w:r>
      <w:r>
        <w:rPr>
          <w:color w:val="auto"/>
          <w:kern w:val="0"/>
          <w:szCs w:val="21"/>
          <w:highlight w:val="none"/>
        </w:rPr>
        <w:t>：</w:t>
      </w:r>
    </w:p>
    <w:p w14:paraId="199AED05">
      <w:pPr>
        <w:spacing w:line="312" w:lineRule="auto"/>
        <w:ind w:firstLine="420" w:firstLineChars="200"/>
        <w:jc w:val="left"/>
        <w:rPr>
          <w:color w:val="auto"/>
          <w:kern w:val="0"/>
          <w:szCs w:val="21"/>
          <w:highlight w:val="none"/>
        </w:rPr>
      </w:pPr>
      <w:r>
        <w:rPr>
          <w:color w:val="auto"/>
          <w:kern w:val="0"/>
          <w:szCs w:val="21"/>
          <w:highlight w:val="none"/>
        </w:rPr>
        <w:t>（1）资质要求：</w:t>
      </w:r>
      <w:r>
        <w:rPr>
          <w:rFonts w:hint="eastAsia"/>
          <w:color w:val="auto"/>
          <w:kern w:val="0"/>
          <w:szCs w:val="21"/>
          <w:highlight w:val="none"/>
        </w:rPr>
        <w:t>无</w:t>
      </w:r>
      <w:r>
        <w:rPr>
          <w:color w:val="auto"/>
          <w:kern w:val="0"/>
          <w:szCs w:val="21"/>
          <w:highlight w:val="none"/>
        </w:rPr>
        <w:t>。 </w:t>
      </w:r>
    </w:p>
    <w:p w14:paraId="6783A3F8">
      <w:pPr>
        <w:spacing w:line="312" w:lineRule="auto"/>
        <w:ind w:firstLine="420" w:firstLineChars="200"/>
        <w:jc w:val="left"/>
        <w:rPr>
          <w:color w:val="auto"/>
          <w:kern w:val="0"/>
          <w:szCs w:val="21"/>
          <w:highlight w:val="none"/>
        </w:rPr>
      </w:pPr>
      <w:r>
        <w:rPr>
          <w:color w:val="auto"/>
          <w:kern w:val="0"/>
          <w:szCs w:val="21"/>
          <w:highlight w:val="none"/>
        </w:rPr>
        <w:t>（2）业绩要求：</w:t>
      </w:r>
      <w:r>
        <w:rPr>
          <w:rFonts w:hint="eastAsia"/>
          <w:color w:val="auto"/>
          <w:kern w:val="0"/>
          <w:szCs w:val="21"/>
          <w:highlight w:val="none"/>
        </w:rPr>
        <w:t>无。</w:t>
      </w:r>
    </w:p>
    <w:p w14:paraId="4036420D">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3</w:t>
      </w:r>
      <w:r>
        <w:rPr>
          <w:rFonts w:hint="eastAsia"/>
          <w:color w:val="auto"/>
          <w:kern w:val="0"/>
          <w:szCs w:val="21"/>
          <w:highlight w:val="none"/>
        </w:rPr>
        <w:t>）</w:t>
      </w: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r>
        <w:rPr>
          <w:rFonts w:hint="eastAsia"/>
          <w:color w:val="auto"/>
          <w:kern w:val="0"/>
          <w:szCs w:val="21"/>
          <w:highlight w:val="none"/>
        </w:rPr>
        <w:t>。</w:t>
      </w:r>
    </w:p>
    <w:p w14:paraId="7C90C835">
      <w:pPr>
        <w:spacing w:line="312" w:lineRule="auto"/>
        <w:ind w:firstLine="420" w:firstLineChars="200"/>
        <w:jc w:val="left"/>
        <w:rPr>
          <w:color w:val="auto"/>
          <w:kern w:val="0"/>
          <w:szCs w:val="21"/>
          <w:highlight w:val="none"/>
        </w:rPr>
      </w:pPr>
      <w:r>
        <w:rPr>
          <w:rFonts w:hint="eastAsia"/>
          <w:color w:val="auto"/>
          <w:kern w:val="0"/>
          <w:szCs w:val="21"/>
          <w:highlight w:val="none"/>
        </w:rPr>
        <w:t>（4）</w:t>
      </w:r>
      <w:r>
        <w:rPr>
          <w:color w:val="auto"/>
          <w:kern w:val="0"/>
          <w:szCs w:val="21"/>
          <w:highlight w:val="none"/>
        </w:rPr>
        <w:t>未被列入失信被执行人、重大税收违法失信主体、政府采购严重违法失信行为记录名单。</w:t>
      </w:r>
    </w:p>
    <w:p w14:paraId="595D9123">
      <w:pPr>
        <w:spacing w:line="312" w:lineRule="auto"/>
        <w:ind w:firstLine="420" w:firstLineChars="200"/>
        <w:jc w:val="left"/>
        <w:rPr>
          <w:color w:val="auto"/>
          <w:kern w:val="0"/>
          <w:szCs w:val="21"/>
          <w:highlight w:val="none"/>
        </w:rPr>
      </w:pPr>
      <w:r>
        <w:rPr>
          <w:rFonts w:hint="eastAsia"/>
          <w:color w:val="auto"/>
          <w:kern w:val="0"/>
          <w:szCs w:val="21"/>
          <w:highlight w:val="none"/>
        </w:rPr>
        <w:t>（5）本项目不允许分公司参与响应。</w:t>
      </w:r>
    </w:p>
    <w:p w14:paraId="7595DD87">
      <w:pPr>
        <w:spacing w:line="312" w:lineRule="auto"/>
        <w:ind w:firstLine="420" w:firstLineChars="200"/>
        <w:jc w:val="left"/>
        <w:rPr>
          <w:color w:val="auto"/>
          <w:kern w:val="0"/>
          <w:szCs w:val="21"/>
          <w:highlight w:val="none"/>
        </w:rPr>
      </w:pPr>
      <w:r>
        <w:rPr>
          <w:rFonts w:hint="eastAsia"/>
          <w:color w:val="auto"/>
          <w:kern w:val="0"/>
          <w:szCs w:val="21"/>
          <w:highlight w:val="none"/>
        </w:rPr>
        <w:t>（6）本项目不允许分包。</w:t>
      </w:r>
    </w:p>
    <w:p w14:paraId="116080E0">
      <w:pPr>
        <w:spacing w:line="312" w:lineRule="auto"/>
        <w:ind w:firstLine="420" w:firstLineChars="200"/>
        <w:jc w:val="left"/>
        <w:rPr>
          <w:color w:val="auto"/>
          <w:kern w:val="0"/>
          <w:szCs w:val="21"/>
          <w:highlight w:val="none"/>
        </w:rPr>
      </w:pPr>
      <w:r>
        <w:rPr>
          <w:rFonts w:hint="eastAsia"/>
          <w:color w:val="auto"/>
          <w:kern w:val="0"/>
          <w:szCs w:val="21"/>
          <w:highlight w:val="none"/>
        </w:rPr>
        <w:t>（7）</w:t>
      </w:r>
      <w:r>
        <w:rPr>
          <w:color w:val="auto"/>
          <w:kern w:val="0"/>
          <w:szCs w:val="21"/>
          <w:highlight w:val="none"/>
        </w:rPr>
        <w:t>按照</w:t>
      </w:r>
      <w:r>
        <w:rPr>
          <w:rFonts w:hint="eastAsia"/>
          <w:color w:val="auto"/>
          <w:highlight w:val="none"/>
        </w:rPr>
        <w:t>磋商</w:t>
      </w:r>
      <w:r>
        <w:rPr>
          <w:color w:val="auto"/>
          <w:kern w:val="0"/>
          <w:szCs w:val="21"/>
          <w:highlight w:val="none"/>
        </w:rPr>
        <w:t>公告的规定获得</w:t>
      </w:r>
      <w:r>
        <w:rPr>
          <w:rFonts w:hint="eastAsia"/>
          <w:color w:val="auto"/>
          <w:highlight w:val="none"/>
        </w:rPr>
        <w:t>采购文件</w:t>
      </w:r>
      <w:r>
        <w:rPr>
          <w:color w:val="auto"/>
          <w:kern w:val="0"/>
          <w:szCs w:val="21"/>
          <w:highlight w:val="none"/>
        </w:rPr>
        <w:t>。</w:t>
      </w:r>
      <w:r>
        <w:rPr>
          <w:rFonts w:hint="eastAsia"/>
          <w:color w:val="auto"/>
          <w:kern w:val="0"/>
          <w:szCs w:val="21"/>
          <w:highlight w:val="none"/>
        </w:rPr>
        <w:t>采购文件有规定时按要求提交磋商保证金。</w:t>
      </w:r>
    </w:p>
    <w:p w14:paraId="3E3CDC87">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三、获取采购文件</w:t>
      </w:r>
    </w:p>
    <w:p w14:paraId="40F7B71E">
      <w:pPr>
        <w:spacing w:line="312" w:lineRule="auto"/>
        <w:ind w:firstLine="420" w:firstLineChars="200"/>
        <w:jc w:val="left"/>
        <w:rPr>
          <w:color w:val="auto"/>
          <w:kern w:val="0"/>
          <w:szCs w:val="21"/>
          <w:highlight w:val="none"/>
        </w:rPr>
      </w:pPr>
      <w:r>
        <w:rPr>
          <w:rFonts w:hint="eastAsia"/>
          <w:color w:val="auto"/>
          <w:kern w:val="0"/>
          <w:szCs w:val="21"/>
          <w:highlight w:val="none"/>
        </w:rPr>
        <w:t>时间：2026年</w:t>
      </w:r>
      <w:r>
        <w:rPr>
          <w:rFonts w:hint="eastAsia"/>
          <w:color w:val="auto"/>
          <w:kern w:val="0"/>
          <w:szCs w:val="21"/>
          <w:highlight w:val="none"/>
          <w:lang w:val="en-US" w:eastAsia="zh-CN"/>
        </w:rPr>
        <w:t>6</w:t>
      </w:r>
      <w:r>
        <w:rPr>
          <w:rFonts w:hint="eastAsia"/>
          <w:color w:val="auto"/>
          <w:kern w:val="0"/>
          <w:szCs w:val="21"/>
          <w:highlight w:val="none"/>
        </w:rPr>
        <w:t>月</w:t>
      </w:r>
      <w:r>
        <w:rPr>
          <w:rFonts w:hint="eastAsia"/>
          <w:color w:val="auto"/>
          <w:kern w:val="0"/>
          <w:szCs w:val="21"/>
          <w:highlight w:val="none"/>
          <w:lang w:val="en-US" w:eastAsia="zh-CN"/>
        </w:rPr>
        <w:t>30</w:t>
      </w:r>
      <w:r>
        <w:rPr>
          <w:rFonts w:hint="eastAsia"/>
          <w:color w:val="auto"/>
          <w:kern w:val="0"/>
          <w:szCs w:val="21"/>
          <w:highlight w:val="none"/>
        </w:rPr>
        <w:t>日起至2026年</w:t>
      </w:r>
      <w:r>
        <w:rPr>
          <w:rFonts w:hint="eastAsia"/>
          <w:color w:val="auto"/>
          <w:kern w:val="0"/>
          <w:szCs w:val="21"/>
          <w:highlight w:val="none"/>
          <w:lang w:val="en-US" w:eastAsia="zh-CN"/>
        </w:rPr>
        <w:t>7</w:t>
      </w:r>
      <w:r>
        <w:rPr>
          <w:rFonts w:hint="eastAsia"/>
          <w:color w:val="auto"/>
          <w:kern w:val="0"/>
          <w:szCs w:val="21"/>
          <w:highlight w:val="none"/>
        </w:rPr>
        <w:t>月</w:t>
      </w:r>
      <w:r>
        <w:rPr>
          <w:rFonts w:hint="eastAsia"/>
          <w:color w:val="auto"/>
          <w:kern w:val="0"/>
          <w:szCs w:val="21"/>
          <w:highlight w:val="none"/>
          <w:lang w:val="en-US" w:eastAsia="zh-CN"/>
        </w:rPr>
        <w:t>7</w:t>
      </w:r>
      <w:r>
        <w:rPr>
          <w:rFonts w:hint="eastAsia"/>
          <w:color w:val="auto"/>
          <w:kern w:val="0"/>
          <w:szCs w:val="21"/>
          <w:highlight w:val="none"/>
        </w:rPr>
        <w:t>日，</w:t>
      </w:r>
      <w:r>
        <w:rPr>
          <w:rFonts w:hint="eastAsia"/>
          <w:color w:val="auto"/>
          <w:highlight w:val="none"/>
        </w:rPr>
        <w:t>每天00时00分至12时00分，12时00分至23时59分（北京时间，法定节假日除外）。</w:t>
      </w:r>
    </w:p>
    <w:p w14:paraId="5070C37D">
      <w:pPr>
        <w:spacing w:line="312" w:lineRule="auto"/>
        <w:ind w:firstLine="420" w:firstLineChars="200"/>
        <w:jc w:val="left"/>
        <w:rPr>
          <w:color w:val="auto"/>
          <w:kern w:val="0"/>
          <w:szCs w:val="21"/>
          <w:highlight w:val="none"/>
        </w:rPr>
      </w:pPr>
      <w:bookmarkStart w:id="9" w:name="_Hlk46137393"/>
      <w:r>
        <w:rPr>
          <w:rFonts w:hint="eastAsia"/>
          <w:color w:val="auto"/>
          <w:kern w:val="0"/>
          <w:szCs w:val="21"/>
          <w:highlight w:val="none"/>
        </w:rPr>
        <w:t>地点（网址）：</w:t>
      </w:r>
      <w:bookmarkEnd w:id="9"/>
      <w:r>
        <w:rPr>
          <w:rFonts w:hint="eastAsia"/>
          <w:color w:val="auto"/>
          <w:kern w:val="0"/>
          <w:szCs w:val="21"/>
          <w:highlight w:val="none"/>
        </w:rPr>
        <w:t>广西政府采购云平台（https://www.gcy.zfcg.gxzf.gov.cn/）</w:t>
      </w:r>
    </w:p>
    <w:p w14:paraId="110863EF">
      <w:pPr>
        <w:spacing w:line="312" w:lineRule="auto"/>
        <w:ind w:firstLine="420" w:firstLineChars="200"/>
        <w:jc w:val="left"/>
        <w:rPr>
          <w:color w:val="auto"/>
          <w:kern w:val="0"/>
          <w:szCs w:val="21"/>
          <w:highlight w:val="none"/>
        </w:rPr>
      </w:pPr>
      <w:r>
        <w:rPr>
          <w:rFonts w:hint="eastAsia"/>
          <w:color w:val="auto"/>
          <w:kern w:val="0"/>
          <w:szCs w:val="21"/>
          <w:highlight w:val="none"/>
        </w:rPr>
        <w:t>方式：供应商登录广西政府采购云平台在线申请获取采购文件（进入“项目采购”应用，在获取采购文件菜单中选择项目，申请获取采购文件）</w:t>
      </w:r>
    </w:p>
    <w:p w14:paraId="09EE9348">
      <w:pPr>
        <w:spacing w:line="312" w:lineRule="auto"/>
        <w:ind w:firstLine="420" w:firstLineChars="200"/>
        <w:jc w:val="left"/>
        <w:rPr>
          <w:color w:val="auto"/>
          <w:kern w:val="0"/>
          <w:szCs w:val="21"/>
          <w:highlight w:val="none"/>
        </w:rPr>
      </w:pPr>
      <w:r>
        <w:rPr>
          <w:rFonts w:hint="eastAsia"/>
          <w:color w:val="auto"/>
          <w:kern w:val="0"/>
          <w:szCs w:val="21"/>
          <w:highlight w:val="none"/>
        </w:rPr>
        <w:t>售价（元）：0</w:t>
      </w:r>
    </w:p>
    <w:p w14:paraId="2094E143">
      <w:pPr>
        <w:spacing w:line="312" w:lineRule="auto"/>
        <w:ind w:firstLine="420" w:firstLineChars="200"/>
        <w:jc w:val="left"/>
        <w:rPr>
          <w:color w:val="auto"/>
          <w:kern w:val="0"/>
          <w:szCs w:val="21"/>
          <w:highlight w:val="none"/>
        </w:rPr>
      </w:pPr>
      <w:r>
        <w:rPr>
          <w:rFonts w:hint="eastAsia"/>
          <w:color w:val="auto"/>
          <w:kern w:val="0"/>
          <w:szCs w:val="21"/>
          <w:highlight w:val="none"/>
        </w:rPr>
        <w:t>四、响应文件提交</w:t>
      </w:r>
    </w:p>
    <w:p w14:paraId="0A929259">
      <w:pPr>
        <w:spacing w:line="312" w:lineRule="auto"/>
        <w:ind w:firstLine="420" w:firstLineChars="200"/>
        <w:jc w:val="left"/>
        <w:rPr>
          <w:color w:val="auto"/>
          <w:kern w:val="0"/>
          <w:szCs w:val="21"/>
          <w:highlight w:val="none"/>
        </w:rPr>
      </w:pPr>
      <w:r>
        <w:rPr>
          <w:rFonts w:hint="eastAsia"/>
          <w:color w:val="auto"/>
          <w:kern w:val="0"/>
          <w:szCs w:val="21"/>
          <w:highlight w:val="none"/>
        </w:rPr>
        <w:t>截止时间：2026年</w:t>
      </w:r>
      <w:r>
        <w:rPr>
          <w:rFonts w:hint="eastAsia"/>
          <w:color w:val="auto"/>
          <w:kern w:val="0"/>
          <w:szCs w:val="21"/>
          <w:highlight w:val="none"/>
          <w:lang w:val="en-US" w:eastAsia="zh-CN"/>
        </w:rPr>
        <w:t>7</w:t>
      </w:r>
      <w:r>
        <w:rPr>
          <w:rFonts w:hint="eastAsia"/>
          <w:color w:val="auto"/>
          <w:kern w:val="0"/>
          <w:szCs w:val="21"/>
          <w:highlight w:val="none"/>
        </w:rPr>
        <w:t>月</w:t>
      </w:r>
      <w:r>
        <w:rPr>
          <w:rFonts w:hint="eastAsia"/>
          <w:color w:val="auto"/>
          <w:kern w:val="0"/>
          <w:szCs w:val="21"/>
          <w:highlight w:val="none"/>
          <w:lang w:val="en-US" w:eastAsia="zh-CN"/>
        </w:rPr>
        <w:t>13</w:t>
      </w:r>
      <w:r>
        <w:rPr>
          <w:rFonts w:hint="eastAsia"/>
          <w:color w:val="auto"/>
          <w:kern w:val="0"/>
          <w:szCs w:val="21"/>
          <w:highlight w:val="none"/>
        </w:rPr>
        <w:t>日</w:t>
      </w:r>
      <w:r>
        <w:rPr>
          <w:rFonts w:hint="eastAsia"/>
          <w:color w:val="auto"/>
          <w:szCs w:val="21"/>
          <w:highlight w:val="none"/>
        </w:rPr>
        <w:t>09:30</w:t>
      </w:r>
      <w:r>
        <w:rPr>
          <w:rFonts w:hint="eastAsia"/>
          <w:color w:val="auto"/>
          <w:kern w:val="0"/>
          <w:szCs w:val="21"/>
          <w:highlight w:val="none"/>
        </w:rPr>
        <w:t>（北京时间）</w:t>
      </w:r>
    </w:p>
    <w:p w14:paraId="34050CFE">
      <w:pPr>
        <w:spacing w:line="312" w:lineRule="auto"/>
        <w:ind w:firstLine="420" w:firstLineChars="200"/>
        <w:jc w:val="left"/>
        <w:rPr>
          <w:color w:val="auto"/>
          <w:kern w:val="0"/>
          <w:szCs w:val="21"/>
          <w:highlight w:val="none"/>
        </w:rPr>
      </w:pPr>
      <w:r>
        <w:rPr>
          <w:rFonts w:hint="eastAsia"/>
          <w:color w:val="auto"/>
          <w:kern w:val="0"/>
          <w:szCs w:val="21"/>
          <w:highlight w:val="none"/>
        </w:rPr>
        <w:t>地点（网址）：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40D029A4">
      <w:pPr>
        <w:spacing w:line="312" w:lineRule="auto"/>
        <w:ind w:firstLine="420" w:firstLineChars="200"/>
        <w:jc w:val="left"/>
        <w:rPr>
          <w:color w:val="auto"/>
          <w:kern w:val="0"/>
          <w:szCs w:val="21"/>
          <w:highlight w:val="none"/>
        </w:rPr>
      </w:pPr>
      <w:r>
        <w:rPr>
          <w:rFonts w:hint="eastAsia"/>
          <w:color w:val="auto"/>
          <w:kern w:val="0"/>
          <w:szCs w:val="21"/>
          <w:highlight w:val="none"/>
        </w:rPr>
        <w:t>五、开启</w:t>
      </w:r>
    </w:p>
    <w:p w14:paraId="5F784152">
      <w:pPr>
        <w:spacing w:line="312" w:lineRule="auto"/>
        <w:ind w:firstLine="420" w:firstLineChars="200"/>
        <w:jc w:val="left"/>
        <w:rPr>
          <w:color w:val="auto"/>
          <w:kern w:val="0"/>
          <w:szCs w:val="21"/>
          <w:highlight w:val="none"/>
        </w:rPr>
      </w:pPr>
      <w:r>
        <w:rPr>
          <w:rFonts w:hint="eastAsia"/>
          <w:color w:val="auto"/>
          <w:kern w:val="0"/>
          <w:szCs w:val="21"/>
          <w:highlight w:val="none"/>
        </w:rPr>
        <w:t>开启时间：2026年</w:t>
      </w:r>
      <w:r>
        <w:rPr>
          <w:rFonts w:hint="eastAsia"/>
          <w:color w:val="auto"/>
          <w:kern w:val="0"/>
          <w:szCs w:val="21"/>
          <w:highlight w:val="none"/>
          <w:lang w:val="en-US" w:eastAsia="zh-CN"/>
        </w:rPr>
        <w:t>7</w:t>
      </w:r>
      <w:r>
        <w:rPr>
          <w:rFonts w:hint="eastAsia"/>
          <w:color w:val="auto"/>
          <w:kern w:val="0"/>
          <w:szCs w:val="21"/>
          <w:highlight w:val="none"/>
        </w:rPr>
        <w:t>月</w:t>
      </w:r>
      <w:r>
        <w:rPr>
          <w:rFonts w:hint="eastAsia"/>
          <w:color w:val="auto"/>
          <w:kern w:val="0"/>
          <w:szCs w:val="21"/>
          <w:highlight w:val="none"/>
          <w:lang w:val="en-US" w:eastAsia="zh-CN"/>
        </w:rPr>
        <w:t>13</w:t>
      </w:r>
      <w:r>
        <w:rPr>
          <w:rFonts w:hint="eastAsia"/>
          <w:color w:val="auto"/>
          <w:kern w:val="0"/>
          <w:szCs w:val="21"/>
          <w:highlight w:val="none"/>
        </w:rPr>
        <w:t>日</w:t>
      </w:r>
      <w:r>
        <w:rPr>
          <w:rFonts w:hint="eastAsia"/>
          <w:color w:val="auto"/>
          <w:szCs w:val="21"/>
          <w:highlight w:val="none"/>
        </w:rPr>
        <w:t>09:30</w:t>
      </w:r>
      <w:r>
        <w:rPr>
          <w:rFonts w:hint="eastAsia"/>
          <w:color w:val="auto"/>
          <w:kern w:val="0"/>
          <w:szCs w:val="21"/>
          <w:highlight w:val="none"/>
        </w:rPr>
        <w:t>（北京时间）</w:t>
      </w:r>
    </w:p>
    <w:p w14:paraId="2D3CD431">
      <w:pPr>
        <w:spacing w:line="312" w:lineRule="auto"/>
        <w:ind w:firstLine="420" w:firstLineChars="200"/>
        <w:jc w:val="left"/>
        <w:rPr>
          <w:color w:val="auto"/>
          <w:kern w:val="0"/>
          <w:szCs w:val="21"/>
          <w:highlight w:val="none"/>
        </w:rPr>
      </w:pPr>
      <w:r>
        <w:rPr>
          <w:rFonts w:hint="eastAsia"/>
          <w:color w:val="auto"/>
          <w:kern w:val="0"/>
          <w:szCs w:val="21"/>
          <w:highlight w:val="none"/>
        </w:rPr>
        <w:t>地点：供应商登录广西政府采购云平台电子开标大厅截标。</w:t>
      </w:r>
    </w:p>
    <w:p w14:paraId="11A5351E">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六、公告期限</w:t>
      </w:r>
    </w:p>
    <w:p w14:paraId="09F38729">
      <w:pPr>
        <w:spacing w:line="312" w:lineRule="auto"/>
        <w:ind w:firstLine="420" w:firstLineChars="200"/>
        <w:jc w:val="left"/>
        <w:rPr>
          <w:color w:val="auto"/>
          <w:kern w:val="0"/>
          <w:szCs w:val="21"/>
          <w:highlight w:val="none"/>
        </w:rPr>
      </w:pPr>
      <w:r>
        <w:rPr>
          <w:rFonts w:hint="eastAsia"/>
          <w:color w:val="auto"/>
          <w:kern w:val="0"/>
          <w:szCs w:val="21"/>
          <w:highlight w:val="none"/>
        </w:rPr>
        <w:t>自本公告发布之日起5个工作日。</w:t>
      </w:r>
    </w:p>
    <w:p w14:paraId="5E94D967">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七、其他补充事宜</w:t>
      </w:r>
    </w:p>
    <w:p w14:paraId="0F653663">
      <w:pPr>
        <w:spacing w:line="312" w:lineRule="auto"/>
        <w:ind w:firstLine="420" w:firstLineChars="200"/>
        <w:jc w:val="left"/>
        <w:rPr>
          <w:color w:val="auto"/>
          <w:kern w:val="0"/>
          <w:szCs w:val="21"/>
          <w:highlight w:val="none"/>
        </w:rPr>
      </w:pPr>
      <w:r>
        <w:rPr>
          <w:rFonts w:hint="eastAsia"/>
          <w:color w:val="auto"/>
          <w:kern w:val="0"/>
          <w:szCs w:val="21"/>
          <w:highlight w:val="none"/>
        </w:rPr>
        <w:t>1</w:t>
      </w:r>
      <w:r>
        <w:rPr>
          <w:color w:val="auto"/>
          <w:kern w:val="0"/>
          <w:szCs w:val="21"/>
          <w:highlight w:val="none"/>
        </w:rPr>
        <w:t>.</w:t>
      </w:r>
      <w:r>
        <w:rPr>
          <w:rFonts w:hint="eastAsia"/>
          <w:color w:val="auto"/>
          <w:kern w:val="0"/>
          <w:szCs w:val="21"/>
          <w:highlight w:val="none"/>
        </w:rPr>
        <w:t>公告发布媒体：广西壮族自治区政府采购网、中国政府采购网</w:t>
      </w:r>
    </w:p>
    <w:p w14:paraId="38E43202">
      <w:pPr>
        <w:spacing w:line="312" w:lineRule="auto"/>
        <w:ind w:firstLine="420" w:firstLineChars="200"/>
        <w:jc w:val="left"/>
        <w:rPr>
          <w:color w:val="auto"/>
          <w:kern w:val="0"/>
          <w:szCs w:val="21"/>
          <w:highlight w:val="none"/>
        </w:rPr>
      </w:pPr>
      <w:r>
        <w:rPr>
          <w:rFonts w:hint="eastAsia"/>
          <w:color w:val="auto"/>
          <w:kern w:val="0"/>
          <w:szCs w:val="21"/>
          <w:highlight w:val="none"/>
        </w:rPr>
        <w:t>2.需落实的政府采购政策：政府采购促进中小企业、监狱企业发展、促进残疾人就业、节能环保、对本国产品的支持等有关政策，具体详见采购文件。</w:t>
      </w:r>
    </w:p>
    <w:p w14:paraId="255F397D">
      <w:pPr>
        <w:spacing w:line="312" w:lineRule="auto"/>
        <w:ind w:firstLine="420" w:firstLineChars="200"/>
        <w:jc w:val="left"/>
        <w:rPr>
          <w:color w:val="auto"/>
          <w:highlight w:val="none"/>
        </w:rPr>
      </w:pPr>
      <w:r>
        <w:rPr>
          <w:color w:val="auto"/>
          <w:kern w:val="0"/>
          <w:szCs w:val="21"/>
          <w:highlight w:val="none"/>
        </w:rPr>
        <w:t>3</w:t>
      </w:r>
      <w:r>
        <w:rPr>
          <w:rFonts w:hint="eastAsia"/>
          <w:color w:val="auto"/>
          <w:kern w:val="0"/>
          <w:szCs w:val="21"/>
          <w:highlight w:val="none"/>
        </w:rPr>
        <w:t>.本项目供应商的产生方式：</w:t>
      </w:r>
      <w:r>
        <w:rPr>
          <w:color w:val="auto"/>
          <w:highlight w:val="none"/>
        </w:rPr>
        <w:t>发布</w:t>
      </w:r>
      <w:r>
        <w:rPr>
          <w:rFonts w:hint="eastAsia"/>
          <w:color w:val="auto"/>
          <w:highlight w:val="none"/>
        </w:rPr>
        <w:t>公告征集。</w:t>
      </w:r>
    </w:p>
    <w:p w14:paraId="512D442E">
      <w:pPr>
        <w:spacing w:line="312" w:lineRule="auto"/>
        <w:ind w:firstLine="420" w:firstLineChars="200"/>
        <w:jc w:val="left"/>
        <w:rPr>
          <w:color w:val="auto"/>
          <w:kern w:val="0"/>
          <w:szCs w:val="21"/>
          <w:highlight w:val="none"/>
        </w:rPr>
      </w:pPr>
      <w:r>
        <w:rPr>
          <w:color w:val="auto"/>
          <w:kern w:val="0"/>
          <w:szCs w:val="21"/>
          <w:highlight w:val="none"/>
        </w:rPr>
        <w:t>4</w:t>
      </w:r>
      <w:r>
        <w:rPr>
          <w:rFonts w:hint="eastAsia"/>
          <w:color w:val="auto"/>
          <w:kern w:val="0"/>
          <w:szCs w:val="21"/>
          <w:highlight w:val="none"/>
        </w:rPr>
        <w:t>.注意事项：</w:t>
      </w:r>
    </w:p>
    <w:p w14:paraId="509D7566">
      <w:pPr>
        <w:spacing w:line="276" w:lineRule="auto"/>
        <w:ind w:firstLine="420" w:firstLineChars="200"/>
        <w:rPr>
          <w:color w:val="auto"/>
          <w:szCs w:val="21"/>
          <w:highlight w:val="none"/>
        </w:rPr>
      </w:pPr>
      <w:r>
        <w:rPr>
          <w:rFonts w:hint="eastAsia"/>
          <w:color w:val="auto"/>
          <w:kern w:val="0"/>
          <w:szCs w:val="21"/>
          <w:highlight w:val="none"/>
        </w:rPr>
        <w:t>（1）</w:t>
      </w:r>
      <w:r>
        <w:rPr>
          <w:rFonts w:hint="eastAsia"/>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43AD97FB">
      <w:pPr>
        <w:spacing w:line="276" w:lineRule="auto"/>
        <w:ind w:firstLine="420" w:firstLineChars="200"/>
        <w:rPr>
          <w:color w:val="auto"/>
          <w:kern w:val="0"/>
          <w:szCs w:val="21"/>
          <w:highlight w:val="none"/>
        </w:rPr>
      </w:pPr>
      <w:r>
        <w:rPr>
          <w:rFonts w:hint="eastAsia"/>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75AC4E6C">
      <w:pPr>
        <w:spacing w:line="276"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）若对项目采购电子交易系统操作有疑问，可登录广西政府采购云平台（https://www.gcy.zfcg.gxzf.gov.cn/），点击右侧咨询小采或帮助文档或拨打客服热线95763</w:t>
      </w:r>
    </w:p>
    <w:p w14:paraId="6E49880F">
      <w:pPr>
        <w:spacing w:line="276" w:lineRule="auto"/>
        <w:ind w:firstLine="420" w:firstLineChars="200"/>
        <w:rPr>
          <w:rFonts w:hint="eastAsia" w:ascii="宋体" w:hAnsi="宋体" w:cs="宋体"/>
          <w:color w:val="auto"/>
          <w:kern w:val="0"/>
          <w:szCs w:val="21"/>
          <w:highlight w:val="none"/>
        </w:rPr>
      </w:pPr>
    </w:p>
    <w:p w14:paraId="15F586FC">
      <w:pPr>
        <w:spacing w:line="276" w:lineRule="auto"/>
        <w:ind w:firstLine="442" w:firstLineChars="200"/>
        <w:rPr>
          <w:b/>
          <w:bCs/>
          <w:color w:val="auto"/>
          <w:kern w:val="0"/>
          <w:sz w:val="22"/>
          <w:szCs w:val="22"/>
          <w:highlight w:val="none"/>
        </w:rPr>
      </w:pPr>
      <w:r>
        <w:rPr>
          <w:rFonts w:hint="eastAsia"/>
          <w:b/>
          <w:bCs/>
          <w:color w:val="auto"/>
          <w:kern w:val="0"/>
          <w:sz w:val="22"/>
          <w:szCs w:val="22"/>
          <w:highlight w:val="none"/>
        </w:rPr>
        <w:t>八、对本次采购提出询问，请按以下方式联系</w:t>
      </w:r>
    </w:p>
    <w:p w14:paraId="07483BCE">
      <w:pPr>
        <w:spacing w:line="312" w:lineRule="auto"/>
        <w:ind w:firstLine="420" w:firstLineChars="200"/>
        <w:jc w:val="left"/>
        <w:rPr>
          <w:color w:val="auto"/>
          <w:kern w:val="0"/>
          <w:szCs w:val="21"/>
          <w:highlight w:val="none"/>
        </w:rPr>
      </w:pPr>
      <w:r>
        <w:rPr>
          <w:rFonts w:hint="eastAsia"/>
          <w:color w:val="auto"/>
          <w:kern w:val="0"/>
          <w:szCs w:val="21"/>
          <w:highlight w:val="none"/>
        </w:rPr>
        <w:t>1.采购人信息</w:t>
      </w:r>
    </w:p>
    <w:p w14:paraId="792B0189">
      <w:pPr>
        <w:spacing w:line="312" w:lineRule="auto"/>
        <w:ind w:firstLine="420" w:firstLineChars="200"/>
        <w:jc w:val="left"/>
        <w:rPr>
          <w:color w:val="auto"/>
          <w:kern w:val="0"/>
          <w:szCs w:val="21"/>
          <w:highlight w:val="none"/>
        </w:rPr>
      </w:pPr>
      <w:bookmarkStart w:id="10" w:name="_Hlk19048373"/>
      <w:r>
        <w:rPr>
          <w:rFonts w:hint="eastAsia"/>
          <w:color w:val="auto"/>
          <w:kern w:val="0"/>
          <w:szCs w:val="21"/>
          <w:highlight w:val="none"/>
        </w:rPr>
        <w:t>名 称：广西壮族自治区药品监督管理局</w:t>
      </w:r>
    </w:p>
    <w:p w14:paraId="01E6CB5A">
      <w:pPr>
        <w:spacing w:line="312" w:lineRule="auto"/>
        <w:ind w:firstLine="420" w:firstLineChars="200"/>
        <w:jc w:val="left"/>
        <w:rPr>
          <w:color w:val="auto"/>
          <w:kern w:val="0"/>
          <w:szCs w:val="21"/>
          <w:highlight w:val="none"/>
        </w:rPr>
      </w:pPr>
      <w:r>
        <w:rPr>
          <w:rFonts w:hint="eastAsia"/>
          <w:color w:val="auto"/>
          <w:kern w:val="0"/>
          <w:szCs w:val="21"/>
          <w:highlight w:val="none"/>
        </w:rPr>
        <w:t>地址：广西南宁市云景路32号</w:t>
      </w:r>
    </w:p>
    <w:p w14:paraId="0E13E270">
      <w:pPr>
        <w:spacing w:line="312" w:lineRule="auto"/>
        <w:ind w:firstLine="420" w:firstLineChars="200"/>
        <w:jc w:val="left"/>
        <w:rPr>
          <w:color w:val="auto"/>
          <w:kern w:val="0"/>
          <w:szCs w:val="21"/>
          <w:highlight w:val="none"/>
        </w:rPr>
      </w:pPr>
      <w:r>
        <w:rPr>
          <w:rFonts w:hint="eastAsia"/>
          <w:color w:val="auto"/>
          <w:kern w:val="0"/>
          <w:szCs w:val="21"/>
          <w:highlight w:val="none"/>
        </w:rPr>
        <w:t>项目联系人：陈老师</w:t>
      </w:r>
    </w:p>
    <w:p w14:paraId="524D0751">
      <w:pPr>
        <w:spacing w:line="312" w:lineRule="auto"/>
        <w:ind w:firstLine="420" w:firstLineChars="200"/>
        <w:jc w:val="left"/>
        <w:rPr>
          <w:color w:val="auto"/>
          <w:kern w:val="0"/>
          <w:szCs w:val="21"/>
          <w:highlight w:val="none"/>
        </w:rPr>
      </w:pPr>
      <w:r>
        <w:rPr>
          <w:rFonts w:hint="eastAsia"/>
          <w:color w:val="auto"/>
          <w:kern w:val="0"/>
          <w:szCs w:val="21"/>
          <w:highlight w:val="none"/>
        </w:rPr>
        <w:t>项目联系方式：0771-5852356</w:t>
      </w:r>
    </w:p>
    <w:p w14:paraId="2E209803">
      <w:pPr>
        <w:spacing w:line="312" w:lineRule="auto"/>
        <w:ind w:firstLine="420" w:firstLineChars="200"/>
        <w:jc w:val="left"/>
        <w:rPr>
          <w:color w:val="auto"/>
          <w:kern w:val="0"/>
          <w:szCs w:val="21"/>
          <w:highlight w:val="none"/>
        </w:rPr>
      </w:pPr>
      <w:r>
        <w:rPr>
          <w:rFonts w:hint="eastAsia"/>
          <w:color w:val="auto"/>
          <w:kern w:val="0"/>
          <w:szCs w:val="21"/>
          <w:highlight w:val="none"/>
        </w:rPr>
        <w:t>2.采购代理机构信息</w:t>
      </w:r>
    </w:p>
    <w:p w14:paraId="33747D4A">
      <w:pPr>
        <w:spacing w:line="312" w:lineRule="auto"/>
        <w:ind w:firstLine="420" w:firstLineChars="200"/>
        <w:jc w:val="left"/>
        <w:rPr>
          <w:color w:val="auto"/>
          <w:kern w:val="0"/>
          <w:szCs w:val="21"/>
          <w:highlight w:val="none"/>
        </w:rPr>
      </w:pPr>
      <w:r>
        <w:rPr>
          <w:rFonts w:hint="eastAsia"/>
          <w:color w:val="auto"/>
          <w:kern w:val="0"/>
          <w:szCs w:val="21"/>
          <w:highlight w:val="none"/>
        </w:rPr>
        <w:t>名称</w:t>
      </w:r>
      <w:r>
        <w:rPr>
          <w:color w:val="auto"/>
          <w:kern w:val="0"/>
          <w:szCs w:val="21"/>
          <w:highlight w:val="none"/>
        </w:rPr>
        <w:t>：广西机电设备招标有限公司</w:t>
      </w:r>
    </w:p>
    <w:p w14:paraId="16F73D54">
      <w:pPr>
        <w:spacing w:line="312" w:lineRule="auto"/>
        <w:ind w:firstLine="420" w:firstLineChars="200"/>
        <w:jc w:val="left"/>
        <w:rPr>
          <w:color w:val="auto"/>
          <w:kern w:val="0"/>
          <w:szCs w:val="21"/>
          <w:highlight w:val="none"/>
        </w:rPr>
      </w:pPr>
      <w:r>
        <w:rPr>
          <w:color w:val="auto"/>
          <w:kern w:val="0"/>
          <w:szCs w:val="21"/>
          <w:highlight w:val="none"/>
        </w:rPr>
        <w:t>地址：</w:t>
      </w:r>
      <w:bookmarkStart w:id="11" w:name="_Hlk43198245"/>
      <w:r>
        <w:rPr>
          <w:color w:val="auto"/>
          <w:highlight w:val="none"/>
        </w:rPr>
        <w:t>广西南宁市金湖路63号金源CBD现代城B座7层</w:t>
      </w:r>
      <w:bookmarkEnd w:id="11"/>
    </w:p>
    <w:bookmarkEnd w:id="10"/>
    <w:p w14:paraId="25F870E5">
      <w:pPr>
        <w:spacing w:line="312" w:lineRule="auto"/>
        <w:ind w:firstLine="420" w:firstLineChars="200"/>
        <w:jc w:val="left"/>
        <w:rPr>
          <w:color w:val="auto"/>
          <w:highlight w:val="none"/>
        </w:rPr>
      </w:pPr>
      <w:r>
        <w:rPr>
          <w:rFonts w:hint="eastAsia"/>
          <w:color w:val="auto"/>
          <w:kern w:val="0"/>
          <w:szCs w:val="21"/>
          <w:highlight w:val="none"/>
        </w:rPr>
        <w:t>项目联系人：梅莹、</w:t>
      </w:r>
      <w:r>
        <w:rPr>
          <w:rFonts w:hint="eastAsia"/>
          <w:color w:val="auto"/>
          <w:highlight w:val="none"/>
        </w:rPr>
        <w:t>梁艳冰、彭瑶</w:t>
      </w:r>
    </w:p>
    <w:p w14:paraId="470FCF91">
      <w:pPr>
        <w:spacing w:line="312" w:lineRule="auto"/>
        <w:ind w:right="420" w:firstLine="420" w:firstLineChars="200"/>
        <w:rPr>
          <w:color w:val="auto"/>
          <w:kern w:val="0"/>
          <w:szCs w:val="21"/>
          <w:highlight w:val="none"/>
        </w:rPr>
      </w:pPr>
      <w:r>
        <w:rPr>
          <w:rFonts w:hint="eastAsia"/>
          <w:color w:val="auto"/>
          <w:kern w:val="0"/>
          <w:szCs w:val="21"/>
          <w:highlight w:val="none"/>
        </w:rPr>
        <w:t>项目联系方式：</w:t>
      </w:r>
      <w:r>
        <w:rPr>
          <w:rFonts w:hint="eastAsia"/>
          <w:color w:val="auto"/>
          <w:highlight w:val="none"/>
        </w:rPr>
        <w:t>0771-2808981</w:t>
      </w:r>
      <w:r>
        <w:rPr>
          <w:color w:val="auto"/>
          <w:kern w:val="0"/>
          <w:szCs w:val="21"/>
          <w:highlight w:val="none"/>
        </w:rPr>
        <w:t xml:space="preserve"> </w:t>
      </w:r>
    </w:p>
    <w:p w14:paraId="449AC75D">
      <w:pPr>
        <w:spacing w:line="312" w:lineRule="auto"/>
        <w:ind w:firstLine="420" w:firstLineChars="200"/>
        <w:jc w:val="right"/>
        <w:rPr>
          <w:color w:val="auto"/>
          <w:kern w:val="0"/>
          <w:szCs w:val="21"/>
          <w:highlight w:val="none"/>
        </w:rPr>
      </w:pPr>
    </w:p>
    <w:p w14:paraId="00DF24E3">
      <w:pPr>
        <w:spacing w:line="312" w:lineRule="auto"/>
        <w:ind w:firstLine="420" w:firstLineChars="200"/>
        <w:jc w:val="right"/>
        <w:rPr>
          <w:color w:val="auto"/>
          <w:kern w:val="0"/>
          <w:szCs w:val="21"/>
          <w:highlight w:val="none"/>
        </w:rPr>
      </w:pPr>
    </w:p>
    <w:p w14:paraId="0B96D3BD">
      <w:pPr>
        <w:spacing w:line="312" w:lineRule="auto"/>
        <w:ind w:firstLine="420" w:firstLineChars="200"/>
        <w:jc w:val="right"/>
        <w:rPr>
          <w:color w:val="auto"/>
          <w:kern w:val="0"/>
          <w:szCs w:val="21"/>
          <w:highlight w:val="none"/>
        </w:rPr>
      </w:pPr>
    </w:p>
    <w:p w14:paraId="3445A0C6">
      <w:pPr>
        <w:spacing w:line="312" w:lineRule="auto"/>
        <w:ind w:firstLine="420" w:firstLineChars="200"/>
        <w:jc w:val="right"/>
        <w:rPr>
          <w:color w:val="auto"/>
          <w:kern w:val="0"/>
          <w:szCs w:val="21"/>
          <w:highlight w:val="none"/>
        </w:rPr>
      </w:pPr>
      <w:r>
        <w:rPr>
          <w:color w:val="auto"/>
          <w:kern w:val="0"/>
          <w:szCs w:val="21"/>
          <w:highlight w:val="none"/>
        </w:rPr>
        <w:t>广西机电设备招标有限公司</w:t>
      </w:r>
    </w:p>
    <w:p w14:paraId="6E35AA39">
      <w:pPr>
        <w:spacing w:line="312" w:lineRule="auto"/>
        <w:ind w:firstLine="420" w:firstLineChars="200"/>
        <w:jc w:val="right"/>
        <w:rPr>
          <w:color w:val="auto"/>
          <w:kern w:val="0"/>
          <w:szCs w:val="21"/>
          <w:highlight w:val="none"/>
        </w:rPr>
      </w:pPr>
      <w:r>
        <w:rPr>
          <w:color w:val="auto"/>
          <w:kern w:val="0"/>
          <w:szCs w:val="21"/>
          <w:highlight w:val="none"/>
        </w:rPr>
        <w:t>20</w:t>
      </w:r>
      <w:r>
        <w:rPr>
          <w:rFonts w:hint="eastAsia"/>
          <w:color w:val="auto"/>
          <w:kern w:val="0"/>
          <w:szCs w:val="21"/>
          <w:highlight w:val="none"/>
        </w:rPr>
        <w:t>26</w:t>
      </w:r>
      <w:r>
        <w:rPr>
          <w:color w:val="auto"/>
          <w:kern w:val="0"/>
          <w:szCs w:val="21"/>
          <w:highlight w:val="none"/>
        </w:rPr>
        <w:t>年</w:t>
      </w:r>
      <w:r>
        <w:rPr>
          <w:rFonts w:hint="eastAsia"/>
          <w:color w:val="auto"/>
          <w:kern w:val="0"/>
          <w:szCs w:val="21"/>
          <w:highlight w:val="none"/>
          <w:lang w:val="en-US" w:eastAsia="zh-CN"/>
        </w:rPr>
        <w:t>6</w:t>
      </w:r>
      <w:r>
        <w:rPr>
          <w:rFonts w:hint="eastAsia"/>
          <w:color w:val="auto"/>
          <w:kern w:val="0"/>
          <w:szCs w:val="21"/>
          <w:highlight w:val="none"/>
        </w:rPr>
        <w:t>月</w:t>
      </w:r>
      <w:r>
        <w:rPr>
          <w:rFonts w:hint="eastAsia"/>
          <w:color w:val="auto"/>
          <w:kern w:val="0"/>
          <w:szCs w:val="21"/>
          <w:highlight w:val="none"/>
          <w:lang w:val="en-US" w:eastAsia="zh-CN"/>
        </w:rPr>
        <w:t>30</w:t>
      </w:r>
      <w:bookmarkStart w:id="144" w:name="_GoBack"/>
      <w:bookmarkEnd w:id="144"/>
      <w:r>
        <w:rPr>
          <w:color w:val="auto"/>
          <w:kern w:val="0"/>
          <w:szCs w:val="21"/>
          <w:highlight w:val="none"/>
        </w:rPr>
        <w:t>日</w:t>
      </w:r>
    </w:p>
    <w:p w14:paraId="1BD0508C">
      <w:pPr>
        <w:ind w:firstLine="409" w:firstLineChars="195"/>
        <w:jc w:val="left"/>
        <w:rPr>
          <w:color w:val="auto"/>
          <w:kern w:val="0"/>
          <w:szCs w:val="21"/>
          <w:highlight w:val="none"/>
        </w:rPr>
      </w:pPr>
    </w:p>
    <w:p w14:paraId="21AEC215">
      <w:pPr>
        <w:spacing w:line="312" w:lineRule="auto"/>
        <w:ind w:right="105" w:firstLine="360" w:firstLineChars="200"/>
        <w:jc w:val="right"/>
        <w:rPr>
          <w:color w:val="auto"/>
          <w:kern w:val="0"/>
          <w:sz w:val="18"/>
          <w:szCs w:val="18"/>
          <w:highlight w:val="none"/>
        </w:rPr>
      </w:pPr>
    </w:p>
    <w:p w14:paraId="230F3DC7">
      <w:pPr>
        <w:pStyle w:val="28"/>
        <w:snapToGrid w:val="0"/>
        <w:spacing w:before="120" w:after="120" w:line="320" w:lineRule="exact"/>
        <w:jc w:val="center"/>
        <w:outlineLvl w:val="0"/>
        <w:rPr>
          <w:rFonts w:ascii="Times New Roman" w:hAnsi="Times New Roman" w:cs="Times New Roman"/>
          <w:color w:val="auto"/>
          <w:highlight w:val="none"/>
        </w:rPr>
        <w:sectPr>
          <w:headerReference r:id="rId9" w:type="first"/>
          <w:footerReference r:id="rId11" w:type="first"/>
          <w:headerReference r:id="rId8" w:type="default"/>
          <w:footerReference r:id="rId10" w:type="default"/>
          <w:pgSz w:w="11906" w:h="16838"/>
          <w:pgMar w:top="1135" w:right="1133" w:bottom="1246" w:left="1418" w:header="851" w:footer="903" w:gutter="0"/>
          <w:pgNumType w:start="1"/>
          <w:cols w:space="720" w:num="1"/>
          <w:docGrid w:linePitch="312" w:charSpace="0"/>
        </w:sectPr>
      </w:pPr>
    </w:p>
    <w:p w14:paraId="04782AEF">
      <w:pPr>
        <w:rPr>
          <w:color w:val="auto"/>
          <w:highlight w:val="none"/>
        </w:rPr>
      </w:pPr>
    </w:p>
    <w:p w14:paraId="1113CD6C">
      <w:pPr>
        <w:pStyle w:val="28"/>
        <w:snapToGrid w:val="0"/>
        <w:spacing w:before="120" w:after="120" w:line="320" w:lineRule="exact"/>
        <w:jc w:val="center"/>
        <w:outlineLvl w:val="0"/>
        <w:rPr>
          <w:rFonts w:ascii="Times New Roman" w:hAnsi="Times New Roman" w:cs="Times New Roman"/>
          <w:color w:val="auto"/>
          <w:sz w:val="32"/>
          <w:szCs w:val="32"/>
          <w:highlight w:val="none"/>
        </w:rPr>
      </w:pPr>
      <w:bookmarkStart w:id="12" w:name="_Toc30113"/>
      <w:r>
        <w:rPr>
          <w:rFonts w:ascii="Times New Roman" w:hAnsi="Times New Roman" w:cs="Times New Roman"/>
          <w:color w:val="auto"/>
          <w:sz w:val="32"/>
          <w:szCs w:val="32"/>
          <w:highlight w:val="none"/>
        </w:rPr>
        <w:t>第二章  采购需求</w:t>
      </w:r>
      <w:bookmarkEnd w:id="12"/>
    </w:p>
    <w:p w14:paraId="3FBC5D5C">
      <w:pPr>
        <w:spacing w:before="120"/>
        <w:rPr>
          <w:rFonts w:hint="eastAsia" w:ascii="宋体" w:hAnsi="宋体" w:cs="宋体"/>
          <w:b/>
          <w:bCs/>
          <w:color w:val="auto"/>
          <w:sz w:val="28"/>
          <w:szCs w:val="28"/>
          <w:highlight w:val="none"/>
        </w:rPr>
      </w:pPr>
      <w:bookmarkStart w:id="13" w:name="_Toc254970631"/>
      <w:bookmarkStart w:id="14" w:name="_Toc254970490"/>
    </w:p>
    <w:p w14:paraId="385663F2">
      <w:pPr>
        <w:spacing w:line="360" w:lineRule="auto"/>
        <w:rPr>
          <w:rFonts w:hint="eastAsia"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6545065D">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24121A9E">
      <w:pPr>
        <w:spacing w:line="360" w:lineRule="auto"/>
        <w:rPr>
          <w:color w:val="auto"/>
          <w:szCs w:val="21"/>
          <w:highlight w:val="none"/>
        </w:rPr>
      </w:pPr>
      <w:r>
        <w:rPr>
          <w:rFonts w:hint="eastAsia"/>
          <w:color w:val="auto"/>
          <w:szCs w:val="21"/>
          <w:highlight w:val="none"/>
        </w:rPr>
        <w:t>详见采购文件“评审方法及标准/政府采购政策应用说明”。</w:t>
      </w:r>
    </w:p>
    <w:p w14:paraId="6593EA66">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采购人与成交供应商</w:t>
      </w:r>
      <w:r>
        <w:rPr>
          <w:color w:val="auto"/>
          <w:szCs w:val="21"/>
          <w:highlight w:val="none"/>
        </w:rPr>
        <w:t>在采购合同中约定。</w:t>
      </w:r>
    </w:p>
    <w:p w14:paraId="7694446F">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标注“▲”的条款或要求系指实质性条款或实质性要求，必须满足，如存在负偏离将导致响应被否决。</w:t>
      </w:r>
    </w:p>
    <w:p w14:paraId="3112606B">
      <w:pPr>
        <w:spacing w:line="360" w:lineRule="auto"/>
        <w:rPr>
          <w:rFonts w:hint="eastAsia"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二、技术要求</w:t>
      </w:r>
    </w:p>
    <w:p w14:paraId="2909B9B8">
      <w:pPr>
        <w:spacing w:line="360" w:lineRule="auto"/>
        <w:rPr>
          <w:color w:val="auto"/>
          <w:szCs w:val="21"/>
          <w:highlight w:val="none"/>
        </w:rPr>
      </w:pPr>
      <w:r>
        <w:rPr>
          <w:rFonts w:hint="eastAsia"/>
          <w:color w:val="auto"/>
          <w:szCs w:val="21"/>
          <w:highlight w:val="none"/>
        </w:rPr>
        <w:t>1.需实现的功能、目标及应用场景</w:t>
      </w:r>
    </w:p>
    <w:p w14:paraId="7526A14E">
      <w:pPr>
        <w:spacing w:line="360" w:lineRule="auto"/>
        <w:rPr>
          <w:color w:val="auto"/>
          <w:szCs w:val="21"/>
          <w:highlight w:val="none"/>
        </w:rPr>
      </w:pPr>
      <w:r>
        <w:rPr>
          <w:rFonts w:hint="eastAsia"/>
          <w:color w:val="auto"/>
          <w:szCs w:val="21"/>
          <w:highlight w:val="none"/>
        </w:rPr>
        <w:t>满足采购文件要求，验收达到合格标准。</w:t>
      </w:r>
    </w:p>
    <w:p w14:paraId="660728E4">
      <w:pPr>
        <w:spacing w:line="360" w:lineRule="auto"/>
        <w:rPr>
          <w:color w:val="auto"/>
          <w:szCs w:val="21"/>
          <w:highlight w:val="none"/>
        </w:rPr>
      </w:pPr>
      <w:bookmarkStart w:id="15" w:name="_Hlk89170486"/>
      <w:r>
        <w:rPr>
          <w:color w:val="auto"/>
          <w:szCs w:val="21"/>
          <w:highlight w:val="none"/>
        </w:rPr>
        <w:t>2</w:t>
      </w:r>
      <w:r>
        <w:rPr>
          <w:rFonts w:hint="eastAsia"/>
          <w:color w:val="auto"/>
          <w:szCs w:val="21"/>
          <w:highlight w:val="none"/>
        </w:rPr>
        <w:t>.是否接受进口产品：</w:t>
      </w:r>
    </w:p>
    <w:p w14:paraId="3BB8A0E6">
      <w:pPr>
        <w:spacing w:line="360" w:lineRule="auto"/>
        <w:rPr>
          <w:color w:val="auto"/>
          <w:szCs w:val="21"/>
          <w:highlight w:val="none"/>
        </w:rPr>
      </w:pPr>
      <w:r>
        <w:rPr>
          <w:color w:val="auto"/>
          <w:szCs w:val="21"/>
          <w:highlight w:val="none"/>
        </w:rPr>
        <w:sym w:font="Wingdings 2" w:char="F052"/>
      </w:r>
      <w:r>
        <w:rPr>
          <w:rFonts w:hint="eastAsia"/>
          <w:color w:val="auto"/>
          <w:szCs w:val="21"/>
          <w:highlight w:val="none"/>
        </w:rPr>
        <w:t>否</w:t>
      </w:r>
    </w:p>
    <w:p w14:paraId="35016AE0">
      <w:pPr>
        <w:spacing w:line="360" w:lineRule="auto"/>
        <w:rPr>
          <w:color w:val="auto"/>
          <w:szCs w:val="21"/>
          <w:highlight w:val="none"/>
        </w:rPr>
      </w:pPr>
      <w:r>
        <w:rPr>
          <w:rFonts w:hint="eastAsia"/>
          <w:color w:val="auto"/>
          <w:szCs w:val="21"/>
          <w:highlight w:val="none"/>
        </w:rPr>
        <w:t>□是</w:t>
      </w:r>
    </w:p>
    <w:p w14:paraId="126DEC9E">
      <w:pPr>
        <w:spacing w:line="360" w:lineRule="auto"/>
        <w:rPr>
          <w:color w:val="auto"/>
          <w:szCs w:val="21"/>
          <w:highlight w:val="none"/>
        </w:rPr>
      </w:pPr>
      <w:r>
        <w:rPr>
          <w:rFonts w:hint="eastAsia"/>
          <w:color w:val="auto"/>
          <w:szCs w:val="21"/>
          <w:highlight w:val="none"/>
        </w:rPr>
        <w:t>3.</w:t>
      </w:r>
      <w:r>
        <w:rPr>
          <w:color w:val="auto"/>
          <w:szCs w:val="21"/>
          <w:highlight w:val="none"/>
        </w:rPr>
        <w:t>需执行的国家相关标准、行业标准、地方标准或者其他标准、规范</w:t>
      </w:r>
    </w:p>
    <w:p w14:paraId="1E1B29B0">
      <w:pPr>
        <w:spacing w:line="360" w:lineRule="auto"/>
        <w:rPr>
          <w:i/>
          <w:color w:val="auto"/>
          <w:szCs w:val="21"/>
          <w:highlight w:val="none"/>
          <w:u w:val="single"/>
        </w:rPr>
      </w:pPr>
      <w:r>
        <w:rPr>
          <w:rFonts w:hint="eastAsia"/>
          <w:color w:val="auto"/>
          <w:szCs w:val="21"/>
          <w:highlight w:val="none"/>
        </w:rPr>
        <w:t>本项目应执行的国家相关标准、行业标准、地方标准或者其他标准、规范为：</w:t>
      </w:r>
      <w:r>
        <w:rPr>
          <w:rFonts w:hint="eastAsia"/>
          <w:color w:val="auto"/>
          <w:szCs w:val="21"/>
          <w:highlight w:val="none"/>
          <w:u w:val="single"/>
        </w:rPr>
        <w:t>详见技术指标要求</w:t>
      </w:r>
    </w:p>
    <w:bookmarkEnd w:id="15"/>
    <w:p w14:paraId="131B18EF">
      <w:pPr>
        <w:spacing w:line="360" w:lineRule="auto"/>
        <w:rPr>
          <w:color w:val="auto"/>
          <w:szCs w:val="21"/>
          <w:highlight w:val="none"/>
        </w:rPr>
      </w:pPr>
      <w:r>
        <w:rPr>
          <w:rFonts w:hint="eastAsia"/>
          <w:color w:val="auto"/>
          <w:szCs w:val="21"/>
          <w:highlight w:val="none"/>
        </w:rPr>
        <w:t>4标的所属行业：</w:t>
      </w:r>
      <w:r>
        <w:rPr>
          <w:rFonts w:hint="eastAsia"/>
          <w:b/>
          <w:bCs/>
          <w:color w:val="auto"/>
          <w:szCs w:val="21"/>
          <w:highlight w:val="none"/>
        </w:rPr>
        <w:t>软件和信息技术服务业</w:t>
      </w:r>
    </w:p>
    <w:p w14:paraId="1198540E">
      <w:pPr>
        <w:spacing w:line="360" w:lineRule="auto"/>
        <w:rPr>
          <w:color w:val="auto"/>
          <w:szCs w:val="21"/>
          <w:highlight w:val="none"/>
        </w:rPr>
      </w:pPr>
      <w:r>
        <w:rPr>
          <w:rFonts w:hint="eastAsia"/>
          <w:color w:val="auto"/>
          <w:szCs w:val="21"/>
          <w:highlight w:val="none"/>
        </w:rPr>
        <w:t>5.核心产品：</w:t>
      </w:r>
    </w:p>
    <w:p w14:paraId="1BDD5EA7">
      <w:pPr>
        <w:spacing w:line="360" w:lineRule="auto"/>
        <w:rPr>
          <w:color w:val="auto"/>
          <w:szCs w:val="21"/>
          <w:highlight w:val="none"/>
        </w:rPr>
      </w:pPr>
      <w:r>
        <w:rPr>
          <w:rFonts w:hint="eastAsia"/>
          <w:color w:val="auto"/>
          <w:szCs w:val="21"/>
          <w:highlight w:val="none"/>
        </w:rPr>
        <w:t>本项目为服务项目，不适用核心产品规定。</w:t>
      </w:r>
    </w:p>
    <w:p w14:paraId="1684DDAD">
      <w:pPr>
        <w:spacing w:line="360" w:lineRule="auto"/>
        <w:rPr>
          <w:color w:val="auto"/>
          <w:szCs w:val="21"/>
          <w:highlight w:val="none"/>
        </w:rPr>
      </w:pPr>
      <w:r>
        <w:rPr>
          <w:rFonts w:hint="eastAsia"/>
          <w:color w:val="auto"/>
          <w:szCs w:val="21"/>
          <w:highlight w:val="none"/>
        </w:rPr>
        <w:t>6.服务内容和标准：</w:t>
      </w:r>
    </w:p>
    <w:p w14:paraId="0238E163">
      <w:pPr>
        <w:spacing w:line="360" w:lineRule="auto"/>
        <w:outlineLvl w:val="1"/>
        <w:rPr>
          <w:b/>
          <w:bCs/>
          <w:color w:val="auto"/>
          <w:szCs w:val="21"/>
          <w:highlight w:val="none"/>
        </w:rPr>
      </w:pPr>
      <w:r>
        <w:rPr>
          <w:rFonts w:hint="eastAsia"/>
          <w:b/>
          <w:bCs/>
          <w:color w:val="auto"/>
          <w:szCs w:val="21"/>
          <w:highlight w:val="none"/>
        </w:rPr>
        <w:t>标项一：</w:t>
      </w:r>
    </w:p>
    <w:tbl>
      <w:tblPr>
        <w:tblStyle w:val="53"/>
        <w:tblW w:w="94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134"/>
        <w:gridCol w:w="709"/>
        <w:gridCol w:w="709"/>
        <w:gridCol w:w="6237"/>
      </w:tblGrid>
      <w:tr w14:paraId="7B00D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675" w:type="dxa"/>
            <w:vAlign w:val="center"/>
          </w:tcPr>
          <w:p w14:paraId="5B2B3488">
            <w:pPr>
              <w:widowControl/>
              <w:jc w:val="center"/>
              <w:rPr>
                <w:rFonts w:hint="eastAsia" w:ascii="宋体" w:hAnsi="宋体" w:cs="宋体"/>
                <w:b/>
                <w:color w:val="auto"/>
                <w:szCs w:val="21"/>
                <w:highlight w:val="none"/>
              </w:rPr>
            </w:pPr>
            <w:r>
              <w:rPr>
                <w:rFonts w:hint="eastAsia" w:ascii="宋体" w:hAnsi="宋体" w:cs="宋体"/>
                <w:b/>
                <w:color w:val="auto"/>
                <w:szCs w:val="21"/>
                <w:highlight w:val="none"/>
              </w:rPr>
              <w:t>项号</w:t>
            </w:r>
          </w:p>
        </w:tc>
        <w:tc>
          <w:tcPr>
            <w:tcW w:w="1134" w:type="dxa"/>
            <w:vAlign w:val="center"/>
          </w:tcPr>
          <w:p w14:paraId="238B2DA3">
            <w:pPr>
              <w:widowControl/>
              <w:jc w:val="center"/>
              <w:rPr>
                <w:rFonts w:hint="eastAsia" w:ascii="宋体" w:hAnsi="宋体" w:cs="宋体"/>
                <w:b/>
                <w:color w:val="auto"/>
                <w:szCs w:val="21"/>
                <w:highlight w:val="none"/>
              </w:rPr>
            </w:pPr>
            <w:r>
              <w:rPr>
                <w:rFonts w:hint="eastAsia" w:ascii="宋体" w:hAnsi="宋体" w:cs="宋体"/>
                <w:b/>
                <w:color w:val="auto"/>
                <w:szCs w:val="21"/>
                <w:highlight w:val="none"/>
              </w:rPr>
              <w:t>服务名称</w:t>
            </w:r>
          </w:p>
        </w:tc>
        <w:tc>
          <w:tcPr>
            <w:tcW w:w="709" w:type="dxa"/>
            <w:vAlign w:val="center"/>
          </w:tcPr>
          <w:p w14:paraId="2D6283BC">
            <w:pPr>
              <w:widowControl/>
              <w:jc w:val="center"/>
              <w:rPr>
                <w:rFonts w:hint="eastAsia" w:ascii="宋体" w:hAnsi="宋体" w:cs="宋体"/>
                <w:b/>
                <w:color w:val="auto"/>
                <w:szCs w:val="21"/>
                <w:highlight w:val="none"/>
              </w:rPr>
            </w:pPr>
            <w:r>
              <w:rPr>
                <w:rFonts w:hint="eastAsia" w:ascii="宋体" w:hAnsi="宋体" w:cs="宋体"/>
                <w:b/>
                <w:color w:val="auto"/>
                <w:szCs w:val="21"/>
                <w:highlight w:val="none"/>
              </w:rPr>
              <w:t>数量</w:t>
            </w:r>
          </w:p>
        </w:tc>
        <w:tc>
          <w:tcPr>
            <w:tcW w:w="709" w:type="dxa"/>
            <w:vAlign w:val="center"/>
          </w:tcPr>
          <w:p w14:paraId="37647BA5">
            <w:pPr>
              <w:widowControl/>
              <w:jc w:val="center"/>
              <w:rPr>
                <w:rFonts w:hint="eastAsia" w:ascii="宋体" w:hAnsi="宋体" w:cs="宋体"/>
                <w:b/>
                <w:color w:val="auto"/>
                <w:szCs w:val="21"/>
                <w:highlight w:val="none"/>
              </w:rPr>
            </w:pPr>
            <w:r>
              <w:rPr>
                <w:rFonts w:hint="eastAsia" w:ascii="宋体" w:hAnsi="宋体" w:cs="宋体"/>
                <w:b/>
                <w:color w:val="auto"/>
                <w:szCs w:val="21"/>
                <w:highlight w:val="none"/>
              </w:rPr>
              <w:t>单位</w:t>
            </w:r>
          </w:p>
        </w:tc>
        <w:tc>
          <w:tcPr>
            <w:tcW w:w="6237" w:type="dxa"/>
            <w:vAlign w:val="center"/>
          </w:tcPr>
          <w:p w14:paraId="24E83333">
            <w:pPr>
              <w:widowControl/>
              <w:jc w:val="center"/>
              <w:rPr>
                <w:rFonts w:hint="eastAsia" w:ascii="宋体" w:hAnsi="宋体" w:cs="宋体"/>
                <w:b/>
                <w:color w:val="auto"/>
                <w:szCs w:val="21"/>
                <w:highlight w:val="none"/>
              </w:rPr>
            </w:pPr>
            <w:r>
              <w:rPr>
                <w:rFonts w:hint="eastAsia" w:ascii="宋体" w:hAnsi="宋体" w:cs="宋体"/>
                <w:b/>
                <w:color w:val="auto"/>
                <w:szCs w:val="21"/>
                <w:highlight w:val="none"/>
              </w:rPr>
              <w:t>技术参数及性能（配置）要求</w:t>
            </w:r>
          </w:p>
        </w:tc>
      </w:tr>
      <w:tr w14:paraId="4FAE5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675" w:type="dxa"/>
            <w:vAlign w:val="center"/>
          </w:tcPr>
          <w:p w14:paraId="6B809AA5">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34" w:type="dxa"/>
            <w:vAlign w:val="center"/>
          </w:tcPr>
          <w:p w14:paraId="3FB99F68">
            <w:pPr>
              <w:jc w:val="center"/>
              <w:rPr>
                <w:rFonts w:hint="eastAsia" w:ascii="宋体" w:hAnsi="宋体" w:cs="宋体"/>
                <w:color w:val="auto"/>
                <w:szCs w:val="21"/>
                <w:highlight w:val="none"/>
              </w:rPr>
            </w:pPr>
            <w:r>
              <w:rPr>
                <w:rFonts w:hint="eastAsia"/>
                <w:color w:val="auto"/>
                <w:kern w:val="0"/>
                <w:szCs w:val="21"/>
                <w:highlight w:val="none"/>
              </w:rPr>
              <w:t>广西药品智慧监管平台系统运维服务</w:t>
            </w:r>
          </w:p>
        </w:tc>
        <w:tc>
          <w:tcPr>
            <w:tcW w:w="709" w:type="dxa"/>
            <w:vAlign w:val="center"/>
          </w:tcPr>
          <w:p w14:paraId="4F252F2C">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709" w:type="dxa"/>
            <w:vAlign w:val="center"/>
          </w:tcPr>
          <w:p w14:paraId="608F9562">
            <w:pPr>
              <w:jc w:val="center"/>
              <w:rPr>
                <w:rFonts w:hint="eastAsia" w:ascii="宋体" w:hAnsi="宋体" w:cs="宋体"/>
                <w:color w:val="auto"/>
                <w:szCs w:val="21"/>
                <w:highlight w:val="none"/>
              </w:rPr>
            </w:pPr>
            <w:r>
              <w:rPr>
                <w:rFonts w:hint="eastAsia" w:ascii="宋体" w:hAnsi="宋体" w:cs="宋体"/>
                <w:color w:val="auto"/>
                <w:szCs w:val="21"/>
                <w:highlight w:val="none"/>
              </w:rPr>
              <w:t>项</w:t>
            </w:r>
          </w:p>
        </w:tc>
        <w:tc>
          <w:tcPr>
            <w:tcW w:w="6237" w:type="dxa"/>
            <w:vAlign w:val="center"/>
          </w:tcPr>
          <w:p w14:paraId="37908A56">
            <w:pPr>
              <w:pStyle w:val="5"/>
              <w:ind w:firstLine="0" w:firstLineChars="0"/>
              <w:rPr>
                <w:rFonts w:hint="eastAsia" w:ascii="宋体" w:hAnsi="宋体" w:eastAsia="宋体" w:cs="宋体"/>
                <w:b/>
                <w:bCs/>
                <w:color w:val="auto"/>
                <w:sz w:val="21"/>
                <w:szCs w:val="21"/>
                <w:highlight w:val="none"/>
              </w:rPr>
            </w:pPr>
            <w:bookmarkStart w:id="16" w:name="_Toc10260"/>
            <w:bookmarkStart w:id="17" w:name="_Toc3794"/>
            <w:bookmarkStart w:id="18" w:name="_Toc18340"/>
            <w:bookmarkStart w:id="19" w:name="_Toc612"/>
            <w:bookmarkStart w:id="20" w:name="_Toc1080"/>
            <w:r>
              <w:rPr>
                <w:rFonts w:hint="eastAsia" w:ascii="宋体" w:hAnsi="宋体" w:eastAsia="宋体" w:cs="宋体"/>
                <w:b/>
                <w:bCs/>
                <w:color w:val="auto"/>
                <w:sz w:val="21"/>
                <w:szCs w:val="21"/>
                <w:highlight w:val="none"/>
              </w:rPr>
              <w:t>1.</w:t>
            </w:r>
            <w:bookmarkEnd w:id="16"/>
            <w:bookmarkEnd w:id="17"/>
            <w:bookmarkEnd w:id="18"/>
            <w:bookmarkEnd w:id="19"/>
            <w:r>
              <w:rPr>
                <w:rFonts w:hint="eastAsia" w:ascii="宋体" w:hAnsi="宋体" w:eastAsia="宋体" w:cs="宋体"/>
                <w:b/>
                <w:bCs/>
                <w:color w:val="auto"/>
                <w:sz w:val="21"/>
                <w:szCs w:val="21"/>
                <w:highlight w:val="none"/>
              </w:rPr>
              <w:t>广西药品智慧监管平台系统运维服务</w:t>
            </w:r>
            <w:bookmarkEnd w:id="20"/>
            <w:r>
              <w:rPr>
                <w:rFonts w:hint="eastAsia" w:ascii="宋体" w:hAnsi="宋体" w:eastAsia="宋体" w:cs="宋体"/>
                <w:b/>
                <w:bCs/>
                <w:color w:val="auto"/>
                <w:sz w:val="21"/>
                <w:szCs w:val="21"/>
                <w:highlight w:val="none"/>
              </w:rPr>
              <w:t>:</w:t>
            </w:r>
          </w:p>
          <w:p w14:paraId="5FB0650A">
            <w:pPr>
              <w:pStyle w:val="5"/>
              <w:ind w:firstLine="56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w:t>
            </w:r>
            <w:r>
              <w:rPr>
                <w:rFonts w:ascii="宋体" w:hAnsi="宋体" w:eastAsia="宋体" w:cs="宋体"/>
                <w:color w:val="auto"/>
                <w:sz w:val="21"/>
                <w:szCs w:val="21"/>
                <w:highlight w:val="none"/>
              </w:rPr>
              <w:t>平台门户系统、企业政务服务平台、政务服务系统、审评查验系统、“八桂药监”APP</w:t>
            </w:r>
            <w:r>
              <w:rPr>
                <w:rFonts w:hint="eastAsia" w:ascii="宋体" w:hAnsi="宋体" w:eastAsia="宋体" w:cs="宋体"/>
                <w:color w:val="auto"/>
                <w:sz w:val="21"/>
                <w:szCs w:val="21"/>
                <w:highlight w:val="none"/>
              </w:rPr>
              <w:t>、信用档案</w:t>
            </w:r>
            <w:r>
              <w:rPr>
                <w:rFonts w:ascii="宋体" w:hAnsi="宋体" w:eastAsia="宋体" w:cs="宋体"/>
                <w:color w:val="auto"/>
                <w:sz w:val="21"/>
                <w:szCs w:val="21"/>
                <w:highlight w:val="none"/>
              </w:rPr>
              <w:t>共计6个</w:t>
            </w:r>
            <w:r>
              <w:rPr>
                <w:rFonts w:hint="eastAsia" w:ascii="宋体" w:hAnsi="宋体" w:eastAsia="宋体" w:cs="宋体"/>
                <w:color w:val="auto"/>
                <w:sz w:val="21"/>
                <w:szCs w:val="21"/>
                <w:highlight w:val="none"/>
              </w:rPr>
              <w:t>系统进行运维、现场驻点和数据治理服务。</w:t>
            </w:r>
          </w:p>
          <w:p w14:paraId="09A945C7">
            <w:pPr>
              <w:pStyle w:val="8"/>
              <w:numPr>
                <w:ilvl w:val="1"/>
                <w:numId w:val="1"/>
              </w:numPr>
              <w:tabs>
                <w:tab w:val="left" w:pos="420"/>
              </w:tabs>
              <w:rPr>
                <w:rFonts w:hint="eastAsia" w:ascii="宋体" w:hAnsi="宋体" w:cs="宋体"/>
                <w:color w:val="auto"/>
                <w:sz w:val="21"/>
                <w:szCs w:val="21"/>
                <w:highlight w:val="none"/>
              </w:rPr>
            </w:pPr>
            <w:bookmarkStart w:id="21" w:name="_Toc181364087"/>
            <w:r>
              <w:rPr>
                <w:rFonts w:hint="eastAsia" w:ascii="宋体" w:hAnsi="宋体" w:cs="宋体"/>
                <w:color w:val="auto"/>
                <w:sz w:val="21"/>
                <w:szCs w:val="21"/>
                <w:highlight w:val="none"/>
              </w:rPr>
              <w:t>6个系统的基础运维</w:t>
            </w:r>
            <w:bookmarkEnd w:id="21"/>
          </w:p>
          <w:p w14:paraId="1D369C9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系统进行基础运维工作，包含对平台及运行环境进行巡检，每日实施1次巡检，发现故障，半小时报告，安排运维服务，每月提供巡检总结报告；当信息系统发生故障，需根据故障处理流程开展故障处理工作，确保系统恢复正常运维；对平台所有业务系统提供软件运行维护服务，如运维单处理及反馈、软件版本升级、软件重新部署、软件配置维护；运行环境维护；客户回访；系统培训；关键时间点值守服务；应急处置；根据实际工作需要，对数据库进行性能优化；确保政务数据共享质量的完整性；确保政务数据共享质量的可用性；确保政务数据共享质量的鲜活性；提供系统安全维护服务；提供安全问题整改服务；制定并优化安全软件安全策略等基础运维工作。</w:t>
            </w:r>
          </w:p>
          <w:p w14:paraId="360949FA">
            <w:pPr>
              <w:pStyle w:val="9"/>
              <w:numPr>
                <w:ilvl w:val="2"/>
                <w:numId w:val="1"/>
              </w:numPr>
              <w:tabs>
                <w:tab w:val="left" w:pos="420"/>
              </w:tabs>
              <w:rPr>
                <w:rFonts w:hint="eastAsia" w:ascii="宋体" w:hAnsi="宋体" w:eastAsia="宋体" w:cs="宋体"/>
                <w:color w:val="auto"/>
                <w:sz w:val="21"/>
                <w:szCs w:val="21"/>
                <w:highlight w:val="none"/>
              </w:rPr>
            </w:pPr>
            <w:bookmarkStart w:id="22" w:name="_Toc181364088"/>
            <w:r>
              <w:rPr>
                <w:rFonts w:hint="eastAsia" w:ascii="宋体" w:hAnsi="宋体" w:eastAsia="宋体" w:cs="宋体"/>
                <w:color w:val="auto"/>
                <w:sz w:val="21"/>
                <w:szCs w:val="21"/>
                <w:highlight w:val="none"/>
              </w:rPr>
              <w:t>巡检工作</w:t>
            </w:r>
            <w:bookmarkEnd w:id="22"/>
          </w:p>
          <w:p w14:paraId="633D058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对平台及运行环境进行巡检，每日实施1次巡检，发现故障，半小时报告，安排运维服务，每月提供巡检总结报告。巡检服务内容包括：</w:t>
            </w:r>
          </w:p>
          <w:p w14:paraId="1948CDC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（1）主机检查：检查主机是否工作正常。</w:t>
            </w:r>
          </w:p>
          <w:p w14:paraId="5D5EE38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（2）数据库检查：检查数据库存储空间、日志、数据库备份情况。</w:t>
            </w:r>
          </w:p>
          <w:p w14:paraId="6C8C17F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（3）网络检查：检查网络是否通畅。</w:t>
            </w:r>
          </w:p>
          <w:p w14:paraId="47C7AA2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（4）应用软件检查：检查应用软件服务是否正常，包括与数据共享配套的应用软件。</w:t>
            </w:r>
          </w:p>
          <w:p w14:paraId="7103C07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（5）数据备份：按规定的数据备份策略定期进行数据备份。</w:t>
            </w:r>
          </w:p>
          <w:p w14:paraId="7349F6A4">
            <w:pPr>
              <w:pStyle w:val="9"/>
              <w:numPr>
                <w:ilvl w:val="2"/>
                <w:numId w:val="1"/>
              </w:numPr>
              <w:tabs>
                <w:tab w:val="left" w:pos="420"/>
              </w:tabs>
              <w:rPr>
                <w:rFonts w:hint="eastAsia" w:ascii="宋体" w:hAnsi="宋体" w:eastAsia="宋体" w:cs="宋体"/>
                <w:color w:val="auto"/>
                <w:sz w:val="21"/>
                <w:szCs w:val="21"/>
                <w:highlight w:val="none"/>
              </w:rPr>
            </w:pPr>
            <w:bookmarkStart w:id="23" w:name="_Toc181364089"/>
            <w:r>
              <w:rPr>
                <w:rFonts w:hint="eastAsia" w:ascii="宋体" w:hAnsi="宋体" w:eastAsia="宋体" w:cs="宋体"/>
                <w:color w:val="auto"/>
                <w:sz w:val="21"/>
                <w:szCs w:val="21"/>
                <w:highlight w:val="none"/>
              </w:rPr>
              <w:t>故障管理</w:t>
            </w:r>
            <w:bookmarkEnd w:id="23"/>
          </w:p>
          <w:p w14:paraId="170888F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当信息系统发生故障，需根据故障处理流程开展故障处理工作，确保系统恢复正常运维。</w:t>
            </w:r>
          </w:p>
          <w:p w14:paraId="628189E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故障提出方提出故障并且先确认是属于什么类型的故障。</w:t>
            </w:r>
          </w:p>
          <w:p w14:paraId="3601E23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细分故障类型并派送，如软件故障需要指派运维人员处理，涉及服务器硬件则需要向硬件提供商提出技术支持申请。</w:t>
            </w:r>
          </w:p>
          <w:p w14:paraId="4FF542A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如是软件故障则内部处理，修复问题代码，进行本地测试通过后进入版本更新发布流程，如硬件网络故障需要督促提供商安排技术支持，协助提供商解决问题。</w:t>
            </w:r>
          </w:p>
          <w:p w14:paraId="0A4AE11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软件故障在版本发布后需进行线上测试，保证线上无异常,并且持续跟踪。</w:t>
            </w:r>
          </w:p>
          <w:p w14:paraId="2F2FA7F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针对故障造成的损失，尝试修复。</w:t>
            </w:r>
          </w:p>
          <w:p w14:paraId="2EC5F9D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记录故障表，写明发现原因，发现时间，解决方式，持续影响时间等。</w:t>
            </w:r>
          </w:p>
          <w:p w14:paraId="4F6C784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总结原因避免故障继续发生。</w:t>
            </w:r>
          </w:p>
          <w:p w14:paraId="01CDDEA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故障提出方确认解决，结束故障事件。</w:t>
            </w:r>
          </w:p>
          <w:p w14:paraId="684BDBB0">
            <w:pPr>
              <w:pStyle w:val="9"/>
              <w:numPr>
                <w:ilvl w:val="2"/>
                <w:numId w:val="1"/>
              </w:numPr>
              <w:tabs>
                <w:tab w:val="left" w:pos="420"/>
              </w:tabs>
              <w:rPr>
                <w:rFonts w:hint="eastAsia" w:ascii="宋体" w:hAnsi="宋体" w:eastAsia="宋体" w:cs="宋体"/>
                <w:color w:val="auto"/>
                <w:sz w:val="21"/>
                <w:szCs w:val="21"/>
                <w:highlight w:val="none"/>
              </w:rPr>
            </w:pPr>
            <w:bookmarkStart w:id="24" w:name="_Toc181364090"/>
            <w:r>
              <w:rPr>
                <w:rFonts w:hint="eastAsia" w:ascii="宋体" w:hAnsi="宋体" w:eastAsia="宋体" w:cs="宋体"/>
                <w:color w:val="auto"/>
                <w:sz w:val="21"/>
                <w:szCs w:val="21"/>
                <w:highlight w:val="none"/>
              </w:rPr>
              <w:t>软件系统运维</w:t>
            </w:r>
            <w:bookmarkEnd w:id="24"/>
          </w:p>
          <w:p w14:paraId="2BC7A2E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对平台所有业务系统提供软件运行维护服务。具体维护内容如下：</w:t>
            </w:r>
          </w:p>
          <w:p w14:paraId="1EB86F0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（1）运维单处理、处理及反馈</w:t>
            </w:r>
          </w:p>
          <w:p w14:paraId="4720C02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1）运维单的受理、处理；</w:t>
            </w:r>
          </w:p>
          <w:p w14:paraId="3325736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2）操作类问题的咨询解答；</w:t>
            </w:r>
          </w:p>
          <w:p w14:paraId="5E59B47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3）文书及证照模板的调整；</w:t>
            </w:r>
          </w:p>
          <w:p w14:paraId="61F316D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4）报表数据问题分析及处理；</w:t>
            </w:r>
          </w:p>
          <w:p w14:paraId="53415E0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5）报表逻辑问题分析及处理；</w:t>
            </w:r>
          </w:p>
          <w:p w14:paraId="3A778DE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6）对处理完成的问题进行电话回访及确认；</w:t>
            </w:r>
          </w:p>
          <w:p w14:paraId="42A9798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7）用户所提功能改进或新增功能的沟通。</w:t>
            </w:r>
          </w:p>
          <w:p w14:paraId="16000B7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（2）软件版本升级</w:t>
            </w:r>
          </w:p>
          <w:p w14:paraId="0EC9E79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1）测试环境的部署、维护及新版本功能测试验证；</w:t>
            </w:r>
          </w:p>
          <w:p w14:paraId="2F4D5E5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2）正式环境的版本升级，包括常规版本升级、发现BUG 后及时进行补丁升级及相应开发需求的版本升级；</w:t>
            </w:r>
          </w:p>
          <w:p w14:paraId="07EC876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3）结合版本升级内容进行新增功能相关演示，并提交演示资料；</w:t>
            </w:r>
          </w:p>
          <w:p w14:paraId="2823A36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4）版本升级后软件运行状况的跟踪；</w:t>
            </w:r>
          </w:p>
          <w:p w14:paraId="491E399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5）提交升级报告。</w:t>
            </w:r>
          </w:p>
          <w:p w14:paraId="397747C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（3）软件重新部署</w:t>
            </w:r>
          </w:p>
          <w:p w14:paraId="2145627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1）指因硬件设备故障、部署方案调整等各种原因引起的应用软件的重新部署；</w:t>
            </w:r>
          </w:p>
          <w:p w14:paraId="08129ED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2）硬件资源的需求方案、协助申请；</w:t>
            </w:r>
          </w:p>
          <w:p w14:paraId="1DB2DBC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3）操作系统版本验证；</w:t>
            </w:r>
          </w:p>
          <w:p w14:paraId="7745D94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4）数据库、中间件等应用平台环境资源申请及验证、参数调整；</w:t>
            </w:r>
          </w:p>
          <w:p w14:paraId="36C5799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5）应用软件部署；</w:t>
            </w:r>
          </w:p>
          <w:p w14:paraId="7378FF7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6）系统调试及测试。</w:t>
            </w:r>
          </w:p>
          <w:p w14:paraId="50A34BD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（4）软件配置维护</w:t>
            </w:r>
          </w:p>
          <w:p w14:paraId="0FA07CC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1）在年度交接之际及特殊时间对系统相关配置进行调整；</w:t>
            </w:r>
          </w:p>
          <w:p w14:paraId="6D37AD1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2）对系统正常运行所需的定时任务进行设置和管理；</w:t>
            </w:r>
          </w:p>
          <w:p w14:paraId="4321E35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3）根据实际需求变化对系统基础参数进行调整。</w:t>
            </w:r>
          </w:p>
          <w:p w14:paraId="4B07BBDE">
            <w:pPr>
              <w:pStyle w:val="9"/>
              <w:numPr>
                <w:ilvl w:val="2"/>
                <w:numId w:val="1"/>
              </w:numPr>
              <w:tabs>
                <w:tab w:val="left" w:pos="420"/>
              </w:tabs>
              <w:rPr>
                <w:rFonts w:hint="eastAsia" w:ascii="宋体" w:hAnsi="宋体" w:eastAsia="宋体" w:cs="宋体"/>
                <w:color w:val="auto"/>
                <w:sz w:val="21"/>
                <w:szCs w:val="21"/>
                <w:highlight w:val="none"/>
              </w:rPr>
            </w:pPr>
            <w:bookmarkStart w:id="25" w:name="_Toc181364091"/>
            <w:r>
              <w:rPr>
                <w:rFonts w:hint="eastAsia" w:ascii="宋体" w:hAnsi="宋体" w:eastAsia="宋体" w:cs="宋体"/>
                <w:color w:val="auto"/>
                <w:sz w:val="21"/>
                <w:szCs w:val="21"/>
                <w:highlight w:val="none"/>
              </w:rPr>
              <w:t>运行环境维护</w:t>
            </w:r>
            <w:bookmarkEnd w:id="25"/>
          </w:p>
          <w:p w14:paraId="3A58C1D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应用系统所依赖的系统环境提供应用所需环境的优化建议，依据系统环境提供商提供的监控报告提出系统环境及硬件环境的升级建议，对应用系统进行监控、优化、调整、升级等维护。包括操作系统、数据库、中间件、备份、同步等。</w:t>
            </w:r>
          </w:p>
          <w:p w14:paraId="4DEE99E2">
            <w:pPr>
              <w:pStyle w:val="9"/>
              <w:numPr>
                <w:ilvl w:val="2"/>
                <w:numId w:val="1"/>
              </w:numPr>
              <w:tabs>
                <w:tab w:val="left" w:pos="420"/>
              </w:tabs>
              <w:rPr>
                <w:rFonts w:hint="eastAsia" w:ascii="宋体" w:hAnsi="宋体" w:eastAsia="宋体" w:cs="宋体"/>
                <w:color w:val="auto"/>
                <w:sz w:val="21"/>
                <w:szCs w:val="21"/>
                <w:highlight w:val="none"/>
              </w:rPr>
            </w:pPr>
            <w:bookmarkStart w:id="26" w:name="_Toc181364092"/>
            <w:r>
              <w:rPr>
                <w:rFonts w:hint="eastAsia" w:ascii="宋体" w:hAnsi="宋体" w:eastAsia="宋体" w:cs="宋体"/>
                <w:color w:val="auto"/>
                <w:sz w:val="21"/>
                <w:szCs w:val="21"/>
                <w:highlight w:val="none"/>
              </w:rPr>
              <w:t>客户回访</w:t>
            </w:r>
            <w:bookmarkEnd w:id="26"/>
          </w:p>
          <w:p w14:paraId="38DDAAE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维商除每日受理、解决操作人员在使用系统的过程中遇到的各类疑惑外，还协助各处室、各单位其他相关的查询等工作，并在每周对各相关处室进行主动回访，及时了解各处室对业务系统的相关需求和对运维人员的意见、建议。</w:t>
            </w:r>
          </w:p>
          <w:p w14:paraId="2C1BBEF3">
            <w:pPr>
              <w:pStyle w:val="9"/>
              <w:numPr>
                <w:ilvl w:val="2"/>
                <w:numId w:val="1"/>
              </w:numPr>
              <w:tabs>
                <w:tab w:val="left" w:pos="420"/>
              </w:tabs>
              <w:rPr>
                <w:rFonts w:hint="eastAsia" w:ascii="宋体" w:hAnsi="宋体" w:eastAsia="宋体" w:cs="宋体"/>
                <w:color w:val="auto"/>
                <w:sz w:val="21"/>
                <w:szCs w:val="21"/>
                <w:highlight w:val="none"/>
              </w:rPr>
            </w:pPr>
            <w:bookmarkStart w:id="27" w:name="_Toc181364093"/>
            <w:r>
              <w:rPr>
                <w:rFonts w:hint="eastAsia" w:ascii="宋体" w:hAnsi="宋体" w:eastAsia="宋体" w:cs="宋体"/>
                <w:color w:val="auto"/>
                <w:sz w:val="21"/>
                <w:szCs w:val="21"/>
                <w:highlight w:val="none"/>
              </w:rPr>
              <w:t>系统培训</w:t>
            </w:r>
            <w:bookmarkEnd w:id="27"/>
          </w:p>
          <w:p w14:paraId="38833BF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涉及到系统版本升级或新功能上线时，通过现场或远程培训方式培训全区各级药监业务人员熟练操作系统，对业务量大的部门，提供临时现场培训指导用户操作使用。</w:t>
            </w:r>
          </w:p>
          <w:p w14:paraId="20E27019">
            <w:pPr>
              <w:pStyle w:val="9"/>
              <w:numPr>
                <w:ilvl w:val="2"/>
                <w:numId w:val="1"/>
              </w:numPr>
              <w:tabs>
                <w:tab w:val="left" w:pos="420"/>
              </w:tabs>
              <w:rPr>
                <w:rFonts w:hint="eastAsia" w:ascii="宋体" w:hAnsi="宋体" w:eastAsia="宋体" w:cs="宋体"/>
                <w:color w:val="auto"/>
                <w:sz w:val="21"/>
                <w:szCs w:val="21"/>
                <w:highlight w:val="none"/>
              </w:rPr>
            </w:pPr>
            <w:bookmarkStart w:id="28" w:name="_Toc181364094"/>
            <w:r>
              <w:rPr>
                <w:rFonts w:hint="eastAsia" w:ascii="宋体" w:hAnsi="宋体" w:eastAsia="宋体" w:cs="宋体"/>
                <w:color w:val="auto"/>
                <w:sz w:val="21"/>
                <w:szCs w:val="21"/>
                <w:highlight w:val="none"/>
              </w:rPr>
              <w:t>关键时间点值守服务</w:t>
            </w:r>
            <w:bookmarkEnd w:id="28"/>
          </w:p>
          <w:p w14:paraId="3F0F736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特殊时间点提供全方面的支撑服务，在包括春节、国庆、两会一节等重要节假日或重要活动期间，在服务期内为采购人提供2人/天的关键时点值守服务。</w:t>
            </w:r>
          </w:p>
          <w:p w14:paraId="63F0BE01">
            <w:pPr>
              <w:pStyle w:val="9"/>
              <w:numPr>
                <w:ilvl w:val="2"/>
                <w:numId w:val="1"/>
              </w:numPr>
              <w:tabs>
                <w:tab w:val="left" w:pos="420"/>
              </w:tabs>
              <w:rPr>
                <w:rFonts w:hint="eastAsia" w:ascii="宋体" w:hAnsi="宋体" w:eastAsia="宋体" w:cs="宋体"/>
                <w:color w:val="auto"/>
                <w:sz w:val="21"/>
                <w:szCs w:val="21"/>
                <w:highlight w:val="none"/>
              </w:rPr>
            </w:pPr>
            <w:bookmarkStart w:id="29" w:name="_Toc181364095"/>
            <w:r>
              <w:rPr>
                <w:rFonts w:hint="eastAsia" w:ascii="宋体" w:hAnsi="宋体" w:eastAsia="宋体" w:cs="宋体"/>
                <w:color w:val="auto"/>
                <w:sz w:val="21"/>
                <w:szCs w:val="21"/>
                <w:highlight w:val="none"/>
              </w:rPr>
              <w:t>应急处置</w:t>
            </w:r>
            <w:bookmarkEnd w:id="29"/>
          </w:p>
          <w:p w14:paraId="47BA46E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中断或严重影响业务的故障(如停机、数据丢失、业务中断等），进行快速响应和处理，在最短时间内确保业务系统恢复正常，按照自治区局的规范做好事件通报和应急处理，同时按照事件通报机制通报事件。系统恢复后需要提交响应报告，故障结束后需要提供故障分析报告。</w:t>
            </w:r>
          </w:p>
          <w:p w14:paraId="057FC333">
            <w:pPr>
              <w:pStyle w:val="9"/>
              <w:numPr>
                <w:ilvl w:val="2"/>
                <w:numId w:val="1"/>
              </w:numPr>
              <w:tabs>
                <w:tab w:val="left" w:pos="420"/>
              </w:tabs>
              <w:rPr>
                <w:rFonts w:hint="eastAsia" w:ascii="宋体" w:hAnsi="宋体" w:eastAsia="宋体" w:cs="宋体"/>
                <w:color w:val="auto"/>
                <w:sz w:val="21"/>
                <w:szCs w:val="21"/>
                <w:highlight w:val="none"/>
              </w:rPr>
            </w:pPr>
            <w:bookmarkStart w:id="30" w:name="_Toc181364096"/>
            <w:r>
              <w:rPr>
                <w:rFonts w:hint="eastAsia" w:ascii="宋体" w:hAnsi="宋体" w:eastAsia="宋体" w:cs="宋体"/>
                <w:color w:val="auto"/>
                <w:sz w:val="21"/>
                <w:szCs w:val="21"/>
                <w:highlight w:val="none"/>
              </w:rPr>
              <w:t>根据实际工作需要，对数据库进行性能优化</w:t>
            </w:r>
            <w:bookmarkEnd w:id="30"/>
          </w:p>
          <w:p w14:paraId="20BC03D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根据实际工作需要，对数据库进行性能优化。包括：</w:t>
            </w:r>
          </w:p>
          <w:p w14:paraId="2C294C4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（1）处理数据库性能问题；</w:t>
            </w:r>
          </w:p>
          <w:p w14:paraId="39622FC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（2）对影响数据库性能的 SQL 提供优化建议；</w:t>
            </w:r>
          </w:p>
          <w:p w14:paraId="23533C1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（3）依据应用系统需求提供数据库参数优化建议；</w:t>
            </w:r>
          </w:p>
          <w:p w14:paraId="6618DCB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（4）发现数据库 BUG 后及时上报并进行补丁升级。</w:t>
            </w:r>
          </w:p>
          <w:p w14:paraId="629E6C18">
            <w:pPr>
              <w:pStyle w:val="9"/>
              <w:numPr>
                <w:ilvl w:val="2"/>
                <w:numId w:val="1"/>
              </w:numPr>
              <w:tabs>
                <w:tab w:val="left" w:pos="420"/>
              </w:tabs>
              <w:rPr>
                <w:rFonts w:hint="eastAsia" w:ascii="宋体" w:hAnsi="宋体" w:eastAsia="宋体" w:cs="宋体"/>
                <w:color w:val="auto"/>
                <w:sz w:val="21"/>
                <w:szCs w:val="21"/>
                <w:highlight w:val="none"/>
              </w:rPr>
            </w:pPr>
            <w:bookmarkStart w:id="31" w:name="_Toc181364097"/>
            <w:r>
              <w:rPr>
                <w:rFonts w:hint="eastAsia" w:ascii="宋体" w:hAnsi="宋体" w:eastAsia="宋体" w:cs="宋体"/>
                <w:color w:val="auto"/>
                <w:sz w:val="21"/>
                <w:szCs w:val="21"/>
                <w:highlight w:val="none"/>
              </w:rPr>
              <w:t>确保政务数据共享质量的完整性</w:t>
            </w:r>
            <w:bookmarkEnd w:id="31"/>
          </w:p>
          <w:p w14:paraId="07A529C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检查数据集完整性和元数据信息完整性情况。(每个工作日)</w:t>
            </w:r>
          </w:p>
          <w:p w14:paraId="640FAA8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00BFCF3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数据集完整性，是指数据集字段完整性，数据集所包括的数据符合对数据集的描述，不缺少数据。数据集字段完整性，是指数据集的必要字段不可缺失，共享目录与数据资源的信息项应一致，信息项应完整、准确、清晰描述。</w:t>
            </w:r>
          </w:p>
          <w:p w14:paraId="3EA77C5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②完整性标准参考《广西政务数据资源目录编制指南》要求考核。</w:t>
            </w:r>
          </w:p>
          <w:p w14:paraId="64881919">
            <w:pPr>
              <w:pStyle w:val="9"/>
              <w:numPr>
                <w:ilvl w:val="2"/>
                <w:numId w:val="1"/>
              </w:numPr>
              <w:tabs>
                <w:tab w:val="left" w:pos="420"/>
              </w:tabs>
              <w:rPr>
                <w:rFonts w:hint="eastAsia" w:ascii="宋体" w:hAnsi="宋体" w:eastAsia="宋体" w:cs="宋体"/>
                <w:color w:val="auto"/>
                <w:sz w:val="21"/>
                <w:szCs w:val="21"/>
                <w:highlight w:val="none"/>
              </w:rPr>
            </w:pPr>
            <w:bookmarkStart w:id="32" w:name="_Toc181364098"/>
            <w:r>
              <w:rPr>
                <w:rFonts w:hint="eastAsia" w:ascii="宋体" w:hAnsi="宋体" w:eastAsia="宋体" w:cs="宋体"/>
                <w:color w:val="auto"/>
                <w:sz w:val="21"/>
                <w:szCs w:val="21"/>
                <w:highlight w:val="none"/>
              </w:rPr>
              <w:t>确保政务数据共享质量的可用性</w:t>
            </w:r>
            <w:bookmarkEnd w:id="32"/>
          </w:p>
          <w:p w14:paraId="15F3690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自治区数据共享交换平台发布结构化数据集占比率不得低于80%，在自治区数据共享交换平台发布的接口类数据资源能够正常调用：（1）检查在自治区数据共享交换平台发布的接口类数据集占比情况。(每个工作日)</w:t>
            </w:r>
          </w:p>
          <w:p w14:paraId="3F4BC79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（2）检查在自治区数据共享交换平台发布的接口类数据资源连通情况。</w:t>
            </w:r>
          </w:p>
          <w:p w14:paraId="3031529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05035E6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①结构化数据资源占比率=（库表及接口资源总数/总资源数）×100%。</w:t>
            </w:r>
          </w:p>
          <w:p w14:paraId="33F68A5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②接口类数据资源连通情况等于可正常调用接口数。</w:t>
            </w:r>
          </w:p>
          <w:p w14:paraId="61449D21">
            <w:pPr>
              <w:pStyle w:val="9"/>
              <w:numPr>
                <w:ilvl w:val="2"/>
                <w:numId w:val="1"/>
              </w:numPr>
              <w:tabs>
                <w:tab w:val="left" w:pos="420"/>
              </w:tabs>
              <w:rPr>
                <w:rFonts w:hint="eastAsia" w:ascii="宋体" w:hAnsi="宋体" w:eastAsia="宋体" w:cs="宋体"/>
                <w:color w:val="auto"/>
                <w:sz w:val="21"/>
                <w:szCs w:val="21"/>
                <w:highlight w:val="none"/>
              </w:rPr>
            </w:pPr>
            <w:bookmarkStart w:id="33" w:name="_Toc181364099"/>
            <w:r>
              <w:rPr>
                <w:rFonts w:hint="eastAsia" w:ascii="宋体" w:hAnsi="宋体" w:eastAsia="宋体" w:cs="宋体"/>
                <w:color w:val="auto"/>
                <w:sz w:val="21"/>
                <w:szCs w:val="21"/>
                <w:highlight w:val="none"/>
              </w:rPr>
              <w:t>确保政务数据共享质量的鲜活性</w:t>
            </w:r>
            <w:bookmarkEnd w:id="33"/>
          </w:p>
          <w:p w14:paraId="6660D2B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检查发布的数据目录在承诺更新周期内按时更新情况，保证数据的鲜活度。(每个工作日)</w:t>
            </w:r>
          </w:p>
          <w:p w14:paraId="1EB10EAC">
            <w:pPr>
              <w:pStyle w:val="9"/>
              <w:numPr>
                <w:ilvl w:val="2"/>
                <w:numId w:val="1"/>
              </w:numPr>
              <w:tabs>
                <w:tab w:val="left" w:pos="420"/>
              </w:tabs>
              <w:rPr>
                <w:rFonts w:hint="eastAsia" w:ascii="宋体" w:hAnsi="宋体" w:eastAsia="宋体" w:cs="宋体"/>
                <w:color w:val="auto"/>
                <w:sz w:val="21"/>
                <w:szCs w:val="21"/>
                <w:highlight w:val="none"/>
              </w:rPr>
            </w:pPr>
            <w:bookmarkStart w:id="34" w:name="_Toc181364100"/>
            <w:r>
              <w:rPr>
                <w:rFonts w:hint="eastAsia" w:ascii="宋体" w:hAnsi="宋体" w:eastAsia="宋体" w:cs="宋体"/>
                <w:color w:val="auto"/>
                <w:sz w:val="21"/>
                <w:szCs w:val="21"/>
                <w:highlight w:val="none"/>
              </w:rPr>
              <w:t>提供系统安全维护服务</w:t>
            </w:r>
            <w:bookmarkEnd w:id="34"/>
          </w:p>
          <w:p w14:paraId="0C73E6B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运维服务期内通过技术设施安全评估、技术设施安全加固、安全漏洞补丁通告、安全事件应急响应以及信息安全运维咨询，协助局方的系统管理人员进行信息系统的日常安全运维工作，以发现并修复信息系统中所存在的安全隐患，降低安全隐患被非法利用的可能性，并在安全隐患被利用后及时加以响应。</w:t>
            </w:r>
          </w:p>
          <w:p w14:paraId="39DF8DD0">
            <w:pPr>
              <w:pStyle w:val="9"/>
              <w:numPr>
                <w:ilvl w:val="2"/>
                <w:numId w:val="1"/>
              </w:numPr>
              <w:tabs>
                <w:tab w:val="left" w:pos="420"/>
              </w:tabs>
              <w:rPr>
                <w:rFonts w:hint="eastAsia" w:ascii="宋体" w:hAnsi="宋体" w:eastAsia="宋体" w:cs="宋体"/>
                <w:color w:val="auto"/>
                <w:sz w:val="21"/>
                <w:szCs w:val="21"/>
                <w:highlight w:val="none"/>
              </w:rPr>
            </w:pPr>
            <w:bookmarkStart w:id="35" w:name="_Toc181364101"/>
            <w:r>
              <w:rPr>
                <w:rFonts w:hint="eastAsia" w:ascii="宋体" w:hAnsi="宋体" w:eastAsia="宋体" w:cs="宋体"/>
                <w:color w:val="auto"/>
                <w:sz w:val="21"/>
                <w:szCs w:val="21"/>
                <w:highlight w:val="none"/>
              </w:rPr>
              <w:t>提供安全问题整改服务</w:t>
            </w:r>
            <w:bookmarkEnd w:id="35"/>
          </w:p>
          <w:p w14:paraId="7ADCCE3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在运维服务期内，针对国家、自治区有关部门发布的各种安全公告、通知，以及针对本系统发现或通报的各种安全问题及时进行核查、修复、升级、测试等整改措施，整改完成后向采购人提交安全整改报告。</w:t>
            </w:r>
          </w:p>
          <w:p w14:paraId="21474776">
            <w:pPr>
              <w:pStyle w:val="9"/>
              <w:numPr>
                <w:ilvl w:val="2"/>
                <w:numId w:val="1"/>
              </w:numPr>
              <w:tabs>
                <w:tab w:val="left" w:pos="420"/>
              </w:tabs>
              <w:rPr>
                <w:rFonts w:hint="eastAsia" w:ascii="宋体" w:hAnsi="宋体" w:eastAsia="宋体" w:cs="宋体"/>
                <w:color w:val="auto"/>
                <w:sz w:val="21"/>
                <w:szCs w:val="21"/>
                <w:highlight w:val="none"/>
              </w:rPr>
            </w:pPr>
            <w:bookmarkStart w:id="36" w:name="_Toc181364102"/>
            <w:r>
              <w:rPr>
                <w:rFonts w:hint="eastAsia" w:ascii="宋体" w:hAnsi="宋体" w:eastAsia="宋体" w:cs="宋体"/>
                <w:color w:val="auto"/>
                <w:sz w:val="21"/>
                <w:szCs w:val="21"/>
                <w:highlight w:val="none"/>
              </w:rPr>
              <w:t>制定并优化安全软件安全策略</w:t>
            </w:r>
            <w:bookmarkEnd w:id="36"/>
          </w:p>
          <w:p w14:paraId="0752244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根据系统软件安全需要，制定并合理优化安全软件安全策略。</w:t>
            </w:r>
          </w:p>
          <w:p w14:paraId="2B594A6F">
            <w:pPr>
              <w:pStyle w:val="8"/>
              <w:numPr>
                <w:ilvl w:val="1"/>
                <w:numId w:val="1"/>
              </w:numPr>
              <w:tabs>
                <w:tab w:val="left" w:pos="420"/>
              </w:tabs>
              <w:rPr>
                <w:rFonts w:hint="eastAsia" w:ascii="宋体" w:hAnsi="宋体" w:cs="宋体"/>
                <w:color w:val="auto"/>
                <w:sz w:val="21"/>
                <w:szCs w:val="21"/>
                <w:highlight w:val="none"/>
              </w:rPr>
            </w:pPr>
            <w:bookmarkStart w:id="37" w:name="_Toc181364103"/>
            <w:r>
              <w:rPr>
                <w:rFonts w:hint="eastAsia" w:ascii="宋体" w:hAnsi="宋体" w:cs="宋体"/>
                <w:color w:val="auto"/>
                <w:sz w:val="21"/>
                <w:szCs w:val="21"/>
                <w:highlight w:val="none"/>
              </w:rPr>
              <w:t>驻点人员</w:t>
            </w:r>
            <w:bookmarkEnd w:id="37"/>
          </w:p>
          <w:p w14:paraId="4ED7D65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1、派遣1名运维工程师驻点自治区政务服务大厅药监局窗口提供现场技术服务，内容包括：</w:t>
            </w:r>
          </w:p>
          <w:p w14:paraId="4701F72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（1）现场指导窗口工作人员通过政务服务系统办理企业申请的事项；</w:t>
            </w:r>
          </w:p>
          <w:p w14:paraId="3F33919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（2）对新的工作人员或不熟悉系统的人员进行现场操作培训；</w:t>
            </w:r>
          </w:p>
          <w:p w14:paraId="58C406F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（3）现场解答工作人员提出的操作问题；</w:t>
            </w:r>
          </w:p>
          <w:p w14:paraId="6298887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（4）现场处理工作人员遇到的问题；</w:t>
            </w:r>
          </w:p>
          <w:p w14:paraId="4A24A11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（5）现场收集系统的各种问题和工作人员提出的意见和建议，及时向开发商反馈并跟踪处理情况；</w:t>
            </w:r>
          </w:p>
          <w:p w14:paraId="2820B2D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（6）协助窗口工作人员处理行政审批相关业务。</w:t>
            </w:r>
          </w:p>
          <w:p w14:paraId="5E3D2C9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2、派遣1名运维工程师驻点自治区药监局信息中心，在药监专网对系统进行现场服务；</w:t>
            </w:r>
          </w:p>
          <w:p w14:paraId="20D8F85C">
            <w:pPr>
              <w:pStyle w:val="8"/>
              <w:numPr>
                <w:ilvl w:val="1"/>
                <w:numId w:val="1"/>
              </w:numPr>
              <w:tabs>
                <w:tab w:val="left" w:pos="420"/>
              </w:tabs>
              <w:rPr>
                <w:rFonts w:hint="eastAsia" w:ascii="宋体" w:hAnsi="宋体" w:cs="宋体"/>
                <w:color w:val="auto"/>
                <w:sz w:val="21"/>
                <w:szCs w:val="21"/>
                <w:highlight w:val="none"/>
              </w:rPr>
            </w:pPr>
            <w:bookmarkStart w:id="38" w:name="_Toc181364104"/>
            <w:r>
              <w:rPr>
                <w:rFonts w:hint="eastAsia" w:ascii="宋体" w:hAnsi="宋体" w:cs="宋体"/>
                <w:color w:val="auto"/>
                <w:sz w:val="21"/>
                <w:szCs w:val="21"/>
                <w:highlight w:val="none"/>
              </w:rPr>
              <w:t>专席客服应答</w:t>
            </w:r>
            <w:bookmarkEnd w:id="38"/>
          </w:p>
          <w:p w14:paraId="5AF2715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派遣2名运维工程师驻点自治区药监局信息中心，面向全区各级药品监管部门1万用户和监管企业12万用户提供专席应答服务，内容包括：</w:t>
            </w:r>
          </w:p>
          <w:p w14:paraId="16597A3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（1）接听客户服务电话（信息中心专用座机电话0771-5786483），实时解答用户的咨询问题，对系统投诉、建议、Bug类问题进行登记，通过工单向运维人员反映问题，处理完成后及时向用户反馈处理情况；</w:t>
            </w:r>
          </w:p>
          <w:p w14:paraId="4078F55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（2）工作时间实时在线值守监管QQ群和企业QQ群，实时解答用户的咨询问题，对系统投诉、建议、Bug类问题进行登记，通过工单向运维人员反映问题，处理完成后及时向采购人反馈处理情况；</w:t>
            </w:r>
          </w:p>
          <w:p w14:paraId="0CFFD4D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（3）接收自治区局技术支持微信群的数据对接、系统安全 、业务新需求、需求变更、技术咨询、功能优化建议、问题反映等信息，通过工单向开发团队反映问题，处理完成后及时向采购人反馈处理情况；</w:t>
            </w:r>
          </w:p>
          <w:p w14:paraId="67CE4EB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（4）接收12345政务服务便民热线平台药监网办问答群反馈的问题，登记后通过工单向运维人员反映问题，处理完成后及时反馈处理情况。</w:t>
            </w:r>
          </w:p>
          <w:p w14:paraId="0013159C">
            <w:pPr>
              <w:pStyle w:val="8"/>
              <w:numPr>
                <w:ilvl w:val="1"/>
                <w:numId w:val="1"/>
              </w:numPr>
              <w:tabs>
                <w:tab w:val="left" w:pos="420"/>
              </w:tabs>
              <w:rPr>
                <w:rFonts w:hint="eastAsia" w:ascii="宋体" w:hAnsi="宋体" w:cs="宋体"/>
                <w:color w:val="auto"/>
                <w:sz w:val="21"/>
                <w:szCs w:val="21"/>
                <w:highlight w:val="none"/>
              </w:rPr>
            </w:pPr>
            <w:bookmarkStart w:id="39" w:name="_Toc181364105"/>
            <w:r>
              <w:rPr>
                <w:rFonts w:hint="eastAsia" w:ascii="宋体" w:hAnsi="宋体" w:cs="宋体"/>
                <w:color w:val="auto"/>
                <w:sz w:val="21"/>
                <w:szCs w:val="21"/>
                <w:highlight w:val="none"/>
              </w:rPr>
              <w:t>数据治理服务</w:t>
            </w:r>
            <w:bookmarkEnd w:id="39"/>
          </w:p>
          <w:p w14:paraId="3EB8ED3C">
            <w:pPr>
              <w:pStyle w:val="9"/>
              <w:numPr>
                <w:ilvl w:val="2"/>
                <w:numId w:val="1"/>
              </w:numPr>
              <w:tabs>
                <w:tab w:val="left" w:pos="420"/>
              </w:tabs>
              <w:rPr>
                <w:rFonts w:hint="eastAsia" w:ascii="宋体" w:hAnsi="宋体" w:eastAsia="宋体" w:cs="宋体"/>
                <w:color w:val="auto"/>
                <w:sz w:val="21"/>
                <w:szCs w:val="21"/>
                <w:highlight w:val="none"/>
              </w:rPr>
            </w:pPr>
            <w:bookmarkStart w:id="40" w:name="_Toc181364106"/>
            <w:r>
              <w:rPr>
                <w:rFonts w:hint="eastAsia" w:ascii="宋体" w:hAnsi="宋体" w:eastAsia="宋体" w:cs="宋体"/>
                <w:color w:val="auto"/>
                <w:sz w:val="21"/>
                <w:szCs w:val="21"/>
                <w:highlight w:val="none"/>
              </w:rPr>
              <w:t>其他单位的数据资源需求响应</w:t>
            </w:r>
            <w:bookmarkEnd w:id="40"/>
          </w:p>
          <w:p w14:paraId="49DF54D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接到数据需求申请、数据资源申请需求后，应及时进行响应，对资源申请进行初审；数据资源通过审批后，应结合数据资源使用情况接收数据提供方的数据评价。</w:t>
            </w:r>
          </w:p>
          <w:p w14:paraId="53947B09">
            <w:pPr>
              <w:pStyle w:val="9"/>
              <w:numPr>
                <w:ilvl w:val="2"/>
                <w:numId w:val="1"/>
              </w:numPr>
              <w:tabs>
                <w:tab w:val="left" w:pos="420"/>
              </w:tabs>
              <w:rPr>
                <w:rFonts w:hint="eastAsia" w:ascii="宋体" w:hAnsi="宋体" w:eastAsia="宋体" w:cs="宋体"/>
                <w:color w:val="auto"/>
                <w:sz w:val="21"/>
                <w:szCs w:val="21"/>
                <w:highlight w:val="none"/>
              </w:rPr>
            </w:pPr>
            <w:bookmarkStart w:id="41" w:name="_Toc181364107"/>
            <w:r>
              <w:rPr>
                <w:rFonts w:hint="eastAsia" w:ascii="宋体" w:hAnsi="宋体" w:eastAsia="宋体" w:cs="宋体"/>
                <w:color w:val="auto"/>
                <w:sz w:val="21"/>
                <w:szCs w:val="21"/>
                <w:highlight w:val="none"/>
              </w:rPr>
              <w:t>社会公众的数据资源需求响应</w:t>
            </w:r>
            <w:bookmarkEnd w:id="41"/>
          </w:p>
          <w:p w14:paraId="40FCAB1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社会公众提出数据申请、数据需求和数据纠错后，应及时进行响应。并积极邀请对方评价。</w:t>
            </w:r>
          </w:p>
          <w:p w14:paraId="559CF951">
            <w:pPr>
              <w:pStyle w:val="9"/>
              <w:numPr>
                <w:ilvl w:val="2"/>
                <w:numId w:val="1"/>
              </w:numPr>
              <w:tabs>
                <w:tab w:val="left" w:pos="420"/>
              </w:tabs>
              <w:rPr>
                <w:rFonts w:hint="eastAsia" w:ascii="宋体" w:hAnsi="宋体" w:eastAsia="宋体" w:cs="宋体"/>
                <w:color w:val="auto"/>
                <w:sz w:val="21"/>
                <w:szCs w:val="21"/>
                <w:highlight w:val="none"/>
              </w:rPr>
            </w:pPr>
            <w:bookmarkStart w:id="42" w:name="_Toc181364108"/>
            <w:r>
              <w:rPr>
                <w:rFonts w:hint="eastAsia" w:ascii="宋体" w:hAnsi="宋体" w:eastAsia="宋体" w:cs="宋体"/>
                <w:color w:val="auto"/>
                <w:sz w:val="21"/>
                <w:szCs w:val="21"/>
                <w:highlight w:val="none"/>
              </w:rPr>
              <w:t>检查对可开放目录的开放情况</w:t>
            </w:r>
            <w:bookmarkEnd w:id="42"/>
          </w:p>
          <w:p w14:paraId="62105B5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检查对可开放目录的开放情况，确保已开放数据目录占比达到80%以上。(每个工作日)</w:t>
            </w:r>
          </w:p>
          <w:p w14:paraId="0894292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279F5B4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①已开放数据目录占比=已开放目录数/可开放目录数×100%。</w:t>
            </w:r>
          </w:p>
          <w:p w14:paraId="78C560F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②已开放目录数：公共数据开放平台已开放的目录数。</w:t>
            </w:r>
          </w:p>
          <w:p w14:paraId="12FEC08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③可开放目录数：共享平台同步过来的开放目录+各单位手工录入的目录。</w:t>
            </w:r>
          </w:p>
          <w:p w14:paraId="20AB1472">
            <w:pPr>
              <w:pStyle w:val="9"/>
              <w:numPr>
                <w:ilvl w:val="2"/>
                <w:numId w:val="1"/>
              </w:numPr>
              <w:tabs>
                <w:tab w:val="left" w:pos="420"/>
              </w:tabs>
              <w:rPr>
                <w:rFonts w:hint="eastAsia" w:ascii="宋体" w:hAnsi="宋体" w:eastAsia="宋体" w:cs="宋体"/>
                <w:color w:val="auto"/>
                <w:sz w:val="21"/>
                <w:szCs w:val="21"/>
                <w:highlight w:val="none"/>
              </w:rPr>
            </w:pPr>
            <w:bookmarkStart w:id="43" w:name="_Toc181364109"/>
            <w:r>
              <w:rPr>
                <w:rFonts w:hint="eastAsia" w:ascii="宋体" w:hAnsi="宋体" w:eastAsia="宋体" w:cs="宋体"/>
                <w:color w:val="auto"/>
                <w:sz w:val="21"/>
                <w:szCs w:val="21"/>
                <w:highlight w:val="none"/>
              </w:rPr>
              <w:t>检查通过自治区公共数据开放平台挂载公共数据开放资源</w:t>
            </w:r>
            <w:bookmarkEnd w:id="43"/>
          </w:p>
          <w:p w14:paraId="3B56607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检查通过自治区公共数据开放平台挂载公共数据开放资源，确保数据累计汇集量达到考核要求。(每个工作日)</w:t>
            </w:r>
          </w:p>
          <w:p w14:paraId="768CAD9B">
            <w:pPr>
              <w:pStyle w:val="9"/>
              <w:numPr>
                <w:ilvl w:val="2"/>
                <w:numId w:val="1"/>
              </w:numPr>
              <w:tabs>
                <w:tab w:val="left" w:pos="420"/>
              </w:tabs>
              <w:rPr>
                <w:rFonts w:hint="eastAsia" w:ascii="宋体" w:hAnsi="宋体" w:eastAsia="宋体" w:cs="宋体"/>
                <w:color w:val="auto"/>
                <w:sz w:val="21"/>
                <w:szCs w:val="21"/>
                <w:highlight w:val="none"/>
              </w:rPr>
            </w:pPr>
            <w:bookmarkStart w:id="44" w:name="_Toc181364110"/>
            <w:r>
              <w:rPr>
                <w:rFonts w:hint="eastAsia" w:ascii="宋体" w:hAnsi="宋体" w:eastAsia="宋体" w:cs="宋体"/>
                <w:color w:val="auto"/>
                <w:sz w:val="21"/>
                <w:szCs w:val="21"/>
                <w:highlight w:val="none"/>
              </w:rPr>
              <w:t>检查通过自治区公共数据开放平台发布公共数据开放目录命名规范</w:t>
            </w:r>
            <w:bookmarkEnd w:id="44"/>
          </w:p>
          <w:p w14:paraId="1F6B04C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检查通过自治区公共数据开放平台发布公共数据开放目录命名规范、元数据描述规范、开放数据分级分类合理性、以接口方式挂载数据资源规范性情况。(每个工作日)</w:t>
            </w:r>
          </w:p>
          <w:p w14:paraId="3DB2897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4C0B943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①公共数据开放目录命名规范、元数据描述规范参考《广西公共数据资源开放目录编制指南》（桂数广办发〔2020〕23号）要求。</w:t>
            </w:r>
          </w:p>
          <w:p w14:paraId="367EE4B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②开放数据分级分类参考《广西公共数据分级分类指南》（桂数广办发〔2020〕28号）要求。</w:t>
            </w:r>
          </w:p>
          <w:p w14:paraId="2D300CB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③接口设计规范参考《广西公共数据开放接口标准》要求。</w:t>
            </w:r>
          </w:p>
          <w:p w14:paraId="4CCC846B">
            <w:pPr>
              <w:pStyle w:val="9"/>
              <w:numPr>
                <w:ilvl w:val="2"/>
                <w:numId w:val="1"/>
              </w:numPr>
              <w:tabs>
                <w:tab w:val="left" w:pos="420"/>
              </w:tabs>
              <w:rPr>
                <w:rFonts w:hint="eastAsia" w:ascii="宋体" w:hAnsi="宋体" w:eastAsia="宋体" w:cs="宋体"/>
                <w:color w:val="auto"/>
                <w:sz w:val="21"/>
                <w:szCs w:val="21"/>
                <w:highlight w:val="none"/>
              </w:rPr>
            </w:pPr>
            <w:bookmarkStart w:id="45" w:name="_Toc181364111"/>
            <w:r>
              <w:rPr>
                <w:rFonts w:hint="eastAsia" w:ascii="宋体" w:hAnsi="宋体" w:eastAsia="宋体" w:cs="宋体"/>
                <w:color w:val="auto"/>
                <w:sz w:val="21"/>
                <w:szCs w:val="21"/>
                <w:highlight w:val="none"/>
              </w:rPr>
              <w:t>对数据共享平台等数据交换平台的数据传输情况进行监控</w:t>
            </w:r>
            <w:bookmarkEnd w:id="45"/>
          </w:p>
          <w:p w14:paraId="1E663D4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对数据共享平台等数据交换平台的数据传输情况进行监控，确保数据的有效传输。(每个工作日)。</w:t>
            </w:r>
          </w:p>
          <w:p w14:paraId="2424388B">
            <w:pPr>
              <w:pStyle w:val="9"/>
              <w:numPr>
                <w:ilvl w:val="2"/>
                <w:numId w:val="1"/>
              </w:numPr>
              <w:tabs>
                <w:tab w:val="left" w:pos="420"/>
              </w:tabs>
              <w:rPr>
                <w:rFonts w:hint="eastAsia" w:ascii="宋体" w:hAnsi="宋体" w:eastAsia="宋体" w:cs="宋体"/>
                <w:color w:val="auto"/>
                <w:sz w:val="21"/>
                <w:szCs w:val="21"/>
                <w:highlight w:val="none"/>
              </w:rPr>
            </w:pPr>
            <w:bookmarkStart w:id="46" w:name="_Toc181364112"/>
            <w:r>
              <w:rPr>
                <w:rFonts w:hint="eastAsia" w:ascii="宋体" w:hAnsi="宋体" w:eastAsia="宋体" w:cs="宋体"/>
                <w:color w:val="auto"/>
                <w:sz w:val="21"/>
                <w:szCs w:val="21"/>
                <w:highlight w:val="none"/>
              </w:rPr>
              <w:t>数据质量检查相关的查询、统计、批量修改数据等工作</w:t>
            </w:r>
            <w:bookmarkEnd w:id="46"/>
          </w:p>
          <w:p w14:paraId="3D6E54A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数据质量检查相关的查询、统计、批量修改数据，包括：定期对系统数据进行合法性检查、各种专项数据检查、形成数据质量分析报告、根据检查结果进行问题数据处理、对国家局下发的检查结果进行分析等。</w:t>
            </w:r>
          </w:p>
          <w:p w14:paraId="4680315B">
            <w:pPr>
              <w:pStyle w:val="9"/>
              <w:numPr>
                <w:ilvl w:val="2"/>
                <w:numId w:val="1"/>
              </w:numPr>
              <w:tabs>
                <w:tab w:val="left" w:pos="420"/>
              </w:tabs>
              <w:rPr>
                <w:rFonts w:hint="eastAsia" w:ascii="宋体" w:hAnsi="宋体" w:eastAsia="宋体" w:cs="宋体"/>
                <w:color w:val="auto"/>
                <w:sz w:val="21"/>
                <w:szCs w:val="21"/>
                <w:highlight w:val="none"/>
              </w:rPr>
            </w:pPr>
            <w:bookmarkStart w:id="47" w:name="_Toc181364113"/>
            <w:r>
              <w:rPr>
                <w:rFonts w:hint="eastAsia" w:ascii="宋体" w:hAnsi="宋体" w:eastAsia="宋体" w:cs="宋体"/>
                <w:color w:val="auto"/>
                <w:sz w:val="21"/>
                <w:szCs w:val="21"/>
                <w:highlight w:val="none"/>
              </w:rPr>
              <w:t>数据及接口维护</w:t>
            </w:r>
            <w:bookmarkEnd w:id="47"/>
          </w:p>
          <w:p w14:paraId="29ED477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对平台提供数据及接口运维服务。</w:t>
            </w:r>
          </w:p>
          <w:p w14:paraId="506FD7A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问题数据处理：在使用平台过程中，因采购人对系统业务流程操作不当、数据输入错误、操作失误等多方因素造成的数据错误或数据混乱问题导致的数据问题提供数据定位、数据分析、数据调整、数据验证等运维服务工作。</w:t>
            </w:r>
          </w:p>
          <w:p w14:paraId="60FA79B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（2）由于系统优化、数据质量检查、数据标准变更等原因引起的批量数据处理或数据交接程序的维护。</w:t>
            </w:r>
          </w:p>
          <w:p w14:paraId="765587B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（3）国家局数据接口对接程序的维护，包括对接口程序的日常监控、维护、修改、优化和完善，以及由于数据标准变化、业务规则变化带来的程序的调整。</w:t>
            </w:r>
          </w:p>
          <w:p w14:paraId="34013EF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（4）通过政务服务一体化平台获取的共享数据对接程序的维护，包括对接口程序的日常监控、维护、修改、优化和完善，以及由于数据标准变化、业务规则变化带来的程序的调整。</w:t>
            </w:r>
          </w:p>
          <w:p w14:paraId="372A68F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（5）自治区共享交换平台数据对接、自治区公共数据资源对接程序的维护，包括对接口程序的日常监控、维护、修改、优化和完善，以及由于数据标准变化、业务规则变化带来的程序的调整。</w:t>
            </w:r>
          </w:p>
          <w:p w14:paraId="6EBE039C">
            <w:pPr>
              <w:pStyle w:val="9"/>
              <w:numPr>
                <w:ilvl w:val="2"/>
                <w:numId w:val="1"/>
              </w:numPr>
              <w:tabs>
                <w:tab w:val="left" w:pos="420"/>
              </w:tabs>
              <w:rPr>
                <w:rFonts w:hint="eastAsia" w:ascii="宋体" w:hAnsi="宋体" w:eastAsia="宋体" w:cs="宋体"/>
                <w:color w:val="auto"/>
                <w:sz w:val="21"/>
                <w:szCs w:val="21"/>
                <w:highlight w:val="none"/>
              </w:rPr>
            </w:pPr>
            <w:bookmarkStart w:id="48" w:name="_Toc181364114"/>
            <w:r>
              <w:rPr>
                <w:rFonts w:hint="eastAsia" w:ascii="宋体" w:hAnsi="宋体" w:eastAsia="宋体" w:cs="宋体"/>
                <w:color w:val="auto"/>
                <w:sz w:val="21"/>
                <w:szCs w:val="21"/>
                <w:highlight w:val="none"/>
              </w:rPr>
              <w:t>数据迁移</w:t>
            </w:r>
            <w:bookmarkEnd w:id="48"/>
          </w:p>
          <w:p w14:paraId="071927A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实际工作需要，完成数据迁移工作。例如：在原行政审批系统申请的事项存在部分事项办结时间跨度非常大，因此需要将陆续办结的这些事项数据迁移到新系统，以便新系统能够查询到这些事项的最新数据，并可基于这些数据进行发起变更申请。数据迁移涉及抽取、清洗、转换、加载等数据处理过程。</w:t>
            </w:r>
          </w:p>
          <w:p w14:paraId="0DFDD05C">
            <w:pPr>
              <w:pStyle w:val="9"/>
              <w:numPr>
                <w:ilvl w:val="2"/>
                <w:numId w:val="1"/>
              </w:numPr>
              <w:tabs>
                <w:tab w:val="left" w:pos="420"/>
              </w:tabs>
              <w:rPr>
                <w:rFonts w:hint="eastAsia" w:ascii="宋体" w:hAnsi="宋体" w:eastAsia="宋体" w:cs="宋体"/>
                <w:color w:val="auto"/>
                <w:sz w:val="21"/>
                <w:szCs w:val="21"/>
                <w:highlight w:val="none"/>
              </w:rPr>
            </w:pPr>
            <w:bookmarkStart w:id="49" w:name="_Toc181364115"/>
            <w:r>
              <w:rPr>
                <w:rFonts w:hint="eastAsia" w:ascii="宋体" w:hAnsi="宋体" w:eastAsia="宋体" w:cs="宋体"/>
                <w:color w:val="auto"/>
                <w:sz w:val="21"/>
                <w:szCs w:val="21"/>
                <w:highlight w:val="none"/>
              </w:rPr>
              <w:t>按要求增加、修改数据上报、共享内容</w:t>
            </w:r>
            <w:bookmarkEnd w:id="49"/>
          </w:p>
          <w:p w14:paraId="17AC866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业务要求增加、修改数据上报、共享内容；检查上报、共享数据时效性、准确性。包括对上报国家局、自治区政务数据资源共享交换平台上增加、修改数据共享内容，定时检查上报、共享数据的数量、最新更新时间等，协助解决上报、共享数据存在问题，协助对自治区政务数据资源共享交换平台的运维工作（包括：广西数字政务一体化平台、政务服务事项管理平台、政务信息共享交换平台）。</w:t>
            </w:r>
          </w:p>
          <w:p w14:paraId="4F125D16">
            <w:pPr>
              <w:pStyle w:val="9"/>
              <w:numPr>
                <w:ilvl w:val="2"/>
                <w:numId w:val="1"/>
              </w:numPr>
              <w:tabs>
                <w:tab w:val="left" w:pos="420"/>
              </w:tabs>
              <w:rPr>
                <w:rFonts w:hint="eastAsia" w:ascii="宋体" w:hAnsi="宋体" w:eastAsia="宋体" w:cs="宋体"/>
                <w:color w:val="auto"/>
                <w:sz w:val="21"/>
                <w:szCs w:val="21"/>
                <w:highlight w:val="none"/>
              </w:rPr>
            </w:pPr>
            <w:bookmarkStart w:id="50" w:name="_Toc181364116"/>
            <w:r>
              <w:rPr>
                <w:rFonts w:hint="eastAsia" w:ascii="宋体" w:hAnsi="宋体" w:eastAsia="宋体" w:cs="宋体"/>
                <w:color w:val="auto"/>
                <w:sz w:val="21"/>
                <w:szCs w:val="21"/>
                <w:highlight w:val="none"/>
              </w:rPr>
              <w:t>因管辖单位迁移等业务原因而进行的批量数据处理</w:t>
            </w:r>
            <w:bookmarkEnd w:id="50"/>
          </w:p>
          <w:p w14:paraId="335E7341">
            <w:pPr>
              <w:pStyle w:val="5"/>
              <w:ind w:firstLine="56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因管辖单位迁移等业务原因而进行的批量数据处理，包括脚本编写、调试、测试以及在正式环境的执行。</w:t>
            </w:r>
          </w:p>
          <w:p w14:paraId="0D629D37">
            <w:pPr>
              <w:pStyle w:val="8"/>
              <w:numPr>
                <w:ilvl w:val="1"/>
                <w:numId w:val="1"/>
              </w:numPr>
              <w:tabs>
                <w:tab w:val="left" w:pos="420"/>
              </w:tabs>
              <w:rPr>
                <w:rFonts w:hint="eastAsia" w:ascii="宋体" w:hAnsi="宋体" w:cs="宋体"/>
                <w:color w:val="auto"/>
                <w:sz w:val="21"/>
                <w:szCs w:val="21"/>
                <w:highlight w:val="none"/>
              </w:rPr>
            </w:pPr>
            <w:r>
              <w:rPr>
                <w:rFonts w:hint="eastAsia" w:ascii="宋体" w:hAnsi="宋体" w:cs="宋体"/>
                <w:color w:val="auto"/>
                <w:sz w:val="21"/>
                <w:szCs w:val="21"/>
                <w:highlight w:val="none"/>
              </w:rPr>
              <w:t>低代码快速开发框架质保期延续1年</w:t>
            </w:r>
          </w:p>
          <w:p w14:paraId="2D8916A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向低代码快速开发平台厂商购买1年质保延续及框架级升级服务，服务标准等同于质保期内服务。</w:t>
            </w:r>
          </w:p>
          <w:p w14:paraId="4D8F68E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低代码快速开发平台是广西药品智慧监管平台的基础开发框架，面向平台内所有的子系统。</w:t>
            </w:r>
          </w:p>
          <w:p w14:paraId="515EB44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低代码快速开发平台</w:t>
            </w:r>
          </w:p>
          <w:p w14:paraId="6941145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新建表单引擎、工作流引擎、BI引擎、数据引擎、报表引擎、权限引擎、消息引擎以及任务引擎。表单引擎提供可视化PC表单设计和移动表单设计，并可支持外部表单的注册，可视化表单设计能够从ER模型拖拽属性到表单中实现快速设计，提供多表单组合生成多种页面模型(包括:自由组合页面、列表页面、树形页面、移动页面);工作流引擎要支持对不同流程节点配置不同表单并能够设置表单控件的可编辑、必填等权限，办理规则支持多人并行、多人顺序、多人任意、多人并行，支持设置节点自动选人、隐藏选人框操作，节点支持按天、小时、分、秒设置超时提醒的功能，流程节点支持自定义按钮设置</w:t>
            </w:r>
          </w:p>
          <w:p w14:paraId="38AC127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（2）开发可视化操作模式，实现快速开发表单、报表、小程序、移动APP审批流程等业务。</w:t>
            </w:r>
          </w:p>
          <w:p w14:paraId="10E5073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（3）开发应用API接口，实现国家局、自治区大数据发展局对采购人业务系统的智能化、规范化要求。</w:t>
            </w:r>
          </w:p>
          <w:p w14:paraId="4BC75895">
            <w:pPr>
              <w:pStyle w:val="8"/>
              <w:numPr>
                <w:ilvl w:val="1"/>
                <w:numId w:val="1"/>
              </w:numPr>
              <w:tabs>
                <w:tab w:val="left" w:pos="420"/>
              </w:tabs>
              <w:rPr>
                <w:rFonts w:hint="eastAsia" w:ascii="宋体" w:hAnsi="宋体" w:cs="宋体"/>
                <w:color w:val="auto"/>
                <w:sz w:val="21"/>
                <w:szCs w:val="21"/>
                <w:highlight w:val="none"/>
              </w:rPr>
            </w:pPr>
            <w:r>
              <w:rPr>
                <w:rFonts w:hint="eastAsia" w:ascii="宋体" w:hAnsi="宋体" w:cs="宋体"/>
                <w:color w:val="auto"/>
                <w:sz w:val="21"/>
                <w:szCs w:val="21"/>
                <w:highlight w:val="none"/>
              </w:rPr>
              <w:t>电子地图定位服务</w:t>
            </w:r>
          </w:p>
          <w:p w14:paraId="11DE4F3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向电子地图供应商购买1年商用授权，确保平台合规使用地图定位功能。</w:t>
            </w:r>
          </w:p>
        </w:tc>
      </w:tr>
    </w:tbl>
    <w:p w14:paraId="15EF8D17">
      <w:pPr>
        <w:rPr>
          <w:b/>
          <w:bCs/>
          <w:color w:val="auto"/>
          <w:szCs w:val="21"/>
          <w:highlight w:val="none"/>
        </w:rPr>
      </w:pPr>
    </w:p>
    <w:p w14:paraId="091F1CD5">
      <w:pPr>
        <w:rPr>
          <w:b/>
          <w:bCs/>
          <w:color w:val="auto"/>
          <w:szCs w:val="21"/>
          <w:highlight w:val="none"/>
        </w:rPr>
      </w:pPr>
      <w:r>
        <w:rPr>
          <w:rFonts w:hint="eastAsia"/>
          <w:b/>
          <w:bCs/>
          <w:color w:val="auto"/>
          <w:szCs w:val="21"/>
          <w:highlight w:val="none"/>
        </w:rPr>
        <w:br w:type="page"/>
      </w:r>
    </w:p>
    <w:tbl>
      <w:tblPr>
        <w:tblStyle w:val="53"/>
        <w:tblW w:w="9464"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
      <w:tblGrid>
        <w:gridCol w:w="534"/>
        <w:gridCol w:w="1134"/>
        <w:gridCol w:w="7796"/>
      </w:tblGrid>
      <w:tr w14:paraId="1AD206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2CCB788C">
            <w:pPr>
              <w:spacing w:line="360" w:lineRule="exact"/>
              <w:jc w:val="center"/>
              <w:rPr>
                <w:color w:val="auto"/>
                <w:szCs w:val="21"/>
                <w:highlight w:val="none"/>
              </w:rPr>
            </w:pPr>
            <w:r>
              <w:rPr>
                <w:color w:val="auto"/>
                <w:szCs w:val="21"/>
                <w:highlight w:val="none"/>
              </w:rPr>
              <w:t>序号</w:t>
            </w:r>
          </w:p>
        </w:tc>
        <w:tc>
          <w:tcPr>
            <w:tcW w:w="1134" w:type="dxa"/>
            <w:tcBorders>
              <w:top w:val="single" w:color="auto" w:sz="4" w:space="0"/>
              <w:left w:val="single" w:color="auto" w:sz="4" w:space="0"/>
              <w:bottom w:val="single" w:color="auto" w:sz="4" w:space="0"/>
              <w:right w:val="single" w:color="auto" w:sz="4" w:space="0"/>
            </w:tcBorders>
            <w:vAlign w:val="center"/>
          </w:tcPr>
          <w:p w14:paraId="0CEC1CC7">
            <w:pPr>
              <w:spacing w:line="360" w:lineRule="exact"/>
              <w:jc w:val="center"/>
              <w:rPr>
                <w:color w:val="auto"/>
                <w:szCs w:val="21"/>
                <w:highlight w:val="none"/>
              </w:rPr>
            </w:pPr>
            <w:r>
              <w:rPr>
                <w:color w:val="auto"/>
                <w:szCs w:val="21"/>
                <w:highlight w:val="none"/>
              </w:rPr>
              <w:t>商务条款</w:t>
            </w:r>
          </w:p>
        </w:tc>
        <w:tc>
          <w:tcPr>
            <w:tcW w:w="7796" w:type="dxa"/>
            <w:tcBorders>
              <w:top w:val="single" w:color="auto" w:sz="4" w:space="0"/>
              <w:left w:val="single" w:color="auto" w:sz="4" w:space="0"/>
              <w:bottom w:val="single" w:color="auto" w:sz="4" w:space="0"/>
              <w:right w:val="single" w:color="auto" w:sz="4" w:space="0"/>
            </w:tcBorders>
            <w:vAlign w:val="center"/>
          </w:tcPr>
          <w:p w14:paraId="79604EF8">
            <w:pPr>
              <w:spacing w:line="300" w:lineRule="exact"/>
              <w:jc w:val="center"/>
              <w:rPr>
                <w:color w:val="auto"/>
                <w:szCs w:val="21"/>
                <w:highlight w:val="none"/>
              </w:rPr>
            </w:pPr>
            <w:r>
              <w:rPr>
                <w:color w:val="auto"/>
                <w:szCs w:val="21"/>
                <w:highlight w:val="none"/>
              </w:rPr>
              <w:t>商务要求</w:t>
            </w:r>
          </w:p>
        </w:tc>
      </w:tr>
      <w:tr w14:paraId="46C4B3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4CA793A6">
            <w:pPr>
              <w:spacing w:line="360" w:lineRule="exact"/>
              <w:jc w:val="center"/>
              <w:rPr>
                <w:color w:val="auto"/>
                <w:szCs w:val="21"/>
                <w:highlight w:val="none"/>
              </w:rPr>
            </w:pPr>
            <w:r>
              <w:rPr>
                <w:rFonts w:hint="eastAsia"/>
                <w:color w:val="auto"/>
                <w:szCs w:val="21"/>
                <w:highlight w:val="none"/>
              </w:rPr>
              <w:t>1</w:t>
            </w:r>
          </w:p>
        </w:tc>
        <w:tc>
          <w:tcPr>
            <w:tcW w:w="1134" w:type="dxa"/>
            <w:tcBorders>
              <w:top w:val="single" w:color="auto" w:sz="4" w:space="0"/>
              <w:left w:val="single" w:color="auto" w:sz="4" w:space="0"/>
              <w:bottom w:val="single" w:color="auto" w:sz="4" w:space="0"/>
              <w:right w:val="single" w:color="auto" w:sz="4" w:space="0"/>
            </w:tcBorders>
            <w:vAlign w:val="center"/>
          </w:tcPr>
          <w:p w14:paraId="2D72BE04">
            <w:pPr>
              <w:spacing w:line="360" w:lineRule="exact"/>
              <w:jc w:val="center"/>
              <w:rPr>
                <w:color w:val="auto"/>
                <w:szCs w:val="21"/>
                <w:highlight w:val="none"/>
              </w:rPr>
            </w:pPr>
            <w:r>
              <w:rPr>
                <w:color w:val="auto"/>
                <w:szCs w:val="21"/>
                <w:highlight w:val="none"/>
              </w:rPr>
              <w:t>▲报价要求</w:t>
            </w:r>
          </w:p>
        </w:tc>
        <w:tc>
          <w:tcPr>
            <w:tcW w:w="7796" w:type="dxa"/>
            <w:tcBorders>
              <w:top w:val="single" w:color="auto" w:sz="4" w:space="0"/>
              <w:left w:val="single" w:color="auto" w:sz="4" w:space="0"/>
              <w:bottom w:val="single" w:color="auto" w:sz="4" w:space="0"/>
              <w:right w:val="single" w:color="auto" w:sz="4" w:space="0"/>
            </w:tcBorders>
            <w:vAlign w:val="center"/>
          </w:tcPr>
          <w:p w14:paraId="62A1E6F5">
            <w:pPr>
              <w:spacing w:line="300" w:lineRule="exact"/>
              <w:jc w:val="left"/>
              <w:rPr>
                <w:color w:val="auto"/>
                <w:szCs w:val="21"/>
                <w:highlight w:val="none"/>
              </w:rPr>
            </w:pPr>
            <w:r>
              <w:rPr>
                <w:rFonts w:hint="eastAsia"/>
                <w:color w:val="auto"/>
                <w:szCs w:val="21"/>
                <w:highlight w:val="none"/>
              </w:rPr>
              <w:t>本次报价须为人民币报价，报价应包含了但并不限于完成本项目服务所有内容及其他相关服务的投入、系统实施(含咨询）、软件开发、运行维护、专席应答、项目验收费、附加培训、税金、利润及其他所有可能发生的一切费用。项目实施过程中，采购人不再支付任何费用。在合同实施时，采购人将不予支付供应商没有列入的项目费用，并认为此项目的费用已包括在总报价中。</w:t>
            </w:r>
          </w:p>
        </w:tc>
      </w:tr>
      <w:tr w14:paraId="414DAB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F7E4CB9">
            <w:pPr>
              <w:spacing w:line="360" w:lineRule="exact"/>
              <w:jc w:val="center"/>
              <w:rPr>
                <w:color w:val="auto"/>
                <w:szCs w:val="21"/>
                <w:highlight w:val="none"/>
              </w:rPr>
            </w:pPr>
            <w:r>
              <w:rPr>
                <w:rFonts w:hint="eastAsia"/>
                <w:color w:val="auto"/>
                <w:szCs w:val="21"/>
                <w:highlight w:val="none"/>
              </w:rPr>
              <w:t>2</w:t>
            </w:r>
          </w:p>
        </w:tc>
        <w:tc>
          <w:tcPr>
            <w:tcW w:w="1134" w:type="dxa"/>
            <w:tcBorders>
              <w:top w:val="single" w:color="auto" w:sz="4" w:space="0"/>
              <w:left w:val="single" w:color="auto" w:sz="4" w:space="0"/>
              <w:bottom w:val="single" w:color="auto" w:sz="4" w:space="0"/>
              <w:right w:val="single" w:color="auto" w:sz="4" w:space="0"/>
            </w:tcBorders>
            <w:vAlign w:val="center"/>
          </w:tcPr>
          <w:p w14:paraId="28AE83AA">
            <w:pPr>
              <w:spacing w:line="360" w:lineRule="exact"/>
              <w:jc w:val="center"/>
              <w:rPr>
                <w:color w:val="auto"/>
                <w:szCs w:val="21"/>
                <w:highlight w:val="none"/>
              </w:rPr>
            </w:pPr>
            <w:r>
              <w:rPr>
                <w:color w:val="auto"/>
                <w:szCs w:val="21"/>
                <w:highlight w:val="none"/>
              </w:rPr>
              <w:t>合同签订日期</w:t>
            </w:r>
          </w:p>
        </w:tc>
        <w:tc>
          <w:tcPr>
            <w:tcW w:w="7796" w:type="dxa"/>
            <w:tcBorders>
              <w:top w:val="single" w:color="auto" w:sz="4" w:space="0"/>
              <w:left w:val="single" w:color="auto" w:sz="4" w:space="0"/>
              <w:bottom w:val="single" w:color="auto" w:sz="4" w:space="0"/>
              <w:right w:val="single" w:color="auto" w:sz="4" w:space="0"/>
            </w:tcBorders>
            <w:vAlign w:val="center"/>
          </w:tcPr>
          <w:p w14:paraId="558142CF">
            <w:pPr>
              <w:spacing w:line="300" w:lineRule="exact"/>
              <w:rPr>
                <w:color w:val="auto"/>
                <w:szCs w:val="21"/>
                <w:highlight w:val="none"/>
              </w:rPr>
            </w:pPr>
            <w:r>
              <w:rPr>
                <w:color w:val="auto"/>
                <w:szCs w:val="21"/>
                <w:highlight w:val="none"/>
              </w:rPr>
              <w:t>成交通知书发出后</w:t>
            </w:r>
            <w:r>
              <w:rPr>
                <w:rFonts w:hint="eastAsia"/>
                <w:color w:val="auto"/>
                <w:szCs w:val="21"/>
                <w:highlight w:val="none"/>
              </w:rPr>
              <w:t>25</w:t>
            </w:r>
            <w:r>
              <w:rPr>
                <w:color w:val="auto"/>
                <w:szCs w:val="21"/>
                <w:highlight w:val="none"/>
              </w:rPr>
              <w:t>日内。</w:t>
            </w:r>
          </w:p>
        </w:tc>
      </w:tr>
      <w:tr w14:paraId="0F0B4D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tcPr>
          <w:p w14:paraId="0CE2D9A4">
            <w:pPr>
              <w:spacing w:line="360" w:lineRule="exact"/>
              <w:jc w:val="center"/>
              <w:rPr>
                <w:color w:val="auto"/>
                <w:szCs w:val="21"/>
                <w:highlight w:val="none"/>
              </w:rPr>
            </w:pPr>
            <w:r>
              <w:rPr>
                <w:rFonts w:hint="eastAsia"/>
                <w:color w:val="auto"/>
                <w:szCs w:val="21"/>
                <w:highlight w:val="none"/>
              </w:rPr>
              <w:t>3</w:t>
            </w:r>
          </w:p>
        </w:tc>
        <w:tc>
          <w:tcPr>
            <w:tcW w:w="1134" w:type="dxa"/>
            <w:tcBorders>
              <w:top w:val="single" w:color="auto" w:sz="4" w:space="0"/>
              <w:left w:val="single" w:color="auto" w:sz="4" w:space="0"/>
              <w:bottom w:val="single" w:color="auto" w:sz="4" w:space="0"/>
              <w:right w:val="single" w:color="auto" w:sz="4" w:space="0"/>
            </w:tcBorders>
          </w:tcPr>
          <w:p w14:paraId="48062781">
            <w:pPr>
              <w:spacing w:line="360" w:lineRule="exact"/>
              <w:jc w:val="center"/>
              <w:rPr>
                <w:color w:val="auto"/>
                <w:szCs w:val="21"/>
                <w:highlight w:val="none"/>
              </w:rPr>
            </w:pPr>
            <w:r>
              <w:rPr>
                <w:rFonts w:hint="eastAsia"/>
                <w:color w:val="auto"/>
                <w:szCs w:val="21"/>
                <w:highlight w:val="none"/>
              </w:rPr>
              <w:t>提交服务时间</w:t>
            </w:r>
          </w:p>
        </w:tc>
        <w:tc>
          <w:tcPr>
            <w:tcW w:w="7796" w:type="dxa"/>
            <w:tcBorders>
              <w:top w:val="single" w:color="auto" w:sz="4" w:space="0"/>
              <w:left w:val="single" w:color="auto" w:sz="4" w:space="0"/>
              <w:bottom w:val="single" w:color="auto" w:sz="4" w:space="0"/>
              <w:right w:val="single" w:color="auto" w:sz="4" w:space="0"/>
            </w:tcBorders>
          </w:tcPr>
          <w:p w14:paraId="176C6258">
            <w:pPr>
              <w:spacing w:line="300" w:lineRule="exact"/>
              <w:rPr>
                <w:color w:val="auto"/>
                <w:szCs w:val="21"/>
                <w:highlight w:val="none"/>
              </w:rPr>
            </w:pPr>
            <w:r>
              <w:rPr>
                <w:rFonts w:hint="eastAsia"/>
                <w:color w:val="auto"/>
                <w:szCs w:val="21"/>
                <w:highlight w:val="none"/>
              </w:rPr>
              <w:t>自2026年10月12日起入场提供服务，服务期限12个月。</w:t>
            </w:r>
          </w:p>
        </w:tc>
      </w:tr>
      <w:tr w14:paraId="11A49B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458" w:hRule="atLeast"/>
          <w:jc w:val="center"/>
        </w:trPr>
        <w:tc>
          <w:tcPr>
            <w:tcW w:w="534" w:type="dxa"/>
            <w:tcBorders>
              <w:top w:val="single" w:color="auto" w:sz="4" w:space="0"/>
              <w:left w:val="single" w:color="auto" w:sz="4" w:space="0"/>
              <w:bottom w:val="single" w:color="auto" w:sz="4" w:space="0"/>
              <w:right w:val="single" w:color="auto" w:sz="4" w:space="0"/>
            </w:tcBorders>
          </w:tcPr>
          <w:p w14:paraId="7DAF9C8B">
            <w:pPr>
              <w:spacing w:line="360" w:lineRule="exact"/>
              <w:jc w:val="center"/>
              <w:rPr>
                <w:color w:val="auto"/>
                <w:szCs w:val="21"/>
                <w:highlight w:val="none"/>
              </w:rPr>
            </w:pPr>
            <w:r>
              <w:rPr>
                <w:rFonts w:hint="eastAsia"/>
                <w:color w:val="auto"/>
                <w:szCs w:val="21"/>
                <w:highlight w:val="none"/>
              </w:rPr>
              <w:t>4</w:t>
            </w:r>
          </w:p>
        </w:tc>
        <w:tc>
          <w:tcPr>
            <w:tcW w:w="1134" w:type="dxa"/>
            <w:tcBorders>
              <w:top w:val="single" w:color="auto" w:sz="4" w:space="0"/>
              <w:left w:val="single" w:color="auto" w:sz="4" w:space="0"/>
              <w:bottom w:val="single" w:color="auto" w:sz="4" w:space="0"/>
              <w:right w:val="single" w:color="auto" w:sz="4" w:space="0"/>
            </w:tcBorders>
          </w:tcPr>
          <w:p w14:paraId="1E1FD24F">
            <w:pPr>
              <w:spacing w:line="360" w:lineRule="exact"/>
              <w:jc w:val="center"/>
              <w:rPr>
                <w:color w:val="auto"/>
                <w:szCs w:val="21"/>
                <w:highlight w:val="none"/>
              </w:rPr>
            </w:pPr>
            <w:r>
              <w:rPr>
                <w:rFonts w:hint="eastAsia"/>
                <w:color w:val="auto"/>
                <w:szCs w:val="21"/>
                <w:highlight w:val="none"/>
              </w:rPr>
              <w:t>服务地点</w:t>
            </w:r>
          </w:p>
        </w:tc>
        <w:tc>
          <w:tcPr>
            <w:tcW w:w="7796" w:type="dxa"/>
            <w:tcBorders>
              <w:top w:val="single" w:color="auto" w:sz="4" w:space="0"/>
              <w:left w:val="single" w:color="auto" w:sz="4" w:space="0"/>
              <w:bottom w:val="single" w:color="auto" w:sz="4" w:space="0"/>
              <w:right w:val="single" w:color="auto" w:sz="4" w:space="0"/>
            </w:tcBorders>
          </w:tcPr>
          <w:p w14:paraId="5FFBEC28">
            <w:pPr>
              <w:spacing w:line="300" w:lineRule="exact"/>
              <w:rPr>
                <w:color w:val="auto"/>
                <w:szCs w:val="21"/>
                <w:highlight w:val="none"/>
              </w:rPr>
            </w:pPr>
            <w:r>
              <w:rPr>
                <w:rFonts w:hint="eastAsia"/>
                <w:color w:val="auto"/>
                <w:szCs w:val="21"/>
                <w:highlight w:val="none"/>
              </w:rPr>
              <w:t>广西南宁市采购人指定地点。</w:t>
            </w:r>
          </w:p>
        </w:tc>
      </w:tr>
      <w:tr w14:paraId="6CD23B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AC68747">
            <w:pPr>
              <w:jc w:val="center"/>
              <w:rPr>
                <w:color w:val="auto"/>
                <w:szCs w:val="21"/>
                <w:highlight w:val="none"/>
              </w:rPr>
            </w:pPr>
            <w:r>
              <w:rPr>
                <w:rFonts w:hint="eastAsia"/>
                <w:color w:val="auto"/>
                <w:szCs w:val="21"/>
                <w:highlight w:val="none"/>
              </w:rPr>
              <w:t>5</w:t>
            </w:r>
          </w:p>
        </w:tc>
        <w:tc>
          <w:tcPr>
            <w:tcW w:w="1134" w:type="dxa"/>
            <w:tcBorders>
              <w:top w:val="single" w:color="auto" w:sz="4" w:space="0"/>
              <w:left w:val="single" w:color="auto" w:sz="4" w:space="0"/>
              <w:bottom w:val="single" w:color="auto" w:sz="4" w:space="0"/>
              <w:right w:val="single" w:color="auto" w:sz="4" w:space="0"/>
            </w:tcBorders>
            <w:vAlign w:val="center"/>
          </w:tcPr>
          <w:p w14:paraId="52E9FF21">
            <w:pPr>
              <w:spacing w:line="360" w:lineRule="exact"/>
              <w:jc w:val="center"/>
              <w:rPr>
                <w:color w:val="auto"/>
                <w:szCs w:val="21"/>
                <w:highlight w:val="none"/>
              </w:rPr>
            </w:pPr>
            <w:r>
              <w:rPr>
                <w:rFonts w:hint="eastAsia"/>
                <w:color w:val="auto"/>
                <w:szCs w:val="21"/>
                <w:highlight w:val="none"/>
              </w:rPr>
              <w:t>▲服务及响应要求</w:t>
            </w:r>
          </w:p>
        </w:tc>
        <w:tc>
          <w:tcPr>
            <w:tcW w:w="7796" w:type="dxa"/>
            <w:tcBorders>
              <w:top w:val="single" w:color="auto" w:sz="4" w:space="0"/>
              <w:left w:val="single" w:color="auto" w:sz="4" w:space="0"/>
              <w:bottom w:val="single" w:color="auto" w:sz="4" w:space="0"/>
              <w:right w:val="single" w:color="auto" w:sz="4" w:space="0"/>
            </w:tcBorders>
            <w:vAlign w:val="center"/>
          </w:tcPr>
          <w:p w14:paraId="454627F2">
            <w:pPr>
              <w:spacing w:line="300" w:lineRule="exact"/>
              <w:rPr>
                <w:color w:val="auto"/>
                <w:szCs w:val="21"/>
                <w:highlight w:val="none"/>
              </w:rPr>
            </w:pPr>
            <w:r>
              <w:rPr>
                <w:rFonts w:hint="eastAsia"/>
                <w:color w:val="auto"/>
                <w:szCs w:val="21"/>
                <w:highlight w:val="none"/>
              </w:rPr>
              <w:t>(1)成交供应商应派出专职技术人员负责本项目服务。</w:t>
            </w:r>
          </w:p>
          <w:p w14:paraId="5E4F364E">
            <w:pPr>
              <w:spacing w:line="300" w:lineRule="exact"/>
              <w:rPr>
                <w:color w:val="auto"/>
                <w:szCs w:val="21"/>
                <w:highlight w:val="none"/>
              </w:rPr>
            </w:pPr>
            <w:r>
              <w:rPr>
                <w:rFonts w:hint="eastAsia"/>
                <w:color w:val="auto"/>
                <w:szCs w:val="21"/>
                <w:highlight w:val="none"/>
              </w:rPr>
              <w:t>(2)技术人员应在接到故障通知后2个小时内响应并及时处理；接到到场通知后2小时内到达现场；。</w:t>
            </w:r>
          </w:p>
        </w:tc>
      </w:tr>
      <w:tr w14:paraId="7E8C4B2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33F13C63">
            <w:pPr>
              <w:spacing w:line="360" w:lineRule="exact"/>
              <w:jc w:val="center"/>
              <w:rPr>
                <w:color w:val="auto"/>
                <w:szCs w:val="21"/>
                <w:highlight w:val="none"/>
              </w:rPr>
            </w:pPr>
            <w:r>
              <w:rPr>
                <w:rFonts w:hint="eastAsia"/>
                <w:color w:val="auto"/>
                <w:szCs w:val="21"/>
                <w:highlight w:val="none"/>
              </w:rPr>
              <w:t>6</w:t>
            </w:r>
          </w:p>
        </w:tc>
        <w:tc>
          <w:tcPr>
            <w:tcW w:w="1134" w:type="dxa"/>
            <w:tcBorders>
              <w:top w:val="single" w:color="auto" w:sz="4" w:space="0"/>
              <w:left w:val="single" w:color="auto" w:sz="4" w:space="0"/>
              <w:bottom w:val="single" w:color="auto" w:sz="4" w:space="0"/>
              <w:right w:val="single" w:color="auto" w:sz="4" w:space="0"/>
            </w:tcBorders>
            <w:vAlign w:val="center"/>
          </w:tcPr>
          <w:p w14:paraId="4F757502">
            <w:pPr>
              <w:spacing w:line="360" w:lineRule="exact"/>
              <w:jc w:val="center"/>
              <w:rPr>
                <w:color w:val="auto"/>
                <w:szCs w:val="21"/>
                <w:highlight w:val="none"/>
              </w:rPr>
            </w:pPr>
            <w:r>
              <w:rPr>
                <w:rFonts w:hint="eastAsia" w:ascii="宋体" w:hAnsi="宋体" w:cs="宋体"/>
                <w:color w:val="auto"/>
                <w:szCs w:val="21"/>
                <w:highlight w:val="none"/>
              </w:rPr>
              <w:t>▲</w:t>
            </w:r>
            <w:r>
              <w:rPr>
                <w:rFonts w:hint="eastAsia" w:ascii="宋体" w:hAnsi="宋体" w:cs="宋体"/>
                <w:color w:val="auto"/>
                <w:highlight w:val="none"/>
              </w:rPr>
              <w:t>保密要求</w:t>
            </w:r>
          </w:p>
        </w:tc>
        <w:tc>
          <w:tcPr>
            <w:tcW w:w="7796" w:type="dxa"/>
            <w:tcBorders>
              <w:top w:val="single" w:color="auto" w:sz="4" w:space="0"/>
              <w:left w:val="single" w:color="auto" w:sz="4" w:space="0"/>
              <w:bottom w:val="single" w:color="auto" w:sz="4" w:space="0"/>
              <w:right w:val="single" w:color="auto" w:sz="4" w:space="0"/>
            </w:tcBorders>
            <w:vAlign w:val="center"/>
          </w:tcPr>
          <w:p w14:paraId="78F77847">
            <w:pPr>
              <w:spacing w:line="300" w:lineRule="exact"/>
              <w:jc w:val="left"/>
              <w:rPr>
                <w:color w:val="auto"/>
                <w:szCs w:val="21"/>
                <w:highlight w:val="none"/>
              </w:rPr>
            </w:pPr>
            <w:r>
              <w:rPr>
                <w:rFonts w:hint="eastAsia"/>
                <w:color w:val="auto"/>
                <w:szCs w:val="21"/>
                <w:highlight w:val="none"/>
              </w:rPr>
              <w:t>供应商须保证对所有系统资料、口令和数据负有保密的责任和义务，未经采购人许可，不允许向第三方透露。</w:t>
            </w:r>
          </w:p>
        </w:tc>
      </w:tr>
      <w:tr w14:paraId="056AB62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5BB451C4">
            <w:pPr>
              <w:spacing w:line="360" w:lineRule="exact"/>
              <w:jc w:val="center"/>
              <w:rPr>
                <w:color w:val="auto"/>
                <w:szCs w:val="21"/>
                <w:highlight w:val="none"/>
              </w:rPr>
            </w:pPr>
            <w:r>
              <w:rPr>
                <w:rFonts w:hint="eastAsia"/>
                <w:color w:val="auto"/>
                <w:szCs w:val="21"/>
                <w:highlight w:val="none"/>
              </w:rPr>
              <w:t>7</w:t>
            </w:r>
          </w:p>
        </w:tc>
        <w:tc>
          <w:tcPr>
            <w:tcW w:w="1134" w:type="dxa"/>
            <w:tcBorders>
              <w:top w:val="single" w:color="auto" w:sz="4" w:space="0"/>
              <w:left w:val="single" w:color="auto" w:sz="4" w:space="0"/>
              <w:bottom w:val="single" w:color="auto" w:sz="4" w:space="0"/>
              <w:right w:val="single" w:color="auto" w:sz="4" w:space="0"/>
            </w:tcBorders>
            <w:vAlign w:val="center"/>
          </w:tcPr>
          <w:p w14:paraId="318213B0">
            <w:pPr>
              <w:spacing w:line="360" w:lineRule="exact"/>
              <w:jc w:val="center"/>
              <w:rPr>
                <w:color w:val="auto"/>
                <w:szCs w:val="21"/>
                <w:highlight w:val="none"/>
              </w:rPr>
            </w:pPr>
            <w:r>
              <w:rPr>
                <w:rFonts w:hint="eastAsia"/>
                <w:color w:val="auto"/>
                <w:szCs w:val="21"/>
                <w:highlight w:val="none"/>
              </w:rPr>
              <w:t>验收标准和要求</w:t>
            </w:r>
          </w:p>
        </w:tc>
        <w:tc>
          <w:tcPr>
            <w:tcW w:w="7796" w:type="dxa"/>
            <w:tcBorders>
              <w:top w:val="single" w:color="auto" w:sz="4" w:space="0"/>
              <w:left w:val="single" w:color="auto" w:sz="4" w:space="0"/>
              <w:bottom w:val="single" w:color="auto" w:sz="4" w:space="0"/>
              <w:right w:val="single" w:color="auto" w:sz="4" w:space="0"/>
            </w:tcBorders>
            <w:vAlign w:val="center"/>
          </w:tcPr>
          <w:p w14:paraId="6F1BE692">
            <w:pPr>
              <w:spacing w:line="300" w:lineRule="exact"/>
              <w:jc w:val="left"/>
              <w:rPr>
                <w:color w:val="auto"/>
                <w:szCs w:val="21"/>
                <w:highlight w:val="none"/>
              </w:rPr>
            </w:pPr>
            <w:r>
              <w:rPr>
                <w:rFonts w:hint="eastAsia"/>
                <w:color w:val="auto"/>
                <w:szCs w:val="21"/>
                <w:highlight w:val="none"/>
              </w:rPr>
              <w:t>1.验收标准原则上按照《广西壮族自治区政府采购项目履约验收管理办法》的有关要求进行。</w:t>
            </w:r>
          </w:p>
          <w:p w14:paraId="591096DD">
            <w:pPr>
              <w:spacing w:line="300" w:lineRule="exact"/>
              <w:jc w:val="left"/>
              <w:rPr>
                <w:color w:val="auto"/>
                <w:szCs w:val="21"/>
                <w:highlight w:val="none"/>
              </w:rPr>
            </w:pPr>
            <w:r>
              <w:rPr>
                <w:rFonts w:hint="eastAsia"/>
                <w:color w:val="auto"/>
                <w:szCs w:val="21"/>
                <w:highlight w:val="none"/>
              </w:rPr>
              <w:t>2.验收过程中所产生的一切费用均由供应商承担。</w:t>
            </w:r>
          </w:p>
          <w:p w14:paraId="4C439082">
            <w:pPr>
              <w:spacing w:line="300" w:lineRule="exact"/>
              <w:jc w:val="left"/>
              <w:rPr>
                <w:color w:val="auto"/>
                <w:szCs w:val="21"/>
                <w:highlight w:val="none"/>
              </w:rPr>
            </w:pPr>
            <w:r>
              <w:rPr>
                <w:rFonts w:hint="eastAsia"/>
                <w:color w:val="auto"/>
                <w:szCs w:val="21"/>
                <w:highlight w:val="none"/>
              </w:rPr>
              <w:t>3.验收时，由采购人对照合同条款进行核验。如不符合采购文件的技术需求及要求以及提供虚假承诺的，按相关规定作违约处理，供应商承担所有责任和费用，采购人保留进一步追究责任的权利。</w:t>
            </w:r>
          </w:p>
          <w:p w14:paraId="2742B2BB">
            <w:pPr>
              <w:spacing w:line="300" w:lineRule="exact"/>
              <w:jc w:val="left"/>
              <w:rPr>
                <w:color w:val="auto"/>
                <w:szCs w:val="21"/>
                <w:highlight w:val="none"/>
              </w:rPr>
            </w:pPr>
            <w:r>
              <w:rPr>
                <w:rFonts w:hint="eastAsia"/>
                <w:color w:val="auto"/>
                <w:szCs w:val="21"/>
                <w:highlight w:val="none"/>
              </w:rPr>
              <w:t xml:space="preserve">4.其他按合同条款的约定。  </w:t>
            </w:r>
          </w:p>
        </w:tc>
      </w:tr>
      <w:tr w14:paraId="48AC259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5D0BB9E5">
            <w:pPr>
              <w:spacing w:line="360" w:lineRule="exact"/>
              <w:jc w:val="center"/>
              <w:rPr>
                <w:color w:val="auto"/>
                <w:szCs w:val="21"/>
                <w:highlight w:val="none"/>
              </w:rPr>
            </w:pPr>
            <w:r>
              <w:rPr>
                <w:rFonts w:hint="eastAsia"/>
                <w:color w:val="auto"/>
                <w:szCs w:val="21"/>
                <w:highlight w:val="none"/>
              </w:rPr>
              <w:t>8</w:t>
            </w:r>
          </w:p>
        </w:tc>
        <w:tc>
          <w:tcPr>
            <w:tcW w:w="1134" w:type="dxa"/>
            <w:tcBorders>
              <w:top w:val="single" w:color="auto" w:sz="4" w:space="0"/>
              <w:left w:val="single" w:color="auto" w:sz="4" w:space="0"/>
              <w:bottom w:val="single" w:color="auto" w:sz="4" w:space="0"/>
              <w:right w:val="single" w:color="auto" w:sz="4" w:space="0"/>
            </w:tcBorders>
            <w:vAlign w:val="center"/>
          </w:tcPr>
          <w:p w14:paraId="39EC0DE6">
            <w:pPr>
              <w:spacing w:line="360" w:lineRule="exact"/>
              <w:jc w:val="center"/>
              <w:rPr>
                <w:color w:val="auto"/>
                <w:szCs w:val="21"/>
                <w:highlight w:val="none"/>
              </w:rPr>
            </w:pPr>
            <w:r>
              <w:rPr>
                <w:color w:val="auto"/>
                <w:szCs w:val="21"/>
                <w:highlight w:val="none"/>
              </w:rPr>
              <w:t>培训</w:t>
            </w:r>
          </w:p>
        </w:tc>
        <w:tc>
          <w:tcPr>
            <w:tcW w:w="7796" w:type="dxa"/>
            <w:tcBorders>
              <w:top w:val="single" w:color="auto" w:sz="4" w:space="0"/>
              <w:left w:val="single" w:color="auto" w:sz="4" w:space="0"/>
              <w:bottom w:val="single" w:color="auto" w:sz="4" w:space="0"/>
              <w:right w:val="single" w:color="auto" w:sz="4" w:space="0"/>
            </w:tcBorders>
            <w:vAlign w:val="center"/>
          </w:tcPr>
          <w:p w14:paraId="21164CAF">
            <w:pPr>
              <w:spacing w:line="300" w:lineRule="exact"/>
              <w:jc w:val="left"/>
              <w:rPr>
                <w:color w:val="auto"/>
                <w:szCs w:val="21"/>
                <w:highlight w:val="none"/>
              </w:rPr>
            </w:pPr>
            <w:r>
              <w:rPr>
                <w:color w:val="auto"/>
                <w:szCs w:val="21"/>
                <w:highlight w:val="none"/>
              </w:rPr>
              <w:t>供应商对其提供产品或服务的使用和操作应尽培训义务。供应商应提供对采购人的基本培训，使采购人使用人员熟练掌握所培训内容，熟练掌握全部功能</w:t>
            </w:r>
            <w:r>
              <w:rPr>
                <w:rFonts w:hint="eastAsia"/>
                <w:color w:val="auto"/>
                <w:szCs w:val="21"/>
                <w:highlight w:val="none"/>
              </w:rPr>
              <w:t>，</w:t>
            </w:r>
            <w:r>
              <w:rPr>
                <w:color w:val="auto"/>
                <w:szCs w:val="21"/>
                <w:highlight w:val="none"/>
              </w:rPr>
              <w:t>培训的相关费用包括在响应报价中</w:t>
            </w:r>
            <w:r>
              <w:rPr>
                <w:rFonts w:hint="eastAsia"/>
                <w:color w:val="auto"/>
                <w:szCs w:val="21"/>
                <w:highlight w:val="none"/>
              </w:rPr>
              <w:t>，</w:t>
            </w:r>
            <w:r>
              <w:rPr>
                <w:color w:val="auto"/>
                <w:szCs w:val="21"/>
                <w:highlight w:val="none"/>
              </w:rPr>
              <w:t>采购不再另行支付。</w:t>
            </w:r>
          </w:p>
        </w:tc>
      </w:tr>
      <w:tr w14:paraId="731DB5D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50CF46C1">
            <w:pPr>
              <w:spacing w:line="360" w:lineRule="exact"/>
              <w:jc w:val="center"/>
              <w:rPr>
                <w:color w:val="auto"/>
                <w:szCs w:val="21"/>
                <w:highlight w:val="none"/>
              </w:rPr>
            </w:pPr>
            <w:r>
              <w:rPr>
                <w:rFonts w:hint="eastAsia"/>
                <w:color w:val="auto"/>
                <w:szCs w:val="21"/>
                <w:highlight w:val="none"/>
              </w:rPr>
              <w:t>9</w:t>
            </w:r>
          </w:p>
        </w:tc>
        <w:tc>
          <w:tcPr>
            <w:tcW w:w="1134" w:type="dxa"/>
            <w:tcBorders>
              <w:top w:val="single" w:color="auto" w:sz="4" w:space="0"/>
              <w:left w:val="single" w:color="auto" w:sz="4" w:space="0"/>
              <w:bottom w:val="single" w:color="auto" w:sz="4" w:space="0"/>
              <w:right w:val="single" w:color="auto" w:sz="4" w:space="0"/>
            </w:tcBorders>
            <w:vAlign w:val="center"/>
          </w:tcPr>
          <w:p w14:paraId="3EF5A08B">
            <w:pPr>
              <w:spacing w:line="360" w:lineRule="exact"/>
              <w:jc w:val="center"/>
              <w:rPr>
                <w:color w:val="auto"/>
                <w:szCs w:val="21"/>
                <w:highlight w:val="none"/>
              </w:rPr>
            </w:pPr>
            <w:r>
              <w:rPr>
                <w:rFonts w:hint="eastAsia" w:ascii="宋体" w:hAnsi="宋体" w:cs="宋体"/>
                <w:color w:val="auto"/>
                <w:szCs w:val="21"/>
                <w:highlight w:val="none"/>
              </w:rPr>
              <w:t>▲</w:t>
            </w:r>
            <w:r>
              <w:rPr>
                <w:color w:val="auto"/>
                <w:szCs w:val="21"/>
                <w:highlight w:val="none"/>
              </w:rPr>
              <w:t>知识产权</w:t>
            </w:r>
          </w:p>
        </w:tc>
        <w:tc>
          <w:tcPr>
            <w:tcW w:w="7796" w:type="dxa"/>
            <w:tcBorders>
              <w:top w:val="single" w:color="auto" w:sz="4" w:space="0"/>
              <w:left w:val="single" w:color="auto" w:sz="4" w:space="0"/>
              <w:bottom w:val="single" w:color="auto" w:sz="4" w:space="0"/>
              <w:right w:val="single" w:color="auto" w:sz="4" w:space="0"/>
            </w:tcBorders>
            <w:vAlign w:val="center"/>
          </w:tcPr>
          <w:p w14:paraId="31952548">
            <w:pPr>
              <w:spacing w:line="300" w:lineRule="exact"/>
              <w:jc w:val="left"/>
              <w:rPr>
                <w:color w:val="auto"/>
                <w:szCs w:val="21"/>
                <w:highlight w:val="none"/>
              </w:rPr>
            </w:pPr>
            <w:r>
              <w:rPr>
                <w:rFonts w:hint="eastAsia"/>
                <w:color w:val="auto"/>
                <w:szCs w:val="21"/>
                <w:highlight w:val="none"/>
              </w:rPr>
              <w:t>供应商应保证针对本项目涉及的货物的知识产权和所提供的相关技术资料是合法取得，采购人享有完整的产权，不会因为采购人的使用而被责令停止使用、追偿或要求赔偿损失，如出现此情况，一切经济和法律责任均由供应商承担。</w:t>
            </w:r>
          </w:p>
        </w:tc>
      </w:tr>
      <w:tr w14:paraId="05D86B8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21D23AA1">
            <w:pPr>
              <w:spacing w:line="360" w:lineRule="exact"/>
              <w:jc w:val="center"/>
              <w:rPr>
                <w:color w:val="auto"/>
                <w:szCs w:val="21"/>
                <w:highlight w:val="none"/>
              </w:rPr>
            </w:pPr>
            <w:r>
              <w:rPr>
                <w:rFonts w:hint="eastAsia"/>
                <w:color w:val="auto"/>
                <w:szCs w:val="21"/>
                <w:highlight w:val="none"/>
              </w:rPr>
              <w:t>10</w:t>
            </w:r>
          </w:p>
        </w:tc>
        <w:tc>
          <w:tcPr>
            <w:tcW w:w="1134" w:type="dxa"/>
            <w:tcBorders>
              <w:top w:val="single" w:color="auto" w:sz="4" w:space="0"/>
              <w:left w:val="single" w:color="auto" w:sz="4" w:space="0"/>
              <w:bottom w:val="single" w:color="auto" w:sz="4" w:space="0"/>
              <w:right w:val="single" w:color="auto" w:sz="4" w:space="0"/>
            </w:tcBorders>
            <w:vAlign w:val="center"/>
          </w:tcPr>
          <w:p w14:paraId="39C793F3">
            <w:pPr>
              <w:spacing w:line="360" w:lineRule="exact"/>
              <w:jc w:val="center"/>
              <w:rPr>
                <w:color w:val="auto"/>
                <w:szCs w:val="21"/>
                <w:highlight w:val="none"/>
              </w:rPr>
            </w:pPr>
            <w:r>
              <w:rPr>
                <w:color w:val="auto"/>
                <w:szCs w:val="21"/>
                <w:highlight w:val="none"/>
              </w:rPr>
              <w:t>付款方式</w:t>
            </w:r>
          </w:p>
        </w:tc>
        <w:tc>
          <w:tcPr>
            <w:tcW w:w="7796" w:type="dxa"/>
            <w:tcBorders>
              <w:top w:val="single" w:color="auto" w:sz="4" w:space="0"/>
              <w:left w:val="single" w:color="auto" w:sz="4" w:space="0"/>
              <w:bottom w:val="single" w:color="auto" w:sz="4" w:space="0"/>
              <w:right w:val="single" w:color="auto" w:sz="4" w:space="0"/>
            </w:tcBorders>
            <w:vAlign w:val="center"/>
          </w:tcPr>
          <w:p w14:paraId="2F0D47D2">
            <w:pPr>
              <w:spacing w:line="300" w:lineRule="exact"/>
              <w:jc w:val="left"/>
              <w:rPr>
                <w:color w:val="auto"/>
                <w:szCs w:val="21"/>
                <w:highlight w:val="none"/>
              </w:rPr>
            </w:pPr>
            <w:r>
              <w:rPr>
                <w:rFonts w:hint="eastAsia"/>
                <w:color w:val="auto"/>
                <w:szCs w:val="21"/>
                <w:highlight w:val="none"/>
              </w:rPr>
              <w:t>签订合同后十五个工作日内支付合同金额的50%，2026年12月支付剩余合同金额的30%，验收合格后支付合同款项的20%。每次付款前，供应商开具发票给采购人。</w:t>
            </w:r>
          </w:p>
        </w:tc>
      </w:tr>
      <w:tr w14:paraId="416F02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6CCBD55F">
            <w:pPr>
              <w:spacing w:line="360" w:lineRule="exact"/>
              <w:jc w:val="center"/>
              <w:rPr>
                <w:color w:val="auto"/>
                <w:szCs w:val="21"/>
                <w:highlight w:val="none"/>
              </w:rPr>
            </w:pPr>
            <w:r>
              <w:rPr>
                <w:rFonts w:hint="eastAsia"/>
                <w:color w:val="auto"/>
                <w:szCs w:val="21"/>
                <w:highlight w:val="none"/>
              </w:rPr>
              <w:t>11</w:t>
            </w:r>
          </w:p>
        </w:tc>
        <w:tc>
          <w:tcPr>
            <w:tcW w:w="1134" w:type="dxa"/>
            <w:tcBorders>
              <w:top w:val="single" w:color="auto" w:sz="4" w:space="0"/>
              <w:left w:val="single" w:color="auto" w:sz="4" w:space="0"/>
              <w:bottom w:val="single" w:color="auto" w:sz="4" w:space="0"/>
              <w:right w:val="single" w:color="auto" w:sz="4" w:space="0"/>
            </w:tcBorders>
            <w:vAlign w:val="center"/>
          </w:tcPr>
          <w:p w14:paraId="0DBAC669">
            <w:pPr>
              <w:spacing w:line="300" w:lineRule="exact"/>
              <w:jc w:val="center"/>
              <w:rPr>
                <w:color w:val="auto"/>
                <w:szCs w:val="21"/>
                <w:highlight w:val="none"/>
              </w:rPr>
            </w:pPr>
            <w:r>
              <w:rPr>
                <w:rFonts w:hint="eastAsia"/>
                <w:color w:val="auto"/>
                <w:szCs w:val="21"/>
                <w:highlight w:val="none"/>
              </w:rPr>
              <w:t>其他要求</w:t>
            </w:r>
          </w:p>
        </w:tc>
        <w:tc>
          <w:tcPr>
            <w:tcW w:w="7796" w:type="dxa"/>
            <w:tcBorders>
              <w:top w:val="single" w:color="auto" w:sz="4" w:space="0"/>
              <w:left w:val="single" w:color="auto" w:sz="4" w:space="0"/>
              <w:bottom w:val="single" w:color="auto" w:sz="4" w:space="0"/>
              <w:right w:val="single" w:color="auto" w:sz="4" w:space="0"/>
            </w:tcBorders>
            <w:vAlign w:val="center"/>
          </w:tcPr>
          <w:p w14:paraId="4164EF82">
            <w:pPr>
              <w:spacing w:line="300" w:lineRule="exact"/>
              <w:jc w:val="left"/>
              <w:rPr>
                <w:color w:val="auto"/>
                <w:szCs w:val="21"/>
                <w:highlight w:val="none"/>
              </w:rPr>
            </w:pPr>
            <w:r>
              <w:rPr>
                <w:rFonts w:hint="eastAsia"/>
                <w:color w:val="auto"/>
                <w:szCs w:val="21"/>
                <w:highlight w:val="none"/>
              </w:rPr>
              <w:t>无</w:t>
            </w:r>
          </w:p>
        </w:tc>
      </w:tr>
    </w:tbl>
    <w:p w14:paraId="22046640">
      <w:pPr>
        <w:rPr>
          <w:b/>
          <w:bCs/>
          <w:color w:val="auto"/>
          <w:szCs w:val="21"/>
          <w:highlight w:val="none"/>
        </w:rPr>
      </w:pPr>
      <w:r>
        <w:rPr>
          <w:rFonts w:hint="eastAsia"/>
          <w:b/>
          <w:bCs/>
          <w:color w:val="auto"/>
          <w:szCs w:val="21"/>
          <w:highlight w:val="none"/>
        </w:rPr>
        <w:br w:type="page"/>
      </w:r>
    </w:p>
    <w:p w14:paraId="1DD37640">
      <w:pPr>
        <w:spacing w:line="360" w:lineRule="auto"/>
        <w:outlineLvl w:val="1"/>
        <w:rPr>
          <w:color w:val="auto"/>
          <w:szCs w:val="21"/>
          <w:highlight w:val="none"/>
        </w:rPr>
      </w:pPr>
      <w:r>
        <w:rPr>
          <w:rFonts w:hint="eastAsia"/>
          <w:b/>
          <w:bCs/>
          <w:color w:val="auto"/>
          <w:szCs w:val="21"/>
          <w:highlight w:val="none"/>
        </w:rPr>
        <w:t>标项二：</w:t>
      </w:r>
    </w:p>
    <w:tbl>
      <w:tblPr>
        <w:tblStyle w:val="53"/>
        <w:tblW w:w="94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134"/>
        <w:gridCol w:w="709"/>
        <w:gridCol w:w="709"/>
        <w:gridCol w:w="6237"/>
      </w:tblGrid>
      <w:tr w14:paraId="0C226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675" w:type="dxa"/>
            <w:vAlign w:val="center"/>
          </w:tcPr>
          <w:p w14:paraId="546C3649">
            <w:pPr>
              <w:widowControl/>
              <w:jc w:val="center"/>
              <w:rPr>
                <w:b/>
                <w:color w:val="auto"/>
                <w:szCs w:val="21"/>
                <w:highlight w:val="none"/>
              </w:rPr>
            </w:pPr>
            <w:r>
              <w:rPr>
                <w:rFonts w:hint="eastAsia"/>
                <w:b/>
                <w:color w:val="auto"/>
                <w:szCs w:val="21"/>
                <w:highlight w:val="none"/>
              </w:rPr>
              <w:t>项号</w:t>
            </w:r>
          </w:p>
        </w:tc>
        <w:tc>
          <w:tcPr>
            <w:tcW w:w="1134" w:type="dxa"/>
            <w:vAlign w:val="center"/>
          </w:tcPr>
          <w:p w14:paraId="566B81D5">
            <w:pPr>
              <w:widowControl/>
              <w:jc w:val="center"/>
              <w:rPr>
                <w:b/>
                <w:color w:val="auto"/>
                <w:szCs w:val="21"/>
                <w:highlight w:val="none"/>
              </w:rPr>
            </w:pPr>
            <w:r>
              <w:rPr>
                <w:rFonts w:hint="eastAsia"/>
                <w:b/>
                <w:color w:val="auto"/>
                <w:szCs w:val="21"/>
                <w:highlight w:val="none"/>
              </w:rPr>
              <w:t>服务名称</w:t>
            </w:r>
          </w:p>
        </w:tc>
        <w:tc>
          <w:tcPr>
            <w:tcW w:w="709" w:type="dxa"/>
            <w:vAlign w:val="center"/>
          </w:tcPr>
          <w:p w14:paraId="7560B71F">
            <w:pPr>
              <w:widowControl/>
              <w:jc w:val="center"/>
              <w:rPr>
                <w:b/>
                <w:color w:val="auto"/>
                <w:szCs w:val="21"/>
                <w:highlight w:val="none"/>
              </w:rPr>
            </w:pPr>
            <w:r>
              <w:rPr>
                <w:rFonts w:hint="eastAsia"/>
                <w:b/>
                <w:color w:val="auto"/>
                <w:szCs w:val="21"/>
                <w:highlight w:val="none"/>
              </w:rPr>
              <w:t>数量</w:t>
            </w:r>
          </w:p>
        </w:tc>
        <w:tc>
          <w:tcPr>
            <w:tcW w:w="709" w:type="dxa"/>
            <w:vAlign w:val="center"/>
          </w:tcPr>
          <w:p w14:paraId="1A5E0BF0">
            <w:pPr>
              <w:widowControl/>
              <w:jc w:val="center"/>
              <w:rPr>
                <w:b/>
                <w:color w:val="auto"/>
                <w:szCs w:val="21"/>
                <w:highlight w:val="none"/>
              </w:rPr>
            </w:pPr>
            <w:r>
              <w:rPr>
                <w:rFonts w:hint="eastAsia"/>
                <w:b/>
                <w:color w:val="auto"/>
                <w:szCs w:val="21"/>
                <w:highlight w:val="none"/>
              </w:rPr>
              <w:t>单位</w:t>
            </w:r>
          </w:p>
        </w:tc>
        <w:tc>
          <w:tcPr>
            <w:tcW w:w="6237" w:type="dxa"/>
            <w:vAlign w:val="center"/>
          </w:tcPr>
          <w:p w14:paraId="24FCAA6A">
            <w:pPr>
              <w:widowControl/>
              <w:jc w:val="center"/>
              <w:rPr>
                <w:b/>
                <w:color w:val="auto"/>
                <w:szCs w:val="21"/>
                <w:highlight w:val="none"/>
              </w:rPr>
            </w:pPr>
            <w:r>
              <w:rPr>
                <w:rFonts w:hint="eastAsia"/>
                <w:b/>
                <w:color w:val="auto"/>
                <w:szCs w:val="21"/>
                <w:highlight w:val="none"/>
              </w:rPr>
              <w:t>技术参数及性能（配置）要求</w:t>
            </w:r>
          </w:p>
        </w:tc>
      </w:tr>
      <w:tr w14:paraId="01D54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5" w:hRule="atLeast"/>
          <w:jc w:val="center"/>
        </w:trPr>
        <w:tc>
          <w:tcPr>
            <w:tcW w:w="675" w:type="dxa"/>
            <w:vAlign w:val="center"/>
          </w:tcPr>
          <w:p w14:paraId="200E6842">
            <w:pPr>
              <w:spacing w:line="40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1134" w:type="dxa"/>
            <w:vAlign w:val="center"/>
          </w:tcPr>
          <w:p w14:paraId="2A1BF7C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APP安全应用加固</w:t>
            </w:r>
          </w:p>
        </w:tc>
        <w:tc>
          <w:tcPr>
            <w:tcW w:w="709" w:type="dxa"/>
            <w:vAlign w:val="center"/>
          </w:tcPr>
          <w:p w14:paraId="3766A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p>
        </w:tc>
        <w:tc>
          <w:tcPr>
            <w:tcW w:w="709" w:type="dxa"/>
            <w:vAlign w:val="center"/>
          </w:tcPr>
          <w:p w14:paraId="77687C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w:t>
            </w:r>
          </w:p>
        </w:tc>
        <w:tc>
          <w:tcPr>
            <w:tcW w:w="6237" w:type="dxa"/>
          </w:tcPr>
          <w:p w14:paraId="63294CDF">
            <w:pPr>
              <w:pStyle w:val="8"/>
              <w:numPr>
                <w:ilvl w:val="1"/>
                <w:numId w:val="0"/>
              </w:numPr>
              <w:tabs>
                <w:tab w:val="left" w:pos="420"/>
              </w:tabs>
              <w:ind w:firstLine="422"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.1.</w:t>
            </w:r>
            <w:r>
              <w:rPr>
                <w:rFonts w:hint="eastAsia" w:ascii="宋体" w:hAnsi="宋体" w:cs="宋体"/>
                <w:color w:val="auto"/>
                <w:sz w:val="21"/>
                <w:szCs w:val="21"/>
                <w:highlight w:val="none"/>
              </w:rPr>
              <w:t>网络安全应急演练</w:t>
            </w:r>
          </w:p>
          <w:p w14:paraId="786870F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组织人员开展针对局内网络和信息系统安全应急演练，演练结束后提供网络安全应急演练总结报告；确保重要信息系统的安全、稳定、可持续运行，提高网络和信息系统的应急保障能力。合同期限内1次。</w:t>
            </w:r>
          </w:p>
          <w:p w14:paraId="5FB22B50">
            <w:pPr>
              <w:pStyle w:val="8"/>
              <w:numPr>
                <w:ilvl w:val="1"/>
                <w:numId w:val="0"/>
              </w:numPr>
              <w:tabs>
                <w:tab w:val="left" w:pos="420"/>
              </w:tabs>
              <w:ind w:firstLine="422"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.2.</w:t>
            </w:r>
            <w:r>
              <w:rPr>
                <w:rFonts w:hint="eastAsia" w:ascii="宋体" w:hAnsi="宋体" w:cs="宋体"/>
                <w:color w:val="auto"/>
                <w:sz w:val="21"/>
                <w:szCs w:val="21"/>
                <w:highlight w:val="none"/>
              </w:rPr>
              <w:t>网站安全测评</w:t>
            </w:r>
          </w:p>
          <w:p w14:paraId="305FB3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对门户网站进行深度的网站安全测评，每次测评结束后出具测评报告，合同期限内2次。</w:t>
            </w:r>
          </w:p>
          <w:p w14:paraId="7EA99AF9">
            <w:pPr>
              <w:pStyle w:val="8"/>
              <w:numPr>
                <w:ilvl w:val="1"/>
                <w:numId w:val="0"/>
              </w:numPr>
              <w:tabs>
                <w:tab w:val="left" w:pos="420"/>
              </w:tabs>
              <w:ind w:firstLine="422"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.3.</w:t>
            </w:r>
            <w:r>
              <w:rPr>
                <w:rFonts w:hint="eastAsia" w:ascii="宋体" w:hAnsi="宋体" w:cs="宋体"/>
                <w:color w:val="auto"/>
                <w:sz w:val="21"/>
                <w:szCs w:val="21"/>
                <w:highlight w:val="none"/>
              </w:rPr>
              <w:t>APP加固服务</w:t>
            </w:r>
          </w:p>
          <w:p w14:paraId="4F21FCC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DEX加壳保护</w:t>
            </w:r>
            <w:r>
              <w:rPr>
                <w:rFonts w:hint="eastAsia" w:ascii="宋体" w:hAnsi="宋体" w:cs="宋体"/>
                <w:color w:val="auto"/>
                <w:szCs w:val="21"/>
                <w:highlight w:val="none"/>
              </w:rPr>
              <w:tab/>
            </w:r>
          </w:p>
          <w:p w14:paraId="0C9A35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对DEX源码进行整体加密和隐藏，保留壳代码，防止黑客发现源码，防止反编译，对DEX文件中的代码进行函数抽离保护，程序运行时将代码分段动态回填，保证内存中不存在连续、完整的代码。</w:t>
            </w:r>
          </w:p>
          <w:p w14:paraId="39E9E1D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DEX字符串加密</w:t>
            </w:r>
          </w:p>
          <w:p w14:paraId="6A8BBD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对DEX内的明文字符串进行加密保护，如密钥、接口地址、敏感信息等。</w:t>
            </w:r>
          </w:p>
          <w:p w14:paraId="4844910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DEX抽取分离保护技术</w:t>
            </w:r>
          </w:p>
          <w:p w14:paraId="298435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对DEX内的类、方法代码进行抽取加密，并且只在类被执行时进行解密，将DEX文件方法体单独抽离加密，防止查看；按需解密，使用到函数时进行解密，内存中的DEX不连续存储；防止通过内存DUMP获取明文DEX。</w:t>
            </w:r>
          </w:p>
          <w:p w14:paraId="3E92BDF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DEX VMP保护</w:t>
            </w:r>
            <w:r>
              <w:rPr>
                <w:rFonts w:hint="eastAsia" w:ascii="宋体" w:hAnsi="宋体" w:cs="宋体"/>
                <w:color w:val="auto"/>
                <w:szCs w:val="21"/>
                <w:highlight w:val="none"/>
              </w:rPr>
              <w:tab/>
            </w:r>
          </w:p>
          <w:p w14:paraId="6B3303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DEX中的java代码进行抽离与转换（java代码的native化），根据自定义的虚机指令集去调用C层转换的代码。将DEX中原始指令虚拟化为自定义虚拟指令，运行时使用自定义虚拟机进行指令解析，不在内存中还原代码；防止内存DUMP获取核心数据和代码；增加黑客反编译代码后对业务逻辑的理解难度。虚拟机指令一对多随机映射，防止对虚拟化保护技术破解。</w:t>
            </w:r>
          </w:p>
          <w:p w14:paraId="060A9C7E">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多DEX加固保护</w:t>
            </w:r>
          </w:p>
          <w:p w14:paraId="04266FB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对APK中多个DEX文件进行加固保护。</w:t>
            </w:r>
          </w:p>
          <w:p w14:paraId="30CE03D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DEX加花</w:t>
            </w:r>
          </w:p>
          <w:p w14:paraId="7B70CC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对java代码编译生成的DEX文件采用加壳保护，对DEX中的代码加入花指令，防止被分析。</w:t>
            </w:r>
          </w:p>
          <w:p w14:paraId="7ECAF7C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(7)</w:t>
            </w:r>
            <w:r>
              <w:rPr>
                <w:rFonts w:hint="eastAsia" w:ascii="宋体" w:hAnsi="宋体" w:cs="宋体"/>
                <w:color w:val="auto"/>
                <w:szCs w:val="21"/>
                <w:highlight w:val="none"/>
              </w:rPr>
              <w:t>DEX分离加壳</w:t>
            </w:r>
          </w:p>
          <w:p w14:paraId="752353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对java代码编译生成的DEX文件采用加壳保护，对DEX中的代码与原DEX文件分离保护。</w:t>
            </w:r>
          </w:p>
          <w:p w14:paraId="089F6E6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(8)</w:t>
            </w:r>
            <w:r>
              <w:rPr>
                <w:rFonts w:hint="eastAsia" w:ascii="宋体" w:hAnsi="宋体" w:cs="宋体"/>
                <w:color w:val="auto"/>
                <w:szCs w:val="21"/>
                <w:highlight w:val="none"/>
              </w:rPr>
              <w:t>DEX整体加密</w:t>
            </w:r>
          </w:p>
          <w:p w14:paraId="523255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DEX文件进行整体加密，加密后原始DEX代码以密文形式存在，防止通过第三方反编译工具获取源码；对java代码中插入花指令，对抗线性反编译工具，防止dex2jar工具的逆向。加花后代码使用dex2jar逆向时将逆向为乱码。</w:t>
            </w:r>
          </w:p>
          <w:p w14:paraId="1C5A214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(9)</w:t>
            </w:r>
            <w:r>
              <w:rPr>
                <w:rFonts w:hint="eastAsia" w:ascii="宋体" w:hAnsi="宋体" w:cs="宋体"/>
                <w:color w:val="auto"/>
                <w:szCs w:val="21"/>
                <w:highlight w:val="none"/>
              </w:rPr>
              <w:t>Jave2C保护</w:t>
            </w:r>
          </w:p>
          <w:p w14:paraId="56A6D28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将DEX代码中函数转化为C/C++代码，并将代码</w:t>
            </w:r>
            <w:r>
              <w:rPr>
                <w:rStyle w:val="60"/>
                <w:rFonts w:hint="eastAsia" w:ascii="宋体" w:hAnsi="宋体" w:cs="宋体"/>
                <w:color w:val="auto"/>
                <w:highlight w:val="none"/>
              </w:rPr>
              <w:t>编译</w:t>
            </w:r>
            <w:r>
              <w:rPr>
                <w:rFonts w:hint="eastAsia" w:ascii="宋体" w:hAnsi="宋体" w:cs="宋体"/>
                <w:color w:val="auto"/>
                <w:szCs w:val="21"/>
                <w:highlight w:val="none"/>
              </w:rPr>
              <w:t>为新的SO库文件，同时对该SO库文件进行保护。</w:t>
            </w:r>
          </w:p>
          <w:p w14:paraId="1DD30BE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(10)</w:t>
            </w:r>
            <w:r>
              <w:rPr>
                <w:rFonts w:hint="eastAsia" w:ascii="宋体" w:hAnsi="宋体" w:cs="宋体"/>
                <w:color w:val="auto"/>
                <w:szCs w:val="21"/>
                <w:highlight w:val="none"/>
              </w:rPr>
              <w:t>SO加壳保护</w:t>
            </w:r>
            <w:r>
              <w:rPr>
                <w:rFonts w:hint="eastAsia" w:ascii="宋体" w:hAnsi="宋体" w:cs="宋体"/>
                <w:color w:val="auto"/>
                <w:szCs w:val="21"/>
                <w:highlight w:val="none"/>
              </w:rPr>
              <w:tab/>
            </w:r>
          </w:p>
          <w:p w14:paraId="764F43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自主研发的SO文件进行加壳处理，隐藏外部函数，对elf头文件信息进行保护，被逆向时看到的混淆信息会错乱。自定义elf结构防止SO文件被黑客逆向。对SO内的字符串/函数表信息防止反汇编。SO被执行时才会解密，且函数执行后动态清除内存中的解密内容，并将函数重新加密，防止对SO的dump攻击。</w:t>
            </w:r>
          </w:p>
          <w:p w14:paraId="2E4DCFC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(11)</w:t>
            </w:r>
            <w:r>
              <w:rPr>
                <w:rFonts w:hint="eastAsia" w:ascii="宋体" w:hAnsi="宋体" w:cs="宋体"/>
                <w:color w:val="auto"/>
                <w:szCs w:val="21"/>
                <w:highlight w:val="none"/>
              </w:rPr>
              <w:t>SO防盗用</w:t>
            </w:r>
          </w:p>
          <w:p w14:paraId="1B4452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支持将SO文件同应用进行绑定，防止SO文件被盗用。对SO文件进行授权绑定，可绑定客户端包名及签名信息，防止SO文件被非授权应用调用运行。对SO文件的执行格式做转换处理，达到无法解读SO文件。</w:t>
            </w:r>
          </w:p>
          <w:p w14:paraId="3E47197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(12)</w:t>
            </w:r>
            <w:r>
              <w:rPr>
                <w:rFonts w:hint="eastAsia" w:ascii="宋体" w:hAnsi="宋体" w:cs="宋体"/>
                <w:color w:val="auto"/>
                <w:szCs w:val="21"/>
                <w:highlight w:val="none"/>
              </w:rPr>
              <w:t>SO VMP</w:t>
            </w:r>
            <w:r>
              <w:rPr>
                <w:rFonts w:hint="eastAsia" w:ascii="宋体" w:hAnsi="宋体" w:cs="宋体"/>
                <w:color w:val="auto"/>
                <w:szCs w:val="21"/>
                <w:highlight w:val="none"/>
              </w:rPr>
              <w:tab/>
            </w:r>
          </w:p>
          <w:p w14:paraId="5F6B39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SO文件中经过虚拟化保护后的函数，其原有指令已被清空，而真正的代码已经被编译成了自定义虚拟机字节码。可有效保护SO库函数的安全。</w:t>
            </w:r>
          </w:p>
          <w:p w14:paraId="7817400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(13)</w:t>
            </w:r>
            <w:r>
              <w:rPr>
                <w:rFonts w:hint="eastAsia" w:ascii="宋体" w:hAnsi="宋体" w:cs="宋体"/>
                <w:color w:val="auto"/>
                <w:szCs w:val="21"/>
                <w:highlight w:val="none"/>
              </w:rPr>
              <w:t>SO Linker</w:t>
            </w:r>
          </w:p>
          <w:p w14:paraId="35AC3A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对整个SO文件进行加密压缩，包括代码段、导出表和字符串等，运行时再解密解压缩到内存，从而有效的防止SO数据的泄露。使用SO Linker，隐藏SO的基地址，有效的防止SO被DUMP</w:t>
            </w:r>
          </w:p>
          <w:p w14:paraId="39961C7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SO源码混淆。</w:t>
            </w:r>
          </w:p>
          <w:p w14:paraId="05BF22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对SO文件的源码进行结构混淆，包括扁平化、插入控制流等。降低黑客反编译的可读性，增加反编译难度。可多种混淆方式联用，可根据自己的实际需求选择混淆强度。</w:t>
            </w:r>
          </w:p>
          <w:p w14:paraId="2BEC389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(14)</w:t>
            </w:r>
            <w:r>
              <w:rPr>
                <w:rFonts w:hint="eastAsia" w:ascii="宋体" w:hAnsi="宋体" w:cs="宋体"/>
                <w:color w:val="auto"/>
                <w:szCs w:val="21"/>
                <w:highlight w:val="none"/>
              </w:rPr>
              <w:t>SO格式转型</w:t>
            </w:r>
          </w:p>
          <w:p w14:paraId="402BD2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对SO文件的执行格式做转换处理，达到无法解读SO文件。</w:t>
            </w:r>
          </w:p>
          <w:p w14:paraId="1F4424F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(15)</w:t>
            </w:r>
            <w:r>
              <w:rPr>
                <w:rFonts w:hint="eastAsia" w:ascii="宋体" w:hAnsi="宋体" w:cs="宋体"/>
                <w:color w:val="auto"/>
                <w:szCs w:val="21"/>
                <w:highlight w:val="none"/>
              </w:rPr>
              <w:t>客户端H5代码保护</w:t>
            </w:r>
          </w:p>
          <w:p w14:paraId="4CB8C9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对APP客户端的H5相关代码，如JS，html进行加密保护。</w:t>
            </w:r>
          </w:p>
          <w:p w14:paraId="5062C5D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(16)</w:t>
            </w:r>
            <w:r>
              <w:rPr>
                <w:rFonts w:hint="eastAsia" w:ascii="宋体" w:hAnsi="宋体" w:cs="宋体"/>
                <w:color w:val="auto"/>
                <w:szCs w:val="21"/>
                <w:highlight w:val="none"/>
              </w:rPr>
              <w:t>APK完整性保护</w:t>
            </w:r>
          </w:p>
          <w:p w14:paraId="32D075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支持对APK内的文件进行完整性校验，防止篡改。</w:t>
            </w:r>
          </w:p>
          <w:p w14:paraId="03CEA44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(17)</w:t>
            </w:r>
            <w:r>
              <w:rPr>
                <w:rFonts w:hint="eastAsia" w:ascii="宋体" w:hAnsi="宋体" w:cs="宋体"/>
                <w:color w:val="auto"/>
                <w:szCs w:val="21"/>
                <w:highlight w:val="none"/>
              </w:rPr>
              <w:t>APK签名校验</w:t>
            </w:r>
          </w:p>
          <w:p w14:paraId="741F4A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支持在APK运行时对其签名的合法性进行校验，防止二次打包和盗版。防止APK被其他签名证书签名； 防止APK组件篡改；防止APK资源文件篡改；防止APK二次打包。</w:t>
            </w:r>
          </w:p>
          <w:p w14:paraId="2127302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防日志泄露</w:t>
            </w:r>
          </w:p>
          <w:p w14:paraId="180C4DF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防止黑客通过日志调试的方式分析客户端代码。</w:t>
            </w:r>
          </w:p>
          <w:p w14:paraId="5E14098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(19)</w:t>
            </w:r>
            <w:r>
              <w:rPr>
                <w:rFonts w:hint="eastAsia" w:ascii="宋体" w:hAnsi="宋体" w:cs="宋体"/>
                <w:color w:val="auto"/>
                <w:szCs w:val="21"/>
                <w:highlight w:val="none"/>
              </w:rPr>
              <w:t>防动态调试</w:t>
            </w:r>
          </w:p>
          <w:p w14:paraId="66ABA4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防止利用调试技术或工具对应用进行内存动态调试，防止GDB、IDA Pro等动态调试工具调试APK；保护内存数据不被读取；保护内存数据不被篡改。</w:t>
            </w:r>
          </w:p>
          <w:p w14:paraId="17B2512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防进程调试</w:t>
            </w:r>
          </w:p>
          <w:p w14:paraId="717F20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防止第三方工具对程序进程进行进程附着等调试。</w:t>
            </w:r>
          </w:p>
          <w:p w14:paraId="505457C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防动态注入</w:t>
            </w:r>
          </w:p>
          <w:p w14:paraId="35D8B12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防止利用内存注入技术对应用进行恶意代码注入，实时检测APK运行环境，监控内存和进程状态；检测到内存注入时，则自动退出。</w:t>
            </w:r>
          </w:p>
          <w:p w14:paraId="0802EDA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防内存DUMP</w:t>
            </w:r>
          </w:p>
          <w:p w14:paraId="679D942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防止通过内存dump，获取应用源代码，防止第三方工具对内存数据修改。</w:t>
            </w:r>
          </w:p>
          <w:p w14:paraId="05DB556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(23)</w:t>
            </w:r>
            <w:r>
              <w:rPr>
                <w:rFonts w:hint="eastAsia" w:ascii="宋体" w:hAnsi="宋体" w:cs="宋体"/>
                <w:color w:val="auto"/>
                <w:szCs w:val="21"/>
                <w:highlight w:val="none"/>
              </w:rPr>
              <w:t>核心库hook</w:t>
            </w:r>
          </w:p>
          <w:p w14:paraId="70E34E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保护核心库SO，例如libc、libart防止被hook。</w:t>
            </w:r>
          </w:p>
          <w:p w14:paraId="7FA0158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(24)</w:t>
            </w:r>
            <w:r>
              <w:rPr>
                <w:rFonts w:hint="eastAsia" w:ascii="宋体" w:hAnsi="宋体" w:cs="宋体"/>
                <w:color w:val="auto"/>
                <w:szCs w:val="21"/>
                <w:highlight w:val="none"/>
              </w:rPr>
              <w:t>面具检测</w:t>
            </w:r>
          </w:p>
          <w:p w14:paraId="52C240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安全加固后可识别面具（Magisk），防止被绕过。</w:t>
            </w:r>
          </w:p>
          <w:p w14:paraId="0B3C653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(25)</w:t>
            </w:r>
            <w:r>
              <w:rPr>
                <w:rFonts w:hint="eastAsia" w:ascii="宋体" w:hAnsi="宋体" w:cs="宋体"/>
                <w:color w:val="auto"/>
                <w:szCs w:val="21"/>
                <w:highlight w:val="none"/>
              </w:rPr>
              <w:t>防Hook攻击</w:t>
            </w:r>
          </w:p>
          <w:p w14:paraId="6ECA88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防止利用xposed、Cydia Substrate、Frida等框架或工具进行Hook攻击。</w:t>
            </w:r>
          </w:p>
          <w:p w14:paraId="55C1897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数据库文件加密</w:t>
            </w:r>
          </w:p>
          <w:p w14:paraId="32ACC5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SharedPreferences数据文件加密,对SharedPreferences数据文件进行透明加密保护。</w:t>
            </w:r>
          </w:p>
          <w:p w14:paraId="689795C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本地SQLite数据加密，APK写入数据库文件的时候，进行透明加密；加密SO库进行加固，混淆保护，防止算法本身被破解。</w:t>
            </w:r>
          </w:p>
          <w:p w14:paraId="2455391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资源文件全加密</w:t>
            </w:r>
          </w:p>
          <w:p w14:paraId="396D8EE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安全加固后APP本地的资源文件具备加密能力，对所有资源文件下的所有内容进行加密保护，如图片、证书、html、xml等。</w:t>
            </w:r>
          </w:p>
          <w:p w14:paraId="2B36128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Root检测，root环境运行。</w:t>
            </w:r>
          </w:p>
          <w:p w14:paraId="58476D4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防模拟器，安全加固后APP具备防止在模拟器上运行的能力。</w:t>
            </w:r>
          </w:p>
          <w:p w14:paraId="1286061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防多开，防多开功能包含对运行环境中的进程监控，当监控到应用运行在多开器环境时，加固后的移动应用会强制退出程序。</w:t>
            </w:r>
          </w:p>
          <w:p w14:paraId="26B9C11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(31)</w:t>
            </w:r>
            <w:r>
              <w:rPr>
                <w:rFonts w:hint="eastAsia" w:ascii="宋体" w:hAnsi="宋体" w:cs="宋体"/>
                <w:color w:val="auto"/>
                <w:szCs w:val="21"/>
                <w:highlight w:val="none"/>
              </w:rPr>
              <w:t>WIFI代理检测，通过检测应用运行设备的网络环境，判断是否启用高级配置开启WiFi代理功能。</w:t>
            </w:r>
          </w:p>
          <w:p w14:paraId="58950C0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防截屏，安全加固后APP具备防截屏能力，防止数据泄露。</w:t>
            </w:r>
          </w:p>
          <w:p w14:paraId="74695E4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防劫持，安全加固后APP具备防劫持能力，防止关键页面的敏感信息泄露。</w:t>
            </w:r>
          </w:p>
          <w:p w14:paraId="5C13090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应用界面防劫持</w:t>
            </w:r>
          </w:p>
          <w:p w14:paraId="7FCBD61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界面钓鱼劫持时，能够及时提醒用户钓鱼劫持的风险，避免界面劫持。</w:t>
            </w:r>
          </w:p>
          <w:p w14:paraId="1889066A">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运行性能</w:t>
            </w:r>
          </w:p>
          <w:p w14:paraId="258A9F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加固后的应用包整体运行无卡顿，CPU占用增加率和内存占用增加率均不超过5%。</w:t>
            </w:r>
          </w:p>
          <w:p w14:paraId="2616434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加固后兼容性测试</w:t>
            </w:r>
          </w:p>
          <w:p w14:paraId="479F59D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对加固后的移动应用进行不少于200台真机的兼容性测试，保证加固后APP的功能有效性，保证加固兼容性达到99%以上，测试完成后输出《兼容性和性能测试报告》报告。</w:t>
            </w:r>
          </w:p>
          <w:p w14:paraId="33BA2CA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(37)</w:t>
            </w:r>
            <w:r>
              <w:rPr>
                <w:rFonts w:hint="eastAsia" w:ascii="宋体" w:hAnsi="宋体" w:cs="宋体"/>
                <w:color w:val="auto"/>
                <w:szCs w:val="21"/>
                <w:highlight w:val="none"/>
              </w:rPr>
              <w:t>平台自身防护</w:t>
            </w:r>
          </w:p>
          <w:p w14:paraId="0E71A4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▲1）提供的硬件或软件安全平台支持对加固前后的APP进行性能指标评测。可以分析加固前后的APP在运行过程中的性能效果输出。（磋商响应文件中须提供功能截图证明）</w:t>
            </w:r>
          </w:p>
          <w:p w14:paraId="614478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▲2）提供的硬件或软件安全平台支持知识库，安全加固平台具备安全检测项、安全规范、检测方式，规范开发人员开发应用程序的代码写法。（磋商响应文件中须提供功能截图证明）</w:t>
            </w:r>
          </w:p>
          <w:p w14:paraId="7EC5002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▲3）提供的硬件或软件安全平台支持漏洞库，安全加固平台具备CVE和自有漏洞库能力，针对APP的漏洞列表进行编号，符合等保2.0内对APP保护的规范要求。（磋商响应文件中须提供功能截图证明）</w:t>
            </w:r>
          </w:p>
          <w:p w14:paraId="79E490E6">
            <w:pPr>
              <w:pStyle w:val="8"/>
              <w:numPr>
                <w:ilvl w:val="1"/>
                <w:numId w:val="0"/>
              </w:numPr>
              <w:tabs>
                <w:tab w:val="left" w:pos="420"/>
              </w:tabs>
              <w:ind w:firstLine="422"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.4.</w:t>
            </w:r>
            <w:r>
              <w:rPr>
                <w:rFonts w:hint="eastAsia" w:ascii="宋体" w:hAnsi="宋体" w:cs="宋体"/>
                <w:color w:val="auto"/>
                <w:sz w:val="21"/>
                <w:szCs w:val="21"/>
                <w:highlight w:val="none"/>
              </w:rPr>
              <w:t>重要时期安全保障</w:t>
            </w:r>
          </w:p>
          <w:p w14:paraId="764525E7">
            <w:pPr>
              <w:rPr>
                <w:color w:val="auto"/>
                <w:highlight w:val="none"/>
              </w:rPr>
            </w:pPr>
            <w:r>
              <w:rPr>
                <w:rFonts w:hint="eastAsia" w:ascii="宋体" w:hAnsi="宋体" w:cs="宋体"/>
                <w:color w:val="auto"/>
                <w:szCs w:val="21"/>
                <w:highlight w:val="none"/>
              </w:rPr>
              <w:t>在重要时期（如重大会议、重大攻防演习、重大节假日），安排具备丰富攻防经验的人员，对所服务的业务系统进行安全保障。合同期限内2次。</w:t>
            </w:r>
          </w:p>
        </w:tc>
      </w:tr>
    </w:tbl>
    <w:p w14:paraId="6EBBED36">
      <w:pPr>
        <w:rPr>
          <w:color w:val="auto"/>
          <w:sz w:val="28"/>
          <w:szCs w:val="28"/>
          <w:highlight w:val="none"/>
        </w:rPr>
      </w:pPr>
      <w:r>
        <w:rPr>
          <w:rFonts w:hint="eastAsia"/>
          <w:color w:val="auto"/>
          <w:sz w:val="28"/>
          <w:szCs w:val="28"/>
          <w:highlight w:val="none"/>
        </w:rPr>
        <w:br w:type="page"/>
      </w:r>
    </w:p>
    <w:tbl>
      <w:tblPr>
        <w:tblStyle w:val="53"/>
        <w:tblW w:w="9464"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
      <w:tblGrid>
        <w:gridCol w:w="534"/>
        <w:gridCol w:w="1134"/>
        <w:gridCol w:w="7796"/>
      </w:tblGrid>
      <w:tr w14:paraId="75B869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17B7CD11">
            <w:pPr>
              <w:spacing w:line="360" w:lineRule="exact"/>
              <w:jc w:val="center"/>
              <w:rPr>
                <w:color w:val="auto"/>
                <w:szCs w:val="21"/>
                <w:highlight w:val="none"/>
              </w:rPr>
            </w:pPr>
            <w:r>
              <w:rPr>
                <w:color w:val="auto"/>
                <w:szCs w:val="21"/>
                <w:highlight w:val="none"/>
              </w:rPr>
              <w:t>序号</w:t>
            </w:r>
          </w:p>
        </w:tc>
        <w:tc>
          <w:tcPr>
            <w:tcW w:w="1134" w:type="dxa"/>
            <w:tcBorders>
              <w:top w:val="single" w:color="auto" w:sz="4" w:space="0"/>
              <w:left w:val="single" w:color="auto" w:sz="4" w:space="0"/>
              <w:bottom w:val="single" w:color="auto" w:sz="4" w:space="0"/>
              <w:right w:val="single" w:color="auto" w:sz="4" w:space="0"/>
            </w:tcBorders>
            <w:vAlign w:val="center"/>
          </w:tcPr>
          <w:p w14:paraId="14DAC105">
            <w:pPr>
              <w:spacing w:line="360" w:lineRule="exact"/>
              <w:jc w:val="center"/>
              <w:rPr>
                <w:color w:val="auto"/>
                <w:szCs w:val="21"/>
                <w:highlight w:val="none"/>
              </w:rPr>
            </w:pPr>
            <w:r>
              <w:rPr>
                <w:color w:val="auto"/>
                <w:szCs w:val="21"/>
                <w:highlight w:val="none"/>
              </w:rPr>
              <w:t>商务条款</w:t>
            </w:r>
          </w:p>
        </w:tc>
        <w:tc>
          <w:tcPr>
            <w:tcW w:w="7796" w:type="dxa"/>
            <w:tcBorders>
              <w:top w:val="single" w:color="auto" w:sz="4" w:space="0"/>
              <w:left w:val="single" w:color="auto" w:sz="4" w:space="0"/>
              <w:bottom w:val="single" w:color="auto" w:sz="4" w:space="0"/>
              <w:right w:val="single" w:color="auto" w:sz="4" w:space="0"/>
            </w:tcBorders>
            <w:vAlign w:val="center"/>
          </w:tcPr>
          <w:p w14:paraId="755E67A3">
            <w:pPr>
              <w:spacing w:line="300" w:lineRule="exact"/>
              <w:jc w:val="center"/>
              <w:rPr>
                <w:color w:val="auto"/>
                <w:szCs w:val="21"/>
                <w:highlight w:val="none"/>
              </w:rPr>
            </w:pPr>
            <w:r>
              <w:rPr>
                <w:color w:val="auto"/>
                <w:szCs w:val="21"/>
                <w:highlight w:val="none"/>
              </w:rPr>
              <w:t>商务要求</w:t>
            </w:r>
          </w:p>
        </w:tc>
      </w:tr>
      <w:tr w14:paraId="1FD9B2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D4D2E53">
            <w:pPr>
              <w:spacing w:line="360" w:lineRule="exact"/>
              <w:jc w:val="center"/>
              <w:rPr>
                <w:color w:val="auto"/>
                <w:szCs w:val="21"/>
                <w:highlight w:val="none"/>
              </w:rPr>
            </w:pPr>
            <w:r>
              <w:rPr>
                <w:rFonts w:hint="eastAsia"/>
                <w:color w:val="auto"/>
                <w:szCs w:val="21"/>
                <w:highlight w:val="none"/>
              </w:rPr>
              <w:t>1</w:t>
            </w:r>
          </w:p>
        </w:tc>
        <w:tc>
          <w:tcPr>
            <w:tcW w:w="1134" w:type="dxa"/>
            <w:tcBorders>
              <w:top w:val="single" w:color="auto" w:sz="4" w:space="0"/>
              <w:left w:val="single" w:color="auto" w:sz="4" w:space="0"/>
              <w:bottom w:val="single" w:color="auto" w:sz="4" w:space="0"/>
              <w:right w:val="single" w:color="auto" w:sz="4" w:space="0"/>
            </w:tcBorders>
            <w:vAlign w:val="center"/>
          </w:tcPr>
          <w:p w14:paraId="0383921E">
            <w:pPr>
              <w:spacing w:line="360" w:lineRule="exact"/>
              <w:jc w:val="center"/>
              <w:rPr>
                <w:color w:val="auto"/>
                <w:szCs w:val="21"/>
                <w:highlight w:val="none"/>
              </w:rPr>
            </w:pPr>
            <w:r>
              <w:rPr>
                <w:color w:val="auto"/>
                <w:szCs w:val="21"/>
                <w:highlight w:val="none"/>
              </w:rPr>
              <w:t>▲报价要求</w:t>
            </w:r>
          </w:p>
        </w:tc>
        <w:tc>
          <w:tcPr>
            <w:tcW w:w="7796" w:type="dxa"/>
            <w:tcBorders>
              <w:top w:val="single" w:color="auto" w:sz="4" w:space="0"/>
              <w:left w:val="single" w:color="auto" w:sz="4" w:space="0"/>
              <w:bottom w:val="single" w:color="auto" w:sz="4" w:space="0"/>
              <w:right w:val="single" w:color="auto" w:sz="4" w:space="0"/>
            </w:tcBorders>
            <w:vAlign w:val="center"/>
          </w:tcPr>
          <w:p w14:paraId="621B8F05">
            <w:pPr>
              <w:spacing w:line="300" w:lineRule="exact"/>
              <w:jc w:val="left"/>
              <w:rPr>
                <w:color w:val="auto"/>
                <w:szCs w:val="21"/>
                <w:highlight w:val="none"/>
              </w:rPr>
            </w:pPr>
            <w:r>
              <w:rPr>
                <w:rFonts w:hint="eastAsia"/>
                <w:color w:val="auto"/>
                <w:szCs w:val="21"/>
                <w:highlight w:val="none"/>
              </w:rPr>
              <w:t>本次报价须为人民币报价，报价应包含了但并不限于完成本项目服务所有内容及其他相关服务的投入、系统实施(含咨询）、网站测评、项目验收费、附加培训、售后服务、税金、利润及其他所有可能发生的一切费用。项目实施过程中，采购人不再支付任何费用。在合同实施时，采购人将不予支付供应商没有列入的项目费用，并认为此项目的费用已包括在总报价中。</w:t>
            </w:r>
          </w:p>
        </w:tc>
      </w:tr>
      <w:tr w14:paraId="78C1FE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67DE4D7E">
            <w:pPr>
              <w:spacing w:line="360" w:lineRule="exact"/>
              <w:jc w:val="center"/>
              <w:rPr>
                <w:color w:val="auto"/>
                <w:szCs w:val="21"/>
                <w:highlight w:val="none"/>
              </w:rPr>
            </w:pPr>
            <w:r>
              <w:rPr>
                <w:rFonts w:hint="eastAsia"/>
                <w:color w:val="auto"/>
                <w:szCs w:val="21"/>
                <w:highlight w:val="none"/>
              </w:rPr>
              <w:t>2</w:t>
            </w:r>
          </w:p>
        </w:tc>
        <w:tc>
          <w:tcPr>
            <w:tcW w:w="1134" w:type="dxa"/>
            <w:tcBorders>
              <w:top w:val="single" w:color="auto" w:sz="4" w:space="0"/>
              <w:left w:val="single" w:color="auto" w:sz="4" w:space="0"/>
              <w:bottom w:val="single" w:color="auto" w:sz="4" w:space="0"/>
              <w:right w:val="single" w:color="auto" w:sz="4" w:space="0"/>
            </w:tcBorders>
            <w:vAlign w:val="center"/>
          </w:tcPr>
          <w:p w14:paraId="7B179AFE">
            <w:pPr>
              <w:spacing w:line="360" w:lineRule="exact"/>
              <w:jc w:val="center"/>
              <w:rPr>
                <w:color w:val="auto"/>
                <w:szCs w:val="21"/>
                <w:highlight w:val="none"/>
              </w:rPr>
            </w:pPr>
            <w:r>
              <w:rPr>
                <w:color w:val="auto"/>
                <w:szCs w:val="21"/>
                <w:highlight w:val="none"/>
              </w:rPr>
              <w:t>合同签订日期</w:t>
            </w:r>
          </w:p>
        </w:tc>
        <w:tc>
          <w:tcPr>
            <w:tcW w:w="7796" w:type="dxa"/>
            <w:tcBorders>
              <w:top w:val="single" w:color="auto" w:sz="4" w:space="0"/>
              <w:left w:val="single" w:color="auto" w:sz="4" w:space="0"/>
              <w:bottom w:val="single" w:color="auto" w:sz="4" w:space="0"/>
              <w:right w:val="single" w:color="auto" w:sz="4" w:space="0"/>
            </w:tcBorders>
            <w:vAlign w:val="center"/>
          </w:tcPr>
          <w:p w14:paraId="5633FBE8">
            <w:pPr>
              <w:spacing w:line="300" w:lineRule="exact"/>
              <w:rPr>
                <w:color w:val="auto"/>
                <w:szCs w:val="21"/>
                <w:highlight w:val="none"/>
              </w:rPr>
            </w:pPr>
            <w:r>
              <w:rPr>
                <w:color w:val="auto"/>
                <w:szCs w:val="21"/>
                <w:highlight w:val="none"/>
              </w:rPr>
              <w:t>成交通知书发出后</w:t>
            </w:r>
            <w:r>
              <w:rPr>
                <w:rFonts w:hint="eastAsia"/>
                <w:color w:val="auto"/>
                <w:szCs w:val="21"/>
                <w:highlight w:val="none"/>
              </w:rPr>
              <w:t>25</w:t>
            </w:r>
            <w:r>
              <w:rPr>
                <w:color w:val="auto"/>
                <w:szCs w:val="21"/>
                <w:highlight w:val="none"/>
              </w:rPr>
              <w:t>日内。</w:t>
            </w:r>
          </w:p>
        </w:tc>
      </w:tr>
      <w:tr w14:paraId="173B16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tcPr>
          <w:p w14:paraId="6A8293B1">
            <w:pPr>
              <w:spacing w:line="360" w:lineRule="exact"/>
              <w:jc w:val="center"/>
              <w:rPr>
                <w:color w:val="auto"/>
                <w:szCs w:val="21"/>
                <w:highlight w:val="none"/>
              </w:rPr>
            </w:pPr>
            <w:r>
              <w:rPr>
                <w:rFonts w:hint="eastAsia"/>
                <w:color w:val="auto"/>
                <w:szCs w:val="21"/>
                <w:highlight w:val="none"/>
              </w:rPr>
              <w:t>3</w:t>
            </w:r>
          </w:p>
        </w:tc>
        <w:tc>
          <w:tcPr>
            <w:tcW w:w="1134" w:type="dxa"/>
            <w:tcBorders>
              <w:top w:val="single" w:color="auto" w:sz="4" w:space="0"/>
              <w:left w:val="single" w:color="auto" w:sz="4" w:space="0"/>
              <w:bottom w:val="single" w:color="auto" w:sz="4" w:space="0"/>
              <w:right w:val="single" w:color="auto" w:sz="4" w:space="0"/>
            </w:tcBorders>
          </w:tcPr>
          <w:p w14:paraId="008425AC">
            <w:pPr>
              <w:spacing w:line="360" w:lineRule="exact"/>
              <w:jc w:val="center"/>
              <w:rPr>
                <w:color w:val="auto"/>
                <w:szCs w:val="21"/>
                <w:highlight w:val="none"/>
              </w:rPr>
            </w:pPr>
            <w:r>
              <w:rPr>
                <w:rFonts w:hint="eastAsia"/>
                <w:color w:val="auto"/>
                <w:szCs w:val="21"/>
                <w:highlight w:val="none"/>
              </w:rPr>
              <w:t>提交服务时间</w:t>
            </w:r>
          </w:p>
        </w:tc>
        <w:tc>
          <w:tcPr>
            <w:tcW w:w="7796" w:type="dxa"/>
            <w:tcBorders>
              <w:top w:val="single" w:color="auto" w:sz="4" w:space="0"/>
              <w:left w:val="single" w:color="auto" w:sz="4" w:space="0"/>
              <w:bottom w:val="single" w:color="auto" w:sz="4" w:space="0"/>
              <w:right w:val="single" w:color="auto" w:sz="4" w:space="0"/>
            </w:tcBorders>
          </w:tcPr>
          <w:p w14:paraId="5F294CED">
            <w:pPr>
              <w:spacing w:line="300" w:lineRule="exact"/>
              <w:rPr>
                <w:color w:val="auto"/>
                <w:szCs w:val="21"/>
                <w:highlight w:val="none"/>
              </w:rPr>
            </w:pPr>
            <w:r>
              <w:rPr>
                <w:rFonts w:hint="eastAsia"/>
                <w:color w:val="auto"/>
                <w:szCs w:val="21"/>
                <w:highlight w:val="none"/>
              </w:rPr>
              <w:t>自2026年10月13日起提供服务，服务期限12个月。</w:t>
            </w:r>
          </w:p>
        </w:tc>
      </w:tr>
      <w:tr w14:paraId="6BA280D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458" w:hRule="atLeast"/>
          <w:jc w:val="center"/>
        </w:trPr>
        <w:tc>
          <w:tcPr>
            <w:tcW w:w="534" w:type="dxa"/>
            <w:tcBorders>
              <w:top w:val="single" w:color="auto" w:sz="4" w:space="0"/>
              <w:left w:val="single" w:color="auto" w:sz="4" w:space="0"/>
              <w:bottom w:val="single" w:color="auto" w:sz="4" w:space="0"/>
              <w:right w:val="single" w:color="auto" w:sz="4" w:space="0"/>
            </w:tcBorders>
          </w:tcPr>
          <w:p w14:paraId="0F48275F">
            <w:pPr>
              <w:spacing w:line="360" w:lineRule="exact"/>
              <w:jc w:val="center"/>
              <w:rPr>
                <w:color w:val="auto"/>
                <w:szCs w:val="21"/>
                <w:highlight w:val="none"/>
              </w:rPr>
            </w:pPr>
            <w:r>
              <w:rPr>
                <w:rFonts w:hint="eastAsia"/>
                <w:color w:val="auto"/>
                <w:szCs w:val="21"/>
                <w:highlight w:val="none"/>
              </w:rPr>
              <w:t>4</w:t>
            </w:r>
          </w:p>
        </w:tc>
        <w:tc>
          <w:tcPr>
            <w:tcW w:w="1134" w:type="dxa"/>
            <w:tcBorders>
              <w:top w:val="single" w:color="auto" w:sz="4" w:space="0"/>
              <w:left w:val="single" w:color="auto" w:sz="4" w:space="0"/>
              <w:bottom w:val="single" w:color="auto" w:sz="4" w:space="0"/>
              <w:right w:val="single" w:color="auto" w:sz="4" w:space="0"/>
            </w:tcBorders>
          </w:tcPr>
          <w:p w14:paraId="78F0EA21">
            <w:pPr>
              <w:spacing w:line="360" w:lineRule="exact"/>
              <w:jc w:val="center"/>
              <w:rPr>
                <w:color w:val="auto"/>
                <w:szCs w:val="21"/>
                <w:highlight w:val="none"/>
              </w:rPr>
            </w:pPr>
            <w:r>
              <w:rPr>
                <w:rFonts w:hint="eastAsia"/>
                <w:color w:val="auto"/>
                <w:szCs w:val="21"/>
                <w:highlight w:val="none"/>
              </w:rPr>
              <w:t>服务地点</w:t>
            </w:r>
          </w:p>
        </w:tc>
        <w:tc>
          <w:tcPr>
            <w:tcW w:w="7796" w:type="dxa"/>
            <w:tcBorders>
              <w:top w:val="single" w:color="auto" w:sz="4" w:space="0"/>
              <w:left w:val="single" w:color="auto" w:sz="4" w:space="0"/>
              <w:bottom w:val="single" w:color="auto" w:sz="4" w:space="0"/>
              <w:right w:val="single" w:color="auto" w:sz="4" w:space="0"/>
            </w:tcBorders>
          </w:tcPr>
          <w:p w14:paraId="0ED2D0A4">
            <w:pPr>
              <w:spacing w:line="300" w:lineRule="exact"/>
              <w:rPr>
                <w:color w:val="auto"/>
                <w:szCs w:val="21"/>
                <w:highlight w:val="none"/>
              </w:rPr>
            </w:pPr>
            <w:r>
              <w:rPr>
                <w:rFonts w:hint="eastAsia"/>
                <w:color w:val="auto"/>
                <w:szCs w:val="21"/>
                <w:highlight w:val="none"/>
              </w:rPr>
              <w:t>广西南宁市采购人指定地点。</w:t>
            </w:r>
          </w:p>
        </w:tc>
      </w:tr>
      <w:tr w14:paraId="3D919D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287FABA1">
            <w:pPr>
              <w:jc w:val="center"/>
              <w:rPr>
                <w:color w:val="auto"/>
                <w:szCs w:val="21"/>
                <w:highlight w:val="none"/>
              </w:rPr>
            </w:pPr>
            <w:r>
              <w:rPr>
                <w:rFonts w:hint="eastAsia"/>
                <w:color w:val="auto"/>
                <w:szCs w:val="21"/>
                <w:highlight w:val="none"/>
              </w:rPr>
              <w:t>5</w:t>
            </w:r>
          </w:p>
        </w:tc>
        <w:tc>
          <w:tcPr>
            <w:tcW w:w="1134" w:type="dxa"/>
            <w:tcBorders>
              <w:top w:val="single" w:color="auto" w:sz="4" w:space="0"/>
              <w:left w:val="single" w:color="auto" w:sz="4" w:space="0"/>
              <w:bottom w:val="single" w:color="auto" w:sz="4" w:space="0"/>
              <w:right w:val="single" w:color="auto" w:sz="4" w:space="0"/>
            </w:tcBorders>
            <w:vAlign w:val="center"/>
          </w:tcPr>
          <w:p w14:paraId="77DA15F5">
            <w:pPr>
              <w:spacing w:line="360" w:lineRule="exact"/>
              <w:jc w:val="center"/>
              <w:rPr>
                <w:color w:val="auto"/>
                <w:szCs w:val="21"/>
                <w:highlight w:val="none"/>
              </w:rPr>
            </w:pPr>
            <w:r>
              <w:rPr>
                <w:rFonts w:hint="eastAsia"/>
                <w:color w:val="auto"/>
                <w:szCs w:val="21"/>
                <w:highlight w:val="none"/>
              </w:rPr>
              <w:t>▲服务及响应要求</w:t>
            </w:r>
          </w:p>
        </w:tc>
        <w:tc>
          <w:tcPr>
            <w:tcW w:w="7796" w:type="dxa"/>
            <w:tcBorders>
              <w:top w:val="single" w:color="auto" w:sz="4" w:space="0"/>
              <w:left w:val="single" w:color="auto" w:sz="4" w:space="0"/>
              <w:bottom w:val="single" w:color="auto" w:sz="4" w:space="0"/>
              <w:right w:val="single" w:color="auto" w:sz="4" w:space="0"/>
            </w:tcBorders>
            <w:vAlign w:val="center"/>
          </w:tcPr>
          <w:p w14:paraId="668FD872">
            <w:pPr>
              <w:spacing w:line="300" w:lineRule="exact"/>
              <w:rPr>
                <w:color w:val="auto"/>
                <w:szCs w:val="21"/>
                <w:highlight w:val="none"/>
              </w:rPr>
            </w:pPr>
            <w:r>
              <w:rPr>
                <w:rFonts w:hint="eastAsia"/>
                <w:color w:val="auto"/>
                <w:szCs w:val="21"/>
                <w:highlight w:val="none"/>
              </w:rPr>
              <w:t>(1)成交供应商应派出至少2名服务人员负责本项目服务。</w:t>
            </w:r>
          </w:p>
          <w:p w14:paraId="45518478">
            <w:pPr>
              <w:spacing w:line="300" w:lineRule="exact"/>
              <w:rPr>
                <w:color w:val="auto"/>
                <w:szCs w:val="21"/>
                <w:highlight w:val="none"/>
              </w:rPr>
            </w:pPr>
            <w:r>
              <w:rPr>
                <w:rFonts w:hint="eastAsia"/>
                <w:color w:val="auto"/>
                <w:szCs w:val="21"/>
                <w:highlight w:val="none"/>
              </w:rPr>
              <w:t>(2)技术人员应在接到故障通知后30分钟内响应并及时处理；接到到场通知后2小时内到达现场。</w:t>
            </w:r>
          </w:p>
        </w:tc>
      </w:tr>
      <w:tr w14:paraId="3D7B62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077D0893">
            <w:pPr>
              <w:spacing w:line="360" w:lineRule="exact"/>
              <w:jc w:val="center"/>
              <w:rPr>
                <w:color w:val="auto"/>
                <w:szCs w:val="21"/>
                <w:highlight w:val="none"/>
              </w:rPr>
            </w:pPr>
            <w:r>
              <w:rPr>
                <w:rFonts w:hint="eastAsia"/>
                <w:color w:val="auto"/>
                <w:szCs w:val="21"/>
                <w:highlight w:val="none"/>
              </w:rPr>
              <w:t>6</w:t>
            </w:r>
          </w:p>
        </w:tc>
        <w:tc>
          <w:tcPr>
            <w:tcW w:w="1134" w:type="dxa"/>
            <w:tcBorders>
              <w:top w:val="single" w:color="auto" w:sz="4" w:space="0"/>
              <w:left w:val="single" w:color="auto" w:sz="4" w:space="0"/>
              <w:bottom w:val="single" w:color="auto" w:sz="4" w:space="0"/>
              <w:right w:val="single" w:color="auto" w:sz="4" w:space="0"/>
            </w:tcBorders>
            <w:vAlign w:val="center"/>
          </w:tcPr>
          <w:p w14:paraId="60AB0B06">
            <w:pPr>
              <w:spacing w:line="360" w:lineRule="exact"/>
              <w:jc w:val="center"/>
              <w:rPr>
                <w:color w:val="auto"/>
                <w:szCs w:val="21"/>
                <w:highlight w:val="none"/>
              </w:rPr>
            </w:pPr>
            <w:r>
              <w:rPr>
                <w:rFonts w:hint="eastAsia" w:ascii="宋体" w:hAnsi="宋体" w:cs="宋体"/>
                <w:color w:val="auto"/>
                <w:szCs w:val="21"/>
                <w:highlight w:val="none"/>
              </w:rPr>
              <w:t>▲</w:t>
            </w:r>
            <w:r>
              <w:rPr>
                <w:rFonts w:hint="eastAsia" w:ascii="宋体" w:hAnsi="宋体" w:cs="宋体"/>
                <w:color w:val="auto"/>
                <w:highlight w:val="none"/>
              </w:rPr>
              <w:t>保密要求</w:t>
            </w:r>
          </w:p>
        </w:tc>
        <w:tc>
          <w:tcPr>
            <w:tcW w:w="7796" w:type="dxa"/>
            <w:tcBorders>
              <w:top w:val="single" w:color="auto" w:sz="4" w:space="0"/>
              <w:left w:val="single" w:color="auto" w:sz="4" w:space="0"/>
              <w:bottom w:val="single" w:color="auto" w:sz="4" w:space="0"/>
              <w:right w:val="single" w:color="auto" w:sz="4" w:space="0"/>
            </w:tcBorders>
            <w:vAlign w:val="center"/>
          </w:tcPr>
          <w:p w14:paraId="73B6FACC">
            <w:pPr>
              <w:spacing w:line="300" w:lineRule="exact"/>
              <w:jc w:val="left"/>
              <w:rPr>
                <w:color w:val="auto"/>
                <w:szCs w:val="21"/>
                <w:highlight w:val="none"/>
              </w:rPr>
            </w:pPr>
            <w:r>
              <w:rPr>
                <w:rFonts w:hint="eastAsia"/>
                <w:color w:val="auto"/>
                <w:szCs w:val="21"/>
                <w:highlight w:val="none"/>
              </w:rPr>
              <w:t>供应商须保证对所有系统资料、口令和数据负有保密的责任和义务，未经采购人许可，不允许向第三方透露。</w:t>
            </w:r>
          </w:p>
        </w:tc>
      </w:tr>
      <w:tr w14:paraId="24A1140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3CAA0DB9">
            <w:pPr>
              <w:spacing w:line="360" w:lineRule="exact"/>
              <w:jc w:val="center"/>
              <w:rPr>
                <w:color w:val="auto"/>
                <w:szCs w:val="21"/>
                <w:highlight w:val="none"/>
              </w:rPr>
            </w:pPr>
            <w:r>
              <w:rPr>
                <w:rFonts w:hint="eastAsia"/>
                <w:color w:val="auto"/>
                <w:szCs w:val="21"/>
                <w:highlight w:val="none"/>
              </w:rPr>
              <w:t>7</w:t>
            </w:r>
          </w:p>
        </w:tc>
        <w:tc>
          <w:tcPr>
            <w:tcW w:w="1134" w:type="dxa"/>
            <w:tcBorders>
              <w:top w:val="single" w:color="auto" w:sz="4" w:space="0"/>
              <w:left w:val="single" w:color="auto" w:sz="4" w:space="0"/>
              <w:bottom w:val="single" w:color="auto" w:sz="4" w:space="0"/>
              <w:right w:val="single" w:color="auto" w:sz="4" w:space="0"/>
            </w:tcBorders>
            <w:vAlign w:val="center"/>
          </w:tcPr>
          <w:p w14:paraId="7D978A92">
            <w:pPr>
              <w:spacing w:line="360" w:lineRule="exact"/>
              <w:jc w:val="center"/>
              <w:rPr>
                <w:color w:val="auto"/>
                <w:szCs w:val="21"/>
                <w:highlight w:val="none"/>
              </w:rPr>
            </w:pPr>
            <w:r>
              <w:rPr>
                <w:rFonts w:hint="eastAsia"/>
                <w:color w:val="auto"/>
                <w:szCs w:val="21"/>
                <w:highlight w:val="none"/>
              </w:rPr>
              <w:t>验收标准和要求</w:t>
            </w:r>
          </w:p>
        </w:tc>
        <w:tc>
          <w:tcPr>
            <w:tcW w:w="7796" w:type="dxa"/>
            <w:tcBorders>
              <w:top w:val="single" w:color="auto" w:sz="4" w:space="0"/>
              <w:left w:val="single" w:color="auto" w:sz="4" w:space="0"/>
              <w:bottom w:val="single" w:color="auto" w:sz="4" w:space="0"/>
              <w:right w:val="single" w:color="auto" w:sz="4" w:space="0"/>
            </w:tcBorders>
            <w:vAlign w:val="center"/>
          </w:tcPr>
          <w:p w14:paraId="24393291">
            <w:pPr>
              <w:spacing w:line="300" w:lineRule="exact"/>
              <w:jc w:val="left"/>
              <w:rPr>
                <w:color w:val="auto"/>
                <w:szCs w:val="21"/>
                <w:highlight w:val="none"/>
              </w:rPr>
            </w:pPr>
            <w:r>
              <w:rPr>
                <w:rFonts w:hint="eastAsia"/>
                <w:color w:val="auto"/>
                <w:szCs w:val="21"/>
                <w:highlight w:val="none"/>
              </w:rPr>
              <w:t>1.验收标准原则上按照《广西壮族自治区政府采购项目履约验收管理办法》的有关要求进行。</w:t>
            </w:r>
          </w:p>
          <w:p w14:paraId="5FBF818D">
            <w:pPr>
              <w:spacing w:line="300" w:lineRule="exact"/>
              <w:jc w:val="left"/>
              <w:rPr>
                <w:color w:val="auto"/>
                <w:szCs w:val="21"/>
                <w:highlight w:val="none"/>
              </w:rPr>
            </w:pPr>
            <w:r>
              <w:rPr>
                <w:rFonts w:hint="eastAsia"/>
                <w:color w:val="auto"/>
                <w:szCs w:val="21"/>
                <w:highlight w:val="none"/>
              </w:rPr>
              <w:t>2.验收过程中所产生的一切费用均由供应商承担。</w:t>
            </w:r>
          </w:p>
          <w:p w14:paraId="38EF8DDA">
            <w:pPr>
              <w:spacing w:line="300" w:lineRule="exact"/>
              <w:jc w:val="left"/>
              <w:rPr>
                <w:color w:val="auto"/>
                <w:szCs w:val="21"/>
                <w:highlight w:val="none"/>
              </w:rPr>
            </w:pPr>
            <w:r>
              <w:rPr>
                <w:rFonts w:hint="eastAsia"/>
                <w:color w:val="auto"/>
                <w:szCs w:val="21"/>
                <w:highlight w:val="none"/>
              </w:rPr>
              <w:t>3.验收时，由采购人对照合同条款进行核验。如不符合采购文件的技术需求及要求以及提供虚假承诺的，按相关规定作违约处理，供应商承担所有责任和费用，采购人保留进一步追究责任的权利。</w:t>
            </w:r>
          </w:p>
          <w:p w14:paraId="08283EE7">
            <w:pPr>
              <w:spacing w:line="300" w:lineRule="exact"/>
              <w:jc w:val="left"/>
              <w:rPr>
                <w:color w:val="auto"/>
                <w:szCs w:val="21"/>
                <w:highlight w:val="none"/>
              </w:rPr>
            </w:pPr>
            <w:r>
              <w:rPr>
                <w:rFonts w:hint="eastAsia"/>
                <w:color w:val="auto"/>
                <w:szCs w:val="21"/>
                <w:highlight w:val="none"/>
              </w:rPr>
              <w:t xml:space="preserve">4.其他按合同条款的约定。  </w:t>
            </w:r>
          </w:p>
        </w:tc>
      </w:tr>
      <w:tr w14:paraId="2D7673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041A6F6E">
            <w:pPr>
              <w:spacing w:line="360" w:lineRule="exact"/>
              <w:jc w:val="center"/>
              <w:rPr>
                <w:color w:val="auto"/>
                <w:szCs w:val="21"/>
                <w:highlight w:val="none"/>
              </w:rPr>
            </w:pPr>
            <w:r>
              <w:rPr>
                <w:rFonts w:hint="eastAsia"/>
                <w:color w:val="auto"/>
                <w:szCs w:val="21"/>
                <w:highlight w:val="none"/>
              </w:rPr>
              <w:t>8</w:t>
            </w:r>
          </w:p>
        </w:tc>
        <w:tc>
          <w:tcPr>
            <w:tcW w:w="1134" w:type="dxa"/>
            <w:tcBorders>
              <w:top w:val="single" w:color="auto" w:sz="4" w:space="0"/>
              <w:left w:val="single" w:color="auto" w:sz="4" w:space="0"/>
              <w:bottom w:val="single" w:color="auto" w:sz="4" w:space="0"/>
              <w:right w:val="single" w:color="auto" w:sz="4" w:space="0"/>
            </w:tcBorders>
            <w:vAlign w:val="center"/>
          </w:tcPr>
          <w:p w14:paraId="484E43F7">
            <w:pPr>
              <w:spacing w:line="360" w:lineRule="exact"/>
              <w:jc w:val="center"/>
              <w:rPr>
                <w:color w:val="auto"/>
                <w:szCs w:val="21"/>
                <w:highlight w:val="none"/>
              </w:rPr>
            </w:pPr>
            <w:r>
              <w:rPr>
                <w:color w:val="auto"/>
                <w:szCs w:val="21"/>
                <w:highlight w:val="none"/>
              </w:rPr>
              <w:t>培训</w:t>
            </w:r>
          </w:p>
        </w:tc>
        <w:tc>
          <w:tcPr>
            <w:tcW w:w="7796" w:type="dxa"/>
            <w:tcBorders>
              <w:top w:val="single" w:color="auto" w:sz="4" w:space="0"/>
              <w:left w:val="single" w:color="auto" w:sz="4" w:space="0"/>
              <w:bottom w:val="single" w:color="auto" w:sz="4" w:space="0"/>
              <w:right w:val="single" w:color="auto" w:sz="4" w:space="0"/>
            </w:tcBorders>
            <w:vAlign w:val="center"/>
          </w:tcPr>
          <w:p w14:paraId="0EBD1552">
            <w:pPr>
              <w:spacing w:line="300" w:lineRule="exact"/>
              <w:jc w:val="left"/>
              <w:rPr>
                <w:color w:val="auto"/>
                <w:szCs w:val="21"/>
                <w:highlight w:val="none"/>
              </w:rPr>
            </w:pPr>
            <w:r>
              <w:rPr>
                <w:color w:val="auto"/>
                <w:szCs w:val="21"/>
                <w:highlight w:val="none"/>
              </w:rPr>
              <w:t>供应商对其提供产品或服务的使用和操作应尽培训义务。供应商应提供对采购人的基本培训，使采购人使用人员熟练掌握所培训内容，熟练掌握全部功能</w:t>
            </w:r>
            <w:r>
              <w:rPr>
                <w:rFonts w:hint="eastAsia"/>
                <w:color w:val="auto"/>
                <w:szCs w:val="21"/>
                <w:highlight w:val="none"/>
              </w:rPr>
              <w:t>，</w:t>
            </w:r>
            <w:r>
              <w:rPr>
                <w:color w:val="auto"/>
                <w:szCs w:val="21"/>
                <w:highlight w:val="none"/>
              </w:rPr>
              <w:t>培训的相关费用包括在响应报价中</w:t>
            </w:r>
            <w:r>
              <w:rPr>
                <w:rFonts w:hint="eastAsia"/>
                <w:color w:val="auto"/>
                <w:szCs w:val="21"/>
                <w:highlight w:val="none"/>
              </w:rPr>
              <w:t>，</w:t>
            </w:r>
            <w:r>
              <w:rPr>
                <w:color w:val="auto"/>
                <w:szCs w:val="21"/>
                <w:highlight w:val="none"/>
              </w:rPr>
              <w:t>采购不再另行支付。</w:t>
            </w:r>
          </w:p>
        </w:tc>
      </w:tr>
      <w:tr w14:paraId="5A58CE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20AC3AFD">
            <w:pPr>
              <w:spacing w:line="360" w:lineRule="exact"/>
              <w:jc w:val="center"/>
              <w:rPr>
                <w:color w:val="auto"/>
                <w:szCs w:val="21"/>
                <w:highlight w:val="none"/>
              </w:rPr>
            </w:pPr>
            <w:r>
              <w:rPr>
                <w:rFonts w:hint="eastAsia"/>
                <w:color w:val="auto"/>
                <w:szCs w:val="21"/>
                <w:highlight w:val="none"/>
              </w:rPr>
              <w:t>9</w:t>
            </w:r>
          </w:p>
        </w:tc>
        <w:tc>
          <w:tcPr>
            <w:tcW w:w="1134" w:type="dxa"/>
            <w:tcBorders>
              <w:top w:val="single" w:color="auto" w:sz="4" w:space="0"/>
              <w:left w:val="single" w:color="auto" w:sz="4" w:space="0"/>
              <w:bottom w:val="single" w:color="auto" w:sz="4" w:space="0"/>
              <w:right w:val="single" w:color="auto" w:sz="4" w:space="0"/>
            </w:tcBorders>
            <w:vAlign w:val="center"/>
          </w:tcPr>
          <w:p w14:paraId="326FDC6C">
            <w:pPr>
              <w:spacing w:line="360" w:lineRule="exact"/>
              <w:jc w:val="center"/>
              <w:rPr>
                <w:color w:val="auto"/>
                <w:szCs w:val="21"/>
                <w:highlight w:val="none"/>
              </w:rPr>
            </w:pPr>
            <w:r>
              <w:rPr>
                <w:rFonts w:hint="eastAsia" w:ascii="宋体" w:hAnsi="宋体" w:cs="宋体"/>
                <w:color w:val="auto"/>
                <w:szCs w:val="21"/>
                <w:highlight w:val="none"/>
              </w:rPr>
              <w:t>▲</w:t>
            </w:r>
            <w:r>
              <w:rPr>
                <w:color w:val="auto"/>
                <w:szCs w:val="21"/>
                <w:highlight w:val="none"/>
              </w:rPr>
              <w:t>知识产权</w:t>
            </w:r>
          </w:p>
        </w:tc>
        <w:tc>
          <w:tcPr>
            <w:tcW w:w="7796" w:type="dxa"/>
            <w:tcBorders>
              <w:top w:val="single" w:color="auto" w:sz="4" w:space="0"/>
              <w:left w:val="single" w:color="auto" w:sz="4" w:space="0"/>
              <w:bottom w:val="single" w:color="auto" w:sz="4" w:space="0"/>
              <w:right w:val="single" w:color="auto" w:sz="4" w:space="0"/>
            </w:tcBorders>
            <w:vAlign w:val="center"/>
          </w:tcPr>
          <w:p w14:paraId="5547E8F9">
            <w:pPr>
              <w:spacing w:line="300" w:lineRule="exact"/>
              <w:jc w:val="left"/>
              <w:rPr>
                <w:color w:val="auto"/>
                <w:szCs w:val="21"/>
                <w:highlight w:val="none"/>
              </w:rPr>
            </w:pPr>
            <w:r>
              <w:rPr>
                <w:rFonts w:hint="eastAsia"/>
                <w:color w:val="auto"/>
                <w:szCs w:val="21"/>
                <w:highlight w:val="none"/>
              </w:rPr>
              <w:t>供应商应保证针对本项目涉及的货物的知识产权和所提供的相关技术资料是合法取得，采购人享有完整的产权，不会因为采购人的使用而被责令停止使用、追偿或要求赔偿损失，如出现此情况，一切经济和法律责任均由供应商承担。</w:t>
            </w:r>
          </w:p>
        </w:tc>
      </w:tr>
      <w:tr w14:paraId="4B29E7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4F1F941E">
            <w:pPr>
              <w:spacing w:line="360" w:lineRule="exact"/>
              <w:jc w:val="center"/>
              <w:rPr>
                <w:color w:val="auto"/>
                <w:szCs w:val="21"/>
                <w:highlight w:val="none"/>
              </w:rPr>
            </w:pPr>
            <w:r>
              <w:rPr>
                <w:rFonts w:hint="eastAsia"/>
                <w:color w:val="auto"/>
                <w:szCs w:val="21"/>
                <w:highlight w:val="none"/>
              </w:rPr>
              <w:t>10</w:t>
            </w:r>
          </w:p>
        </w:tc>
        <w:tc>
          <w:tcPr>
            <w:tcW w:w="1134" w:type="dxa"/>
            <w:tcBorders>
              <w:top w:val="single" w:color="auto" w:sz="4" w:space="0"/>
              <w:left w:val="single" w:color="auto" w:sz="4" w:space="0"/>
              <w:bottom w:val="single" w:color="auto" w:sz="4" w:space="0"/>
              <w:right w:val="single" w:color="auto" w:sz="4" w:space="0"/>
            </w:tcBorders>
            <w:vAlign w:val="center"/>
          </w:tcPr>
          <w:p w14:paraId="41E6B422">
            <w:pPr>
              <w:spacing w:line="360" w:lineRule="exact"/>
              <w:jc w:val="center"/>
              <w:rPr>
                <w:color w:val="auto"/>
                <w:szCs w:val="21"/>
                <w:highlight w:val="none"/>
              </w:rPr>
            </w:pPr>
            <w:r>
              <w:rPr>
                <w:color w:val="auto"/>
                <w:szCs w:val="21"/>
                <w:highlight w:val="none"/>
              </w:rPr>
              <w:t>付款方式</w:t>
            </w:r>
          </w:p>
        </w:tc>
        <w:tc>
          <w:tcPr>
            <w:tcW w:w="7796" w:type="dxa"/>
            <w:tcBorders>
              <w:top w:val="single" w:color="auto" w:sz="4" w:space="0"/>
              <w:left w:val="single" w:color="auto" w:sz="4" w:space="0"/>
              <w:bottom w:val="single" w:color="auto" w:sz="4" w:space="0"/>
              <w:right w:val="single" w:color="auto" w:sz="4" w:space="0"/>
            </w:tcBorders>
            <w:vAlign w:val="center"/>
          </w:tcPr>
          <w:p w14:paraId="7685FAFE">
            <w:pPr>
              <w:spacing w:line="300" w:lineRule="exact"/>
              <w:jc w:val="left"/>
              <w:rPr>
                <w:color w:val="auto"/>
                <w:szCs w:val="21"/>
                <w:highlight w:val="none"/>
              </w:rPr>
            </w:pPr>
            <w:r>
              <w:rPr>
                <w:rFonts w:hint="eastAsia"/>
                <w:color w:val="auto"/>
                <w:szCs w:val="21"/>
                <w:highlight w:val="none"/>
              </w:rPr>
              <w:t>项目签订合同后十五个工作日内支付合同金额的50%，验收合格后支付剩余合同款项的50%。每次付款前，供应商开具发票给采购人。</w:t>
            </w:r>
          </w:p>
        </w:tc>
      </w:tr>
      <w:tr w14:paraId="3ECD3BE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06C46F2">
            <w:pPr>
              <w:spacing w:line="360" w:lineRule="exact"/>
              <w:jc w:val="center"/>
              <w:rPr>
                <w:color w:val="auto"/>
                <w:szCs w:val="21"/>
                <w:highlight w:val="none"/>
              </w:rPr>
            </w:pPr>
            <w:r>
              <w:rPr>
                <w:rFonts w:hint="eastAsia"/>
                <w:color w:val="auto"/>
                <w:szCs w:val="21"/>
                <w:highlight w:val="none"/>
              </w:rPr>
              <w:t>12</w:t>
            </w:r>
          </w:p>
        </w:tc>
        <w:tc>
          <w:tcPr>
            <w:tcW w:w="1134" w:type="dxa"/>
            <w:tcBorders>
              <w:top w:val="single" w:color="auto" w:sz="4" w:space="0"/>
              <w:left w:val="single" w:color="auto" w:sz="4" w:space="0"/>
              <w:bottom w:val="single" w:color="auto" w:sz="4" w:space="0"/>
              <w:right w:val="single" w:color="auto" w:sz="4" w:space="0"/>
            </w:tcBorders>
            <w:vAlign w:val="center"/>
          </w:tcPr>
          <w:p w14:paraId="26979784">
            <w:pPr>
              <w:spacing w:line="300" w:lineRule="exact"/>
              <w:jc w:val="center"/>
              <w:rPr>
                <w:color w:val="auto"/>
                <w:szCs w:val="21"/>
                <w:highlight w:val="none"/>
              </w:rPr>
            </w:pPr>
            <w:r>
              <w:rPr>
                <w:rFonts w:hint="eastAsia"/>
                <w:color w:val="auto"/>
                <w:szCs w:val="21"/>
                <w:highlight w:val="none"/>
              </w:rPr>
              <w:t>其他要求</w:t>
            </w:r>
          </w:p>
        </w:tc>
        <w:tc>
          <w:tcPr>
            <w:tcW w:w="7796" w:type="dxa"/>
            <w:tcBorders>
              <w:top w:val="single" w:color="auto" w:sz="4" w:space="0"/>
              <w:left w:val="single" w:color="auto" w:sz="4" w:space="0"/>
              <w:bottom w:val="single" w:color="auto" w:sz="4" w:space="0"/>
              <w:right w:val="single" w:color="auto" w:sz="4" w:space="0"/>
            </w:tcBorders>
            <w:vAlign w:val="center"/>
          </w:tcPr>
          <w:p w14:paraId="35E7AAFA">
            <w:pPr>
              <w:spacing w:line="300" w:lineRule="exact"/>
              <w:jc w:val="left"/>
              <w:rPr>
                <w:color w:val="auto"/>
                <w:szCs w:val="21"/>
                <w:highlight w:val="none"/>
              </w:rPr>
            </w:pPr>
            <w:r>
              <w:rPr>
                <w:rFonts w:hint="eastAsia"/>
                <w:color w:val="auto"/>
                <w:szCs w:val="21"/>
                <w:highlight w:val="none"/>
              </w:rPr>
              <w:t>供应商如有请提供原厂商针对此项目的授权函。</w:t>
            </w:r>
          </w:p>
        </w:tc>
      </w:tr>
    </w:tbl>
    <w:p w14:paraId="4AE9521C">
      <w:pPr>
        <w:rPr>
          <w:color w:val="auto"/>
          <w:sz w:val="28"/>
          <w:szCs w:val="28"/>
          <w:highlight w:val="none"/>
        </w:rPr>
      </w:pPr>
    </w:p>
    <w:p w14:paraId="3A88358B">
      <w:pPr>
        <w:rPr>
          <w:color w:val="auto"/>
          <w:sz w:val="28"/>
          <w:szCs w:val="28"/>
          <w:highlight w:val="none"/>
        </w:rPr>
      </w:pPr>
      <w:r>
        <w:rPr>
          <w:color w:val="auto"/>
          <w:sz w:val="28"/>
          <w:szCs w:val="28"/>
          <w:highlight w:val="none"/>
        </w:rPr>
        <w:br w:type="page"/>
      </w:r>
    </w:p>
    <w:p w14:paraId="167AE8E5">
      <w:pPr>
        <w:spacing w:line="360" w:lineRule="auto"/>
        <w:outlineLvl w:val="1"/>
        <w:rPr>
          <w:b/>
          <w:bCs/>
          <w:color w:val="auto"/>
          <w:szCs w:val="21"/>
          <w:highlight w:val="none"/>
        </w:rPr>
      </w:pPr>
      <w:r>
        <w:rPr>
          <w:rFonts w:hint="eastAsia"/>
          <w:b/>
          <w:bCs/>
          <w:color w:val="auto"/>
          <w:szCs w:val="21"/>
          <w:highlight w:val="none"/>
        </w:rPr>
        <w:t>标项三：</w:t>
      </w:r>
    </w:p>
    <w:tbl>
      <w:tblPr>
        <w:tblStyle w:val="53"/>
        <w:tblW w:w="94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134"/>
        <w:gridCol w:w="709"/>
        <w:gridCol w:w="709"/>
        <w:gridCol w:w="6237"/>
      </w:tblGrid>
      <w:tr w14:paraId="238CA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675" w:type="dxa"/>
            <w:vAlign w:val="center"/>
          </w:tcPr>
          <w:p w14:paraId="0445530A">
            <w:pPr>
              <w:widowControl/>
              <w:jc w:val="center"/>
              <w:rPr>
                <w:b/>
                <w:color w:val="auto"/>
                <w:szCs w:val="21"/>
                <w:highlight w:val="none"/>
              </w:rPr>
            </w:pPr>
            <w:r>
              <w:rPr>
                <w:rFonts w:hint="eastAsia"/>
                <w:b/>
                <w:color w:val="auto"/>
                <w:szCs w:val="21"/>
                <w:highlight w:val="none"/>
              </w:rPr>
              <w:t>项号</w:t>
            </w:r>
          </w:p>
        </w:tc>
        <w:tc>
          <w:tcPr>
            <w:tcW w:w="1134" w:type="dxa"/>
            <w:vAlign w:val="center"/>
          </w:tcPr>
          <w:p w14:paraId="728F62CC">
            <w:pPr>
              <w:widowControl/>
              <w:jc w:val="center"/>
              <w:rPr>
                <w:b/>
                <w:color w:val="auto"/>
                <w:szCs w:val="21"/>
                <w:highlight w:val="none"/>
              </w:rPr>
            </w:pPr>
            <w:r>
              <w:rPr>
                <w:rFonts w:hint="eastAsia"/>
                <w:b/>
                <w:color w:val="auto"/>
                <w:szCs w:val="21"/>
                <w:highlight w:val="none"/>
              </w:rPr>
              <w:t>服务名称</w:t>
            </w:r>
          </w:p>
        </w:tc>
        <w:tc>
          <w:tcPr>
            <w:tcW w:w="709" w:type="dxa"/>
            <w:vAlign w:val="center"/>
          </w:tcPr>
          <w:p w14:paraId="01CE26D9">
            <w:pPr>
              <w:widowControl/>
              <w:jc w:val="center"/>
              <w:rPr>
                <w:b/>
                <w:color w:val="auto"/>
                <w:szCs w:val="21"/>
                <w:highlight w:val="none"/>
              </w:rPr>
            </w:pPr>
            <w:r>
              <w:rPr>
                <w:rFonts w:hint="eastAsia"/>
                <w:b/>
                <w:color w:val="auto"/>
                <w:szCs w:val="21"/>
                <w:highlight w:val="none"/>
              </w:rPr>
              <w:t>数量</w:t>
            </w:r>
          </w:p>
        </w:tc>
        <w:tc>
          <w:tcPr>
            <w:tcW w:w="709" w:type="dxa"/>
            <w:vAlign w:val="center"/>
          </w:tcPr>
          <w:p w14:paraId="5CB4F453">
            <w:pPr>
              <w:widowControl/>
              <w:jc w:val="center"/>
              <w:rPr>
                <w:b/>
                <w:color w:val="auto"/>
                <w:szCs w:val="21"/>
                <w:highlight w:val="none"/>
              </w:rPr>
            </w:pPr>
            <w:r>
              <w:rPr>
                <w:rFonts w:hint="eastAsia"/>
                <w:b/>
                <w:color w:val="auto"/>
                <w:szCs w:val="21"/>
                <w:highlight w:val="none"/>
              </w:rPr>
              <w:t>单位</w:t>
            </w:r>
          </w:p>
        </w:tc>
        <w:tc>
          <w:tcPr>
            <w:tcW w:w="6237" w:type="dxa"/>
            <w:vAlign w:val="center"/>
          </w:tcPr>
          <w:p w14:paraId="250DF56A">
            <w:pPr>
              <w:widowControl/>
              <w:jc w:val="center"/>
              <w:rPr>
                <w:b/>
                <w:color w:val="auto"/>
                <w:szCs w:val="21"/>
                <w:highlight w:val="none"/>
              </w:rPr>
            </w:pPr>
            <w:r>
              <w:rPr>
                <w:rFonts w:hint="eastAsia"/>
                <w:b/>
                <w:color w:val="auto"/>
                <w:szCs w:val="21"/>
                <w:highlight w:val="none"/>
              </w:rPr>
              <w:t>技术参数及性能（配置）要求</w:t>
            </w:r>
          </w:p>
        </w:tc>
      </w:tr>
      <w:tr w14:paraId="6C408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5" w:hRule="atLeast"/>
          <w:jc w:val="center"/>
        </w:trPr>
        <w:tc>
          <w:tcPr>
            <w:tcW w:w="675" w:type="dxa"/>
            <w:vAlign w:val="center"/>
          </w:tcPr>
          <w:p w14:paraId="65A85AC6">
            <w:pPr>
              <w:spacing w:line="40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1134" w:type="dxa"/>
            <w:vAlign w:val="center"/>
          </w:tcPr>
          <w:p w14:paraId="06AF5213">
            <w:pPr>
              <w:spacing w:line="400" w:lineRule="exact"/>
              <w:jc w:val="center"/>
              <w:rPr>
                <w:rFonts w:ascii="仿宋_GB2312" w:eastAsia="仿宋_GB2312"/>
                <w:color w:val="auto"/>
                <w:sz w:val="24"/>
                <w:highlight w:val="none"/>
              </w:rPr>
            </w:pPr>
            <w:r>
              <w:rPr>
                <w:rFonts w:hint="eastAsia"/>
                <w:color w:val="auto"/>
                <w:kern w:val="0"/>
                <w:szCs w:val="21"/>
                <w:highlight w:val="none"/>
              </w:rPr>
              <w:t>OA对接综办平台改造</w:t>
            </w:r>
          </w:p>
        </w:tc>
        <w:tc>
          <w:tcPr>
            <w:tcW w:w="709" w:type="dxa"/>
            <w:vAlign w:val="center"/>
          </w:tcPr>
          <w:p w14:paraId="0EEC44D9">
            <w:pPr>
              <w:spacing w:line="40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709" w:type="dxa"/>
            <w:vAlign w:val="center"/>
          </w:tcPr>
          <w:p w14:paraId="1919F72D">
            <w:pPr>
              <w:spacing w:line="400" w:lineRule="exact"/>
              <w:jc w:val="center"/>
              <w:rPr>
                <w:rFonts w:hint="eastAsia" w:ascii="宋体" w:hAnsi="宋体"/>
                <w:color w:val="auto"/>
                <w:szCs w:val="21"/>
                <w:highlight w:val="none"/>
              </w:rPr>
            </w:pPr>
            <w:r>
              <w:rPr>
                <w:rFonts w:hint="eastAsia" w:ascii="宋体" w:hAnsi="宋体"/>
                <w:color w:val="auto"/>
                <w:szCs w:val="21"/>
                <w:highlight w:val="none"/>
              </w:rPr>
              <w:t>项</w:t>
            </w:r>
          </w:p>
        </w:tc>
        <w:tc>
          <w:tcPr>
            <w:tcW w:w="6237" w:type="dxa"/>
          </w:tcPr>
          <w:p w14:paraId="245E93EF">
            <w:pPr>
              <w:spacing w:line="560" w:lineRule="exact"/>
              <w:jc w:val="left"/>
              <w:outlineLvl w:val="3"/>
              <w:rPr>
                <w:rFonts w:hint="eastAsia" w:ascii="宋体" w:hAnsi="宋体" w:cs="宋体"/>
                <w:color w:val="auto"/>
                <w:szCs w:val="21"/>
                <w:highlight w:val="none"/>
              </w:rPr>
            </w:pPr>
            <w:bookmarkStart w:id="51" w:name="_Toc16664"/>
            <w:r>
              <w:rPr>
                <w:rFonts w:hint="eastAsia" w:ascii="宋体" w:hAnsi="宋体" w:cs="宋体"/>
                <w:b/>
                <w:bCs/>
                <w:iCs/>
                <w:color w:val="auto"/>
                <w:szCs w:val="21"/>
                <w:highlight w:val="none"/>
              </w:rPr>
              <w:t>1.OA对接综办平台改造</w:t>
            </w:r>
          </w:p>
          <w:p w14:paraId="3CA487C1">
            <w:pPr>
              <w:pStyle w:val="8"/>
              <w:numPr>
                <w:ilvl w:val="1"/>
                <w:numId w:val="0"/>
              </w:numPr>
              <w:tabs>
                <w:tab w:val="left" w:pos="420"/>
              </w:tabs>
              <w:ind w:firstLine="422"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.1.</w:t>
            </w:r>
            <w:r>
              <w:rPr>
                <w:rFonts w:hint="eastAsia" w:ascii="宋体" w:hAnsi="宋体" w:cs="宋体"/>
                <w:color w:val="auto"/>
                <w:sz w:val="21"/>
                <w:szCs w:val="21"/>
                <w:highlight w:val="none"/>
              </w:rPr>
              <w:t>电子公文系统标准版部署</w:t>
            </w:r>
          </w:p>
          <w:p w14:paraId="6F6B35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部署符合自治区标准的电子公文系统，实现跨部门公文的规范化流转，包含发文、收文、纸质来文登记等核心功能。</w:t>
            </w:r>
          </w:p>
          <w:p w14:paraId="0EF3E69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（1）首页</w:t>
            </w:r>
          </w:p>
          <w:p w14:paraId="777092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工作提醒</w:t>
            </w:r>
            <w:r>
              <w:rPr>
                <w:rFonts w:hint="eastAsia" w:ascii="宋体" w:hAnsi="宋体" w:cs="宋体"/>
                <w:color w:val="auto"/>
                <w:szCs w:val="21"/>
                <w:highlight w:val="none"/>
              </w:rPr>
              <w:tab/>
            </w:r>
          </w:p>
          <w:p w14:paraId="17206C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待签收公文、待办收文、待发公文、待办公文等</w:t>
            </w:r>
          </w:p>
          <w:p w14:paraId="4DAB9CB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（2）发文模块</w:t>
            </w:r>
          </w:p>
          <w:p w14:paraId="3065B8F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发文处理</w:t>
            </w:r>
            <w:r>
              <w:rPr>
                <w:rFonts w:hint="eastAsia" w:ascii="宋体" w:hAnsi="宋体" w:cs="宋体"/>
                <w:color w:val="auto"/>
                <w:szCs w:val="21"/>
                <w:highlight w:val="none"/>
              </w:rPr>
              <w:tab/>
            </w:r>
          </w:p>
          <w:p w14:paraId="63D562C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包括待发公文、已发公文、已退回处室、草稿箱几个列表</w:t>
            </w:r>
          </w:p>
          <w:p w14:paraId="0F4533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新增发文</w:t>
            </w:r>
          </w:p>
          <w:p w14:paraId="1045DF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填写内容，给外单位或本处室发文</w:t>
            </w:r>
          </w:p>
          <w:p w14:paraId="679D4A1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发文配置</w:t>
            </w:r>
            <w:r>
              <w:rPr>
                <w:rFonts w:hint="eastAsia" w:ascii="宋体" w:hAnsi="宋体" w:cs="宋体"/>
                <w:color w:val="auto"/>
                <w:szCs w:val="21"/>
                <w:highlight w:val="none"/>
              </w:rPr>
              <w:tab/>
            </w:r>
          </w:p>
          <w:p w14:paraId="3B412B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包括文号管理、套红模板管理、常用发文单位管理、发文机关配置、送外单位签批管理</w:t>
            </w:r>
          </w:p>
          <w:p w14:paraId="4DC88CA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发文归档</w:t>
            </w:r>
            <w:r>
              <w:rPr>
                <w:rFonts w:hint="eastAsia" w:ascii="宋体" w:hAnsi="宋体" w:cs="宋体"/>
                <w:color w:val="auto"/>
                <w:szCs w:val="21"/>
                <w:highlight w:val="none"/>
              </w:rPr>
              <w:tab/>
            </w:r>
          </w:p>
          <w:p w14:paraId="2856EA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（3）收文模块</w:t>
            </w:r>
            <w:r>
              <w:rPr>
                <w:rFonts w:hint="eastAsia" w:ascii="宋体" w:hAnsi="宋体" w:cs="宋体"/>
                <w:color w:val="auto"/>
                <w:szCs w:val="21"/>
                <w:highlight w:val="none"/>
              </w:rPr>
              <w:tab/>
            </w:r>
          </w:p>
          <w:p w14:paraId="5932CC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收文处理：</w:t>
            </w:r>
            <w:r>
              <w:rPr>
                <w:rFonts w:hint="eastAsia" w:ascii="宋体" w:hAnsi="宋体" w:cs="宋体"/>
                <w:color w:val="auto"/>
                <w:szCs w:val="21"/>
                <w:highlight w:val="none"/>
              </w:rPr>
              <w:tab/>
            </w:r>
            <w:r>
              <w:rPr>
                <w:rFonts w:hint="eastAsia" w:ascii="宋体" w:hAnsi="宋体" w:cs="宋体"/>
                <w:color w:val="auto"/>
                <w:szCs w:val="21"/>
                <w:highlight w:val="none"/>
              </w:rPr>
              <w:t>包括待签收公文、待办收文、待退收文、已办收文、其他收文、草稿箱</w:t>
            </w:r>
          </w:p>
          <w:p w14:paraId="318ED8A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纸质来文登记：录入信息，记录外单位的线下来文内容</w:t>
            </w:r>
          </w:p>
          <w:p w14:paraId="4273F5DF">
            <w:pPr>
              <w:pStyle w:val="8"/>
              <w:numPr>
                <w:ilvl w:val="1"/>
                <w:numId w:val="0"/>
              </w:numPr>
              <w:tabs>
                <w:tab w:val="left" w:pos="420"/>
              </w:tabs>
              <w:ind w:firstLine="422"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.2.</w:t>
            </w:r>
            <w:r>
              <w:rPr>
                <w:rFonts w:hint="eastAsia" w:ascii="宋体" w:hAnsi="宋体" w:cs="宋体"/>
                <w:color w:val="auto"/>
                <w:sz w:val="21"/>
                <w:szCs w:val="21"/>
                <w:highlight w:val="none"/>
              </w:rPr>
              <w:t>政务中台建设</w:t>
            </w:r>
          </w:p>
          <w:p w14:paraId="56BA798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构建统一的政务中台，提供统一身份认证、用户中心、文件中心、日志中心、在线文档及APP应用底座等基础支撑服务，为未来业务扩展奠定基础</w:t>
            </w:r>
          </w:p>
          <w:p w14:paraId="092BEB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（1）统一身份认证</w:t>
            </w:r>
            <w:r>
              <w:rPr>
                <w:rFonts w:hint="eastAsia" w:ascii="宋体" w:hAnsi="宋体" w:cs="宋体"/>
                <w:color w:val="auto"/>
                <w:szCs w:val="21"/>
                <w:highlight w:val="none"/>
              </w:rPr>
              <w:tab/>
            </w:r>
            <w:r>
              <w:rPr>
                <w:rFonts w:hint="eastAsia" w:ascii="宋体" w:hAnsi="宋体" w:cs="宋体"/>
                <w:color w:val="auto"/>
                <w:szCs w:val="21"/>
                <w:highlight w:val="none"/>
              </w:rPr>
              <w:tab/>
            </w:r>
          </w:p>
          <w:p w14:paraId="372343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提供用户身份的统一认证，提供跨应用的单点登录与权限管控，提供应用访问的安全性和一致性保障。</w:t>
            </w:r>
          </w:p>
          <w:p w14:paraId="2C578E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（2）统一用户中心</w:t>
            </w:r>
            <w:r>
              <w:rPr>
                <w:rFonts w:hint="eastAsia" w:ascii="宋体" w:hAnsi="宋体" w:cs="宋体"/>
                <w:color w:val="auto"/>
                <w:szCs w:val="21"/>
                <w:highlight w:val="none"/>
              </w:rPr>
              <w:tab/>
            </w:r>
            <w:r>
              <w:rPr>
                <w:rFonts w:hint="eastAsia" w:ascii="宋体" w:hAnsi="宋体" w:cs="宋体"/>
                <w:color w:val="auto"/>
                <w:szCs w:val="21"/>
                <w:highlight w:val="none"/>
              </w:rPr>
              <w:tab/>
            </w:r>
          </w:p>
          <w:p w14:paraId="0567E5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提供集中管理用户身份、组织架构、用户权限及岗位管理，实现人员信息在各业务模块间同步。</w:t>
            </w:r>
          </w:p>
          <w:p w14:paraId="2BE4B87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（3）文件中心</w:t>
            </w:r>
            <w:r>
              <w:rPr>
                <w:rFonts w:hint="eastAsia" w:ascii="宋体" w:hAnsi="宋体" w:cs="宋体"/>
                <w:color w:val="auto"/>
                <w:szCs w:val="21"/>
                <w:highlight w:val="none"/>
              </w:rPr>
              <w:tab/>
            </w:r>
            <w:r>
              <w:rPr>
                <w:rFonts w:hint="eastAsia" w:ascii="宋体" w:hAnsi="宋体" w:cs="宋体"/>
                <w:color w:val="auto"/>
                <w:szCs w:val="21"/>
                <w:highlight w:val="none"/>
              </w:rPr>
              <w:tab/>
            </w:r>
          </w:p>
          <w:p w14:paraId="0CD6E12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提供文件存储、在线预览及安全传输能力，满足日常文档管理与附件上传需求。</w:t>
            </w:r>
          </w:p>
          <w:p w14:paraId="1A9A42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（4）日志中心</w:t>
            </w:r>
            <w:r>
              <w:rPr>
                <w:rFonts w:hint="eastAsia" w:ascii="宋体" w:hAnsi="宋体" w:cs="宋体"/>
                <w:color w:val="auto"/>
                <w:szCs w:val="21"/>
                <w:highlight w:val="none"/>
              </w:rPr>
              <w:tab/>
            </w:r>
            <w:r>
              <w:rPr>
                <w:rFonts w:hint="eastAsia" w:ascii="宋体" w:hAnsi="宋体" w:cs="宋体"/>
                <w:color w:val="auto"/>
                <w:szCs w:val="21"/>
                <w:highlight w:val="none"/>
              </w:rPr>
              <w:tab/>
            </w:r>
          </w:p>
          <w:p w14:paraId="0033A27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实现登录日志及操作日志记录、统计及查询功能。</w:t>
            </w:r>
          </w:p>
          <w:p w14:paraId="1DC9CA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（5）在线文档</w:t>
            </w:r>
            <w:r>
              <w:rPr>
                <w:rFonts w:hint="eastAsia" w:ascii="宋体" w:hAnsi="宋体" w:cs="宋体"/>
                <w:color w:val="auto"/>
                <w:szCs w:val="21"/>
                <w:highlight w:val="none"/>
              </w:rPr>
              <w:tab/>
            </w:r>
            <w:r>
              <w:rPr>
                <w:rFonts w:hint="eastAsia" w:ascii="宋体" w:hAnsi="宋体" w:cs="宋体"/>
                <w:color w:val="auto"/>
                <w:szCs w:val="21"/>
                <w:highlight w:val="none"/>
              </w:rPr>
              <w:tab/>
            </w:r>
          </w:p>
          <w:p w14:paraId="6BB693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提供文档的在线编辑、在线预览、套红、转版、水印等功能的集成。</w:t>
            </w:r>
          </w:p>
          <w:p w14:paraId="79BD8B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（6）APP应用底座</w:t>
            </w:r>
            <w:r>
              <w:rPr>
                <w:rFonts w:hint="eastAsia" w:ascii="宋体" w:hAnsi="宋体" w:cs="宋体"/>
                <w:color w:val="auto"/>
                <w:szCs w:val="21"/>
                <w:highlight w:val="none"/>
              </w:rPr>
              <w:tab/>
            </w:r>
            <w:r>
              <w:rPr>
                <w:rFonts w:hint="eastAsia" w:ascii="宋体" w:hAnsi="宋体" w:cs="宋体"/>
                <w:color w:val="auto"/>
                <w:szCs w:val="21"/>
                <w:highlight w:val="none"/>
              </w:rPr>
              <w:tab/>
            </w:r>
          </w:p>
          <w:p w14:paraId="37287B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为移动端应用提供稳定运行环境，基础组件及业务功能与热更新机制，支撑业务的快速迭代</w:t>
            </w:r>
          </w:p>
          <w:p w14:paraId="10E4FE15">
            <w:pPr>
              <w:pStyle w:val="8"/>
              <w:numPr>
                <w:ilvl w:val="1"/>
                <w:numId w:val="0"/>
              </w:numPr>
              <w:tabs>
                <w:tab w:val="left" w:pos="420"/>
              </w:tabs>
              <w:ind w:firstLine="422"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.3.</w:t>
            </w:r>
            <w:r>
              <w:rPr>
                <w:rFonts w:hint="eastAsia" w:ascii="宋体" w:hAnsi="宋体" w:cs="宋体"/>
                <w:color w:val="auto"/>
                <w:sz w:val="21"/>
                <w:szCs w:val="21"/>
                <w:highlight w:val="none"/>
              </w:rPr>
              <w:t>公用网络区公文办理系统PC端开发</w:t>
            </w:r>
          </w:p>
          <w:p w14:paraId="6D5C771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（1）系统对接</w:t>
            </w:r>
          </w:p>
          <w:p w14:paraId="0E96E89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对接综办平台、对接综合办公单点登录、对接统一待办、对接统一身份认证、对接统一文件存储、对接文档安全、对接水印溯源</w:t>
            </w:r>
          </w:p>
          <w:p w14:paraId="4F82186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对接二开的收发接口：</w:t>
            </w:r>
          </w:p>
          <w:p w14:paraId="745F9A0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1）自建系统送发文；</w:t>
            </w:r>
          </w:p>
          <w:p w14:paraId="32C3A34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2）外单位来文；</w:t>
            </w:r>
          </w:p>
          <w:p w14:paraId="2CFFB17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3）转外办理；</w:t>
            </w:r>
          </w:p>
          <w:p w14:paraId="1C54D15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4）作废/撤回逻辑；</w:t>
            </w:r>
          </w:p>
          <w:p w14:paraId="6B97A80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5）电子公文退回通知自建系统；</w:t>
            </w:r>
          </w:p>
          <w:p w14:paraId="428C84E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6）自建系统退回\反馈处理情况逻辑</w:t>
            </w:r>
          </w:p>
          <w:p w14:paraId="0A7BEB2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对接药监局文档预览功能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对接药监局的文档预览接口，实现公文及附件在线预览。</w:t>
            </w:r>
          </w:p>
          <w:p w14:paraId="187489A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（2）登录与认证</w:t>
            </w:r>
            <w:r>
              <w:rPr>
                <w:rFonts w:hint="eastAsia" w:ascii="宋体" w:hAnsi="宋体" w:eastAsia="宋体" w:cs="宋体"/>
                <w:color w:val="auto"/>
                <w:sz w:val="21"/>
                <w:szCs w:val="21"/>
                <w:highlight w:val="none"/>
              </w:rPr>
              <w:tab/>
            </w:r>
          </w:p>
          <w:p w14:paraId="37A0902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登录方式：</w:t>
            </w:r>
            <w:r>
              <w:rPr>
                <w:rFonts w:hint="eastAsia" w:ascii="宋体" w:hAnsi="宋体" w:eastAsia="宋体" w:cs="宋体"/>
                <w:color w:val="auto"/>
                <w:sz w:val="21"/>
                <w:szCs w:val="21"/>
                <w:highlight w:val="none"/>
              </w:rPr>
              <w:tab/>
            </w:r>
          </w:p>
          <w:p w14:paraId="6D8D42B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支持账号/手机号码 + 验证码方式登录</w:t>
            </w:r>
          </w:p>
          <w:p w14:paraId="5D913F9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支持常用设备免验证码登录，新设备首次登录需要短信验证码双重认证</w:t>
            </w:r>
          </w:p>
          <w:p w14:paraId="4ABAC27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支持常用设备超过三天未登录使用，则登录认证信息失效，需要重新短信验证码认证登录，失效天数主持配置</w:t>
            </w:r>
            <w:r>
              <w:rPr>
                <w:rFonts w:hint="eastAsia" w:ascii="宋体" w:hAnsi="宋体" w:eastAsia="宋体" w:cs="宋体"/>
                <w:color w:val="auto"/>
                <w:sz w:val="21"/>
                <w:szCs w:val="21"/>
                <w:highlight w:val="none"/>
              </w:rPr>
              <w:tab/>
            </w:r>
          </w:p>
          <w:p w14:paraId="2C9ED33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修改密码：</w:t>
            </w:r>
            <w:r>
              <w:rPr>
                <w:rFonts w:hint="eastAsia" w:ascii="宋体" w:hAnsi="宋体" w:eastAsia="宋体" w:cs="宋体"/>
                <w:color w:val="auto"/>
                <w:sz w:val="21"/>
                <w:szCs w:val="21"/>
                <w:highlight w:val="none"/>
              </w:rPr>
              <w:tab/>
            </w:r>
          </w:p>
          <w:p w14:paraId="6D59A96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账号首次使用系统、账号重置密码后登录系统，均提醒修改默认密码。</w:t>
            </w:r>
          </w:p>
          <w:p w14:paraId="459E4EF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支持用户可在个人中心修改替换注册的手机号码</w:t>
            </w:r>
          </w:p>
          <w:p w14:paraId="36E98DA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（3）公文办理模块</w:t>
            </w:r>
            <w:r>
              <w:rPr>
                <w:rFonts w:hint="eastAsia" w:ascii="宋体" w:hAnsi="宋体" w:eastAsia="宋体" w:cs="宋体"/>
                <w:color w:val="auto"/>
                <w:sz w:val="21"/>
                <w:szCs w:val="21"/>
                <w:highlight w:val="none"/>
              </w:rPr>
              <w:tab/>
            </w:r>
          </w:p>
          <w:p w14:paraId="0281527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待办公文：</w:t>
            </w:r>
            <w:r>
              <w:rPr>
                <w:rFonts w:hint="eastAsia" w:ascii="宋体" w:hAnsi="宋体" w:eastAsia="宋体" w:cs="宋体"/>
                <w:color w:val="auto"/>
                <w:sz w:val="21"/>
                <w:szCs w:val="21"/>
                <w:highlight w:val="none"/>
              </w:rPr>
              <w:tab/>
            </w:r>
          </w:p>
          <w:p w14:paraId="643FFD6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展示待办公文信息，包括待办收文、待办发文、待办呈批、待办便函、待办督办、待阅公文。</w:t>
            </w:r>
            <w:r>
              <w:rPr>
                <w:rFonts w:hint="eastAsia" w:ascii="宋体" w:hAnsi="宋体" w:eastAsia="宋体" w:cs="宋体"/>
                <w:color w:val="auto"/>
                <w:sz w:val="21"/>
                <w:szCs w:val="21"/>
                <w:highlight w:val="none"/>
              </w:rPr>
              <w:tab/>
            </w:r>
          </w:p>
          <w:p w14:paraId="4E4241B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已办公文：</w:t>
            </w:r>
            <w:r>
              <w:rPr>
                <w:rFonts w:hint="eastAsia" w:ascii="宋体" w:hAnsi="宋体" w:eastAsia="宋体" w:cs="宋体"/>
                <w:color w:val="auto"/>
                <w:sz w:val="21"/>
                <w:szCs w:val="21"/>
                <w:highlight w:val="none"/>
              </w:rPr>
              <w:tab/>
            </w:r>
          </w:p>
          <w:p w14:paraId="18D3F02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展示已办公文，包括已办收文、已办发文、已办呈批、已办便函、已办督办、已阅公文、我的传阅。</w:t>
            </w:r>
            <w:r>
              <w:rPr>
                <w:rFonts w:hint="eastAsia" w:ascii="宋体" w:hAnsi="宋体" w:eastAsia="宋体" w:cs="宋体"/>
                <w:color w:val="auto"/>
                <w:sz w:val="21"/>
                <w:szCs w:val="21"/>
                <w:highlight w:val="none"/>
              </w:rPr>
              <w:tab/>
            </w:r>
          </w:p>
          <w:p w14:paraId="1665B95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新增自拟公文：</w:t>
            </w:r>
            <w:r>
              <w:rPr>
                <w:rFonts w:hint="eastAsia" w:ascii="宋体" w:hAnsi="宋体" w:eastAsia="宋体" w:cs="宋体"/>
                <w:color w:val="auto"/>
                <w:sz w:val="21"/>
                <w:szCs w:val="21"/>
                <w:highlight w:val="none"/>
              </w:rPr>
              <w:tab/>
            </w:r>
          </w:p>
          <w:p w14:paraId="0493112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用户作为拟稿人，可以拟办新公文并发起新流程。支持预览公文表单、流程，选择流程并新增，所有公文流程均可在流程管理中进行配置。</w:t>
            </w:r>
            <w:r>
              <w:rPr>
                <w:rFonts w:hint="eastAsia" w:ascii="宋体" w:hAnsi="宋体" w:eastAsia="宋体" w:cs="宋体"/>
                <w:color w:val="auto"/>
                <w:sz w:val="21"/>
                <w:szCs w:val="21"/>
                <w:highlight w:val="none"/>
              </w:rPr>
              <w:tab/>
            </w:r>
          </w:p>
          <w:p w14:paraId="1E3FA69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个人设置：</w:t>
            </w:r>
            <w:r>
              <w:rPr>
                <w:rFonts w:hint="eastAsia" w:ascii="宋体" w:hAnsi="宋体" w:eastAsia="宋体" w:cs="宋体"/>
                <w:color w:val="auto"/>
                <w:sz w:val="21"/>
                <w:szCs w:val="21"/>
                <w:highlight w:val="none"/>
              </w:rPr>
              <w:tab/>
            </w:r>
          </w:p>
          <w:p w14:paraId="4D3935F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用户将本人负责的流程，委托给其他同事代为处理。发起人在委托日期区间内的未处理待办流程，均可同步至委托对象，支持委托对象可进行处理，同时保留发起人的待办事项，二者任意一方处理后均可关闭待办。</w:t>
            </w:r>
          </w:p>
          <w:p w14:paraId="6D74E20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添加、编辑、删除、排序本人的常用意见。此处的常用意见在pc、移动端两端通用。</w:t>
            </w:r>
          </w:p>
          <w:p w14:paraId="5B7E066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常用人员分组：新增、编辑、删除本人的常用人员分组和常用人员。</w:t>
            </w:r>
          </w:p>
          <w:p w14:paraId="1BD08F8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草稿箱：</w:t>
            </w:r>
          </w:p>
          <w:p w14:paraId="104D861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列表展示暂存的流程信息。</w:t>
            </w:r>
          </w:p>
          <w:p w14:paraId="4EC2933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（4）流程管理模块</w:t>
            </w:r>
            <w:r>
              <w:rPr>
                <w:rFonts w:hint="eastAsia" w:ascii="宋体" w:hAnsi="宋体" w:eastAsia="宋体" w:cs="宋体"/>
                <w:color w:val="auto"/>
                <w:sz w:val="21"/>
                <w:szCs w:val="21"/>
                <w:highlight w:val="none"/>
              </w:rPr>
              <w:tab/>
            </w:r>
          </w:p>
          <w:p w14:paraId="51BB811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办文设计和配置</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包含流程设计、表单配置、数据源管理、签批按钮管理。</w:t>
            </w:r>
          </w:p>
          <w:p w14:paraId="56B4D3E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（5）后台管理模块</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p>
          <w:p w14:paraId="6B9CFEA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包含权限管理、菜单配置、资源管理以及用户组织后台。</w:t>
            </w:r>
          </w:p>
          <w:p w14:paraId="4C5850B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（6）收文模块</w:t>
            </w:r>
            <w:r>
              <w:rPr>
                <w:rFonts w:hint="eastAsia" w:ascii="宋体" w:hAnsi="宋体" w:eastAsia="宋体" w:cs="宋体"/>
                <w:color w:val="auto"/>
                <w:sz w:val="21"/>
                <w:szCs w:val="21"/>
                <w:highlight w:val="none"/>
              </w:rPr>
              <w:tab/>
            </w:r>
          </w:p>
          <w:p w14:paraId="3D451E7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接收综办平台来文：</w:t>
            </w:r>
            <w:r>
              <w:rPr>
                <w:rFonts w:hint="eastAsia" w:ascii="宋体" w:hAnsi="宋体" w:eastAsia="宋体" w:cs="宋体"/>
                <w:color w:val="auto"/>
                <w:sz w:val="21"/>
                <w:szCs w:val="21"/>
                <w:highlight w:val="none"/>
              </w:rPr>
              <w:tab/>
            </w:r>
          </w:p>
          <w:p w14:paraId="1E00F67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对接大一统电子公文的收文转自建OA的标准接口，实现药监局收文与办文流程连贯。</w:t>
            </w:r>
          </w:p>
          <w:p w14:paraId="26D7227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（7）发文模块</w:t>
            </w:r>
            <w:r>
              <w:rPr>
                <w:rFonts w:hint="eastAsia" w:ascii="宋体" w:hAnsi="宋体" w:eastAsia="宋体" w:cs="宋体"/>
                <w:color w:val="auto"/>
                <w:sz w:val="21"/>
                <w:szCs w:val="21"/>
                <w:highlight w:val="none"/>
              </w:rPr>
              <w:tab/>
            </w:r>
          </w:p>
          <w:p w14:paraId="26CD914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增加【分发功能】</w:t>
            </w:r>
            <w:r>
              <w:rPr>
                <w:rFonts w:hint="eastAsia" w:ascii="宋体" w:hAnsi="宋体" w:eastAsia="宋体" w:cs="宋体"/>
                <w:color w:val="auto"/>
                <w:sz w:val="21"/>
                <w:szCs w:val="21"/>
                <w:highlight w:val="none"/>
              </w:rPr>
              <w:tab/>
            </w:r>
          </w:p>
          <w:p w14:paraId="189E587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在“发文流程”的最后【文印室分发】环节，增加【外发】【局内分发】按钮功能。</w:t>
            </w:r>
          </w:p>
          <w:p w14:paraId="31C643B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外发</w:t>
            </w:r>
            <w:r>
              <w:rPr>
                <w:rFonts w:hint="eastAsia" w:ascii="宋体" w:hAnsi="宋体" w:eastAsia="宋体" w:cs="宋体"/>
                <w:color w:val="auto"/>
                <w:sz w:val="21"/>
                <w:szCs w:val="21"/>
                <w:highlight w:val="none"/>
              </w:rPr>
              <w:tab/>
            </w:r>
          </w:p>
          <w:p w14:paraId="3D39539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1）点击【外发】按钮，弹出要选择分发的文件，含正文、附件（同送发文弹窗）</w:t>
            </w:r>
          </w:p>
          <w:p w14:paraId="4308FBA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2）确认需要分发的文件后，弹出需要接收发文的单位弹窗。</w:t>
            </w:r>
          </w:p>
          <w:p w14:paraId="0856657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已分发公文列表</w:t>
            </w:r>
          </w:p>
          <w:p w14:paraId="7DDABDC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列表展示外发公文情况。</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p>
          <w:p w14:paraId="3D3F78C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点击分发记录，弹出分发记录列表弹窗。</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p>
          <w:p w14:paraId="7B8D357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列表展示局内发文情况。</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p>
          <w:p w14:paraId="08A2215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点击【补发】按钮，可拉起补发弹窗，只展示【本单位处室、直属单位、市分局】数据。</w:t>
            </w:r>
          </w:p>
          <w:p w14:paraId="168E7C5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已发送的单位置灰不可再选择，防止重复发送。</w:t>
            </w:r>
          </w:p>
          <w:p w14:paraId="30886DA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点击分发记录，弹出分发记录列表弹窗。</w:t>
            </w:r>
          </w:p>
          <w:p w14:paraId="57A6969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点击【办理情况】按钮，则跳转至处室收文办理流程详情页。</w:t>
            </w:r>
          </w:p>
          <w:p w14:paraId="5F7F56E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（8）流程定制开发</w:t>
            </w:r>
            <w:r>
              <w:rPr>
                <w:rFonts w:hint="eastAsia" w:ascii="宋体" w:hAnsi="宋体" w:eastAsia="宋体" w:cs="宋体"/>
                <w:color w:val="auto"/>
                <w:sz w:val="21"/>
                <w:szCs w:val="21"/>
                <w:highlight w:val="none"/>
              </w:rPr>
              <w:tab/>
            </w:r>
          </w:p>
          <w:p w14:paraId="1E61401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收文流程定制</w:t>
            </w:r>
            <w:r>
              <w:rPr>
                <w:rFonts w:hint="eastAsia" w:ascii="宋体" w:hAnsi="宋体" w:eastAsia="宋体" w:cs="宋体"/>
                <w:color w:val="auto"/>
                <w:sz w:val="21"/>
                <w:szCs w:val="21"/>
                <w:highlight w:val="none"/>
              </w:rPr>
              <w:tab/>
            </w:r>
          </w:p>
          <w:p w14:paraId="5967376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定制收文流程基础表单内容含：标题、来文单位、来文文号、批示意见等</w:t>
            </w:r>
          </w:p>
          <w:p w14:paraId="76D668F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按紧急程度自动展示办结时限天数，对应规则：</w:t>
            </w:r>
          </w:p>
          <w:p w14:paraId="050908F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特急：1个工作日</w:t>
            </w:r>
          </w:p>
          <w:p w14:paraId="27E2EE4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加急：5个工作日</w:t>
            </w:r>
          </w:p>
          <w:p w14:paraId="6211803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普通一类：15个工作日</w:t>
            </w:r>
          </w:p>
          <w:p w14:paraId="0616D8D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普通二类：30个工作日</w:t>
            </w:r>
          </w:p>
          <w:p w14:paraId="0BF1F13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普通三类：120个工作日</w:t>
            </w:r>
          </w:p>
          <w:p w14:paraId="3ACD47A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其他：可自定义选择日期</w:t>
            </w:r>
          </w:p>
          <w:p w14:paraId="2844ED4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办结时限需按紧急程度自动计算办结日期，可正常核算工作日。</w:t>
            </w:r>
          </w:p>
          <w:p w14:paraId="3F8BD2A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新增【综合】、【机要】类型的收文。</w:t>
            </w:r>
          </w:p>
          <w:p w14:paraId="09BD087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自然编号允许手动修改，修改后需要判重，重复的文号不允许保存</w:t>
            </w:r>
          </w:p>
          <w:p w14:paraId="1E99FFC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机要收文员角色用户，新建收文流程默认“JY ”类型编号</w:t>
            </w:r>
          </w:p>
          <w:p w14:paraId="2FB94A2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把“其他”也都显示出来，全部展示</w:t>
            </w:r>
          </w:p>
          <w:p w14:paraId="6CABD03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文本输入要有记忆联想功能</w:t>
            </w:r>
          </w:p>
          <w:p w14:paraId="216F702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收文拟办：从综办平台收文后，支持移动端拟文。</w:t>
            </w:r>
          </w:p>
          <w:p w14:paraId="46325A8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按收文流程满足收文的分文审核、局领导批示、分发处室、各处室收文、处室办理、处室复核、办公室文秘复核办结</w:t>
            </w:r>
          </w:p>
          <w:p w14:paraId="3DB659A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文秘拟稿、转送环节，支持同时呈送分办处室办理的同时，可呈送局领导、办公室领导批示，同时进行。</w:t>
            </w:r>
          </w:p>
          <w:p w14:paraId="47B5B38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文秘拟稿、转送环节，已办公文中支持对流程进行补发，支持同步补发处室办理、局领导、办公室领导流程。</w:t>
            </w:r>
          </w:p>
          <w:p w14:paraId="3540732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第一次呈送局领导，如果只送一个领导，默认让领导在签发中审核</w:t>
            </w:r>
          </w:p>
          <w:p w14:paraId="63B60EE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正文文件类型支持上传支持doc、docx、pdf、ofd、wps 文件</w:t>
            </w:r>
          </w:p>
          <w:p w14:paraId="6C5BACE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支持后台配置在指定环节可下载、替换正文</w:t>
            </w:r>
          </w:p>
          <w:p w14:paraId="5726F22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文件大小限制拓展到100M（对接分片上传）</w:t>
            </w:r>
          </w:p>
          <w:p w14:paraId="3D36CED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字数拓展到200字</w:t>
            </w:r>
          </w:p>
          <w:p w14:paraId="3AFAB9E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新增反馈材料模块，在处室办理环节，可上传办结结果反馈材料。</w:t>
            </w:r>
          </w:p>
          <w:p w14:paraId="117DA71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办公室可根据公文属性，开启指定的承办处室上传反馈材料才能办结操作，并有相应标识提示</w:t>
            </w:r>
          </w:p>
          <w:p w14:paraId="74F0A54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综办系统的来文，来文正文限制下载</w:t>
            </w:r>
          </w:p>
          <w:p w14:paraId="50EB0A4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对接综办接口，自动将综办签收的文件同步到本系统</w:t>
            </w:r>
          </w:p>
          <w:p w14:paraId="1847ACA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增加待办收文，区分【机要】、【综合】类型收文并授权相应收文员</w:t>
            </w:r>
          </w:p>
          <w:p w14:paraId="21FCD7F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增加纸质登记功能，可上传非综办系统的其他单位来文，如国家局、纸质件来文</w:t>
            </w:r>
          </w:p>
          <w:p w14:paraId="3AC4848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设置局机关、直属单位、检查分局分组；设置“接收人”“处长接收人”快捷按钮，方便一键选人分办</w:t>
            </w:r>
          </w:p>
          <w:p w14:paraId="4BAA8F7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收文类列表，新增来文单位展示字段，并增加相应的搜索条件 。</w:t>
            </w:r>
          </w:p>
          <w:p w14:paraId="7B1121F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涉及列表页面：</w:t>
            </w:r>
          </w:p>
          <w:p w14:paraId="481FAE5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1）公文办理-待办公文-待办收文列表</w:t>
            </w:r>
          </w:p>
          <w:p w14:paraId="638178F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2）公文办理-已办公文-已办收文列表</w:t>
            </w:r>
          </w:p>
          <w:p w14:paraId="71BEA9C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3）公文查询-单位公文-收文列表</w:t>
            </w:r>
          </w:p>
          <w:p w14:paraId="186A01F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4）公文查询-部门公文-收文列表</w:t>
            </w:r>
          </w:p>
          <w:p w14:paraId="4ACEB00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发文流程定制：</w:t>
            </w:r>
            <w:r>
              <w:rPr>
                <w:rFonts w:hint="eastAsia" w:ascii="宋体" w:hAnsi="宋体" w:eastAsia="宋体" w:cs="宋体"/>
                <w:color w:val="auto"/>
                <w:sz w:val="21"/>
                <w:szCs w:val="21"/>
                <w:highlight w:val="none"/>
              </w:rPr>
              <w:tab/>
            </w:r>
          </w:p>
          <w:p w14:paraId="1EFEDFF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根据送局领导的人数、顺序，按领导的职级将审批意见自动分类到“签发”、“审签”区域。保证每个签发公文中，参与进来的最高领导签批意见在“签发”，其他领导在“审签”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p>
          <w:p w14:paraId="365A68F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同步综办的单位组织关系、局内机关、直属单位、检查分局，可以选到全区的党政机关单位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p>
          <w:p w14:paraId="155B6FE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同步综办的公开属性选项、理由选项。支持一键勾选理由并可同步到综办外发页面</w:t>
            </w:r>
          </w:p>
          <w:p w14:paraId="0D1A0A7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按发文流程满足发文流程“三审三校”流程：处室拟稿、处室审核、办公室核稿、局领导签发、办公室文号登记、拟稿清稿、文印室排版、拟稿核稿、文印室分发</w:t>
            </w:r>
          </w:p>
          <w:p w14:paraId="4D2C87D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在文印室分发环节，新增【局内分发】功能，可将文件下发到各局机关、直属单位、检查分局。</w:t>
            </w:r>
          </w:p>
          <w:p w14:paraId="6091446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通过对接综办平台接口，在文印室分发环节，新增【外发】功能，可将公文的基本信息、文件、接收单位转送到【综办】平台的发文处理模块下，实现公文不落地发送。</w:t>
            </w:r>
          </w:p>
          <w:p w14:paraId="1F2C7FA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在发文流程各环节，所有环节都启用正文的【修订模式】，记录正文的所有修订痕迹，形成花脸稿。</w:t>
            </w:r>
          </w:p>
          <w:p w14:paraId="1CE771C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局领导批示环节，WPS默认开启【显示最终效果】模式，其他环节【显示修订痕迹】模式</w:t>
            </w:r>
          </w:p>
          <w:p w14:paraId="0026ACC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WPS执行套红，默认同步接受所有修订后再执行套红，执行套红完成后，需要在【附件】区生成“花脸稿”版本，作为发文的附件之一</w:t>
            </w:r>
          </w:p>
          <w:p w14:paraId="114E727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正文操作记录：限制经过【文印室排版】套红的环节的正文，指定“文印室排版”、“拟稿人”才有下载的权限</w:t>
            </w:r>
          </w:p>
          <w:p w14:paraId="10DDAF8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同步WPS自动保存的文件历史版本，支持下载、查看</w:t>
            </w:r>
          </w:p>
          <w:p w14:paraId="4785450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调用WPS普通预览模式下的搜索功能，支持对文件内容进行检索</w:t>
            </w:r>
          </w:p>
          <w:p w14:paraId="551125E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1）调用金山文档的文档格式转换能力，可将.wps 格式的【正文】文件分别转成.pdf 、.ofd 格式</w:t>
            </w:r>
          </w:p>
          <w:p w14:paraId="3CB65A4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2）调用金山文档的文档格式转换能力，可将.doc、.docx 格式的【正文】文件分别转成 .pdf 、.ofd 格式</w:t>
            </w:r>
          </w:p>
          <w:p w14:paraId="6D47A79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3）调用金山文档的文档格式转换能力，可将.doc、.docx 格式的【正文】文件分别转成.wps格式</w:t>
            </w:r>
          </w:p>
          <w:p w14:paraId="31D0498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4）调用金山文档的文档格式转换能力，可将.pdf 格式的【正文】文件分别转成.ofd 格式</w:t>
            </w:r>
          </w:p>
          <w:p w14:paraId="6DAA75A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5）调用金山文档的文档格式转换能力，可将.pdf 格式的【正文】文件分别转成.ofd 格式</w:t>
            </w:r>
          </w:p>
          <w:p w14:paraId="7CF1D44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发文模块可上传、删除、预览起文模板</w:t>
            </w:r>
          </w:p>
          <w:p w14:paraId="74786DE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支持发文时，可预览、下载已上传公开的起文模板</w:t>
            </w:r>
          </w:p>
          <w:p w14:paraId="5A07BEE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支持按选定的模板，一键同步到正文进行快速起文</w:t>
            </w:r>
          </w:p>
          <w:p w14:paraId="1D440D1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对接金山wps套红接口，支持一键套红</w:t>
            </w:r>
          </w:p>
          <w:p w14:paraId="24A208D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自动获取文号、主送、抄送、分送、印发日期插入正文</w:t>
            </w:r>
          </w:p>
          <w:p w14:paraId="19D4360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对接局印章系统，实现电子印章识别，支持对正文加盖电子印章</w:t>
            </w:r>
          </w:p>
          <w:p w14:paraId="4B8935D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对接局档案管理系统，将规范要求将公文一键归档到档案管理系统</w:t>
            </w:r>
          </w:p>
          <w:p w14:paraId="7D0F8F7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发文流程进行局内分发后，拟稿处室可跟踪查看处室收文办理的情况</w:t>
            </w:r>
          </w:p>
          <w:p w14:paraId="7FE0EA5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当试用了明确的文号后，需自动选择相应的模板</w:t>
            </w:r>
          </w:p>
          <w:p w14:paraId="3079A68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外发弹窗，分为【所有单位】、【各地市市场监管局】两个页签，增加14个地市市场监督管理局分类列表。</w:t>
            </w:r>
          </w:p>
          <w:p w14:paraId="5B3DBC6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内部请示流程：</w:t>
            </w:r>
            <w:r>
              <w:rPr>
                <w:rFonts w:hint="eastAsia" w:ascii="宋体" w:hAnsi="宋体" w:eastAsia="宋体" w:cs="宋体"/>
                <w:color w:val="auto"/>
                <w:sz w:val="21"/>
                <w:szCs w:val="21"/>
                <w:highlight w:val="none"/>
              </w:rPr>
              <w:tab/>
            </w:r>
          </w:p>
          <w:p w14:paraId="2F4C665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按【局内部请示】的样式、字段元素、签批要求、打印要求等比复刻设计，与流程联动，完成全流程的线上笺签批。</w:t>
            </w:r>
          </w:p>
          <w:p w14:paraId="23B36BD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按【局内部请示流程】的审批流程规范与要求，实现请示的拟稿、处内审批、局内分发、处室承办等审批处理流程环节。</w:t>
            </w:r>
          </w:p>
          <w:p w14:paraId="5740CDA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便函流程：</w:t>
            </w:r>
            <w:r>
              <w:rPr>
                <w:rFonts w:hint="eastAsia" w:ascii="宋体" w:hAnsi="宋体" w:eastAsia="宋体" w:cs="宋体"/>
                <w:color w:val="auto"/>
                <w:sz w:val="21"/>
                <w:szCs w:val="21"/>
                <w:highlight w:val="none"/>
              </w:rPr>
              <w:tab/>
            </w:r>
          </w:p>
          <w:p w14:paraId="620C7A2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按【局便函笺】的样式、字段元素、签批要求、打印要求等比复刻设计，与流程联动，完成全流程的线上笺签批。</w:t>
            </w:r>
          </w:p>
          <w:p w14:paraId="0173A09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按【局便函流程】的审批流程规范与要求，实现便函的拟稿、处内审批、局内分发、处室承办等审批处理流程环节。</w:t>
            </w:r>
          </w:p>
          <w:p w14:paraId="61B3D01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部门收文流程：</w:t>
            </w:r>
            <w:r>
              <w:rPr>
                <w:rFonts w:hint="eastAsia" w:ascii="宋体" w:hAnsi="宋体" w:eastAsia="宋体" w:cs="宋体"/>
                <w:color w:val="auto"/>
                <w:sz w:val="21"/>
                <w:szCs w:val="21"/>
                <w:highlight w:val="none"/>
              </w:rPr>
              <w:tab/>
            </w:r>
          </w:p>
          <w:p w14:paraId="79F57DC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按【局部门收文流程】的样式、字段元素、签批要求、打印要求等比复刻设计，与流程联动，完成全流程的线上笺签批。</w:t>
            </w:r>
          </w:p>
          <w:p w14:paraId="21750EC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按【局部门收文流程】的审批流程规范与要求，实现多处室同时收文签收、处内审批、处内办理等审批处理流程环节。</w:t>
            </w:r>
          </w:p>
          <w:p w14:paraId="467CB2C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机关妇委发文流程：</w:t>
            </w:r>
            <w:r>
              <w:rPr>
                <w:rFonts w:hint="eastAsia" w:ascii="宋体" w:hAnsi="宋体" w:eastAsia="宋体" w:cs="宋体"/>
                <w:color w:val="auto"/>
                <w:sz w:val="21"/>
                <w:szCs w:val="21"/>
                <w:highlight w:val="none"/>
              </w:rPr>
              <w:tab/>
            </w:r>
          </w:p>
          <w:p w14:paraId="20D180C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按【局机关妇委发文流程】的样式、字段元素、签批要求、打印要求等比复刻设计，与流程联动，完成全流程的线上笺签批。</w:t>
            </w:r>
          </w:p>
          <w:p w14:paraId="6A2F081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按【局机关妇委发文流程】的审批流程规范与要求，实现科室拟稿、科室审核、办公室核稿、中心领导签发、办公室文号登记、拟稿清稿、文印室排版、拟稿核稿、文印室分发等审批处理流程环节。</w:t>
            </w:r>
          </w:p>
          <w:p w14:paraId="5BCEB03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会议室申请流程定制：</w:t>
            </w:r>
            <w:r>
              <w:rPr>
                <w:rFonts w:hint="eastAsia" w:ascii="宋体" w:hAnsi="宋体" w:eastAsia="宋体" w:cs="宋体"/>
                <w:color w:val="auto"/>
                <w:sz w:val="21"/>
                <w:szCs w:val="21"/>
                <w:highlight w:val="none"/>
              </w:rPr>
              <w:tab/>
            </w:r>
          </w:p>
          <w:p w14:paraId="14EC462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按用户实际需求，定制会议室申请流程的审批、办理流程以及处理笺表单样式。</w:t>
            </w:r>
          </w:p>
          <w:p w14:paraId="3CDB019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机关工会发文流程：</w:t>
            </w:r>
            <w:r>
              <w:rPr>
                <w:rFonts w:hint="eastAsia" w:ascii="宋体" w:hAnsi="宋体" w:eastAsia="宋体" w:cs="宋体"/>
                <w:color w:val="auto"/>
                <w:sz w:val="21"/>
                <w:szCs w:val="21"/>
                <w:highlight w:val="none"/>
              </w:rPr>
              <w:tab/>
            </w:r>
          </w:p>
          <w:p w14:paraId="2A631E4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按【局机关工会发文流程】的样式、字段元素、签批要求、打印要求等比复刻设计，与流程联动，完成全流程的线上笺签批。</w:t>
            </w:r>
          </w:p>
          <w:p w14:paraId="3163BDC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按【局机关工会发文流程】的审批流程规范与要求，实现科室拟稿、科室审核、办公室核稿、中心领导签发、办公室文号登记、拟稿清稿、文印室排版、拟稿核稿、文印室分发等审批处理流程环节。</w:t>
            </w:r>
          </w:p>
          <w:p w14:paraId="2CF165E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信息发布-广告机：</w:t>
            </w:r>
            <w:r>
              <w:rPr>
                <w:rFonts w:hint="eastAsia" w:ascii="宋体" w:hAnsi="宋体" w:eastAsia="宋体" w:cs="宋体"/>
                <w:color w:val="auto"/>
                <w:sz w:val="21"/>
                <w:szCs w:val="21"/>
                <w:highlight w:val="none"/>
              </w:rPr>
              <w:tab/>
            </w:r>
          </w:p>
          <w:p w14:paraId="6762B10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按【局信息发布-广告机流程】的样式、字段元素、签批要求、打印要求等比复刻设计，与流程联动，完成全流程的线上笺签批。</w:t>
            </w:r>
          </w:p>
          <w:p w14:paraId="713F0BC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按【局信息发布-广告机流程】的审批流程规范与要求，实现信息发布申请、办公室审批、信息中心发布等审批处理流程环节。</w:t>
            </w:r>
          </w:p>
          <w:p w14:paraId="3960F76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信息发布-网站：</w:t>
            </w:r>
            <w:r>
              <w:rPr>
                <w:rFonts w:hint="eastAsia" w:ascii="宋体" w:hAnsi="宋体" w:eastAsia="宋体" w:cs="宋体"/>
                <w:color w:val="auto"/>
                <w:sz w:val="21"/>
                <w:szCs w:val="21"/>
                <w:highlight w:val="none"/>
              </w:rPr>
              <w:tab/>
            </w:r>
          </w:p>
          <w:p w14:paraId="6A65D81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按【局信息发布-网站流程】的样式、字段元素、签批要求、打印要求等比复刻设计，与流程联动，完成全流程的线上笺签批。</w:t>
            </w:r>
          </w:p>
          <w:p w14:paraId="2BA884D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按【局信息发布-网站流程】的审批流程规范与要求，实现信息发布申请、办公室审批、局领导批示、信息中心发布等审批处理流程环节。</w:t>
            </w:r>
          </w:p>
          <w:p w14:paraId="4D6CC8E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直属单位收文流程（统一）：</w:t>
            </w:r>
          </w:p>
          <w:p w14:paraId="3A4DA4B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按【不良反应中心收文流程】的样式、字段元素、签批要求、打印要求等比复刻设计，与流程联动，完成全流程的线上笺签批。</w:t>
            </w:r>
          </w:p>
          <w:p w14:paraId="70FA4E2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按收文流程满足收文的分文审核、局领导批示、分发处室、各处室收文、处室办理、处室复核、办公室文秘复核办结。</w:t>
            </w:r>
          </w:p>
          <w:p w14:paraId="5B4931C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直属单位发文流程（统一）：</w:t>
            </w:r>
          </w:p>
          <w:p w14:paraId="5F865BD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按【不良反应中心发文流程】的样式、字段元素、签批要求、打印要求等比复刻设计，与流程联动，完成全流程的线上笺签批。</w:t>
            </w:r>
          </w:p>
          <w:p w14:paraId="4601AEB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按【不良反应中心发文流程】的审批流程规范与要求，实现科室拟稿、科室审核、办公室核稿、中心领导签发、办公室文号登记、拟稿清稿、文印室排版、拟稿核稿、文印室分发等审批处理流程环节。</w:t>
            </w:r>
          </w:p>
          <w:p w14:paraId="52974B6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电话登记流程：</w:t>
            </w:r>
            <w:r>
              <w:rPr>
                <w:rFonts w:hint="eastAsia" w:ascii="宋体" w:hAnsi="宋体" w:eastAsia="宋体" w:cs="宋体"/>
                <w:color w:val="auto"/>
                <w:sz w:val="21"/>
                <w:szCs w:val="21"/>
                <w:highlight w:val="none"/>
              </w:rPr>
              <w:tab/>
            </w:r>
          </w:p>
          <w:p w14:paraId="6975E33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按【局电话登记流程】的样式、字段元素、签批要求、打印要求等比复刻设计，与流程联动，完成全流程的线上笺签批。</w:t>
            </w:r>
          </w:p>
          <w:p w14:paraId="0EF95DC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按【局电话登记流程】的审批流程规范与要求，实现电话登记、办公室审批、局领导批示、处室承办等审批处理流程环节。</w:t>
            </w:r>
          </w:p>
          <w:p w14:paraId="3239C56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（9）公文办理系统优化开发</w:t>
            </w:r>
            <w:r>
              <w:rPr>
                <w:rFonts w:hint="eastAsia" w:ascii="宋体" w:hAnsi="宋体" w:eastAsia="宋体" w:cs="宋体"/>
                <w:color w:val="auto"/>
                <w:sz w:val="21"/>
                <w:szCs w:val="21"/>
                <w:highlight w:val="none"/>
              </w:rPr>
              <w:tab/>
            </w:r>
          </w:p>
          <w:p w14:paraId="4EAD73D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首页待办提醒：</w:t>
            </w:r>
            <w:r>
              <w:rPr>
                <w:rFonts w:hint="eastAsia" w:ascii="宋体" w:hAnsi="宋体" w:eastAsia="宋体" w:cs="宋体"/>
                <w:color w:val="auto"/>
                <w:sz w:val="21"/>
                <w:szCs w:val="21"/>
                <w:highlight w:val="none"/>
              </w:rPr>
              <w:tab/>
            </w:r>
          </w:p>
          <w:p w14:paraId="3F883E4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将待办公文，按流程类型细分待办类型，区分“收文流程”待办；</w:t>
            </w:r>
          </w:p>
          <w:p w14:paraId="46B9DF9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将待办公文，按流程类型细分待办类型，区分“发文流程”待办；</w:t>
            </w:r>
          </w:p>
          <w:p w14:paraId="277380F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将待办公文，按流程类型细分待办类型，区分“请示流程”待办；</w:t>
            </w:r>
          </w:p>
          <w:p w14:paraId="16F7E68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将待办公文，按流程类型细分待办类型，区分“便函流程”待办；</w:t>
            </w:r>
          </w:p>
          <w:p w14:paraId="2B15E12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待办的排序中，优先取办结剩余时间进行待办倒序，剩余办结时间越少的则排在前面；</w:t>
            </w:r>
          </w:p>
          <w:p w14:paraId="1D0131D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待办的排序中，同一办结时限优先级的，则按到达时间正序排序；</w:t>
            </w:r>
          </w:p>
          <w:p w14:paraId="7C37521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待办列表字段，增加【办结时限】到期日期展示；</w:t>
            </w:r>
          </w:p>
          <w:p w14:paraId="02AC194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待办列表字段，增加【剩余天数】展示，提示剩余办结时间XX天，或已逾期。</w:t>
            </w:r>
          </w:p>
          <w:p w14:paraId="0BBD73A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待办标题增加办结时间临期角标，5天内黄灯、3天内红灯，并在5天、3天、0天时未处理的则发短信提醒</w:t>
            </w:r>
          </w:p>
          <w:p w14:paraId="7EBFEFA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待阅公文列表，支持自定义勾选范围，一键设为已阅</w:t>
            </w:r>
          </w:p>
          <w:p w14:paraId="5D191CE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待阅公文列表，支持一键全部设为已阅</w:t>
            </w:r>
          </w:p>
          <w:p w14:paraId="2341D91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公文办理模块优化：</w:t>
            </w:r>
            <w:r>
              <w:rPr>
                <w:rFonts w:hint="eastAsia" w:ascii="宋体" w:hAnsi="宋体" w:eastAsia="宋体" w:cs="宋体"/>
                <w:color w:val="auto"/>
                <w:sz w:val="21"/>
                <w:szCs w:val="21"/>
                <w:highlight w:val="none"/>
              </w:rPr>
              <w:tab/>
            </w:r>
          </w:p>
          <w:p w14:paraId="6ED05EC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公文详情页面调整：需要将正文内容直接在页面上展示，分成两大区域，左边为正文预览区、右边为处理笺，方便审阅与摘抄。</w:t>
            </w:r>
          </w:p>
          <w:p w14:paraId="44675F4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增加右对齐落款模式 （已上线）</w:t>
            </w:r>
          </w:p>
          <w:p w14:paraId="08AD878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增加输入框直接录入样式</w:t>
            </w:r>
          </w:p>
          <w:p w14:paraId="2BD0F5E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处室办理环节，支持一键【定位本部门意见】，按钮位置放在显眼置顶位置。</w:t>
            </w:r>
          </w:p>
          <w:p w14:paraId="20EE8DC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公文的“正文文件名”“流程标题”“笺文件标题”始终保持一致，其中之一改动，其他也自动同步改动。</w:t>
            </w:r>
          </w:p>
          <w:p w14:paraId="23F1757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打印处理笺时，需要按正常的审批顺序进行笺表打印，支持审批时：局领导审批意见在处室领导前，打印时：局领导审批意见在处室领导后。</w:t>
            </w:r>
          </w:p>
          <w:p w14:paraId="1FA5EE9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公文办理暂存时，已录入暂存的意见不能给其他人可见，需要提交后才正式发布（笺表达那）</w:t>
            </w:r>
          </w:p>
          <w:p w14:paraId="5E47547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公文传阅弹窗改成和分办的弹窗一致</w:t>
            </w:r>
          </w:p>
          <w:p w14:paraId="70B9073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系统现在对于文件上传时，文件名称限制80个字、文件大小限制50M不满足日常办文需求，需要进行扩大处理，如下：</w:t>
            </w:r>
          </w:p>
          <w:p w14:paraId="1B797E2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1）文件标题：扩大到可支持200个字。</w:t>
            </w:r>
          </w:p>
          <w:p w14:paraId="4599885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2）文件大小：正文扩大可支持100MB、附件扩大到500M。</w:t>
            </w:r>
          </w:p>
          <w:p w14:paraId="236FDA6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流程可根据环节进行文件的编辑、删除控制</w:t>
            </w:r>
          </w:p>
          <w:p w14:paraId="6760CC5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所有字段不进行缩略，换行全展示；增加呈送人信息</w:t>
            </w:r>
          </w:p>
          <w:p w14:paraId="049D4DC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返回按钮如果已暂存则不提示二次传阅模式，需要按环节控制；处室传阅只能传阅本部门人员可定义选人范围</w:t>
            </w:r>
          </w:p>
          <w:p w14:paraId="1E2C05F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为了减少批示录入步骤，增大批示录入区域，将批示录入组件做以下优化：</w:t>
            </w:r>
          </w:p>
          <w:p w14:paraId="694661A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1）组件分成三部分：已录意见、意见录入输入框、常用意见。</w:t>
            </w:r>
          </w:p>
          <w:p w14:paraId="0BC5248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已录意见：展示已录入意见，按原有组件逻辑保持不变，可定义签批意见、落款、时间的顺序。</w:t>
            </w:r>
          </w:p>
          <w:p w14:paraId="03600B1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意见录入输入框：多行文本输入框，字数限制5000字</w:t>
            </w:r>
          </w:p>
          <w:p w14:paraId="1A82C19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 常用意见：常用意见平铺展示3个常用意见固定值：同意、拟同意、如拟、已阅，支持后台配置定义。点击“其他”拉起现有的常用意见组件。</w:t>
            </w:r>
          </w:p>
          <w:p w14:paraId="54A70D1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2）常用意见优化</w:t>
            </w:r>
          </w:p>
          <w:p w14:paraId="0DC3D99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录入后先回显到输入框内再编辑</w:t>
            </w:r>
          </w:p>
          <w:p w14:paraId="636C126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常用意见交互与布局优化</w:t>
            </w:r>
          </w:p>
          <w:p w14:paraId="0034501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去掉【全选】按钮</w:t>
            </w:r>
          </w:p>
          <w:p w14:paraId="5EA8263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调用wps预览功能，改成普通预览模式，支持搜索、打印功能</w:t>
            </w:r>
          </w:p>
          <w:p w14:paraId="1189C87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限制下载综办来文：当从综办转过来的收文，有（来文正文）标识的文件只允许部分环节下载。允许下载的环节有：</w:t>
            </w:r>
          </w:p>
          <w:p w14:paraId="6F3DFC9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收文流程：收文登记、办公室领导批示、文秘转送、局领导批示。</w:t>
            </w:r>
          </w:p>
          <w:p w14:paraId="332802E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② 非综办来文可正常下载：当通过自拟公文，手动上传的正文则可允许正常下载。</w:t>
            </w:r>
          </w:p>
          <w:p w14:paraId="73A6652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在移动端录入批示意见、填写表单后，未流转提交并进行【返回】，需弹窗提示是否保存当前页面内容。</w:t>
            </w:r>
          </w:p>
          <w:p w14:paraId="308E197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1）弹窗规则：</w:t>
            </w:r>
          </w:p>
          <w:p w14:paraId="71F510F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进入待办详情页后，未进行意见录入、表单信息录入，返回则不弹窗；</w:t>
            </w:r>
          </w:p>
          <w:p w14:paraId="76D7FB9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进入待办详情页后，进行了意见录入或表单信息填写，返回则弹窗提示确认。</w:t>
            </w:r>
          </w:p>
          <w:p w14:paraId="50D960A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2）弹窗</w:t>
            </w:r>
          </w:p>
          <w:p w14:paraId="7911F4D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弹窗提示语：是否保存当前页面内容？</w:t>
            </w:r>
          </w:p>
          <w:p w14:paraId="0E39EF4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选项：</w:t>
            </w:r>
          </w:p>
          <w:p w14:paraId="1C2F838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① 是：选择“是”则暂存当前页内容，下次再进入后则回显暂存的意见和内容；</w:t>
            </w:r>
          </w:p>
          <w:p w14:paraId="6E73F65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② 否：选择“否”则内容不保存，下次再进入则重置当前页意见和内容；</w:t>
            </w:r>
          </w:p>
          <w:p w14:paraId="4E425F82">
            <w:pPr>
              <w:pStyle w:val="5"/>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选人流转的弹窗，校验不能呈送给用户本人“自己”，选人弹窗中若包含本人，则“置灰”不可选。点全选时，需要剔除用户本人。</w:t>
            </w:r>
          </w:p>
          <w:p w14:paraId="2CD6810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3）重点校验环节的弹窗：</w:t>
            </w:r>
          </w:p>
          <w:p w14:paraId="07000AC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① 收文流程：处室接收环节，点击【处室人员办理】的弹窗；</w:t>
            </w:r>
          </w:p>
          <w:p w14:paraId="6E6F7C9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② 收文流程：处室领导批示环节，点击【处室人员办理】的弹窗；</w:t>
            </w:r>
          </w:p>
          <w:p w14:paraId="5F949FD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③ 处室收文流程：处室接收环节，点击【处室人员办理】的弹窗；</w:t>
            </w:r>
          </w:p>
          <w:p w14:paraId="7129739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④处室收文流程：处室领导批示环节，点击【处室人员办理】的弹窗；</w:t>
            </w:r>
          </w:p>
          <w:p w14:paraId="3F1E0E1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⑤ 发文流程：办公室领导审核环节，点击【会签】的弹窗；</w:t>
            </w:r>
          </w:p>
          <w:p w14:paraId="3A7C1E6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⑥ 发文流程：处室领导审核环节，点击【会签】、【转其他人办理】的弹窗；</w:t>
            </w:r>
          </w:p>
          <w:p w14:paraId="4222998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⑦ 呈批流程：处室领导审核环节：点击【会签】的弹窗；</w:t>
            </w:r>
          </w:p>
          <w:p w14:paraId="167A564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⑧ 呈批流程：相关处室办理环节，点击【处室人员办理】弹窗。</w:t>
            </w:r>
          </w:p>
          <w:p w14:paraId="18495EEF">
            <w:pPr>
              <w:pStyle w:val="5"/>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⑨传阅：任何环节点击传阅，选择本处室人员、其他处室人</w:t>
            </w:r>
          </w:p>
          <w:p w14:paraId="1C48C58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【已办公文】开启撤回功能，“已开封未流转”前都能撤回到上一环节，但是不能跨环节撤回。</w:t>
            </w:r>
          </w:p>
          <w:p w14:paraId="7DB265F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需要适配的组件：单人签批、多人签批、多人串行、多人并行</w:t>
            </w:r>
          </w:p>
          <w:p w14:paraId="2214BDF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【撤回】按钮放到右边</w:t>
            </w:r>
          </w:p>
          <w:p w14:paraId="3132875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4）批示意见框，该环节设置了允许多次录入意见、必填属性时，可根据环节设定多次处理该环节时的必填属性：</w:t>
            </w:r>
          </w:p>
          <w:p w14:paraId="6D2DE93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① 属性1 ：首次必填（第一次处理该环节，必须填写批示意见才能提交，之后的环节则不再校验必填），默认此属性。</w:t>
            </w:r>
          </w:p>
          <w:p w14:paraId="2BC6B14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② 属性2：每次必填（每次处理该环节，都必须填写批示意见才能提交）</w:t>
            </w:r>
          </w:p>
          <w:p w14:paraId="1629531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配置及验证环节：</w:t>
            </w:r>
          </w:p>
          <w:p w14:paraId="6B1CCB9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1）收文流程-“处室人员办理”环节</w:t>
            </w:r>
          </w:p>
          <w:p w14:paraId="229A426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表单配置此环节为必填，并配置“首次必填”属性。</w:t>
            </w:r>
          </w:p>
          <w:p w14:paraId="2C4573B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2）收文流程-“局领导批示”环节</w:t>
            </w:r>
          </w:p>
          <w:p w14:paraId="43BA69A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表单配置此环节为必填，并配置“每次必填”属性。</w:t>
            </w:r>
          </w:p>
          <w:p w14:paraId="35F7784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1）弹窗显示页面可视面积放大，占满屏</w:t>
            </w:r>
          </w:p>
          <w:p w14:paraId="77995C8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2）所有字段不做缩略展示，进行换行全展示</w:t>
            </w:r>
          </w:p>
          <w:p w14:paraId="43731C4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3）在【步骤】和【处理部门】中间新增【发送人】字段，取已有的“上一步处理人”信息</w:t>
            </w:r>
          </w:p>
          <w:p w14:paraId="35DA003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全局设置所有弹窗均可拖拽移动</w:t>
            </w:r>
          </w:p>
          <w:p w14:paraId="27292BC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优先处理的弹窗：</w:t>
            </w:r>
          </w:p>
          <w:p w14:paraId="27FBE32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1）全部流程：传阅弹窗</w:t>
            </w:r>
          </w:p>
          <w:p w14:paraId="467DDFA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2）发文流程：局内分发、外发 的相关弹窗</w:t>
            </w:r>
          </w:p>
          <w:p w14:paraId="3C246D5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收文流程拟办页面优化：</w:t>
            </w:r>
            <w:r>
              <w:rPr>
                <w:rFonts w:hint="eastAsia" w:ascii="宋体" w:hAnsi="宋体" w:eastAsia="宋体" w:cs="宋体"/>
                <w:color w:val="auto"/>
                <w:sz w:val="21"/>
                <w:szCs w:val="21"/>
                <w:highlight w:val="none"/>
              </w:rPr>
              <w:tab/>
            </w:r>
          </w:p>
          <w:p w14:paraId="36267D7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1）机要收文员角色用户：设置【机要收文员】角色，该角色下的用户从：公文办理-新建自拟公文，进行新建【收文流程】时，收文处理笺上【分类类型】，默认为【机要】。</w:t>
            </w:r>
          </w:p>
          <w:p w14:paraId="267F5F7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2）其他角色用户：新建【收文流程】时，收文处理笺上【分类类型】，默认为【综合】。</w:t>
            </w:r>
          </w:p>
          <w:p w14:paraId="055837B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①下拉选择选项字号调小，默认展示全部选项，把“其他”选项一屏展示出来。</w:t>
            </w:r>
          </w:p>
          <w:p w14:paraId="6D4346F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②选择 特急、加急、普通一类、普通二类、普通三类时，办结时限不可修改。</w:t>
            </w:r>
          </w:p>
          <w:p w14:paraId="7574397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在文本输入标题、来文单位、文电编号、批示意见录入时，支持历史填写记录联想功能，可根据关键字匹配。</w:t>
            </w:r>
          </w:p>
          <w:p w14:paraId="6953523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发文流程签发与审批规则优化：</w:t>
            </w:r>
            <w:r>
              <w:rPr>
                <w:rFonts w:hint="eastAsia" w:ascii="宋体" w:hAnsi="宋体" w:eastAsia="宋体" w:cs="宋体"/>
                <w:color w:val="auto"/>
                <w:sz w:val="21"/>
                <w:szCs w:val="21"/>
                <w:highlight w:val="none"/>
              </w:rPr>
              <w:tab/>
            </w:r>
          </w:p>
          <w:p w14:paraId="566EFCA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“审签”与“签发”的联动规则</w:t>
            </w:r>
          </w:p>
          <w:p w14:paraId="3989F2C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场景① ： 当该流程首次呈送领导，并且只送一位领导时，只允许领导在“签发”上填写意见。</w:t>
            </w:r>
          </w:p>
          <w:p w14:paraId="52ACFC9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场景②：  当该流程首次呈送领导，进行多位领导的“串行”呈送时，前面几位领导只能在“审签”上填意见，最后一位领导则在“签发”上填意见</w:t>
            </w:r>
          </w:p>
          <w:p w14:paraId="5216C2B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场景③：当该流程非首次呈送领导，进行二次呈送时，需要取当前流程参与进来的领导的职级排序自动识别与调整，职级最高的在“签发”上填意见，次之的在“审签”上填意见。（如果已经有A领导在“签发”中填了意见，然后有职级更高的B领导参与进来，则需要自动把A领导的意见挪到“审签”，让B领导在“签发”中填意见）</w:t>
            </w:r>
          </w:p>
          <w:p w14:paraId="2B2C584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公文查询优化：</w:t>
            </w:r>
            <w:r>
              <w:rPr>
                <w:rFonts w:hint="eastAsia" w:ascii="宋体" w:hAnsi="宋体" w:eastAsia="宋体" w:cs="宋体"/>
                <w:color w:val="auto"/>
                <w:sz w:val="21"/>
                <w:szCs w:val="21"/>
                <w:highlight w:val="none"/>
              </w:rPr>
              <w:tab/>
            </w:r>
          </w:p>
          <w:p w14:paraId="76F81E7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公文查询下“单位办文”、“部门办文”列表展示字段按以下字段展示：</w:t>
            </w:r>
          </w:p>
          <w:p w14:paraId="337210F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序号：按顺序展示待办流程序号</w:t>
            </w:r>
          </w:p>
          <w:p w14:paraId="3119749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流程类型：展示流程所属类型，如：收文、发文、内部呈批等</w:t>
            </w:r>
          </w:p>
          <w:p w14:paraId="0FE6E7D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 标题：展示流程标题，蓝色高亮显示，点击标题可跳转，并展示紧急程度：</w:t>
            </w:r>
          </w:p>
          <w:p w14:paraId="48CCE3C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--特急：红色标识</w:t>
            </w:r>
          </w:p>
          <w:p w14:paraId="13470BA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 加急：黄色标识</w:t>
            </w:r>
          </w:p>
          <w:p w14:paraId="64CF8BC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普通、普通一类、普通二类、其他：灰色标识</w:t>
            </w:r>
          </w:p>
          <w:p w14:paraId="54D4E4E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 办结时限字段：显示流程的办结时限，展示格式 YYYY-MM-DD ，无则留空</w:t>
            </w:r>
          </w:p>
          <w:p w14:paraId="41B20B0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 剩余天数：取自动计算当前日期距离办结时限日期的差值，格式：XX天。</w:t>
            </w:r>
          </w:p>
          <w:p w14:paraId="54A35D3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--如果剩余办理时间为0、正整数，则现实具体天数。</w:t>
            </w:r>
          </w:p>
          <w:p w14:paraId="1F932DE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--如果剩余办理时间为负数，则标红显示：已逾期</w:t>
            </w:r>
          </w:p>
          <w:p w14:paraId="6A0EF8E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 自然编号：取文笺的自然编号字段，如无该字段、数据为空则展示空</w:t>
            </w:r>
          </w:p>
          <w:p w14:paraId="66CD9AD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 拟办人、拟稿处室、当前环节、当前处理人、创建时间 保持不变</w:t>
            </w:r>
          </w:p>
          <w:p w14:paraId="6E9786E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公文查询下的“单位办文”、“部门办文”列表的搜索字段，增加“自然编号”、“办结时限”搜索字段</w:t>
            </w:r>
          </w:p>
          <w:p w14:paraId="577521C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自然编号搜索：文本输入框，模糊匹配搜索</w:t>
            </w:r>
          </w:p>
          <w:p w14:paraId="33631FA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办结时限搜索：时间段选中框，可选中某一时间段后进行筛选</w:t>
            </w:r>
          </w:p>
          <w:p w14:paraId="4D61615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 标题搜索：支持多个关键字搜索，多个关键字用空格分隔，模糊匹配搜索，多个关键字取交集。</w:t>
            </w:r>
          </w:p>
          <w:p w14:paraId="47FD36C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单位公文划分为：全部、收文、发文、便函、内部呈批、督办</w:t>
            </w:r>
          </w:p>
          <w:p w14:paraId="5E2DEC9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全部：</w:t>
            </w:r>
          </w:p>
          <w:p w14:paraId="33B75C5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--数据范围：展示“单位”内所有的办文流程；</w:t>
            </w:r>
          </w:p>
          <w:p w14:paraId="76EE4A2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--列表展示字段：序号、自然编号、流程名称、标题、办结时限、剩余天数、拟办人、拟稿处室、当前环节、当前处理人、创建时间。</w:t>
            </w:r>
          </w:p>
          <w:p w14:paraId="386C8D9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--搜索字段：标题、拟办人、拟稿处室、紧急程度、流程名称、流程状态、创建时间、办结时限、自然编号</w:t>
            </w:r>
          </w:p>
          <w:p w14:paraId="7C53EB2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--排序规则：按创建时间倒序。</w:t>
            </w:r>
          </w:p>
          <w:p w14:paraId="57630E4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收文：</w:t>
            </w:r>
          </w:p>
          <w:p w14:paraId="78E81BE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--数据范围：展示“单位”内所有的“收文流程”“处室收文流程”。</w:t>
            </w:r>
          </w:p>
          <w:p w14:paraId="502FBCA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--列表展示字段：序号、自然编号、流程名称、标题、办结时限、剩余天数、拟办人、来文单位、当前环节、当前处理人、创建时间。</w:t>
            </w:r>
          </w:p>
          <w:p w14:paraId="7D7DC60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--搜索字段：标题、拟办人、自然编号、来文单位、来文文号、紧急程度、流程名称、流程状态、创建时间、办结时限。</w:t>
            </w:r>
          </w:p>
          <w:p w14:paraId="0454A0A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 发文：</w:t>
            </w:r>
          </w:p>
          <w:p w14:paraId="341AEA9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--数据范围：展示“单位”内所有的“发文流程”“机关妇委会发文流程”“机关工会发文流程”。</w:t>
            </w:r>
          </w:p>
          <w:p w14:paraId="56BC273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--列表展示字段：序号、流程名称、标题、办结时限、剩余天数、拟办人、拟稿处室、发文文号、发送单位（取主送、抄送、分送单位内容合集）、当前环节、当前处理人、创建时间。</w:t>
            </w:r>
          </w:p>
          <w:p w14:paraId="373D528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--搜索字段：标题、拟办人、拟稿处室、紧急程度、发文文号、发送单位、流程名称、流程状态、创建时间、办结时限。</w:t>
            </w:r>
          </w:p>
          <w:p w14:paraId="628B5FC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 内部呈批：</w:t>
            </w:r>
          </w:p>
          <w:p w14:paraId="1227224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--数据范围：展示“单位”内所有的“内部呈批流程”。</w:t>
            </w:r>
          </w:p>
          <w:p w14:paraId="774AD9B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--列表展示字段：序号、流程名称、标题、办结时限、剩余天数、拟办人、拟稿处室、当前环节、当前处理人、创建时间。</w:t>
            </w:r>
          </w:p>
          <w:p w14:paraId="01F04FB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--搜索字段：标题、拟办人、拟稿处室、紧急程度、流程状态、创建时间、办结时限。</w:t>
            </w:r>
          </w:p>
          <w:p w14:paraId="7DAC1E2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 便函：</w:t>
            </w:r>
          </w:p>
          <w:p w14:paraId="1137DC3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--数据范围：展示“单位”内所有的“便函流程”。</w:t>
            </w:r>
          </w:p>
          <w:p w14:paraId="612C1EB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--列表展示字段：序号、流程名称、标题、办结时限、剩余天数、拟办人、拟稿处室、当前环节、当前处理人、创建时间。</w:t>
            </w:r>
          </w:p>
          <w:p w14:paraId="26D3CD4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--搜索字段：标题、拟办人、拟稿处室、紧急程度、流程状态、创建时间、办结时限。</w:t>
            </w:r>
          </w:p>
          <w:p w14:paraId="2BF905B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 督办：</w:t>
            </w:r>
          </w:p>
          <w:p w14:paraId="468641C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--数据范围：展示“单位”内所有的“督办流程”。</w:t>
            </w:r>
          </w:p>
          <w:p w14:paraId="7ED88CA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--列表展示字段：序号、流程名称、标题、办结时限、剩余天数、拟办人、拟稿处室、当前环节、当前处理人、创建时间。</w:t>
            </w:r>
          </w:p>
          <w:p w14:paraId="0ECE534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--搜索字段：标题、拟办人、拟稿处室、紧急程度、流程状态、创建时间、办结时限。</w:t>
            </w:r>
          </w:p>
          <w:p w14:paraId="1DB1E83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全部：</w:t>
            </w:r>
          </w:p>
          <w:p w14:paraId="76536AB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--数据范围：展示“本部门”经办的办文流程；</w:t>
            </w:r>
          </w:p>
          <w:p w14:paraId="6D992D1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--列表展示字段：序号、自然编号、流程名称、标题、办结时限、剩余天数、拟办人、拟稿处室、当前环节、当前处理人、创建时间。</w:t>
            </w:r>
          </w:p>
          <w:p w14:paraId="413E8A8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--搜索字段：标题、拟办人、拟稿处室、紧急程度、流程名称、流程状态、创建时间、办结时限、自然编号</w:t>
            </w:r>
          </w:p>
          <w:p w14:paraId="23A6B0D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--排序规则：按创建时间倒序。</w:t>
            </w:r>
          </w:p>
          <w:p w14:paraId="26F7F6D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② 收文：</w:t>
            </w:r>
          </w:p>
          <w:p w14:paraId="5595B31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--数据范围：展示“本部门”经办的“收文流程”、“处室收文流程”。</w:t>
            </w:r>
          </w:p>
          <w:p w14:paraId="1744175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--列表展示字段：序号、自然编号、流程名称、标题、办结时限、剩余天数、拟办人、来文单位、来文文号、当前环节、当前处理人、创建时间。</w:t>
            </w:r>
          </w:p>
          <w:p w14:paraId="700BD17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--搜索字段：标题、拟办人、自然编号、来文单位、来文文号、紧急程度、流程名称、流程状态、创建时间、办结时限。</w:t>
            </w:r>
          </w:p>
          <w:p w14:paraId="5316FE5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③ 发文：</w:t>
            </w:r>
          </w:p>
          <w:p w14:paraId="51D6BAE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--数据范围：展示“本部门”经办的“发文流程”“机关妇委会发文流程”“机关工会发文流程”。</w:t>
            </w:r>
          </w:p>
          <w:p w14:paraId="1D8E3B1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--列表展示字段：序号、流程名称、标题、办结时限、剩余天数、拟办人、拟稿处室、发文文号、发送单位（取主送、抄送、分送单位内容合集）、当前环节、当前处理人、创建时间。</w:t>
            </w:r>
          </w:p>
          <w:p w14:paraId="7E08E0C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--搜索字段：标题、拟办人、拟稿处室、紧急程度、发文文号、发送单位、流程名称、流程状态、创建时间、办结时限。</w:t>
            </w:r>
          </w:p>
          <w:p w14:paraId="5BCB2D6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④ 内部呈批：</w:t>
            </w:r>
          </w:p>
          <w:p w14:paraId="3E2C2FA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--数据范围：展示“本部门”经办的“内部呈批流程”。</w:t>
            </w:r>
          </w:p>
          <w:p w14:paraId="511D462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--列表展示字段：序号、流程名称、标题、办结时限、剩余天数、拟办人、拟稿处室、当前环节、当前处理人、创建时间。</w:t>
            </w:r>
          </w:p>
          <w:p w14:paraId="23AEE52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--搜索字段：标题、拟办人、拟稿处室、紧急程度、流程状态、创建时间、办结时限。</w:t>
            </w:r>
          </w:p>
          <w:p w14:paraId="6C6866D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⑤ 便函：</w:t>
            </w:r>
          </w:p>
          <w:p w14:paraId="2F82BA9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--数据范围：展示“本部门”经办的“便函流程”。</w:t>
            </w:r>
          </w:p>
          <w:p w14:paraId="16A4FE6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--列表展示字段：序号、流程名称、标题、办结时限、剩余天数、拟办人、拟稿处室、当前环节、当前处理人、创建时间。</w:t>
            </w:r>
          </w:p>
          <w:p w14:paraId="05EFEA0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--搜索字段：标题、拟办人、拟稿处室、紧急程度、流程状态、创建时间、办结时限。</w:t>
            </w:r>
          </w:p>
          <w:p w14:paraId="748AC71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⑥ 督办：</w:t>
            </w:r>
          </w:p>
          <w:p w14:paraId="2191708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--数据范围：展示“本部门”经办的“督办流程”。</w:t>
            </w:r>
          </w:p>
          <w:p w14:paraId="33BA677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--列表展示字段：序号、流程名称、标题、办结时限、剩余天数、拟办人、拟稿处室、当前环节、当前处理人、创建时间。</w:t>
            </w:r>
          </w:p>
          <w:p w14:paraId="2EDD516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--搜索字段：标题、拟办人、拟稿处室、紧急程度、流程状态、创建时间、办结时限。</w:t>
            </w:r>
          </w:p>
          <w:p w14:paraId="3E3E496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分办弹窗优化：</w:t>
            </w:r>
            <w:r>
              <w:rPr>
                <w:rFonts w:hint="eastAsia" w:ascii="宋体" w:hAnsi="宋体" w:eastAsia="宋体" w:cs="宋体"/>
                <w:color w:val="auto"/>
                <w:sz w:val="21"/>
                <w:szCs w:val="21"/>
                <w:highlight w:val="none"/>
              </w:rPr>
              <w:tab/>
            </w:r>
          </w:p>
          <w:p w14:paraId="14288FA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收文分办、发文分办到各处室、直属单位时，支持可一键快捷选择“处室接收人”“处长”。</w:t>
            </w:r>
          </w:p>
          <w:p w14:paraId="193C5A4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（1）增加“处室接收人”“处长”角色。</w:t>
            </w:r>
          </w:p>
          <w:p w14:paraId="68D5B6D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（2）点击【处室接收人】后，可一键把单位的“处室接收人”角色内人员，全选选中至“已选列表”</w:t>
            </w:r>
          </w:p>
          <w:p w14:paraId="3D19BEB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（3）点击【处长】后，可一键把单位的“处长”角色内人员，全选选中至“已选列表”</w:t>
            </w:r>
          </w:p>
          <w:p w14:paraId="6130255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（4）点击【全选】后，可一键把单位的“所有”人员，全选选中至“已选列表”</w:t>
            </w:r>
          </w:p>
          <w:p w14:paraId="29906E4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（5）点击【清空】后，可清空“已选列表”中所有人员</w:t>
            </w:r>
          </w:p>
          <w:p w14:paraId="3A50245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（6）涉及优化的流程和环节：</w:t>
            </w:r>
          </w:p>
          <w:p w14:paraId="32C4E3A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收文流程：文秘转送</w:t>
            </w:r>
          </w:p>
          <w:p w14:paraId="1E85890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便函流程：拟稿人分发</w:t>
            </w:r>
          </w:p>
          <w:p w14:paraId="729104B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 内部呈批流程：办公室文秘转送</w:t>
            </w:r>
          </w:p>
          <w:p w14:paraId="055816E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 工会发文流程：拟稿人分发</w:t>
            </w:r>
          </w:p>
          <w:p w14:paraId="57D4B5C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 妇委会发文流程：拟稿人分发</w:t>
            </w:r>
          </w:p>
          <w:p w14:paraId="625B136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局内分发、分办弹窗优化：</w:t>
            </w:r>
            <w:r>
              <w:rPr>
                <w:rFonts w:hint="eastAsia" w:ascii="宋体" w:hAnsi="宋体" w:eastAsia="宋体" w:cs="宋体"/>
                <w:color w:val="auto"/>
                <w:sz w:val="21"/>
                <w:szCs w:val="21"/>
                <w:highlight w:val="none"/>
              </w:rPr>
              <w:tab/>
            </w:r>
          </w:p>
          <w:p w14:paraId="762B965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增加【局机关接收人】、【直属单位接收人】、【检查分局接收人】快捷选项。每一个接收人快捷选项对应一个后台角色。</w:t>
            </w:r>
          </w:p>
          <w:p w14:paraId="5957002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改名：原【处室接收人】改成：【全部接收人】</w:t>
            </w:r>
          </w:p>
          <w:p w14:paraId="5B770DC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原【处长】改成：【处长接收人】</w:t>
            </w:r>
          </w:p>
          <w:p w14:paraId="67748F3E">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涉及环节：</w:t>
            </w:r>
          </w:p>
          <w:p w14:paraId="42E2080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（1）收文流程：收文拟稿-呈送、文秘转送-呈送</w:t>
            </w:r>
          </w:p>
          <w:p w14:paraId="6D3C665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（2）发文流程：文印室印发-局内分发</w:t>
            </w:r>
          </w:p>
          <w:p w14:paraId="514EDB1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（3）便函流程：拟稿-分发处室、拟稿人分发-分发处室</w:t>
            </w:r>
          </w:p>
          <w:p w14:paraId="6C18368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（4）呈批流程：办公室文秘-相关处室办理</w:t>
            </w:r>
          </w:p>
          <w:p w14:paraId="39C1856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（5）机关妇委会发文：拟稿人分发-局内分发</w:t>
            </w:r>
          </w:p>
          <w:p w14:paraId="54A0411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（6）机关工会发文：拟稿人分发-局内分发</w:t>
            </w:r>
          </w:p>
          <w:p w14:paraId="42A6D68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传阅公文自选已阅：</w:t>
            </w:r>
            <w:r>
              <w:rPr>
                <w:rFonts w:hint="eastAsia" w:ascii="宋体" w:hAnsi="宋体" w:eastAsia="宋体" w:cs="宋体"/>
                <w:color w:val="auto"/>
                <w:sz w:val="21"/>
                <w:szCs w:val="21"/>
                <w:highlight w:val="none"/>
              </w:rPr>
              <w:tab/>
            </w:r>
          </w:p>
          <w:p w14:paraId="0C2860E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表头的复选框：“勾选”则可将当前页面进行全选、“取消勾选”则可将当前页面全部取消选中。</w:t>
            </w:r>
          </w:p>
          <w:p w14:paraId="44034F3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单条公文的复选框：“勾选”则对当前公文进行选中、“取消勾选”则可将当前公文取消选中。</w:t>
            </w:r>
          </w:p>
          <w:p w14:paraId="5A81A370">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当未勾选公文，点击时页头即时提醒：请先勾选要设为已阅的公文。</w:t>
            </w:r>
          </w:p>
          <w:p w14:paraId="67378EFA">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已勾选公文，点击弹窗二次确认：确认将XX条公文设置为已阅吗？其中，XX代表当前勾选的公文条数。</w:t>
            </w:r>
          </w:p>
          <w:p w14:paraId="425EF8A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设为已阅的公文，自动进入【已阅公文】列表中，待办同步关闭。</w:t>
            </w:r>
          </w:p>
          <w:p w14:paraId="7BC58AF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 当点击【全部设为已阅】弹窗二次确认：确认将全部待阅公文设为已阅吗？</w:t>
            </w:r>
          </w:p>
          <w:p w14:paraId="40520487">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 设为已阅的公文，自动进入【已阅公文】列表中，待办同步关闭。</w:t>
            </w:r>
          </w:p>
          <w:p w14:paraId="21F9C7B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移动端首页待办提醒-【待阅公文】列表、我的公文【待阅公文】列表，同时增加【设为已阅】、【全部设为已阅】功能，操作逻辑和PC端一致。</w:t>
            </w:r>
          </w:p>
          <w:p w14:paraId="56A87B5C">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移动端菜单优化：</w:t>
            </w:r>
            <w:r>
              <w:rPr>
                <w:rFonts w:hint="eastAsia" w:ascii="宋体" w:hAnsi="宋体" w:eastAsia="宋体" w:cs="宋体"/>
                <w:color w:val="auto"/>
                <w:sz w:val="21"/>
                <w:szCs w:val="21"/>
                <w:highlight w:val="none"/>
              </w:rPr>
              <w:tab/>
            </w:r>
          </w:p>
          <w:p w14:paraId="261FB8F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菜单新增：【单位公文】，排序依次：我的公文、领导日程、单位公文、部门公文</w:t>
            </w:r>
          </w:p>
          <w:p w14:paraId="6082F00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菜单与角色用户控制如下：</w:t>
            </w:r>
          </w:p>
          <w:p w14:paraId="55C8F6CF">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（1）我的公文：所有用户</w:t>
            </w:r>
          </w:p>
          <w:p w14:paraId="0B9D1BC5">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（2）领导日程：领导日程查看角色</w:t>
            </w:r>
          </w:p>
          <w:p w14:paraId="41FB6C5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（3）单位公文：单位公文查询员、管理员</w:t>
            </w:r>
          </w:p>
          <w:p w14:paraId="37CB8BE6">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（4）部门公文：所有用户</w:t>
            </w:r>
          </w:p>
          <w:p w14:paraId="2C1953D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待阅公文支持录入批示意见：</w:t>
            </w:r>
          </w:p>
          <w:p w14:paraId="1894EA5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在“表单设计”--“批示组件”中增加待阅公文批示配置项目，支持按“角色”控制开放的相关权限。</w:t>
            </w:r>
          </w:p>
          <w:p w14:paraId="40554A98">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开启批示录入权限的用户，该用户下的待阅功能支持在开启录入批示的区域录入批示，默认为“非必填”；录入批示的操作与限制遵循批示组件设定的其他属性。</w:t>
            </w:r>
          </w:p>
          <w:p w14:paraId="30D63771">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批示录入成功后，点击“设为已阅”后自动将批示提交。</w:t>
            </w:r>
          </w:p>
          <w:p w14:paraId="6EB0505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将已阅公文设置“取消已阅”后，进入待阅公文，支持修改原有批示、新增另一条新批示。</w:t>
            </w:r>
          </w:p>
          <w:p w14:paraId="68C7D2C2">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在“表单设计”--“批示组件”中增加待阅公文批示配置项目，支持按“角色”配置通知对应的角色人员，通过首页弹窗的方式通知批示的具体情况。</w:t>
            </w:r>
          </w:p>
          <w:p w14:paraId="11BD3CDD">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当指定角色在待阅公文进行提交“设为已阅”操作进行通知</w:t>
            </w:r>
          </w:p>
          <w:p w14:paraId="2152BA49">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①首次设为已阅：批示内容不为空，则正常下发通知。</w:t>
            </w:r>
          </w:p>
          <w:p w14:paraId="4CFE82EB">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②多次设为已阅：批示内容不为空，则每次都下发通知。</w:t>
            </w:r>
          </w:p>
          <w:p w14:paraId="3B3229B4">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指定角色人员收到通知后，每次登录系统、刷新首页都将进行通知消息提醒。</w:t>
            </w:r>
          </w:p>
          <w:p w14:paraId="7D3B1CDB">
            <w:pPr>
              <w:pStyle w:val="8"/>
              <w:numPr>
                <w:ilvl w:val="1"/>
                <w:numId w:val="0"/>
              </w:numPr>
              <w:tabs>
                <w:tab w:val="left" w:pos="420"/>
              </w:tabs>
              <w:ind w:firstLine="422"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.4.</w:t>
            </w:r>
            <w:r>
              <w:rPr>
                <w:rFonts w:hint="eastAsia" w:ascii="宋体" w:hAnsi="宋体" w:cs="宋体"/>
                <w:color w:val="auto"/>
                <w:sz w:val="21"/>
                <w:szCs w:val="21"/>
                <w:highlight w:val="none"/>
              </w:rPr>
              <w:t>移动办公APP开发</w:t>
            </w:r>
          </w:p>
          <w:p w14:paraId="2B76D2D3">
            <w:pPr>
              <w:pStyle w:val="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开发全新的移动办公APP，实现与综办平台的统一认证互认，支持公文处理、工作提醒等核心功能，满足随时随地移动办公需求。</w:t>
            </w:r>
          </w:p>
          <w:p w14:paraId="36ABC9BB">
            <w:pPr>
              <w:pStyle w:val="8"/>
              <w:numPr>
                <w:ilvl w:val="1"/>
                <w:numId w:val="0"/>
              </w:numPr>
              <w:tabs>
                <w:tab w:val="left" w:pos="420"/>
              </w:tabs>
              <w:ind w:firstLine="422"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ascii="宋体" w:hAnsi="宋体" w:cs="宋体"/>
                <w:color w:val="auto"/>
                <w:sz w:val="21"/>
                <w:szCs w:val="21"/>
                <w:highlight w:val="none"/>
              </w:rPr>
              <w:t>.5.</w:t>
            </w:r>
            <w:r>
              <w:rPr>
                <w:rFonts w:hint="eastAsia" w:ascii="宋体" w:hAnsi="宋体" w:cs="宋体"/>
                <w:color w:val="auto"/>
                <w:sz w:val="21"/>
                <w:szCs w:val="21"/>
                <w:highlight w:val="none"/>
              </w:rPr>
              <w:t>数据源改造与历史数据迁移</w:t>
            </w:r>
          </w:p>
          <w:p w14:paraId="4EF2BCB2">
            <w:pPr>
              <w:spacing w:line="560" w:lineRule="exact"/>
              <w:ind w:firstLine="648"/>
              <w:jc w:val="left"/>
              <w:rPr>
                <w:rFonts w:eastAsia="仿宋_GB2312"/>
                <w:color w:val="auto"/>
                <w:highlight w:val="none"/>
              </w:rPr>
            </w:pPr>
            <w:r>
              <w:rPr>
                <w:rFonts w:hint="eastAsia" w:ascii="宋体" w:hAnsi="宋体" w:cs="宋体"/>
                <w:color w:val="auto"/>
                <w:szCs w:val="21"/>
                <w:highlight w:val="none"/>
              </w:rPr>
              <w:t>将系统数据库改造兼容人大金仓，并完成原OA系统历史公文数据的完整迁移与验证。</w:t>
            </w:r>
            <w:bookmarkEnd w:id="51"/>
          </w:p>
        </w:tc>
      </w:tr>
    </w:tbl>
    <w:p w14:paraId="030CA132">
      <w:pPr>
        <w:rPr>
          <w:color w:val="auto"/>
          <w:highlight w:val="none"/>
        </w:rPr>
      </w:pPr>
    </w:p>
    <w:p w14:paraId="44D716B3">
      <w:pPr>
        <w:rPr>
          <w:b/>
          <w:bCs/>
          <w:color w:val="auto"/>
          <w:szCs w:val="21"/>
          <w:highlight w:val="none"/>
        </w:rPr>
      </w:pPr>
    </w:p>
    <w:p w14:paraId="4BE2060D">
      <w:pPr>
        <w:rPr>
          <w:b/>
          <w:bCs/>
          <w:color w:val="auto"/>
          <w:szCs w:val="21"/>
          <w:highlight w:val="none"/>
        </w:rPr>
      </w:pPr>
      <w:r>
        <w:rPr>
          <w:rFonts w:hint="eastAsia"/>
          <w:b/>
          <w:bCs/>
          <w:color w:val="auto"/>
          <w:szCs w:val="21"/>
          <w:highlight w:val="none"/>
        </w:rPr>
        <w:br w:type="page"/>
      </w:r>
    </w:p>
    <w:p w14:paraId="7C598964">
      <w:pPr>
        <w:spacing w:line="360" w:lineRule="auto"/>
        <w:rPr>
          <w:b/>
          <w:bCs/>
          <w:color w:val="auto"/>
          <w:highlight w:val="none"/>
        </w:rPr>
      </w:pPr>
      <w:r>
        <w:rPr>
          <w:rFonts w:hint="eastAsia"/>
          <w:b/>
          <w:bCs/>
          <w:color w:val="auto"/>
          <w:szCs w:val="21"/>
          <w:highlight w:val="none"/>
        </w:rPr>
        <w:t>7.商务要求：</w:t>
      </w:r>
    </w:p>
    <w:tbl>
      <w:tblPr>
        <w:tblStyle w:val="53"/>
        <w:tblW w:w="9464"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
      <w:tblGrid>
        <w:gridCol w:w="534"/>
        <w:gridCol w:w="1134"/>
        <w:gridCol w:w="7796"/>
      </w:tblGrid>
      <w:tr w14:paraId="76ED219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11F8CB59">
            <w:pPr>
              <w:spacing w:line="360" w:lineRule="exact"/>
              <w:jc w:val="center"/>
              <w:rPr>
                <w:color w:val="auto"/>
                <w:szCs w:val="21"/>
                <w:highlight w:val="none"/>
              </w:rPr>
            </w:pPr>
            <w:r>
              <w:rPr>
                <w:color w:val="auto"/>
                <w:szCs w:val="21"/>
                <w:highlight w:val="none"/>
              </w:rPr>
              <w:t>序号</w:t>
            </w:r>
          </w:p>
        </w:tc>
        <w:tc>
          <w:tcPr>
            <w:tcW w:w="1134" w:type="dxa"/>
            <w:tcBorders>
              <w:top w:val="single" w:color="auto" w:sz="4" w:space="0"/>
              <w:left w:val="single" w:color="auto" w:sz="4" w:space="0"/>
              <w:bottom w:val="single" w:color="auto" w:sz="4" w:space="0"/>
              <w:right w:val="single" w:color="auto" w:sz="4" w:space="0"/>
            </w:tcBorders>
            <w:vAlign w:val="center"/>
          </w:tcPr>
          <w:p w14:paraId="109DDF4A">
            <w:pPr>
              <w:spacing w:line="360" w:lineRule="exact"/>
              <w:jc w:val="center"/>
              <w:rPr>
                <w:color w:val="auto"/>
                <w:szCs w:val="21"/>
                <w:highlight w:val="none"/>
              </w:rPr>
            </w:pPr>
            <w:r>
              <w:rPr>
                <w:color w:val="auto"/>
                <w:szCs w:val="21"/>
                <w:highlight w:val="none"/>
              </w:rPr>
              <w:t>商务条款</w:t>
            </w:r>
          </w:p>
        </w:tc>
        <w:tc>
          <w:tcPr>
            <w:tcW w:w="7796" w:type="dxa"/>
            <w:tcBorders>
              <w:top w:val="single" w:color="auto" w:sz="4" w:space="0"/>
              <w:left w:val="single" w:color="auto" w:sz="4" w:space="0"/>
              <w:bottom w:val="single" w:color="auto" w:sz="4" w:space="0"/>
              <w:right w:val="single" w:color="auto" w:sz="4" w:space="0"/>
            </w:tcBorders>
            <w:vAlign w:val="center"/>
          </w:tcPr>
          <w:p w14:paraId="138BD814">
            <w:pPr>
              <w:spacing w:line="300" w:lineRule="exact"/>
              <w:jc w:val="center"/>
              <w:rPr>
                <w:color w:val="auto"/>
                <w:szCs w:val="21"/>
                <w:highlight w:val="none"/>
              </w:rPr>
            </w:pPr>
            <w:r>
              <w:rPr>
                <w:color w:val="auto"/>
                <w:szCs w:val="21"/>
                <w:highlight w:val="none"/>
              </w:rPr>
              <w:t>商务要求</w:t>
            </w:r>
          </w:p>
        </w:tc>
      </w:tr>
      <w:tr w14:paraId="024019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022EDC7A">
            <w:pPr>
              <w:spacing w:line="360" w:lineRule="exact"/>
              <w:jc w:val="center"/>
              <w:rPr>
                <w:color w:val="auto"/>
                <w:szCs w:val="21"/>
                <w:highlight w:val="none"/>
              </w:rPr>
            </w:pPr>
            <w:r>
              <w:rPr>
                <w:rFonts w:hint="eastAsia"/>
                <w:color w:val="auto"/>
                <w:szCs w:val="21"/>
                <w:highlight w:val="none"/>
              </w:rPr>
              <w:t>1</w:t>
            </w:r>
          </w:p>
        </w:tc>
        <w:tc>
          <w:tcPr>
            <w:tcW w:w="1134" w:type="dxa"/>
            <w:tcBorders>
              <w:top w:val="single" w:color="auto" w:sz="4" w:space="0"/>
              <w:left w:val="single" w:color="auto" w:sz="4" w:space="0"/>
              <w:bottom w:val="single" w:color="auto" w:sz="4" w:space="0"/>
              <w:right w:val="single" w:color="auto" w:sz="4" w:space="0"/>
            </w:tcBorders>
            <w:vAlign w:val="center"/>
          </w:tcPr>
          <w:p w14:paraId="5ACCEB64">
            <w:pPr>
              <w:spacing w:line="360" w:lineRule="exact"/>
              <w:jc w:val="center"/>
              <w:rPr>
                <w:color w:val="auto"/>
                <w:szCs w:val="21"/>
                <w:highlight w:val="none"/>
              </w:rPr>
            </w:pPr>
            <w:r>
              <w:rPr>
                <w:color w:val="auto"/>
                <w:szCs w:val="21"/>
                <w:highlight w:val="none"/>
              </w:rPr>
              <w:t>▲报价要求</w:t>
            </w:r>
          </w:p>
        </w:tc>
        <w:tc>
          <w:tcPr>
            <w:tcW w:w="7796" w:type="dxa"/>
            <w:tcBorders>
              <w:top w:val="single" w:color="auto" w:sz="4" w:space="0"/>
              <w:left w:val="single" w:color="auto" w:sz="4" w:space="0"/>
              <w:bottom w:val="single" w:color="auto" w:sz="4" w:space="0"/>
              <w:right w:val="single" w:color="auto" w:sz="4" w:space="0"/>
            </w:tcBorders>
            <w:vAlign w:val="center"/>
          </w:tcPr>
          <w:p w14:paraId="026F4894">
            <w:pPr>
              <w:spacing w:line="300" w:lineRule="exact"/>
              <w:jc w:val="left"/>
              <w:rPr>
                <w:color w:val="auto"/>
                <w:szCs w:val="21"/>
                <w:highlight w:val="none"/>
              </w:rPr>
            </w:pPr>
            <w:r>
              <w:rPr>
                <w:rFonts w:hint="eastAsia"/>
                <w:color w:val="auto"/>
                <w:szCs w:val="21"/>
                <w:highlight w:val="none"/>
              </w:rPr>
              <w:t>本次报价须为人民币报价，报价应包含了但并不限于完成本项目服务所有内容及其他相关服务的投入、系统实施(含咨询）、项目验收费、附加培训、售后服务、税金、利润及其他所有可能发生的一切费用。项目实施过程中，采购人不再支付任何费用。在合同实施时，采购人将不予支付供应商没有列入的项目费用，并认为此项目的费用已包括在总报价中。</w:t>
            </w:r>
          </w:p>
        </w:tc>
      </w:tr>
      <w:tr w14:paraId="417CA4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02AA49D">
            <w:pPr>
              <w:spacing w:line="360" w:lineRule="exact"/>
              <w:jc w:val="center"/>
              <w:rPr>
                <w:color w:val="auto"/>
                <w:szCs w:val="21"/>
                <w:highlight w:val="none"/>
              </w:rPr>
            </w:pPr>
            <w:r>
              <w:rPr>
                <w:rFonts w:hint="eastAsia"/>
                <w:color w:val="auto"/>
                <w:szCs w:val="21"/>
                <w:highlight w:val="none"/>
              </w:rPr>
              <w:t>2</w:t>
            </w:r>
          </w:p>
        </w:tc>
        <w:tc>
          <w:tcPr>
            <w:tcW w:w="1134" w:type="dxa"/>
            <w:tcBorders>
              <w:top w:val="single" w:color="auto" w:sz="4" w:space="0"/>
              <w:left w:val="single" w:color="auto" w:sz="4" w:space="0"/>
              <w:bottom w:val="single" w:color="auto" w:sz="4" w:space="0"/>
              <w:right w:val="single" w:color="auto" w:sz="4" w:space="0"/>
            </w:tcBorders>
            <w:vAlign w:val="center"/>
          </w:tcPr>
          <w:p w14:paraId="2EFA1564">
            <w:pPr>
              <w:spacing w:line="360" w:lineRule="exact"/>
              <w:jc w:val="center"/>
              <w:rPr>
                <w:color w:val="auto"/>
                <w:szCs w:val="21"/>
                <w:highlight w:val="none"/>
              </w:rPr>
            </w:pPr>
            <w:r>
              <w:rPr>
                <w:color w:val="auto"/>
                <w:szCs w:val="21"/>
                <w:highlight w:val="none"/>
              </w:rPr>
              <w:t>合同签订日期</w:t>
            </w:r>
          </w:p>
        </w:tc>
        <w:tc>
          <w:tcPr>
            <w:tcW w:w="7796" w:type="dxa"/>
            <w:tcBorders>
              <w:top w:val="single" w:color="auto" w:sz="4" w:space="0"/>
              <w:left w:val="single" w:color="auto" w:sz="4" w:space="0"/>
              <w:bottom w:val="single" w:color="auto" w:sz="4" w:space="0"/>
              <w:right w:val="single" w:color="auto" w:sz="4" w:space="0"/>
            </w:tcBorders>
            <w:vAlign w:val="center"/>
          </w:tcPr>
          <w:p w14:paraId="4B1360FD">
            <w:pPr>
              <w:spacing w:line="300" w:lineRule="exact"/>
              <w:rPr>
                <w:color w:val="auto"/>
                <w:szCs w:val="21"/>
                <w:highlight w:val="none"/>
              </w:rPr>
            </w:pPr>
            <w:r>
              <w:rPr>
                <w:color w:val="auto"/>
                <w:szCs w:val="21"/>
                <w:highlight w:val="none"/>
              </w:rPr>
              <w:t>成交通知书发出后</w:t>
            </w:r>
            <w:r>
              <w:rPr>
                <w:rFonts w:hint="eastAsia"/>
                <w:color w:val="auto"/>
                <w:szCs w:val="21"/>
                <w:highlight w:val="none"/>
              </w:rPr>
              <w:t>25</w:t>
            </w:r>
            <w:r>
              <w:rPr>
                <w:color w:val="auto"/>
                <w:szCs w:val="21"/>
                <w:highlight w:val="none"/>
              </w:rPr>
              <w:t>日内。</w:t>
            </w:r>
          </w:p>
        </w:tc>
      </w:tr>
      <w:tr w14:paraId="5DE17F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tcPr>
          <w:p w14:paraId="65C26CFF">
            <w:pPr>
              <w:spacing w:line="360" w:lineRule="exact"/>
              <w:jc w:val="center"/>
              <w:rPr>
                <w:color w:val="auto"/>
                <w:szCs w:val="21"/>
                <w:highlight w:val="none"/>
              </w:rPr>
            </w:pPr>
            <w:r>
              <w:rPr>
                <w:rFonts w:hint="eastAsia"/>
                <w:color w:val="auto"/>
                <w:szCs w:val="21"/>
                <w:highlight w:val="none"/>
              </w:rPr>
              <w:t>3</w:t>
            </w:r>
          </w:p>
        </w:tc>
        <w:tc>
          <w:tcPr>
            <w:tcW w:w="1134" w:type="dxa"/>
            <w:tcBorders>
              <w:top w:val="single" w:color="auto" w:sz="4" w:space="0"/>
              <w:left w:val="single" w:color="auto" w:sz="4" w:space="0"/>
              <w:bottom w:val="single" w:color="auto" w:sz="4" w:space="0"/>
              <w:right w:val="single" w:color="auto" w:sz="4" w:space="0"/>
            </w:tcBorders>
          </w:tcPr>
          <w:p w14:paraId="6EDC6B6B">
            <w:pPr>
              <w:spacing w:line="360" w:lineRule="exact"/>
              <w:jc w:val="center"/>
              <w:rPr>
                <w:color w:val="auto"/>
                <w:szCs w:val="21"/>
                <w:highlight w:val="none"/>
              </w:rPr>
            </w:pPr>
            <w:r>
              <w:rPr>
                <w:rFonts w:hint="eastAsia"/>
                <w:color w:val="auto"/>
                <w:szCs w:val="21"/>
                <w:highlight w:val="none"/>
              </w:rPr>
              <w:t>提交服务时间</w:t>
            </w:r>
          </w:p>
        </w:tc>
        <w:tc>
          <w:tcPr>
            <w:tcW w:w="7796" w:type="dxa"/>
            <w:tcBorders>
              <w:top w:val="single" w:color="auto" w:sz="4" w:space="0"/>
              <w:left w:val="single" w:color="auto" w:sz="4" w:space="0"/>
              <w:bottom w:val="single" w:color="auto" w:sz="4" w:space="0"/>
              <w:right w:val="single" w:color="auto" w:sz="4" w:space="0"/>
            </w:tcBorders>
          </w:tcPr>
          <w:p w14:paraId="1911E095">
            <w:pPr>
              <w:spacing w:line="300" w:lineRule="exact"/>
              <w:rPr>
                <w:color w:val="auto"/>
                <w:szCs w:val="21"/>
                <w:highlight w:val="none"/>
              </w:rPr>
            </w:pPr>
            <w:r>
              <w:rPr>
                <w:rFonts w:hint="eastAsia"/>
                <w:color w:val="auto"/>
                <w:szCs w:val="21"/>
                <w:highlight w:val="none"/>
              </w:rPr>
              <w:t>自合同签订之日起15日内入场提供软件开发及部署服务，自项目验收通过之日起提供12个月软件运维服务。</w:t>
            </w:r>
          </w:p>
        </w:tc>
      </w:tr>
      <w:tr w14:paraId="07F677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458" w:hRule="atLeast"/>
          <w:jc w:val="center"/>
        </w:trPr>
        <w:tc>
          <w:tcPr>
            <w:tcW w:w="534" w:type="dxa"/>
            <w:tcBorders>
              <w:top w:val="single" w:color="auto" w:sz="4" w:space="0"/>
              <w:left w:val="single" w:color="auto" w:sz="4" w:space="0"/>
              <w:bottom w:val="single" w:color="auto" w:sz="4" w:space="0"/>
              <w:right w:val="single" w:color="auto" w:sz="4" w:space="0"/>
            </w:tcBorders>
          </w:tcPr>
          <w:p w14:paraId="2EE84D99">
            <w:pPr>
              <w:spacing w:line="360" w:lineRule="exact"/>
              <w:jc w:val="center"/>
              <w:rPr>
                <w:color w:val="auto"/>
                <w:szCs w:val="21"/>
                <w:highlight w:val="none"/>
              </w:rPr>
            </w:pPr>
            <w:r>
              <w:rPr>
                <w:rFonts w:hint="eastAsia"/>
                <w:color w:val="auto"/>
                <w:szCs w:val="21"/>
                <w:highlight w:val="none"/>
              </w:rPr>
              <w:t>4</w:t>
            </w:r>
          </w:p>
        </w:tc>
        <w:tc>
          <w:tcPr>
            <w:tcW w:w="1134" w:type="dxa"/>
            <w:tcBorders>
              <w:top w:val="single" w:color="auto" w:sz="4" w:space="0"/>
              <w:left w:val="single" w:color="auto" w:sz="4" w:space="0"/>
              <w:bottom w:val="single" w:color="auto" w:sz="4" w:space="0"/>
              <w:right w:val="single" w:color="auto" w:sz="4" w:space="0"/>
            </w:tcBorders>
          </w:tcPr>
          <w:p w14:paraId="20F5B196">
            <w:pPr>
              <w:spacing w:line="360" w:lineRule="exact"/>
              <w:jc w:val="center"/>
              <w:rPr>
                <w:color w:val="auto"/>
                <w:szCs w:val="21"/>
                <w:highlight w:val="none"/>
              </w:rPr>
            </w:pPr>
            <w:r>
              <w:rPr>
                <w:rFonts w:hint="eastAsia"/>
                <w:color w:val="auto"/>
                <w:szCs w:val="21"/>
                <w:highlight w:val="none"/>
              </w:rPr>
              <w:t>服务地点</w:t>
            </w:r>
          </w:p>
        </w:tc>
        <w:tc>
          <w:tcPr>
            <w:tcW w:w="7796" w:type="dxa"/>
            <w:tcBorders>
              <w:top w:val="single" w:color="auto" w:sz="4" w:space="0"/>
              <w:left w:val="single" w:color="auto" w:sz="4" w:space="0"/>
              <w:bottom w:val="single" w:color="auto" w:sz="4" w:space="0"/>
              <w:right w:val="single" w:color="auto" w:sz="4" w:space="0"/>
            </w:tcBorders>
          </w:tcPr>
          <w:p w14:paraId="0CAA9A84">
            <w:pPr>
              <w:spacing w:line="300" w:lineRule="exact"/>
              <w:rPr>
                <w:color w:val="auto"/>
                <w:szCs w:val="21"/>
                <w:highlight w:val="none"/>
              </w:rPr>
            </w:pPr>
            <w:r>
              <w:rPr>
                <w:rFonts w:hint="eastAsia"/>
                <w:color w:val="auto"/>
                <w:szCs w:val="21"/>
                <w:highlight w:val="none"/>
              </w:rPr>
              <w:t>广西南宁市采购人指定地点。</w:t>
            </w:r>
          </w:p>
        </w:tc>
      </w:tr>
      <w:tr w14:paraId="6639F4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154C5591">
            <w:pPr>
              <w:jc w:val="center"/>
              <w:rPr>
                <w:color w:val="auto"/>
                <w:szCs w:val="21"/>
                <w:highlight w:val="none"/>
              </w:rPr>
            </w:pPr>
            <w:r>
              <w:rPr>
                <w:rFonts w:hint="eastAsia"/>
                <w:color w:val="auto"/>
                <w:szCs w:val="21"/>
                <w:highlight w:val="none"/>
              </w:rPr>
              <w:t>5</w:t>
            </w:r>
          </w:p>
        </w:tc>
        <w:tc>
          <w:tcPr>
            <w:tcW w:w="1134" w:type="dxa"/>
            <w:tcBorders>
              <w:top w:val="single" w:color="auto" w:sz="4" w:space="0"/>
              <w:left w:val="single" w:color="auto" w:sz="4" w:space="0"/>
              <w:bottom w:val="single" w:color="auto" w:sz="4" w:space="0"/>
              <w:right w:val="single" w:color="auto" w:sz="4" w:space="0"/>
            </w:tcBorders>
            <w:vAlign w:val="center"/>
          </w:tcPr>
          <w:p w14:paraId="2C7B47CF">
            <w:pPr>
              <w:spacing w:line="360" w:lineRule="exact"/>
              <w:jc w:val="center"/>
              <w:rPr>
                <w:color w:val="auto"/>
                <w:szCs w:val="21"/>
                <w:highlight w:val="none"/>
              </w:rPr>
            </w:pPr>
            <w:r>
              <w:rPr>
                <w:rFonts w:hint="eastAsia"/>
                <w:color w:val="auto"/>
                <w:szCs w:val="21"/>
                <w:highlight w:val="none"/>
              </w:rPr>
              <w:t>▲服务及响应要求</w:t>
            </w:r>
          </w:p>
        </w:tc>
        <w:tc>
          <w:tcPr>
            <w:tcW w:w="7796" w:type="dxa"/>
            <w:tcBorders>
              <w:top w:val="single" w:color="auto" w:sz="4" w:space="0"/>
              <w:left w:val="single" w:color="auto" w:sz="4" w:space="0"/>
              <w:bottom w:val="single" w:color="auto" w:sz="4" w:space="0"/>
              <w:right w:val="single" w:color="auto" w:sz="4" w:space="0"/>
            </w:tcBorders>
            <w:vAlign w:val="center"/>
          </w:tcPr>
          <w:p w14:paraId="69FDFB7F">
            <w:pPr>
              <w:spacing w:line="300" w:lineRule="exact"/>
              <w:rPr>
                <w:color w:val="auto"/>
                <w:szCs w:val="21"/>
                <w:highlight w:val="none"/>
              </w:rPr>
            </w:pPr>
            <w:r>
              <w:rPr>
                <w:rFonts w:hint="eastAsia"/>
                <w:color w:val="auto"/>
                <w:szCs w:val="21"/>
                <w:highlight w:val="none"/>
              </w:rPr>
              <w:t>技术人员应在接到故障通知后30分钟内响应并及时处理；接到到场通知后2小时内到达现场。</w:t>
            </w:r>
          </w:p>
        </w:tc>
      </w:tr>
      <w:tr w14:paraId="497EE3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585A8B7D">
            <w:pPr>
              <w:spacing w:line="360" w:lineRule="exact"/>
              <w:jc w:val="center"/>
              <w:rPr>
                <w:color w:val="auto"/>
                <w:szCs w:val="21"/>
                <w:highlight w:val="none"/>
              </w:rPr>
            </w:pPr>
            <w:r>
              <w:rPr>
                <w:rFonts w:hint="eastAsia"/>
                <w:color w:val="auto"/>
                <w:szCs w:val="21"/>
                <w:highlight w:val="none"/>
              </w:rPr>
              <w:t>6</w:t>
            </w:r>
          </w:p>
        </w:tc>
        <w:tc>
          <w:tcPr>
            <w:tcW w:w="1134" w:type="dxa"/>
            <w:tcBorders>
              <w:top w:val="single" w:color="auto" w:sz="4" w:space="0"/>
              <w:left w:val="single" w:color="auto" w:sz="4" w:space="0"/>
              <w:bottom w:val="single" w:color="auto" w:sz="4" w:space="0"/>
              <w:right w:val="single" w:color="auto" w:sz="4" w:space="0"/>
            </w:tcBorders>
            <w:vAlign w:val="center"/>
          </w:tcPr>
          <w:p w14:paraId="24A62C61">
            <w:pPr>
              <w:spacing w:line="360" w:lineRule="exact"/>
              <w:jc w:val="center"/>
              <w:rPr>
                <w:color w:val="auto"/>
                <w:szCs w:val="21"/>
                <w:highlight w:val="none"/>
              </w:rPr>
            </w:pPr>
            <w:r>
              <w:rPr>
                <w:rFonts w:hint="eastAsia" w:ascii="宋体" w:hAnsi="宋体" w:cs="宋体"/>
                <w:color w:val="auto"/>
                <w:szCs w:val="21"/>
                <w:highlight w:val="none"/>
              </w:rPr>
              <w:t>▲</w:t>
            </w:r>
            <w:r>
              <w:rPr>
                <w:rFonts w:hint="eastAsia" w:ascii="宋体" w:hAnsi="宋体" w:cs="宋体"/>
                <w:color w:val="auto"/>
                <w:highlight w:val="none"/>
              </w:rPr>
              <w:t>保密要求</w:t>
            </w:r>
          </w:p>
        </w:tc>
        <w:tc>
          <w:tcPr>
            <w:tcW w:w="7796" w:type="dxa"/>
            <w:tcBorders>
              <w:top w:val="single" w:color="auto" w:sz="4" w:space="0"/>
              <w:left w:val="single" w:color="auto" w:sz="4" w:space="0"/>
              <w:bottom w:val="single" w:color="auto" w:sz="4" w:space="0"/>
              <w:right w:val="single" w:color="auto" w:sz="4" w:space="0"/>
            </w:tcBorders>
            <w:vAlign w:val="center"/>
          </w:tcPr>
          <w:p w14:paraId="699392F0">
            <w:pPr>
              <w:spacing w:line="300" w:lineRule="exact"/>
              <w:jc w:val="left"/>
              <w:rPr>
                <w:color w:val="auto"/>
                <w:szCs w:val="21"/>
                <w:highlight w:val="none"/>
              </w:rPr>
            </w:pPr>
            <w:r>
              <w:rPr>
                <w:rFonts w:hint="eastAsia"/>
                <w:color w:val="auto"/>
                <w:szCs w:val="21"/>
                <w:highlight w:val="none"/>
              </w:rPr>
              <w:t>供应商须保证对所有系统资料、口令和数据负有保密的责任和义务，未经采购人许可，不允许向第三方透露。</w:t>
            </w:r>
          </w:p>
        </w:tc>
      </w:tr>
      <w:tr w14:paraId="79BA2A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18736903">
            <w:pPr>
              <w:spacing w:line="360" w:lineRule="exact"/>
              <w:jc w:val="center"/>
              <w:rPr>
                <w:color w:val="auto"/>
                <w:szCs w:val="21"/>
                <w:highlight w:val="none"/>
              </w:rPr>
            </w:pPr>
            <w:r>
              <w:rPr>
                <w:rFonts w:hint="eastAsia"/>
                <w:color w:val="auto"/>
                <w:szCs w:val="21"/>
                <w:highlight w:val="none"/>
              </w:rPr>
              <w:t>7</w:t>
            </w:r>
          </w:p>
        </w:tc>
        <w:tc>
          <w:tcPr>
            <w:tcW w:w="1134" w:type="dxa"/>
            <w:tcBorders>
              <w:top w:val="single" w:color="auto" w:sz="4" w:space="0"/>
              <w:left w:val="single" w:color="auto" w:sz="4" w:space="0"/>
              <w:bottom w:val="single" w:color="auto" w:sz="4" w:space="0"/>
              <w:right w:val="single" w:color="auto" w:sz="4" w:space="0"/>
            </w:tcBorders>
            <w:vAlign w:val="center"/>
          </w:tcPr>
          <w:p w14:paraId="1E904D11">
            <w:pPr>
              <w:spacing w:line="360" w:lineRule="exact"/>
              <w:jc w:val="center"/>
              <w:rPr>
                <w:color w:val="auto"/>
                <w:szCs w:val="21"/>
                <w:highlight w:val="none"/>
              </w:rPr>
            </w:pPr>
            <w:r>
              <w:rPr>
                <w:rFonts w:hint="eastAsia"/>
                <w:color w:val="auto"/>
                <w:szCs w:val="21"/>
                <w:highlight w:val="none"/>
              </w:rPr>
              <w:t>验收标准和要求</w:t>
            </w:r>
          </w:p>
        </w:tc>
        <w:tc>
          <w:tcPr>
            <w:tcW w:w="7796" w:type="dxa"/>
            <w:tcBorders>
              <w:top w:val="single" w:color="auto" w:sz="4" w:space="0"/>
              <w:left w:val="single" w:color="auto" w:sz="4" w:space="0"/>
              <w:bottom w:val="single" w:color="auto" w:sz="4" w:space="0"/>
              <w:right w:val="single" w:color="auto" w:sz="4" w:space="0"/>
            </w:tcBorders>
            <w:vAlign w:val="center"/>
          </w:tcPr>
          <w:p w14:paraId="6C94A708">
            <w:pPr>
              <w:spacing w:line="300" w:lineRule="exact"/>
              <w:jc w:val="left"/>
              <w:rPr>
                <w:color w:val="auto"/>
                <w:szCs w:val="21"/>
                <w:highlight w:val="none"/>
              </w:rPr>
            </w:pPr>
            <w:r>
              <w:rPr>
                <w:rFonts w:hint="eastAsia"/>
                <w:color w:val="auto"/>
                <w:szCs w:val="21"/>
                <w:highlight w:val="none"/>
              </w:rPr>
              <w:t>1.验收标准原则上按照《广西壮族自治区政府采购项目履约验收管理办法》的有关要求进行。</w:t>
            </w:r>
          </w:p>
          <w:p w14:paraId="68D99F30">
            <w:pPr>
              <w:spacing w:line="300" w:lineRule="exact"/>
              <w:jc w:val="left"/>
              <w:rPr>
                <w:color w:val="auto"/>
                <w:szCs w:val="21"/>
                <w:highlight w:val="none"/>
              </w:rPr>
            </w:pPr>
            <w:r>
              <w:rPr>
                <w:rFonts w:hint="eastAsia"/>
                <w:color w:val="auto"/>
                <w:szCs w:val="21"/>
                <w:highlight w:val="none"/>
              </w:rPr>
              <w:t>2.验收过程中所产生的一切费用均由供应商承担。</w:t>
            </w:r>
          </w:p>
          <w:p w14:paraId="7C8BE69F">
            <w:pPr>
              <w:spacing w:line="300" w:lineRule="exact"/>
              <w:jc w:val="left"/>
              <w:rPr>
                <w:color w:val="auto"/>
                <w:szCs w:val="21"/>
                <w:highlight w:val="none"/>
              </w:rPr>
            </w:pPr>
            <w:r>
              <w:rPr>
                <w:rFonts w:hint="eastAsia"/>
                <w:color w:val="auto"/>
                <w:szCs w:val="21"/>
                <w:highlight w:val="none"/>
              </w:rPr>
              <w:t>3.验收时，由采购人对照合同条款进行核验。如不符合采购文件的技术需求及要求以及提供虚假承诺的，按相关规定作违约处理，供应商承担所有责任和费用，采购人保留进一步追究责任的权利。</w:t>
            </w:r>
          </w:p>
          <w:p w14:paraId="14D17876">
            <w:pPr>
              <w:spacing w:line="300" w:lineRule="exact"/>
              <w:jc w:val="left"/>
              <w:rPr>
                <w:color w:val="auto"/>
                <w:szCs w:val="21"/>
                <w:highlight w:val="none"/>
              </w:rPr>
            </w:pPr>
            <w:r>
              <w:rPr>
                <w:rFonts w:hint="eastAsia"/>
                <w:color w:val="auto"/>
                <w:szCs w:val="21"/>
                <w:highlight w:val="none"/>
              </w:rPr>
              <w:t xml:space="preserve">4.其他按合同条款的约定。  </w:t>
            </w:r>
          </w:p>
        </w:tc>
      </w:tr>
      <w:tr w14:paraId="789629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5FBA05F">
            <w:pPr>
              <w:spacing w:line="360" w:lineRule="exact"/>
              <w:jc w:val="center"/>
              <w:rPr>
                <w:color w:val="auto"/>
                <w:szCs w:val="21"/>
                <w:highlight w:val="none"/>
              </w:rPr>
            </w:pPr>
            <w:r>
              <w:rPr>
                <w:rFonts w:hint="eastAsia"/>
                <w:color w:val="auto"/>
                <w:szCs w:val="21"/>
                <w:highlight w:val="none"/>
              </w:rPr>
              <w:t>8</w:t>
            </w:r>
          </w:p>
        </w:tc>
        <w:tc>
          <w:tcPr>
            <w:tcW w:w="1134" w:type="dxa"/>
            <w:tcBorders>
              <w:top w:val="single" w:color="auto" w:sz="4" w:space="0"/>
              <w:left w:val="single" w:color="auto" w:sz="4" w:space="0"/>
              <w:bottom w:val="single" w:color="auto" w:sz="4" w:space="0"/>
              <w:right w:val="single" w:color="auto" w:sz="4" w:space="0"/>
            </w:tcBorders>
            <w:vAlign w:val="center"/>
          </w:tcPr>
          <w:p w14:paraId="51444808">
            <w:pPr>
              <w:spacing w:line="360" w:lineRule="exact"/>
              <w:jc w:val="center"/>
              <w:rPr>
                <w:color w:val="auto"/>
                <w:szCs w:val="21"/>
                <w:highlight w:val="none"/>
              </w:rPr>
            </w:pPr>
            <w:r>
              <w:rPr>
                <w:color w:val="auto"/>
                <w:szCs w:val="21"/>
                <w:highlight w:val="none"/>
              </w:rPr>
              <w:t>培训</w:t>
            </w:r>
          </w:p>
        </w:tc>
        <w:tc>
          <w:tcPr>
            <w:tcW w:w="7796" w:type="dxa"/>
            <w:tcBorders>
              <w:top w:val="single" w:color="auto" w:sz="4" w:space="0"/>
              <w:left w:val="single" w:color="auto" w:sz="4" w:space="0"/>
              <w:bottom w:val="single" w:color="auto" w:sz="4" w:space="0"/>
              <w:right w:val="single" w:color="auto" w:sz="4" w:space="0"/>
            </w:tcBorders>
            <w:vAlign w:val="center"/>
          </w:tcPr>
          <w:p w14:paraId="438C4DEC">
            <w:pPr>
              <w:spacing w:line="300" w:lineRule="exact"/>
              <w:jc w:val="left"/>
              <w:rPr>
                <w:color w:val="auto"/>
                <w:szCs w:val="21"/>
                <w:highlight w:val="none"/>
              </w:rPr>
            </w:pPr>
            <w:r>
              <w:rPr>
                <w:color w:val="auto"/>
                <w:szCs w:val="21"/>
                <w:highlight w:val="none"/>
              </w:rPr>
              <w:t>供应商对其提供产品或服务的使用和操作应尽培训义务。供应商应提供对采购人的基本培训，使采购人使用人员熟练掌握所培训内容，熟练掌握全部功能</w:t>
            </w:r>
            <w:r>
              <w:rPr>
                <w:rFonts w:hint="eastAsia"/>
                <w:color w:val="auto"/>
                <w:szCs w:val="21"/>
                <w:highlight w:val="none"/>
              </w:rPr>
              <w:t>，</w:t>
            </w:r>
            <w:r>
              <w:rPr>
                <w:color w:val="auto"/>
                <w:szCs w:val="21"/>
                <w:highlight w:val="none"/>
              </w:rPr>
              <w:t>培训的相关费用包括在响应报价中</w:t>
            </w:r>
            <w:r>
              <w:rPr>
                <w:rFonts w:hint="eastAsia"/>
                <w:color w:val="auto"/>
                <w:szCs w:val="21"/>
                <w:highlight w:val="none"/>
              </w:rPr>
              <w:t>，</w:t>
            </w:r>
            <w:r>
              <w:rPr>
                <w:color w:val="auto"/>
                <w:szCs w:val="21"/>
                <w:highlight w:val="none"/>
              </w:rPr>
              <w:t>采购不再另行支付。</w:t>
            </w:r>
          </w:p>
        </w:tc>
      </w:tr>
      <w:tr w14:paraId="2A3548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33C6F51A">
            <w:pPr>
              <w:spacing w:line="360" w:lineRule="exact"/>
              <w:jc w:val="center"/>
              <w:rPr>
                <w:color w:val="auto"/>
                <w:szCs w:val="21"/>
                <w:highlight w:val="none"/>
              </w:rPr>
            </w:pPr>
            <w:r>
              <w:rPr>
                <w:rFonts w:hint="eastAsia"/>
                <w:color w:val="auto"/>
                <w:szCs w:val="21"/>
                <w:highlight w:val="none"/>
              </w:rPr>
              <w:t>9</w:t>
            </w:r>
          </w:p>
        </w:tc>
        <w:tc>
          <w:tcPr>
            <w:tcW w:w="1134" w:type="dxa"/>
            <w:tcBorders>
              <w:top w:val="single" w:color="auto" w:sz="4" w:space="0"/>
              <w:left w:val="single" w:color="auto" w:sz="4" w:space="0"/>
              <w:bottom w:val="single" w:color="auto" w:sz="4" w:space="0"/>
              <w:right w:val="single" w:color="auto" w:sz="4" w:space="0"/>
            </w:tcBorders>
            <w:vAlign w:val="center"/>
          </w:tcPr>
          <w:p w14:paraId="72B5BF88">
            <w:pPr>
              <w:spacing w:line="360" w:lineRule="exact"/>
              <w:jc w:val="center"/>
              <w:rPr>
                <w:color w:val="auto"/>
                <w:szCs w:val="21"/>
                <w:highlight w:val="none"/>
              </w:rPr>
            </w:pPr>
            <w:r>
              <w:rPr>
                <w:rFonts w:hint="eastAsia" w:ascii="宋体" w:hAnsi="宋体" w:cs="宋体"/>
                <w:color w:val="auto"/>
                <w:szCs w:val="21"/>
                <w:highlight w:val="none"/>
              </w:rPr>
              <w:t>▲</w:t>
            </w:r>
            <w:r>
              <w:rPr>
                <w:color w:val="auto"/>
                <w:szCs w:val="21"/>
                <w:highlight w:val="none"/>
              </w:rPr>
              <w:t>知识产权</w:t>
            </w:r>
          </w:p>
        </w:tc>
        <w:tc>
          <w:tcPr>
            <w:tcW w:w="7796" w:type="dxa"/>
            <w:tcBorders>
              <w:top w:val="single" w:color="auto" w:sz="4" w:space="0"/>
              <w:left w:val="single" w:color="auto" w:sz="4" w:space="0"/>
              <w:bottom w:val="single" w:color="auto" w:sz="4" w:space="0"/>
              <w:right w:val="single" w:color="auto" w:sz="4" w:space="0"/>
            </w:tcBorders>
            <w:vAlign w:val="center"/>
          </w:tcPr>
          <w:p w14:paraId="4181C37C">
            <w:pPr>
              <w:spacing w:line="300" w:lineRule="exact"/>
              <w:jc w:val="left"/>
              <w:rPr>
                <w:color w:val="auto"/>
                <w:szCs w:val="21"/>
                <w:highlight w:val="none"/>
              </w:rPr>
            </w:pPr>
            <w:r>
              <w:rPr>
                <w:rFonts w:hint="eastAsia"/>
                <w:color w:val="auto"/>
                <w:szCs w:val="21"/>
                <w:highlight w:val="none"/>
              </w:rPr>
              <w:t>供应商应保证针对本项目涉及的货物的知识产权和所提供的相关技术资料是合法取得，采购人享有完整的产权，不会因为采购人的使用而被责令停止使用、追偿或要求赔偿损失，如出现此情况，一切经济和法律责任均由供应商承担。</w:t>
            </w:r>
          </w:p>
        </w:tc>
      </w:tr>
      <w:tr w14:paraId="172FAE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5922E2FF">
            <w:pPr>
              <w:spacing w:line="360" w:lineRule="exact"/>
              <w:jc w:val="center"/>
              <w:rPr>
                <w:color w:val="auto"/>
                <w:szCs w:val="21"/>
                <w:highlight w:val="none"/>
              </w:rPr>
            </w:pPr>
            <w:r>
              <w:rPr>
                <w:rFonts w:hint="eastAsia"/>
                <w:color w:val="auto"/>
                <w:szCs w:val="21"/>
                <w:highlight w:val="none"/>
              </w:rPr>
              <w:t>10</w:t>
            </w:r>
          </w:p>
        </w:tc>
        <w:tc>
          <w:tcPr>
            <w:tcW w:w="1134" w:type="dxa"/>
            <w:tcBorders>
              <w:top w:val="single" w:color="auto" w:sz="4" w:space="0"/>
              <w:left w:val="single" w:color="auto" w:sz="4" w:space="0"/>
              <w:bottom w:val="single" w:color="auto" w:sz="4" w:space="0"/>
              <w:right w:val="single" w:color="auto" w:sz="4" w:space="0"/>
            </w:tcBorders>
            <w:vAlign w:val="center"/>
          </w:tcPr>
          <w:p w14:paraId="2A6B3F9B">
            <w:pPr>
              <w:spacing w:line="360" w:lineRule="exact"/>
              <w:jc w:val="center"/>
              <w:rPr>
                <w:color w:val="auto"/>
                <w:szCs w:val="21"/>
                <w:highlight w:val="none"/>
              </w:rPr>
            </w:pPr>
            <w:r>
              <w:rPr>
                <w:color w:val="auto"/>
                <w:szCs w:val="21"/>
                <w:highlight w:val="none"/>
              </w:rPr>
              <w:t>付款方式</w:t>
            </w:r>
          </w:p>
        </w:tc>
        <w:tc>
          <w:tcPr>
            <w:tcW w:w="7796" w:type="dxa"/>
            <w:tcBorders>
              <w:top w:val="single" w:color="auto" w:sz="4" w:space="0"/>
              <w:left w:val="single" w:color="auto" w:sz="4" w:space="0"/>
              <w:bottom w:val="single" w:color="auto" w:sz="4" w:space="0"/>
              <w:right w:val="single" w:color="auto" w:sz="4" w:space="0"/>
            </w:tcBorders>
            <w:vAlign w:val="center"/>
          </w:tcPr>
          <w:p w14:paraId="67BEA0E7">
            <w:pPr>
              <w:spacing w:line="300" w:lineRule="exact"/>
              <w:jc w:val="left"/>
              <w:rPr>
                <w:color w:val="auto"/>
                <w:szCs w:val="21"/>
                <w:highlight w:val="none"/>
              </w:rPr>
            </w:pPr>
            <w:r>
              <w:rPr>
                <w:rFonts w:hint="eastAsia"/>
                <w:color w:val="auto"/>
                <w:szCs w:val="21"/>
                <w:highlight w:val="none"/>
              </w:rPr>
              <w:t>项目签订合同后十五个工作日内支付合同金额的50%，验收合格后支付剩余合同款项的50%。每次付款前，供应商开具发票给采购人。</w:t>
            </w:r>
          </w:p>
        </w:tc>
      </w:tr>
      <w:tr w14:paraId="53F107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757B3306">
            <w:pPr>
              <w:spacing w:line="360" w:lineRule="exact"/>
              <w:jc w:val="center"/>
              <w:rPr>
                <w:color w:val="auto"/>
                <w:szCs w:val="21"/>
                <w:highlight w:val="none"/>
              </w:rPr>
            </w:pPr>
            <w:r>
              <w:rPr>
                <w:rFonts w:hint="eastAsia"/>
                <w:color w:val="auto"/>
                <w:szCs w:val="21"/>
                <w:highlight w:val="none"/>
              </w:rPr>
              <w:t>11</w:t>
            </w:r>
          </w:p>
        </w:tc>
        <w:tc>
          <w:tcPr>
            <w:tcW w:w="1134" w:type="dxa"/>
            <w:tcBorders>
              <w:top w:val="single" w:color="auto" w:sz="4" w:space="0"/>
              <w:left w:val="single" w:color="auto" w:sz="4" w:space="0"/>
              <w:bottom w:val="single" w:color="auto" w:sz="4" w:space="0"/>
              <w:right w:val="single" w:color="auto" w:sz="4" w:space="0"/>
            </w:tcBorders>
            <w:vAlign w:val="center"/>
          </w:tcPr>
          <w:p w14:paraId="12616751">
            <w:pPr>
              <w:spacing w:line="300" w:lineRule="exact"/>
              <w:jc w:val="center"/>
              <w:rPr>
                <w:color w:val="auto"/>
                <w:szCs w:val="21"/>
                <w:highlight w:val="none"/>
              </w:rPr>
            </w:pPr>
            <w:r>
              <w:rPr>
                <w:color w:val="auto"/>
                <w:szCs w:val="21"/>
                <w:highlight w:val="none"/>
              </w:rPr>
              <w:t>▲</w:t>
            </w:r>
            <w:r>
              <w:rPr>
                <w:rFonts w:hint="eastAsia"/>
                <w:color w:val="auto"/>
                <w:szCs w:val="21"/>
                <w:highlight w:val="none"/>
              </w:rPr>
              <w:t>其他要求</w:t>
            </w:r>
          </w:p>
        </w:tc>
        <w:tc>
          <w:tcPr>
            <w:tcW w:w="7796" w:type="dxa"/>
            <w:tcBorders>
              <w:top w:val="single" w:color="auto" w:sz="4" w:space="0"/>
              <w:left w:val="single" w:color="auto" w:sz="4" w:space="0"/>
              <w:bottom w:val="single" w:color="auto" w:sz="4" w:space="0"/>
              <w:right w:val="single" w:color="auto" w:sz="4" w:space="0"/>
            </w:tcBorders>
            <w:vAlign w:val="center"/>
          </w:tcPr>
          <w:p w14:paraId="3DC544E6">
            <w:pPr>
              <w:spacing w:line="300" w:lineRule="exact"/>
              <w:jc w:val="left"/>
              <w:rPr>
                <w:color w:val="auto"/>
                <w:szCs w:val="21"/>
                <w:highlight w:val="none"/>
              </w:rPr>
            </w:pPr>
            <w:r>
              <w:rPr>
                <w:rFonts w:hint="eastAsia"/>
                <w:color w:val="auto"/>
                <w:szCs w:val="21"/>
                <w:highlight w:val="none"/>
              </w:rPr>
              <w:t>合同签订后，成交供应商必须与采购人签订保密协议，以确保本项目建设的所有数据及资料保密安全。</w:t>
            </w:r>
          </w:p>
        </w:tc>
      </w:tr>
    </w:tbl>
    <w:p w14:paraId="60B661DF">
      <w:pPr>
        <w:spacing w:line="360" w:lineRule="auto"/>
        <w:ind w:firstLine="211" w:firstLineChars="100"/>
        <w:rPr>
          <w:color w:val="auto"/>
          <w:sz w:val="28"/>
          <w:szCs w:val="28"/>
          <w:highlight w:val="none"/>
        </w:rPr>
      </w:pPr>
      <w:r>
        <w:rPr>
          <w:rFonts w:hint="eastAsia"/>
          <w:b/>
          <w:bCs/>
          <w:color w:val="auto"/>
          <w:szCs w:val="21"/>
          <w:highlight w:val="none"/>
        </w:rPr>
        <w:br w:type="page"/>
      </w:r>
      <w:r>
        <w:rPr>
          <w:rFonts w:hint="eastAsia"/>
          <w:color w:val="auto"/>
          <w:sz w:val="28"/>
          <w:szCs w:val="28"/>
          <w:highlight w:val="none"/>
        </w:rPr>
        <w:t xml:space="preserve">附件1： </w:t>
      </w:r>
      <w:r>
        <w:rPr>
          <w:color w:val="auto"/>
          <w:sz w:val="28"/>
          <w:szCs w:val="28"/>
          <w:highlight w:val="none"/>
        </w:rPr>
        <w:t xml:space="preserve">               </w:t>
      </w:r>
    </w:p>
    <w:p w14:paraId="4FD58539">
      <w:pPr>
        <w:spacing w:line="528" w:lineRule="exact"/>
        <w:ind w:firstLine="280" w:firstLineChars="100"/>
        <w:jc w:val="center"/>
        <w:rPr>
          <w:color w:val="auto"/>
          <w:sz w:val="28"/>
          <w:szCs w:val="28"/>
          <w:highlight w:val="none"/>
        </w:rPr>
      </w:pPr>
      <w:r>
        <w:rPr>
          <w:rFonts w:hint="eastAsia"/>
          <w:color w:val="auto"/>
          <w:sz w:val="28"/>
          <w:szCs w:val="28"/>
          <w:highlight w:val="none"/>
        </w:rPr>
        <w:t>中小微企业划型标准</w:t>
      </w:r>
    </w:p>
    <w:tbl>
      <w:tblPr>
        <w:tblStyle w:val="53"/>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524A5FB3">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4D64B40C">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vAlign w:val="center"/>
          </w:tcPr>
          <w:p w14:paraId="2B5C101F">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vAlign w:val="center"/>
          </w:tcPr>
          <w:p w14:paraId="05E32DFC">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vAlign w:val="center"/>
          </w:tcPr>
          <w:p w14:paraId="7767E347">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vAlign w:val="center"/>
          </w:tcPr>
          <w:p w14:paraId="6787069D">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vAlign w:val="center"/>
          </w:tcPr>
          <w:p w14:paraId="42159D8F">
            <w:pPr>
              <w:widowControl/>
              <w:jc w:val="left"/>
              <w:rPr>
                <w:color w:val="auto"/>
                <w:szCs w:val="21"/>
                <w:highlight w:val="none"/>
              </w:rPr>
            </w:pPr>
            <w:r>
              <w:rPr>
                <w:rFonts w:hint="eastAsia"/>
                <w:color w:val="auto"/>
                <w:szCs w:val="21"/>
                <w:highlight w:val="none"/>
              </w:rPr>
              <w:t>微型</w:t>
            </w:r>
          </w:p>
        </w:tc>
      </w:tr>
      <w:tr w14:paraId="21268FA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0A462D53">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vAlign w:val="center"/>
          </w:tcPr>
          <w:p w14:paraId="41456DB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1F8EF7E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AC8F40B">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vAlign w:val="center"/>
          </w:tcPr>
          <w:p w14:paraId="1A471A66">
            <w:pPr>
              <w:widowControl/>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vAlign w:val="center"/>
          </w:tcPr>
          <w:p w14:paraId="34CC6AB6">
            <w:pPr>
              <w:widowControl/>
              <w:jc w:val="left"/>
              <w:rPr>
                <w:color w:val="auto"/>
                <w:szCs w:val="21"/>
                <w:highlight w:val="none"/>
              </w:rPr>
            </w:pPr>
            <w:r>
              <w:rPr>
                <w:rFonts w:hint="eastAsia"/>
                <w:color w:val="auto"/>
                <w:szCs w:val="21"/>
                <w:highlight w:val="none"/>
              </w:rPr>
              <w:t>Y＜50</w:t>
            </w:r>
          </w:p>
        </w:tc>
      </w:tr>
      <w:tr w14:paraId="18EBAA2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F62A53B">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vAlign w:val="center"/>
          </w:tcPr>
          <w:p w14:paraId="6669A9EA">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7EA85BE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1BDAD4AF">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351E0BBA">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5CB4A35A">
            <w:pPr>
              <w:widowControl/>
              <w:jc w:val="left"/>
              <w:rPr>
                <w:color w:val="auto"/>
                <w:szCs w:val="21"/>
                <w:highlight w:val="none"/>
              </w:rPr>
            </w:pPr>
            <w:r>
              <w:rPr>
                <w:rFonts w:hint="eastAsia"/>
                <w:color w:val="auto"/>
                <w:szCs w:val="21"/>
                <w:highlight w:val="none"/>
              </w:rPr>
              <w:t>X＜20</w:t>
            </w:r>
          </w:p>
        </w:tc>
      </w:tr>
      <w:tr w14:paraId="4CD4195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3EBA10A">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218DD4A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5924B4B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70365980">
            <w:pPr>
              <w:widowControl/>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vAlign w:val="center"/>
          </w:tcPr>
          <w:p w14:paraId="70146F18">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vAlign w:val="center"/>
          </w:tcPr>
          <w:p w14:paraId="5AF6E5A0">
            <w:pPr>
              <w:widowControl/>
              <w:jc w:val="left"/>
              <w:rPr>
                <w:color w:val="auto"/>
                <w:szCs w:val="21"/>
                <w:highlight w:val="none"/>
              </w:rPr>
            </w:pPr>
            <w:r>
              <w:rPr>
                <w:rFonts w:hint="eastAsia"/>
                <w:color w:val="auto"/>
                <w:szCs w:val="21"/>
                <w:highlight w:val="none"/>
              </w:rPr>
              <w:t>Y＜300</w:t>
            </w:r>
          </w:p>
        </w:tc>
      </w:tr>
      <w:tr w14:paraId="66A840F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FDD2639">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vAlign w:val="center"/>
          </w:tcPr>
          <w:p w14:paraId="62105011">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26DC83A7">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74B37196">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vAlign w:val="center"/>
          </w:tcPr>
          <w:p w14:paraId="2319721E">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vAlign w:val="center"/>
          </w:tcPr>
          <w:p w14:paraId="223BAEA9">
            <w:pPr>
              <w:widowControl/>
              <w:jc w:val="left"/>
              <w:rPr>
                <w:color w:val="auto"/>
                <w:szCs w:val="21"/>
                <w:highlight w:val="none"/>
              </w:rPr>
            </w:pPr>
            <w:r>
              <w:rPr>
                <w:rFonts w:hint="eastAsia"/>
                <w:color w:val="auto"/>
                <w:szCs w:val="21"/>
                <w:highlight w:val="none"/>
              </w:rPr>
              <w:t>Y＜300</w:t>
            </w:r>
          </w:p>
        </w:tc>
      </w:tr>
      <w:tr w14:paraId="776431D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FD22192">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1B5EBAF4">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1C36DF1C">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0019FF0E">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vAlign w:val="center"/>
          </w:tcPr>
          <w:p w14:paraId="005A7350">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vAlign w:val="center"/>
          </w:tcPr>
          <w:p w14:paraId="29067285">
            <w:pPr>
              <w:widowControl/>
              <w:jc w:val="left"/>
              <w:rPr>
                <w:color w:val="auto"/>
                <w:szCs w:val="21"/>
                <w:highlight w:val="none"/>
              </w:rPr>
            </w:pPr>
            <w:r>
              <w:rPr>
                <w:rFonts w:hint="eastAsia"/>
                <w:color w:val="auto"/>
                <w:szCs w:val="21"/>
                <w:highlight w:val="none"/>
              </w:rPr>
              <w:t>Z＜300</w:t>
            </w:r>
          </w:p>
        </w:tc>
      </w:tr>
      <w:tr w14:paraId="7224245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9D901F9">
            <w:pPr>
              <w:widowControl/>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vAlign w:val="center"/>
          </w:tcPr>
          <w:p w14:paraId="752D8F3C">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6FDCF29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0A52BBF6">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vAlign w:val="center"/>
          </w:tcPr>
          <w:p w14:paraId="230175A8">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vAlign w:val="center"/>
          </w:tcPr>
          <w:p w14:paraId="0A0B64BC">
            <w:pPr>
              <w:widowControl/>
              <w:jc w:val="left"/>
              <w:rPr>
                <w:color w:val="auto"/>
                <w:szCs w:val="21"/>
                <w:highlight w:val="none"/>
              </w:rPr>
            </w:pPr>
            <w:r>
              <w:rPr>
                <w:rFonts w:hint="eastAsia"/>
                <w:color w:val="auto"/>
                <w:szCs w:val="21"/>
                <w:highlight w:val="none"/>
              </w:rPr>
              <w:t>X＜5</w:t>
            </w:r>
          </w:p>
        </w:tc>
      </w:tr>
      <w:tr w14:paraId="1F3847C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F92DF3D">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708B2BDB">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261E64C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770CCF47">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vAlign w:val="center"/>
          </w:tcPr>
          <w:p w14:paraId="4178BE58">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vAlign w:val="center"/>
          </w:tcPr>
          <w:p w14:paraId="502B1102">
            <w:pPr>
              <w:widowControl/>
              <w:jc w:val="left"/>
              <w:rPr>
                <w:color w:val="auto"/>
                <w:szCs w:val="21"/>
                <w:highlight w:val="none"/>
              </w:rPr>
            </w:pPr>
            <w:r>
              <w:rPr>
                <w:rFonts w:hint="eastAsia"/>
                <w:color w:val="auto"/>
                <w:szCs w:val="21"/>
                <w:highlight w:val="none"/>
              </w:rPr>
              <w:t>Y＜1000</w:t>
            </w:r>
          </w:p>
        </w:tc>
      </w:tr>
      <w:tr w14:paraId="47880A9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D2767A7">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vAlign w:val="center"/>
          </w:tcPr>
          <w:p w14:paraId="7BC045E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1A45F59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08EBCA39">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vAlign w:val="center"/>
          </w:tcPr>
          <w:p w14:paraId="58B9A5CD">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vAlign w:val="center"/>
          </w:tcPr>
          <w:p w14:paraId="651A930B">
            <w:pPr>
              <w:widowControl/>
              <w:jc w:val="left"/>
              <w:rPr>
                <w:color w:val="auto"/>
                <w:szCs w:val="21"/>
                <w:highlight w:val="none"/>
              </w:rPr>
            </w:pPr>
            <w:r>
              <w:rPr>
                <w:rFonts w:hint="eastAsia"/>
                <w:color w:val="auto"/>
                <w:szCs w:val="21"/>
                <w:highlight w:val="none"/>
              </w:rPr>
              <w:t>X＜10</w:t>
            </w:r>
          </w:p>
        </w:tc>
      </w:tr>
      <w:tr w14:paraId="35875B4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90A93BA">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5D216BF">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57BF5E8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6399286B">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vAlign w:val="center"/>
          </w:tcPr>
          <w:p w14:paraId="05B07B7F">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vAlign w:val="center"/>
          </w:tcPr>
          <w:p w14:paraId="5E7E7CD2">
            <w:pPr>
              <w:widowControl/>
              <w:jc w:val="left"/>
              <w:rPr>
                <w:color w:val="auto"/>
                <w:szCs w:val="21"/>
                <w:highlight w:val="none"/>
              </w:rPr>
            </w:pPr>
            <w:r>
              <w:rPr>
                <w:rFonts w:hint="eastAsia"/>
                <w:color w:val="auto"/>
                <w:szCs w:val="21"/>
                <w:highlight w:val="none"/>
              </w:rPr>
              <w:t>Y＜100</w:t>
            </w:r>
          </w:p>
        </w:tc>
      </w:tr>
      <w:tr w14:paraId="39436A1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4C5AE94">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vAlign w:val="center"/>
          </w:tcPr>
          <w:p w14:paraId="4EC719F0">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73AF28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3B77769E">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710E671C">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50968399">
            <w:pPr>
              <w:widowControl/>
              <w:jc w:val="left"/>
              <w:rPr>
                <w:color w:val="auto"/>
                <w:szCs w:val="21"/>
                <w:highlight w:val="none"/>
              </w:rPr>
            </w:pPr>
            <w:r>
              <w:rPr>
                <w:rFonts w:hint="eastAsia"/>
                <w:color w:val="auto"/>
                <w:szCs w:val="21"/>
                <w:highlight w:val="none"/>
              </w:rPr>
              <w:t>X＜20</w:t>
            </w:r>
          </w:p>
        </w:tc>
      </w:tr>
      <w:tr w14:paraId="046E0A2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A4A92BB">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49EBF29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7BC7535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28D5166F">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vAlign w:val="center"/>
          </w:tcPr>
          <w:p w14:paraId="11CA7479">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vAlign w:val="center"/>
          </w:tcPr>
          <w:p w14:paraId="1EE2F8C3">
            <w:pPr>
              <w:widowControl/>
              <w:jc w:val="left"/>
              <w:rPr>
                <w:color w:val="auto"/>
                <w:szCs w:val="21"/>
                <w:highlight w:val="none"/>
              </w:rPr>
            </w:pPr>
            <w:r>
              <w:rPr>
                <w:rFonts w:hint="eastAsia"/>
                <w:color w:val="auto"/>
                <w:szCs w:val="21"/>
                <w:highlight w:val="none"/>
              </w:rPr>
              <w:t>Y＜200</w:t>
            </w:r>
          </w:p>
        </w:tc>
      </w:tr>
      <w:tr w14:paraId="312AD77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C889F03">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vAlign w:val="center"/>
          </w:tcPr>
          <w:p w14:paraId="704900F1">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3BB60900">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51840AC2">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vAlign w:val="center"/>
          </w:tcPr>
          <w:p w14:paraId="519D9270">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vAlign w:val="center"/>
          </w:tcPr>
          <w:p w14:paraId="2507A3FD">
            <w:pPr>
              <w:widowControl/>
              <w:jc w:val="left"/>
              <w:rPr>
                <w:color w:val="auto"/>
                <w:szCs w:val="21"/>
                <w:highlight w:val="none"/>
              </w:rPr>
            </w:pPr>
            <w:r>
              <w:rPr>
                <w:rFonts w:hint="eastAsia"/>
                <w:color w:val="auto"/>
                <w:szCs w:val="21"/>
                <w:highlight w:val="none"/>
              </w:rPr>
              <w:t>X＜20</w:t>
            </w:r>
          </w:p>
        </w:tc>
      </w:tr>
      <w:tr w14:paraId="2C00D88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3988655">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1D665B20">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7AC291D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156206A7">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vAlign w:val="center"/>
          </w:tcPr>
          <w:p w14:paraId="6CA5FFD2">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vAlign w:val="center"/>
          </w:tcPr>
          <w:p w14:paraId="3753FC3F">
            <w:pPr>
              <w:widowControl/>
              <w:jc w:val="left"/>
              <w:rPr>
                <w:color w:val="auto"/>
                <w:szCs w:val="21"/>
                <w:highlight w:val="none"/>
              </w:rPr>
            </w:pPr>
            <w:r>
              <w:rPr>
                <w:rFonts w:hint="eastAsia"/>
                <w:color w:val="auto"/>
                <w:szCs w:val="21"/>
                <w:highlight w:val="none"/>
              </w:rPr>
              <w:t>Y＜100</w:t>
            </w:r>
          </w:p>
        </w:tc>
      </w:tr>
      <w:tr w14:paraId="68BD66D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77F6C24">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vAlign w:val="center"/>
          </w:tcPr>
          <w:p w14:paraId="2E64644A">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5C684219">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26BCA368">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2DD59CF5">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76F3241D">
            <w:pPr>
              <w:widowControl/>
              <w:jc w:val="left"/>
              <w:rPr>
                <w:color w:val="auto"/>
                <w:szCs w:val="21"/>
                <w:highlight w:val="none"/>
              </w:rPr>
            </w:pPr>
            <w:r>
              <w:rPr>
                <w:rFonts w:hint="eastAsia"/>
                <w:color w:val="auto"/>
                <w:szCs w:val="21"/>
                <w:highlight w:val="none"/>
              </w:rPr>
              <w:t>X＜20</w:t>
            </w:r>
          </w:p>
        </w:tc>
      </w:tr>
      <w:tr w14:paraId="5FB4EEE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51E4A8C">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61EC8E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560E434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7C37A9D8">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vAlign w:val="center"/>
          </w:tcPr>
          <w:p w14:paraId="7E7BC65D">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6D75EA93">
            <w:pPr>
              <w:widowControl/>
              <w:jc w:val="left"/>
              <w:rPr>
                <w:color w:val="auto"/>
                <w:szCs w:val="21"/>
                <w:highlight w:val="none"/>
              </w:rPr>
            </w:pPr>
            <w:r>
              <w:rPr>
                <w:rFonts w:hint="eastAsia"/>
                <w:color w:val="auto"/>
                <w:szCs w:val="21"/>
                <w:highlight w:val="none"/>
              </w:rPr>
              <w:t>Y＜100</w:t>
            </w:r>
          </w:p>
        </w:tc>
      </w:tr>
      <w:tr w14:paraId="4ED563D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B3EFF19">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vAlign w:val="center"/>
          </w:tcPr>
          <w:p w14:paraId="7ACD255D">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2B1F655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6E7F5427">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25CC5A0D">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2BA75E32">
            <w:pPr>
              <w:widowControl/>
              <w:jc w:val="left"/>
              <w:rPr>
                <w:color w:val="auto"/>
                <w:szCs w:val="21"/>
                <w:highlight w:val="none"/>
              </w:rPr>
            </w:pPr>
            <w:r>
              <w:rPr>
                <w:rFonts w:hint="eastAsia"/>
                <w:color w:val="auto"/>
                <w:szCs w:val="21"/>
                <w:highlight w:val="none"/>
              </w:rPr>
              <w:t>X＜10</w:t>
            </w:r>
          </w:p>
        </w:tc>
      </w:tr>
      <w:tr w14:paraId="0877145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B648B2B">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0B3BDCD2">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129322D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1ACF8BC">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vAlign w:val="center"/>
          </w:tcPr>
          <w:p w14:paraId="53CF2195">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4C483070">
            <w:pPr>
              <w:widowControl/>
              <w:jc w:val="left"/>
              <w:rPr>
                <w:color w:val="auto"/>
                <w:szCs w:val="21"/>
                <w:highlight w:val="none"/>
              </w:rPr>
            </w:pPr>
            <w:r>
              <w:rPr>
                <w:rFonts w:hint="eastAsia"/>
                <w:color w:val="auto"/>
                <w:szCs w:val="21"/>
                <w:highlight w:val="none"/>
              </w:rPr>
              <w:t>Y＜100</w:t>
            </w:r>
          </w:p>
        </w:tc>
      </w:tr>
      <w:tr w14:paraId="24AAFB8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B53939C">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vAlign w:val="center"/>
          </w:tcPr>
          <w:p w14:paraId="3052B13F">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6F66951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4D72F0C5">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4D8B85D0">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7C996B01">
            <w:pPr>
              <w:widowControl/>
              <w:jc w:val="left"/>
              <w:rPr>
                <w:color w:val="auto"/>
                <w:szCs w:val="21"/>
                <w:highlight w:val="none"/>
              </w:rPr>
            </w:pPr>
            <w:r>
              <w:rPr>
                <w:rFonts w:hint="eastAsia"/>
                <w:color w:val="auto"/>
                <w:szCs w:val="21"/>
                <w:highlight w:val="none"/>
              </w:rPr>
              <w:t>X＜10</w:t>
            </w:r>
          </w:p>
        </w:tc>
      </w:tr>
      <w:tr w14:paraId="55127DA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E802EC0">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268E6B3F">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0B50E27">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7CECC5D5">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vAlign w:val="center"/>
          </w:tcPr>
          <w:p w14:paraId="226E6A27">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00EB11B2">
            <w:pPr>
              <w:widowControl/>
              <w:jc w:val="left"/>
              <w:rPr>
                <w:color w:val="auto"/>
                <w:szCs w:val="21"/>
                <w:highlight w:val="none"/>
              </w:rPr>
            </w:pPr>
            <w:r>
              <w:rPr>
                <w:rFonts w:hint="eastAsia"/>
                <w:color w:val="auto"/>
                <w:szCs w:val="21"/>
                <w:highlight w:val="none"/>
              </w:rPr>
              <w:t>Y＜100</w:t>
            </w:r>
          </w:p>
        </w:tc>
      </w:tr>
      <w:tr w14:paraId="777506F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16A6A86">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vAlign w:val="center"/>
          </w:tcPr>
          <w:p w14:paraId="2A855E3D">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597D0F8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2DCA28FB">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vAlign w:val="center"/>
          </w:tcPr>
          <w:p w14:paraId="3F92E4B9">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015D6840">
            <w:pPr>
              <w:widowControl/>
              <w:jc w:val="left"/>
              <w:rPr>
                <w:color w:val="auto"/>
                <w:szCs w:val="21"/>
                <w:highlight w:val="none"/>
              </w:rPr>
            </w:pPr>
            <w:r>
              <w:rPr>
                <w:rFonts w:hint="eastAsia"/>
                <w:color w:val="auto"/>
                <w:szCs w:val="21"/>
                <w:highlight w:val="none"/>
              </w:rPr>
              <w:t>X＜10</w:t>
            </w:r>
          </w:p>
        </w:tc>
      </w:tr>
      <w:tr w14:paraId="3B9F924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F98EF8C">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092AADB2">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556455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19AF76AC">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vAlign w:val="center"/>
          </w:tcPr>
          <w:p w14:paraId="7B686A50">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vAlign w:val="center"/>
          </w:tcPr>
          <w:p w14:paraId="6FC38A5A">
            <w:pPr>
              <w:widowControl/>
              <w:jc w:val="left"/>
              <w:rPr>
                <w:color w:val="auto"/>
                <w:szCs w:val="21"/>
                <w:highlight w:val="none"/>
              </w:rPr>
            </w:pPr>
            <w:r>
              <w:rPr>
                <w:rFonts w:hint="eastAsia"/>
                <w:color w:val="auto"/>
                <w:szCs w:val="21"/>
                <w:highlight w:val="none"/>
              </w:rPr>
              <w:t>Y＜100</w:t>
            </w:r>
          </w:p>
        </w:tc>
      </w:tr>
      <w:tr w14:paraId="0F1E241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3BCC506">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vAlign w:val="center"/>
          </w:tcPr>
          <w:p w14:paraId="2BDF7FB3">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3832CE1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10184C6D">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0F38BACE">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0E633613">
            <w:pPr>
              <w:widowControl/>
              <w:jc w:val="left"/>
              <w:rPr>
                <w:color w:val="auto"/>
                <w:szCs w:val="21"/>
                <w:highlight w:val="none"/>
              </w:rPr>
            </w:pPr>
            <w:r>
              <w:rPr>
                <w:rFonts w:hint="eastAsia"/>
                <w:color w:val="auto"/>
                <w:szCs w:val="21"/>
                <w:highlight w:val="none"/>
              </w:rPr>
              <w:t>X＜10</w:t>
            </w:r>
          </w:p>
        </w:tc>
      </w:tr>
      <w:tr w14:paraId="7ED8EFD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25B27C7">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4E11B13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17C88677">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02DB43E6">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vAlign w:val="center"/>
          </w:tcPr>
          <w:p w14:paraId="30C878AA">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vAlign w:val="center"/>
          </w:tcPr>
          <w:p w14:paraId="15C9EEC0">
            <w:pPr>
              <w:widowControl/>
              <w:jc w:val="left"/>
              <w:rPr>
                <w:color w:val="auto"/>
                <w:szCs w:val="21"/>
                <w:highlight w:val="none"/>
              </w:rPr>
            </w:pPr>
            <w:r>
              <w:rPr>
                <w:rFonts w:hint="eastAsia"/>
                <w:color w:val="auto"/>
                <w:szCs w:val="21"/>
                <w:highlight w:val="none"/>
              </w:rPr>
              <w:t>Y＜50</w:t>
            </w:r>
          </w:p>
        </w:tc>
      </w:tr>
      <w:tr w14:paraId="03D8A05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637554B5">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vAlign w:val="center"/>
          </w:tcPr>
          <w:p w14:paraId="273F82B1">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A85791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7D8381C7">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vAlign w:val="center"/>
          </w:tcPr>
          <w:p w14:paraId="3916BD5C">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vAlign w:val="center"/>
          </w:tcPr>
          <w:p w14:paraId="386B34E2">
            <w:pPr>
              <w:widowControl/>
              <w:jc w:val="left"/>
              <w:rPr>
                <w:color w:val="auto"/>
                <w:szCs w:val="21"/>
                <w:highlight w:val="none"/>
              </w:rPr>
            </w:pPr>
            <w:r>
              <w:rPr>
                <w:rFonts w:hint="eastAsia"/>
                <w:color w:val="auto"/>
                <w:szCs w:val="21"/>
                <w:highlight w:val="none"/>
              </w:rPr>
              <w:t>X＜100</w:t>
            </w:r>
          </w:p>
        </w:tc>
      </w:tr>
      <w:tr w14:paraId="60F13D1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88CD698">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E1151A5">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39760B45">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009B383A">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vAlign w:val="center"/>
          </w:tcPr>
          <w:p w14:paraId="5DC8BA99">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vAlign w:val="center"/>
          </w:tcPr>
          <w:p w14:paraId="78AB5BE4">
            <w:pPr>
              <w:widowControl/>
              <w:jc w:val="left"/>
              <w:rPr>
                <w:color w:val="auto"/>
                <w:szCs w:val="21"/>
                <w:highlight w:val="none"/>
              </w:rPr>
            </w:pPr>
            <w:r>
              <w:rPr>
                <w:rFonts w:hint="eastAsia"/>
                <w:color w:val="auto"/>
                <w:szCs w:val="21"/>
                <w:highlight w:val="none"/>
              </w:rPr>
              <w:t>Y＜2000</w:t>
            </w:r>
          </w:p>
        </w:tc>
      </w:tr>
      <w:tr w14:paraId="102519E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1C1F147">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vAlign w:val="center"/>
          </w:tcPr>
          <w:p w14:paraId="2851FAAD">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6C0A7611">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6860655B">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551D4593">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vAlign w:val="center"/>
          </w:tcPr>
          <w:p w14:paraId="5F02F95C">
            <w:pPr>
              <w:widowControl/>
              <w:jc w:val="left"/>
              <w:rPr>
                <w:color w:val="auto"/>
                <w:szCs w:val="21"/>
                <w:highlight w:val="none"/>
              </w:rPr>
            </w:pPr>
            <w:r>
              <w:rPr>
                <w:rFonts w:hint="eastAsia"/>
                <w:color w:val="auto"/>
                <w:szCs w:val="21"/>
                <w:highlight w:val="none"/>
              </w:rPr>
              <w:t>X＜100</w:t>
            </w:r>
          </w:p>
        </w:tc>
      </w:tr>
      <w:tr w14:paraId="75F18B9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A5FD12A">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48E82A1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0DA2F17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F157463">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vAlign w:val="center"/>
          </w:tcPr>
          <w:p w14:paraId="351EC8DE">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vAlign w:val="center"/>
          </w:tcPr>
          <w:p w14:paraId="790CAA63">
            <w:pPr>
              <w:widowControl/>
              <w:jc w:val="left"/>
              <w:rPr>
                <w:color w:val="auto"/>
                <w:szCs w:val="21"/>
                <w:highlight w:val="none"/>
              </w:rPr>
            </w:pPr>
            <w:r>
              <w:rPr>
                <w:rFonts w:hint="eastAsia"/>
                <w:color w:val="auto"/>
                <w:szCs w:val="21"/>
                <w:highlight w:val="none"/>
              </w:rPr>
              <w:t>Y＜500</w:t>
            </w:r>
          </w:p>
        </w:tc>
      </w:tr>
      <w:tr w14:paraId="0E6875E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E849118">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vAlign w:val="center"/>
          </w:tcPr>
          <w:p w14:paraId="4EBF27F3">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166C7424">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59B03AE7">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58D0A81A">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57CDD4C5">
            <w:pPr>
              <w:widowControl/>
              <w:jc w:val="left"/>
              <w:rPr>
                <w:color w:val="auto"/>
                <w:szCs w:val="21"/>
                <w:highlight w:val="none"/>
              </w:rPr>
            </w:pPr>
            <w:r>
              <w:rPr>
                <w:rFonts w:hint="eastAsia"/>
                <w:color w:val="auto"/>
                <w:szCs w:val="21"/>
                <w:highlight w:val="none"/>
              </w:rPr>
              <w:t>X＜10</w:t>
            </w:r>
          </w:p>
        </w:tc>
      </w:tr>
      <w:tr w14:paraId="074D44F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8805E82">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4FB68C86">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2939CEB7">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29BC1ABF">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vAlign w:val="center"/>
          </w:tcPr>
          <w:p w14:paraId="305AEA2E">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vAlign w:val="center"/>
          </w:tcPr>
          <w:p w14:paraId="2AD6A38E">
            <w:pPr>
              <w:widowControl/>
              <w:jc w:val="left"/>
              <w:rPr>
                <w:color w:val="auto"/>
                <w:szCs w:val="21"/>
                <w:highlight w:val="none"/>
              </w:rPr>
            </w:pPr>
            <w:r>
              <w:rPr>
                <w:rFonts w:hint="eastAsia"/>
                <w:color w:val="auto"/>
                <w:szCs w:val="21"/>
                <w:highlight w:val="none"/>
              </w:rPr>
              <w:t>Y＜100</w:t>
            </w:r>
          </w:p>
        </w:tc>
      </w:tr>
      <w:tr w14:paraId="412C3115">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3A5AC0E5">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vAlign w:val="center"/>
          </w:tcPr>
          <w:p w14:paraId="46A6E7E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0C1AA903">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75D29EBF">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2C20EA3E">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05C712E3">
            <w:pPr>
              <w:widowControl/>
              <w:jc w:val="left"/>
              <w:rPr>
                <w:color w:val="auto"/>
                <w:szCs w:val="21"/>
                <w:highlight w:val="none"/>
              </w:rPr>
            </w:pPr>
            <w:r>
              <w:rPr>
                <w:rFonts w:hint="eastAsia"/>
                <w:color w:val="auto"/>
                <w:szCs w:val="21"/>
                <w:highlight w:val="none"/>
              </w:rPr>
              <w:t>X＜10</w:t>
            </w:r>
          </w:p>
        </w:tc>
      </w:tr>
    </w:tbl>
    <w:p w14:paraId="5763C952">
      <w:pPr>
        <w:spacing w:line="360" w:lineRule="auto"/>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A2F2EB3">
      <w:pPr>
        <w:spacing w:line="360" w:lineRule="auto"/>
        <w:rPr>
          <w:color w:val="auto"/>
          <w:sz w:val="28"/>
          <w:szCs w:val="28"/>
          <w:highlight w:val="none"/>
        </w:rPr>
      </w:pPr>
      <w:r>
        <w:rPr>
          <w:color w:val="auto"/>
          <w:szCs w:val="21"/>
          <w:highlight w:val="none"/>
        </w:rPr>
        <w:br w:type="page"/>
      </w:r>
      <w:r>
        <w:rPr>
          <w:rFonts w:hint="eastAsia"/>
          <w:color w:val="auto"/>
          <w:sz w:val="28"/>
          <w:szCs w:val="28"/>
          <w:highlight w:val="none"/>
        </w:rPr>
        <w:t>附件2：</w:t>
      </w:r>
    </w:p>
    <w:p w14:paraId="4DB67A86">
      <w:pPr>
        <w:spacing w:line="360" w:lineRule="auto"/>
        <w:rPr>
          <w:color w:val="auto"/>
          <w:szCs w:val="21"/>
          <w:highlight w:val="none"/>
        </w:rPr>
        <w:sectPr>
          <w:footerReference r:id="rId13" w:type="first"/>
          <w:headerReference r:id="rId12" w:type="default"/>
          <w:pgSz w:w="11906" w:h="16838"/>
          <w:pgMar w:top="851" w:right="1133" w:bottom="1246" w:left="1418" w:header="851" w:footer="797" w:gutter="0"/>
          <w:cols w:space="720" w:num="1"/>
          <w:docGrid w:linePitch="312" w:charSpace="0"/>
        </w:sectPr>
      </w:pPr>
      <w:r>
        <w:rPr>
          <w:rFonts w:ascii="宋体" w:hAnsi="宋体" w:cs="宋体"/>
          <w:color w:val="auto"/>
          <w:position w:val="-335"/>
          <w:sz w:val="20"/>
          <w:szCs w:val="20"/>
          <w:highlight w:val="none"/>
        </w:rPr>
        <w:drawing>
          <wp:anchor distT="0" distB="0" distL="114300" distR="114300" simplePos="0" relativeHeight="251659264" behindDoc="0" locked="0" layoutInCell="1" allowOverlap="1">
            <wp:simplePos x="0" y="0"/>
            <wp:positionH relativeFrom="column">
              <wp:posOffset>1905</wp:posOffset>
            </wp:positionH>
            <wp:positionV relativeFrom="paragraph">
              <wp:posOffset>204470</wp:posOffset>
            </wp:positionV>
            <wp:extent cx="5573395" cy="8125460"/>
            <wp:effectExtent l="0" t="0" r="4445" b="1270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2"/>
                    <a:stretch>
                      <a:fillRect/>
                    </a:stretch>
                  </pic:blipFill>
                  <pic:spPr>
                    <a:xfrm>
                      <a:off x="0" y="0"/>
                      <a:ext cx="5573395" cy="8125460"/>
                    </a:xfrm>
                    <a:prstGeom prst="rect">
                      <a:avLst/>
                    </a:prstGeom>
                    <a:noFill/>
                    <a:ln>
                      <a:noFill/>
                    </a:ln>
                  </pic:spPr>
                </pic:pic>
              </a:graphicData>
            </a:graphic>
          </wp:anchor>
        </w:drawing>
      </w:r>
    </w:p>
    <w:bookmarkEnd w:id="13"/>
    <w:bookmarkEnd w:id="14"/>
    <w:p w14:paraId="1F40D16E">
      <w:pPr>
        <w:pStyle w:val="28"/>
        <w:snapToGrid w:val="0"/>
        <w:spacing w:before="120" w:after="120" w:line="320" w:lineRule="exact"/>
        <w:jc w:val="center"/>
        <w:outlineLvl w:val="0"/>
        <w:rPr>
          <w:rFonts w:ascii="Times New Roman" w:hAnsi="Times New Roman" w:cs="Times New Roman"/>
          <w:color w:val="auto"/>
          <w:sz w:val="32"/>
          <w:szCs w:val="32"/>
          <w:highlight w:val="none"/>
        </w:rPr>
      </w:pPr>
      <w:bookmarkStart w:id="52" w:name="_Toc25843"/>
      <w:r>
        <w:rPr>
          <w:rFonts w:ascii="Times New Roman" w:hAnsi="Times New Roman" w:cs="Times New Roman"/>
          <w:color w:val="auto"/>
          <w:sz w:val="32"/>
          <w:szCs w:val="32"/>
          <w:highlight w:val="none"/>
        </w:rPr>
        <w:t>第三章  供应商须知</w:t>
      </w:r>
      <w:bookmarkEnd w:id="52"/>
      <w:bookmarkStart w:id="53" w:name="_Toc254970667"/>
      <w:bookmarkStart w:id="54" w:name="_Toc254970526"/>
    </w:p>
    <w:p w14:paraId="14AF2F52">
      <w:pPr>
        <w:pStyle w:val="4"/>
        <w:spacing w:before="40" w:after="40"/>
        <w:jc w:val="center"/>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供应商须知前附表</w:t>
      </w:r>
      <w:bookmarkEnd w:id="53"/>
      <w:bookmarkEnd w:id="54"/>
      <w:bookmarkStart w:id="55" w:name="_投标人须知前附表"/>
      <w:bookmarkEnd w:id="55"/>
      <w:bookmarkStart w:id="56" w:name="_Hlk19088833"/>
    </w:p>
    <w:tbl>
      <w:tblPr>
        <w:tblStyle w:val="53"/>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440F97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vAlign w:val="center"/>
          </w:tcPr>
          <w:p w14:paraId="1FB725C6">
            <w:pPr>
              <w:jc w:val="center"/>
              <w:rPr>
                <w:b/>
                <w:color w:val="auto"/>
                <w:szCs w:val="21"/>
                <w:highlight w:val="none"/>
              </w:rPr>
            </w:pPr>
            <w:r>
              <w:rPr>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vAlign w:val="center"/>
          </w:tcPr>
          <w:p w14:paraId="5030CD42">
            <w:pPr>
              <w:jc w:val="center"/>
              <w:rPr>
                <w:b/>
                <w:color w:val="auto"/>
                <w:szCs w:val="21"/>
                <w:highlight w:val="none"/>
              </w:rPr>
            </w:pPr>
            <w:r>
              <w:rPr>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7B3F3CE2">
            <w:pPr>
              <w:jc w:val="center"/>
              <w:rPr>
                <w:b/>
                <w:color w:val="auto"/>
                <w:szCs w:val="21"/>
                <w:highlight w:val="none"/>
              </w:rPr>
            </w:pPr>
            <w:r>
              <w:rPr>
                <w:b/>
                <w:color w:val="auto"/>
                <w:szCs w:val="21"/>
                <w:highlight w:val="none"/>
              </w:rPr>
              <w:t>内容、要求</w:t>
            </w:r>
          </w:p>
        </w:tc>
      </w:tr>
      <w:tr w14:paraId="104FD6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14:paraId="25256531">
            <w:pPr>
              <w:spacing w:line="300" w:lineRule="exact"/>
              <w:jc w:val="center"/>
              <w:rPr>
                <w:b/>
                <w:color w:val="auto"/>
                <w:szCs w:val="21"/>
                <w:highlight w:val="none"/>
              </w:rPr>
            </w:pPr>
            <w:r>
              <w:rPr>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vAlign w:val="center"/>
          </w:tcPr>
          <w:p w14:paraId="26A7D5FB">
            <w:pPr>
              <w:spacing w:line="300" w:lineRule="exact"/>
              <w:jc w:val="center"/>
              <w:rPr>
                <w:color w:val="auto"/>
                <w:szCs w:val="21"/>
                <w:highlight w:val="none"/>
              </w:rPr>
            </w:pPr>
            <w:r>
              <w:rPr>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0FC8B51C">
            <w:pPr>
              <w:spacing w:line="300" w:lineRule="exact"/>
              <w:jc w:val="left"/>
              <w:rPr>
                <w:color w:val="auto"/>
                <w:szCs w:val="21"/>
                <w:highlight w:val="none"/>
              </w:rPr>
            </w:pPr>
            <w:r>
              <w:rPr>
                <w:color w:val="auto"/>
                <w:szCs w:val="21"/>
                <w:highlight w:val="none"/>
              </w:rPr>
              <w:t>项目名称：</w:t>
            </w:r>
            <w:r>
              <w:rPr>
                <w:rFonts w:hint="eastAsia"/>
                <w:color w:val="auto"/>
                <w:kern w:val="0"/>
                <w:szCs w:val="21"/>
                <w:highlight w:val="none"/>
              </w:rPr>
              <w:t>2026年广西药品智慧监管信息化运维项目</w:t>
            </w:r>
          </w:p>
          <w:p w14:paraId="21D8AC1F">
            <w:pPr>
              <w:spacing w:line="300" w:lineRule="exact"/>
              <w:jc w:val="left"/>
              <w:rPr>
                <w:rFonts w:hint="eastAsia" w:eastAsia="宋体"/>
                <w:color w:val="auto"/>
                <w:szCs w:val="21"/>
                <w:highlight w:val="none"/>
                <w:lang w:eastAsia="zh-CN"/>
              </w:rPr>
            </w:pPr>
            <w:r>
              <w:rPr>
                <w:color w:val="auto"/>
                <w:szCs w:val="21"/>
                <w:highlight w:val="none"/>
              </w:rPr>
              <w:t>项目编号：</w:t>
            </w:r>
            <w:r>
              <w:rPr>
                <w:rFonts w:hint="eastAsia"/>
                <w:color w:val="auto"/>
                <w:szCs w:val="21"/>
                <w:highlight w:val="none"/>
              </w:rPr>
              <w:t xml:space="preserve"> </w:t>
            </w:r>
            <w:r>
              <w:rPr>
                <w:rFonts w:hint="eastAsia"/>
                <w:color w:val="auto"/>
                <w:szCs w:val="21"/>
                <w:highlight w:val="none"/>
                <w:lang w:eastAsia="zh-CN"/>
              </w:rPr>
              <w:t>GXZC2026-C3-002075-JDZB</w:t>
            </w:r>
          </w:p>
        </w:tc>
      </w:tr>
      <w:tr w14:paraId="5D4D38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61E6253A">
            <w:pPr>
              <w:spacing w:line="300" w:lineRule="exact"/>
              <w:jc w:val="center"/>
              <w:rPr>
                <w:b/>
                <w:color w:val="auto"/>
                <w:szCs w:val="21"/>
                <w:highlight w:val="none"/>
              </w:rPr>
            </w:pPr>
            <w:r>
              <w:rPr>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vAlign w:val="center"/>
          </w:tcPr>
          <w:p w14:paraId="552F0BA5">
            <w:pPr>
              <w:spacing w:line="300" w:lineRule="exact"/>
              <w:jc w:val="center"/>
              <w:rPr>
                <w:color w:val="auto"/>
                <w:szCs w:val="21"/>
                <w:highlight w:val="none"/>
                <w:lang w:val="zh-CN"/>
              </w:rPr>
            </w:pPr>
            <w:r>
              <w:rPr>
                <w:rFonts w:hint="eastAsia"/>
                <w:color w:val="auto"/>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vAlign w:val="center"/>
          </w:tcPr>
          <w:p w14:paraId="08DE9029">
            <w:pPr>
              <w:spacing w:line="300" w:lineRule="exact"/>
              <w:jc w:val="left"/>
              <w:rPr>
                <w:color w:val="auto"/>
                <w:szCs w:val="21"/>
                <w:highlight w:val="none"/>
              </w:rPr>
            </w:pPr>
            <w:r>
              <w:rPr>
                <w:rFonts w:hint="eastAsia"/>
                <w:color w:val="auto"/>
                <w:szCs w:val="21"/>
                <w:highlight w:val="none"/>
              </w:rPr>
              <w:t>竞争性磋商。</w:t>
            </w:r>
          </w:p>
        </w:tc>
      </w:tr>
      <w:tr w14:paraId="2D2C7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768AF9BB">
            <w:pPr>
              <w:spacing w:line="300" w:lineRule="exact"/>
              <w:jc w:val="center"/>
              <w:rPr>
                <w:b/>
                <w:color w:val="auto"/>
                <w:szCs w:val="21"/>
                <w:highlight w:val="none"/>
              </w:rPr>
            </w:pPr>
            <w:r>
              <w:rPr>
                <w:b/>
                <w:color w:val="auto"/>
                <w:szCs w:val="21"/>
                <w:highlight w:val="none"/>
              </w:rPr>
              <w:t>1.4</w:t>
            </w:r>
          </w:p>
        </w:tc>
        <w:tc>
          <w:tcPr>
            <w:tcW w:w="1248" w:type="dxa"/>
            <w:tcBorders>
              <w:top w:val="single" w:color="auto" w:sz="4" w:space="0"/>
              <w:left w:val="single" w:color="auto" w:sz="4" w:space="0"/>
              <w:bottom w:val="single" w:color="auto" w:sz="4" w:space="0"/>
              <w:right w:val="single" w:color="auto" w:sz="4" w:space="0"/>
            </w:tcBorders>
            <w:vAlign w:val="center"/>
          </w:tcPr>
          <w:p w14:paraId="4C9B6269">
            <w:pPr>
              <w:spacing w:line="300" w:lineRule="exact"/>
              <w:jc w:val="center"/>
              <w:rPr>
                <w:color w:val="auto"/>
                <w:szCs w:val="21"/>
                <w:highlight w:val="none"/>
                <w:lang w:val="zh-CN"/>
              </w:rPr>
            </w:pPr>
            <w:r>
              <w:rPr>
                <w:rFonts w:hint="eastAsia"/>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vAlign w:val="center"/>
          </w:tcPr>
          <w:p w14:paraId="1C7D55C4">
            <w:pPr>
              <w:spacing w:line="300" w:lineRule="exact"/>
              <w:jc w:val="left"/>
              <w:rPr>
                <w:color w:val="auto"/>
                <w:szCs w:val="21"/>
                <w:highlight w:val="none"/>
              </w:rPr>
            </w:pPr>
            <w:r>
              <w:rPr>
                <w:rFonts w:hint="eastAsia"/>
                <w:color w:val="auto"/>
                <w:szCs w:val="21"/>
                <w:highlight w:val="none"/>
              </w:rPr>
              <w:t>专门面向中小企业采购的项目（供应商均为中小微企业、监狱企业、残疾人福利性单位）</w:t>
            </w:r>
          </w:p>
        </w:tc>
      </w:tr>
      <w:tr w14:paraId="2CB379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1D2A0244">
            <w:pPr>
              <w:spacing w:line="300" w:lineRule="exact"/>
              <w:jc w:val="center"/>
              <w:rPr>
                <w:b/>
                <w:color w:val="auto"/>
                <w:szCs w:val="21"/>
                <w:highlight w:val="none"/>
              </w:rPr>
            </w:pPr>
            <w:r>
              <w:rPr>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vAlign w:val="center"/>
          </w:tcPr>
          <w:p w14:paraId="6FA5AA17">
            <w:pPr>
              <w:spacing w:line="300" w:lineRule="exact"/>
              <w:jc w:val="center"/>
              <w:rPr>
                <w:color w:val="auto"/>
                <w:szCs w:val="21"/>
                <w:highlight w:val="none"/>
              </w:rPr>
            </w:pPr>
            <w:r>
              <w:rPr>
                <w:color w:val="auto"/>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417B27D2">
            <w:pPr>
              <w:spacing w:line="300" w:lineRule="exact"/>
              <w:jc w:val="left"/>
              <w:rPr>
                <w:color w:val="auto"/>
                <w:szCs w:val="21"/>
                <w:highlight w:val="none"/>
              </w:rPr>
            </w:pPr>
            <w:r>
              <w:rPr>
                <w:rFonts w:hint="eastAsia"/>
                <w:color w:val="auto"/>
                <w:szCs w:val="21"/>
                <w:highlight w:val="none"/>
              </w:rPr>
              <w:t>详</w:t>
            </w:r>
            <w:r>
              <w:rPr>
                <w:color w:val="auto"/>
                <w:szCs w:val="21"/>
                <w:highlight w:val="none"/>
              </w:rPr>
              <w:t>见</w:t>
            </w:r>
            <w:r>
              <w:rPr>
                <w:rFonts w:hint="eastAsia"/>
                <w:color w:val="auto"/>
                <w:szCs w:val="21"/>
                <w:highlight w:val="none"/>
              </w:rPr>
              <w:t>磋商</w:t>
            </w:r>
            <w:r>
              <w:rPr>
                <w:color w:val="auto"/>
                <w:szCs w:val="21"/>
                <w:highlight w:val="none"/>
              </w:rPr>
              <w:t>公告</w:t>
            </w:r>
            <w:r>
              <w:rPr>
                <w:rFonts w:hint="eastAsia"/>
                <w:color w:val="auto"/>
                <w:szCs w:val="21"/>
                <w:highlight w:val="none"/>
              </w:rPr>
              <w:t>。</w:t>
            </w:r>
          </w:p>
        </w:tc>
      </w:tr>
      <w:tr w14:paraId="68BF6C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vAlign w:val="center"/>
          </w:tcPr>
          <w:p w14:paraId="7C4FF29B">
            <w:pPr>
              <w:spacing w:line="300" w:lineRule="exact"/>
              <w:jc w:val="center"/>
              <w:rPr>
                <w:b/>
                <w:color w:val="auto"/>
                <w:szCs w:val="21"/>
                <w:highlight w:val="none"/>
              </w:rPr>
            </w:pPr>
            <w:bookmarkStart w:id="57" w:name="_Hlk85555568"/>
            <w:r>
              <w:rPr>
                <w:b/>
                <w:color w:val="auto"/>
                <w:szCs w:val="21"/>
                <w:highlight w:val="none"/>
              </w:rPr>
              <w:t>1.5.3</w:t>
            </w:r>
          </w:p>
        </w:tc>
        <w:tc>
          <w:tcPr>
            <w:tcW w:w="1248" w:type="dxa"/>
            <w:tcBorders>
              <w:top w:val="single" w:color="auto" w:sz="4" w:space="0"/>
              <w:left w:val="single" w:color="auto" w:sz="4" w:space="0"/>
              <w:right w:val="single" w:color="auto" w:sz="4" w:space="0"/>
            </w:tcBorders>
            <w:vAlign w:val="center"/>
          </w:tcPr>
          <w:p w14:paraId="221B21D1">
            <w:pPr>
              <w:spacing w:line="300" w:lineRule="exact"/>
              <w:jc w:val="center"/>
              <w:rPr>
                <w:color w:val="auto"/>
                <w:szCs w:val="21"/>
                <w:highlight w:val="none"/>
              </w:rPr>
            </w:pPr>
            <w:r>
              <w:rPr>
                <w:rFonts w:hint="eastAsia"/>
                <w:color w:val="auto"/>
                <w:szCs w:val="21"/>
                <w:highlight w:val="none"/>
              </w:rPr>
              <w:t>联合体</w:t>
            </w:r>
          </w:p>
        </w:tc>
        <w:tc>
          <w:tcPr>
            <w:tcW w:w="7229" w:type="dxa"/>
            <w:tcBorders>
              <w:top w:val="single" w:color="auto" w:sz="4" w:space="0"/>
              <w:left w:val="single" w:color="auto" w:sz="4" w:space="0"/>
              <w:right w:val="single" w:color="auto" w:sz="4" w:space="0"/>
            </w:tcBorders>
            <w:vAlign w:val="center"/>
          </w:tcPr>
          <w:p w14:paraId="05ED0BFF">
            <w:pPr>
              <w:spacing w:line="360" w:lineRule="auto"/>
              <w:rPr>
                <w:color w:val="auto"/>
                <w:szCs w:val="21"/>
                <w:highlight w:val="none"/>
              </w:rPr>
            </w:pPr>
            <w:r>
              <w:rPr>
                <w:rFonts w:hint="eastAsia"/>
                <w:color w:val="auto"/>
                <w:szCs w:val="21"/>
                <w:highlight w:val="none"/>
              </w:rPr>
              <w:t>是否接受联合体详见磋商公告。</w:t>
            </w:r>
          </w:p>
          <w:p w14:paraId="71F1EA89">
            <w:pPr>
              <w:spacing w:line="360" w:lineRule="auto"/>
              <w:rPr>
                <w:color w:val="auto"/>
                <w:szCs w:val="21"/>
                <w:highlight w:val="none"/>
              </w:rPr>
            </w:pPr>
            <w:r>
              <w:rPr>
                <w:rFonts w:hint="eastAsia" w:ascii="宋体" w:hAnsi="宋体"/>
                <w:color w:val="auto"/>
                <w:szCs w:val="21"/>
                <w:highlight w:val="none"/>
              </w:rPr>
              <w:t>如接受联合体竞标，联合体竞标要求如下：/</w:t>
            </w:r>
          </w:p>
        </w:tc>
      </w:tr>
      <w:bookmarkEnd w:id="57"/>
      <w:tr w14:paraId="3B167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12BBD9A5">
            <w:pPr>
              <w:spacing w:line="300" w:lineRule="exact"/>
              <w:jc w:val="center"/>
              <w:rPr>
                <w:b/>
                <w:color w:val="auto"/>
                <w:szCs w:val="21"/>
                <w:highlight w:val="none"/>
              </w:rPr>
            </w:pPr>
            <w:r>
              <w:rPr>
                <w:b/>
                <w:color w:val="auto"/>
                <w:szCs w:val="21"/>
                <w:highlight w:val="none"/>
              </w:rPr>
              <w:t>1.6</w:t>
            </w:r>
          </w:p>
        </w:tc>
        <w:tc>
          <w:tcPr>
            <w:tcW w:w="1248" w:type="dxa"/>
            <w:tcBorders>
              <w:top w:val="single" w:color="auto" w:sz="4" w:space="0"/>
              <w:left w:val="single" w:color="auto" w:sz="4" w:space="0"/>
              <w:bottom w:val="single" w:color="auto" w:sz="4" w:space="0"/>
              <w:right w:val="single" w:color="auto" w:sz="4" w:space="0"/>
            </w:tcBorders>
            <w:vAlign w:val="center"/>
          </w:tcPr>
          <w:p w14:paraId="4B9944E4">
            <w:pPr>
              <w:spacing w:line="300" w:lineRule="exact"/>
              <w:jc w:val="center"/>
              <w:rPr>
                <w:color w:val="auto"/>
                <w:szCs w:val="21"/>
                <w:highlight w:val="none"/>
              </w:rPr>
            </w:pPr>
            <w:r>
              <w:rPr>
                <w:rFonts w:hint="eastAsia"/>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51F4B046">
            <w:pPr>
              <w:pStyle w:val="20"/>
              <w:widowControl/>
              <w:spacing w:line="300" w:lineRule="exact"/>
              <w:rPr>
                <w:color w:val="auto"/>
                <w:szCs w:val="21"/>
                <w:highlight w:val="none"/>
              </w:rPr>
            </w:pPr>
            <w:r>
              <w:rPr>
                <w:color w:val="auto"/>
                <w:szCs w:val="21"/>
                <w:highlight w:val="none"/>
              </w:rPr>
              <w:sym w:font="Wingdings 2" w:char="F052"/>
            </w:r>
            <w:r>
              <w:rPr>
                <w:rFonts w:hint="eastAsia" w:cs="宋体"/>
                <w:color w:val="auto"/>
                <w:szCs w:val="21"/>
                <w:highlight w:val="none"/>
              </w:rPr>
              <w:t>不组织</w:t>
            </w:r>
            <w:r>
              <w:rPr>
                <w:color w:val="auto"/>
                <w:szCs w:val="21"/>
                <w:highlight w:val="none"/>
              </w:rPr>
              <w:t xml:space="preserve"> </w:t>
            </w:r>
          </w:p>
          <w:p w14:paraId="331B5847">
            <w:pPr>
              <w:pStyle w:val="20"/>
              <w:widowControl/>
              <w:spacing w:line="300" w:lineRule="exact"/>
              <w:rPr>
                <w:color w:val="auto"/>
                <w:szCs w:val="21"/>
                <w:highlight w:val="none"/>
              </w:rPr>
            </w:pPr>
            <w:r>
              <w:rPr>
                <w:rFonts w:hint="eastAsia"/>
                <w:color w:val="auto"/>
                <w:szCs w:val="21"/>
                <w:highlight w:val="none"/>
              </w:rPr>
              <w:t>☑自行踏勘</w:t>
            </w:r>
          </w:p>
        </w:tc>
      </w:tr>
      <w:tr w14:paraId="5E86EF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37" w:type="dxa"/>
            <w:tcBorders>
              <w:top w:val="single" w:color="auto" w:sz="4" w:space="0"/>
              <w:left w:val="single" w:color="auto" w:sz="4" w:space="0"/>
              <w:bottom w:val="single" w:color="auto" w:sz="4" w:space="0"/>
              <w:right w:val="single" w:color="auto" w:sz="4" w:space="0"/>
            </w:tcBorders>
            <w:vAlign w:val="center"/>
          </w:tcPr>
          <w:p w14:paraId="67C8583A">
            <w:pPr>
              <w:spacing w:line="300" w:lineRule="exact"/>
              <w:jc w:val="center"/>
              <w:rPr>
                <w:b/>
                <w:color w:val="auto"/>
                <w:szCs w:val="21"/>
                <w:highlight w:val="none"/>
              </w:rPr>
            </w:pPr>
            <w:r>
              <w:rPr>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vAlign w:val="center"/>
          </w:tcPr>
          <w:p w14:paraId="0BEDA5FB">
            <w:pPr>
              <w:spacing w:line="300" w:lineRule="exact"/>
              <w:jc w:val="center"/>
              <w:rPr>
                <w:color w:val="auto"/>
                <w:szCs w:val="21"/>
                <w:highlight w:val="none"/>
              </w:rPr>
            </w:pPr>
            <w:r>
              <w:rPr>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370539CB">
            <w:pPr>
              <w:spacing w:line="300" w:lineRule="exact"/>
              <w:jc w:val="left"/>
              <w:rPr>
                <w:color w:val="auto"/>
                <w:szCs w:val="21"/>
                <w:highlight w:val="none"/>
              </w:rPr>
            </w:pPr>
            <w:r>
              <w:rPr>
                <w:rFonts w:hint="eastAsia"/>
                <w:color w:val="auto"/>
                <w:szCs w:val="21"/>
                <w:highlight w:val="none"/>
              </w:rPr>
              <w:t>本项目不允许分包</w:t>
            </w:r>
          </w:p>
        </w:tc>
      </w:tr>
      <w:tr w14:paraId="0C405B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737" w:type="dxa"/>
            <w:tcBorders>
              <w:top w:val="single" w:color="auto" w:sz="4" w:space="0"/>
              <w:left w:val="single" w:color="auto" w:sz="4" w:space="0"/>
              <w:bottom w:val="single" w:color="auto" w:sz="4" w:space="0"/>
              <w:right w:val="single" w:color="auto" w:sz="4" w:space="0"/>
            </w:tcBorders>
            <w:vAlign w:val="center"/>
          </w:tcPr>
          <w:p w14:paraId="79A4710B">
            <w:pPr>
              <w:spacing w:line="300" w:lineRule="exact"/>
              <w:jc w:val="center"/>
              <w:rPr>
                <w:b/>
                <w:color w:val="auto"/>
                <w:szCs w:val="21"/>
                <w:highlight w:val="none"/>
              </w:rPr>
            </w:pPr>
            <w:r>
              <w:rPr>
                <w:rFonts w:hint="eastAsia"/>
                <w:b/>
                <w:color w:val="auto"/>
                <w:szCs w:val="21"/>
                <w:highlight w:val="none"/>
              </w:rPr>
              <w:t>1.9</w:t>
            </w:r>
          </w:p>
        </w:tc>
        <w:tc>
          <w:tcPr>
            <w:tcW w:w="1248" w:type="dxa"/>
            <w:tcBorders>
              <w:top w:val="single" w:color="auto" w:sz="4" w:space="0"/>
              <w:left w:val="single" w:color="auto" w:sz="4" w:space="0"/>
              <w:bottom w:val="single" w:color="auto" w:sz="4" w:space="0"/>
              <w:right w:val="single" w:color="auto" w:sz="4" w:space="0"/>
            </w:tcBorders>
            <w:vAlign w:val="center"/>
          </w:tcPr>
          <w:p w14:paraId="3491A69D">
            <w:pPr>
              <w:spacing w:line="300" w:lineRule="exact"/>
              <w:jc w:val="center"/>
              <w:rPr>
                <w:color w:val="auto"/>
                <w:szCs w:val="21"/>
                <w:highlight w:val="none"/>
              </w:rPr>
            </w:pPr>
            <w:r>
              <w:rPr>
                <w:rFonts w:hint="eastAsia"/>
                <w:color w:val="auto"/>
                <w:szCs w:val="21"/>
                <w:highlight w:val="none"/>
              </w:rPr>
              <w:t>对本国产品的支持政策</w:t>
            </w:r>
          </w:p>
        </w:tc>
        <w:tc>
          <w:tcPr>
            <w:tcW w:w="7229" w:type="dxa"/>
            <w:tcBorders>
              <w:top w:val="single" w:color="auto" w:sz="4" w:space="0"/>
              <w:left w:val="single" w:color="auto" w:sz="4" w:space="0"/>
              <w:bottom w:val="single" w:color="auto" w:sz="4" w:space="0"/>
              <w:right w:val="single" w:color="auto" w:sz="4" w:space="0"/>
            </w:tcBorders>
            <w:vAlign w:val="center"/>
          </w:tcPr>
          <w:p w14:paraId="52B19300">
            <w:pPr>
              <w:spacing w:line="300" w:lineRule="exact"/>
              <w:jc w:val="left"/>
              <w:rPr>
                <w:color w:val="auto"/>
                <w:szCs w:val="21"/>
                <w:highlight w:val="none"/>
              </w:rPr>
            </w:pPr>
            <w:r>
              <w:rPr>
                <w:rFonts w:hint="eastAsia"/>
                <w:color w:val="auto"/>
                <w:szCs w:val="21"/>
                <w:highlight w:val="none"/>
              </w:rPr>
              <w:t>□适用</w:t>
            </w:r>
          </w:p>
          <w:p w14:paraId="01614929">
            <w:pPr>
              <w:spacing w:line="300" w:lineRule="exact"/>
              <w:jc w:val="left"/>
              <w:rPr>
                <w:color w:val="auto"/>
                <w:szCs w:val="21"/>
                <w:highlight w:val="none"/>
              </w:rPr>
            </w:pPr>
            <w:r>
              <w:rPr>
                <w:rFonts w:hint="eastAsia"/>
                <w:color w:val="auto"/>
                <w:szCs w:val="21"/>
                <w:highlight w:val="none"/>
              </w:rPr>
              <w:t>☑不适用</w:t>
            </w:r>
          </w:p>
        </w:tc>
      </w:tr>
      <w:tr w14:paraId="3CB460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1C001A8D">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4B0749CF">
            <w:pPr>
              <w:spacing w:line="300" w:lineRule="exact"/>
              <w:jc w:val="center"/>
              <w:rPr>
                <w:color w:val="auto"/>
                <w:szCs w:val="21"/>
                <w:highlight w:val="none"/>
              </w:rPr>
            </w:pPr>
            <w:r>
              <w:rPr>
                <w:rFonts w:hint="eastAsia"/>
                <w:color w:val="auto"/>
                <w:szCs w:val="21"/>
                <w:highlight w:val="none"/>
              </w:rPr>
              <w:t>采购文件</w:t>
            </w:r>
            <w:r>
              <w:rPr>
                <w:color w:val="auto"/>
                <w:szCs w:val="21"/>
                <w:highlight w:val="none"/>
              </w:rPr>
              <w:t>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71A75D54">
            <w:pPr>
              <w:spacing w:line="300" w:lineRule="exact"/>
              <w:jc w:val="left"/>
              <w:rPr>
                <w:color w:val="auto"/>
                <w:szCs w:val="21"/>
                <w:highlight w:val="none"/>
              </w:rPr>
            </w:pPr>
            <w:r>
              <w:rPr>
                <w:color w:val="auto"/>
                <w:szCs w:val="21"/>
                <w:highlight w:val="none"/>
              </w:rPr>
              <w:t>在</w:t>
            </w:r>
            <w:r>
              <w:rPr>
                <w:rFonts w:hint="eastAsia"/>
                <w:color w:val="auto"/>
                <w:szCs w:val="21"/>
                <w:highlight w:val="none"/>
              </w:rPr>
              <w:t>磋商</w:t>
            </w:r>
            <w:r>
              <w:rPr>
                <w:color w:val="auto"/>
                <w:szCs w:val="21"/>
                <w:highlight w:val="none"/>
              </w:rPr>
              <w:t>公告发布媒介发布</w:t>
            </w:r>
            <w:r>
              <w:rPr>
                <w:rFonts w:hint="eastAsia"/>
                <w:color w:val="auto"/>
                <w:szCs w:val="21"/>
                <w:highlight w:val="none"/>
              </w:rPr>
              <w:t>。</w:t>
            </w:r>
          </w:p>
        </w:tc>
      </w:tr>
      <w:tr w14:paraId="3F247A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vAlign w:val="center"/>
          </w:tcPr>
          <w:p w14:paraId="6EF405B9">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228C8072">
            <w:pPr>
              <w:spacing w:line="300" w:lineRule="exact"/>
              <w:jc w:val="center"/>
              <w:rPr>
                <w:color w:val="auto"/>
                <w:szCs w:val="21"/>
                <w:highlight w:val="none"/>
              </w:rPr>
            </w:pPr>
            <w:r>
              <w:rPr>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0328612C">
            <w:pPr>
              <w:spacing w:line="300" w:lineRule="exact"/>
              <w:jc w:val="left"/>
              <w:rPr>
                <w:color w:val="auto"/>
                <w:szCs w:val="21"/>
                <w:highlight w:val="none"/>
              </w:rPr>
            </w:pPr>
            <w:r>
              <w:rPr>
                <w:color w:val="auto"/>
                <w:szCs w:val="21"/>
                <w:highlight w:val="none"/>
              </w:rPr>
              <w:t>澄清、修改文件</w:t>
            </w:r>
            <w:r>
              <w:rPr>
                <w:rFonts w:hint="eastAsia"/>
                <w:color w:val="auto"/>
                <w:szCs w:val="21"/>
                <w:highlight w:val="none"/>
              </w:rPr>
              <w:t>自磋商</w:t>
            </w:r>
            <w:r>
              <w:rPr>
                <w:color w:val="auto"/>
                <w:szCs w:val="21"/>
                <w:highlight w:val="none"/>
              </w:rPr>
              <w:t>公告发布媒</w:t>
            </w:r>
            <w:r>
              <w:rPr>
                <w:rFonts w:hint="eastAsia"/>
                <w:color w:val="auto"/>
                <w:szCs w:val="21"/>
                <w:highlight w:val="none"/>
              </w:rPr>
              <w:t>体</w:t>
            </w:r>
            <w:r>
              <w:rPr>
                <w:color w:val="auto"/>
                <w:szCs w:val="21"/>
                <w:highlight w:val="none"/>
              </w:rPr>
              <w:t>发布之日起，视为供应商已收到该澄清、修改。供应商未及时关注</w:t>
            </w:r>
            <w:r>
              <w:rPr>
                <w:rFonts w:hint="eastAsia"/>
                <w:color w:val="auto"/>
                <w:szCs w:val="21"/>
                <w:highlight w:val="none"/>
              </w:rPr>
              <w:t>磋商</w:t>
            </w:r>
            <w:r>
              <w:rPr>
                <w:color w:val="auto"/>
                <w:szCs w:val="21"/>
                <w:highlight w:val="none"/>
              </w:rPr>
              <w:t>公告发布媒</w:t>
            </w:r>
            <w:r>
              <w:rPr>
                <w:rFonts w:hint="eastAsia"/>
                <w:color w:val="auto"/>
                <w:szCs w:val="21"/>
                <w:highlight w:val="none"/>
              </w:rPr>
              <w:t>体</w:t>
            </w:r>
            <w:r>
              <w:rPr>
                <w:color w:val="auto"/>
                <w:szCs w:val="21"/>
                <w:highlight w:val="none"/>
              </w:rPr>
              <w:t>造成的损失，由供应商自行负责。</w:t>
            </w:r>
          </w:p>
        </w:tc>
      </w:tr>
      <w:tr w14:paraId="2E076A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vAlign w:val="center"/>
          </w:tcPr>
          <w:p w14:paraId="75802077">
            <w:pPr>
              <w:spacing w:line="300" w:lineRule="exact"/>
              <w:jc w:val="center"/>
              <w:rPr>
                <w:b/>
                <w:color w:val="auto"/>
                <w:szCs w:val="21"/>
                <w:highlight w:val="none"/>
              </w:rPr>
            </w:pPr>
            <w:r>
              <w:rPr>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vAlign w:val="center"/>
          </w:tcPr>
          <w:p w14:paraId="4F6A60C1">
            <w:pPr>
              <w:spacing w:line="300" w:lineRule="exact"/>
              <w:jc w:val="center"/>
              <w:rPr>
                <w:color w:val="auto"/>
                <w:szCs w:val="21"/>
                <w:highlight w:val="none"/>
              </w:rPr>
            </w:pPr>
            <w:r>
              <w:rPr>
                <w:rFonts w:hint="eastAsia"/>
                <w:color w:val="auto"/>
                <w:szCs w:val="21"/>
                <w:highlight w:val="none"/>
              </w:rPr>
              <w:t>响应</w:t>
            </w:r>
            <w:r>
              <w:rPr>
                <w:color w:val="auto"/>
                <w:szCs w:val="21"/>
                <w:highlight w:val="none"/>
              </w:rPr>
              <w:t>有效期</w:t>
            </w:r>
          </w:p>
        </w:tc>
        <w:tc>
          <w:tcPr>
            <w:tcW w:w="7229" w:type="dxa"/>
            <w:tcBorders>
              <w:top w:val="single" w:color="auto" w:sz="4" w:space="0"/>
              <w:left w:val="single" w:color="auto" w:sz="4" w:space="0"/>
              <w:bottom w:val="single" w:color="auto" w:sz="4" w:space="0"/>
              <w:right w:val="single" w:color="auto" w:sz="4" w:space="0"/>
            </w:tcBorders>
            <w:vAlign w:val="center"/>
          </w:tcPr>
          <w:p w14:paraId="3F0E98C4">
            <w:pPr>
              <w:spacing w:line="300" w:lineRule="exact"/>
              <w:jc w:val="left"/>
              <w:rPr>
                <w:color w:val="auto"/>
                <w:szCs w:val="21"/>
                <w:highlight w:val="none"/>
              </w:rPr>
            </w:pPr>
            <w:r>
              <w:rPr>
                <w:color w:val="auto"/>
                <w:szCs w:val="21"/>
                <w:highlight w:val="none"/>
              </w:rPr>
              <w:t>响应截止之日起60天。</w:t>
            </w:r>
          </w:p>
        </w:tc>
      </w:tr>
      <w:tr w14:paraId="466781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6D7D30B1">
            <w:pPr>
              <w:spacing w:line="300" w:lineRule="exact"/>
              <w:jc w:val="center"/>
              <w:rPr>
                <w:b/>
                <w:color w:val="auto"/>
                <w:szCs w:val="21"/>
                <w:highlight w:val="none"/>
              </w:rPr>
            </w:pPr>
            <w:r>
              <w:rPr>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vAlign w:val="center"/>
          </w:tcPr>
          <w:p w14:paraId="76C1F5AD">
            <w:pPr>
              <w:spacing w:line="300" w:lineRule="exact"/>
              <w:jc w:val="center"/>
              <w:rPr>
                <w:color w:val="auto"/>
                <w:szCs w:val="21"/>
                <w:highlight w:val="none"/>
              </w:rPr>
            </w:pPr>
            <w:r>
              <w:rPr>
                <w:rFonts w:hint="eastAsia"/>
                <w:color w:val="auto"/>
                <w:szCs w:val="21"/>
                <w:highlight w:val="none"/>
              </w:rPr>
              <w:t>磋商</w:t>
            </w:r>
            <w:r>
              <w:rPr>
                <w:color w:val="auto"/>
                <w:szCs w:val="21"/>
                <w:highlight w:val="none"/>
              </w:rPr>
              <w:t>保证金</w:t>
            </w:r>
          </w:p>
        </w:tc>
        <w:tc>
          <w:tcPr>
            <w:tcW w:w="7229" w:type="dxa"/>
            <w:tcBorders>
              <w:top w:val="single" w:color="auto" w:sz="4" w:space="0"/>
              <w:left w:val="single" w:color="auto" w:sz="4" w:space="0"/>
              <w:bottom w:val="single" w:color="auto" w:sz="4" w:space="0"/>
              <w:right w:val="single" w:color="auto" w:sz="4" w:space="0"/>
            </w:tcBorders>
            <w:vAlign w:val="center"/>
          </w:tcPr>
          <w:p w14:paraId="09FAE5F6">
            <w:pPr>
              <w:jc w:val="left"/>
              <w:rPr>
                <w:color w:val="auto"/>
                <w:kern w:val="0"/>
                <w:szCs w:val="21"/>
                <w:highlight w:val="none"/>
              </w:rPr>
            </w:pPr>
            <w:r>
              <w:rPr>
                <w:rFonts w:hint="eastAsia"/>
                <w:color w:val="auto"/>
                <w:szCs w:val="21"/>
                <w:highlight w:val="none"/>
              </w:rPr>
              <w:t>磋商</w:t>
            </w:r>
            <w:r>
              <w:rPr>
                <w:color w:val="auto"/>
                <w:szCs w:val="21"/>
                <w:highlight w:val="none"/>
              </w:rPr>
              <w:t>保证</w:t>
            </w:r>
            <w:r>
              <w:rPr>
                <w:rFonts w:hint="eastAsia"/>
                <w:color w:val="auto"/>
                <w:szCs w:val="21"/>
                <w:highlight w:val="none"/>
              </w:rPr>
              <w:t>金金额：标项一：人民币柒仟元整（</w:t>
            </w:r>
            <w:r>
              <w:rPr>
                <w:color w:val="auto"/>
                <w:szCs w:val="21"/>
                <w:highlight w:val="none"/>
              </w:rPr>
              <w:t>¥</w:t>
            </w:r>
            <w:r>
              <w:rPr>
                <w:rFonts w:hint="eastAsia"/>
                <w:color w:val="auto"/>
                <w:szCs w:val="21"/>
                <w:highlight w:val="none"/>
              </w:rPr>
              <w:t>7</w:t>
            </w:r>
            <w:r>
              <w:rPr>
                <w:color w:val="auto"/>
                <w:szCs w:val="21"/>
                <w:highlight w:val="none"/>
              </w:rPr>
              <w:t>000.00</w:t>
            </w:r>
            <w:r>
              <w:rPr>
                <w:rFonts w:hint="eastAsia"/>
                <w:color w:val="auto"/>
                <w:szCs w:val="21"/>
                <w:highlight w:val="none"/>
              </w:rPr>
              <w:t>），标项二：人民币壹仟元整元整（¥1000.00），标项三：人民币陆仟元整（¥6000.00）。</w:t>
            </w:r>
          </w:p>
          <w:p w14:paraId="7954C86F">
            <w:pPr>
              <w:spacing w:line="300" w:lineRule="exact"/>
              <w:jc w:val="left"/>
              <w:rPr>
                <w:color w:val="auto"/>
                <w:szCs w:val="21"/>
                <w:highlight w:val="none"/>
              </w:rPr>
            </w:pPr>
            <w:r>
              <w:rPr>
                <w:rFonts w:hint="eastAsia"/>
                <w:color w:val="auto"/>
                <w:szCs w:val="21"/>
                <w:highlight w:val="none"/>
              </w:rPr>
              <w:t>1、缴纳方式一：</w:t>
            </w:r>
          </w:p>
          <w:p w14:paraId="449A41C3">
            <w:pPr>
              <w:spacing w:line="300" w:lineRule="exact"/>
              <w:jc w:val="left"/>
              <w:rPr>
                <w:color w:val="auto"/>
                <w:szCs w:val="21"/>
                <w:highlight w:val="none"/>
              </w:rPr>
            </w:pPr>
            <w:r>
              <w:rPr>
                <w:rFonts w:hint="eastAsia" w:ascii="宋体" w:hAnsi="宋体"/>
                <w:color w:val="auto"/>
                <w:szCs w:val="21"/>
                <w:highlight w:val="none"/>
              </w:rPr>
              <w:t>（1）</w:t>
            </w:r>
            <w:r>
              <w:rPr>
                <w:color w:val="auto"/>
                <w:szCs w:val="21"/>
                <w:highlight w:val="none"/>
              </w:rPr>
              <w:t>供应商应于</w:t>
            </w:r>
            <w:r>
              <w:rPr>
                <w:rFonts w:hint="eastAsia"/>
                <w:color w:val="auto"/>
                <w:szCs w:val="21"/>
                <w:highlight w:val="none"/>
              </w:rPr>
              <w:t>响应截止</w:t>
            </w:r>
            <w:r>
              <w:rPr>
                <w:color w:val="auto"/>
                <w:szCs w:val="21"/>
                <w:highlight w:val="none"/>
              </w:rPr>
              <w:t>时间前将</w:t>
            </w:r>
            <w:r>
              <w:rPr>
                <w:rFonts w:hint="eastAsia"/>
                <w:color w:val="auto"/>
                <w:szCs w:val="21"/>
                <w:highlight w:val="none"/>
              </w:rPr>
              <w:t>磋商</w:t>
            </w:r>
            <w:r>
              <w:rPr>
                <w:color w:val="auto"/>
                <w:szCs w:val="21"/>
                <w:highlight w:val="none"/>
              </w:rPr>
              <w:t>保证金以电汇、转账形式从供应商账户一次性足额</w:t>
            </w:r>
            <w:r>
              <w:rPr>
                <w:rFonts w:hint="eastAsia"/>
                <w:color w:val="auto"/>
                <w:szCs w:val="21"/>
                <w:highlight w:val="none"/>
              </w:rPr>
              <w:t>缴</w:t>
            </w:r>
            <w:r>
              <w:rPr>
                <w:color w:val="auto"/>
                <w:szCs w:val="21"/>
                <w:highlight w:val="none"/>
              </w:rPr>
              <w:t>纳至本项目（各</w:t>
            </w:r>
            <w:r>
              <w:rPr>
                <w:rFonts w:hint="eastAsia"/>
                <w:color w:val="auto"/>
                <w:szCs w:val="21"/>
                <w:highlight w:val="none"/>
              </w:rPr>
              <w:t>分标</w:t>
            </w:r>
            <w:r>
              <w:rPr>
                <w:color w:val="auto"/>
                <w:szCs w:val="21"/>
                <w:highlight w:val="none"/>
              </w:rPr>
              <w:t>）对应的专用虚拟账号，所交纳的磋商保证金仅限当次项目（</w:t>
            </w:r>
            <w:r>
              <w:rPr>
                <w:rFonts w:hint="eastAsia"/>
                <w:color w:val="auto"/>
                <w:szCs w:val="21"/>
                <w:highlight w:val="none"/>
              </w:rPr>
              <w:t>分标</w:t>
            </w:r>
            <w:r>
              <w:rPr>
                <w:color w:val="auto"/>
                <w:szCs w:val="21"/>
                <w:highlight w:val="none"/>
              </w:rPr>
              <w:t>）有效，不得重复替代使用。本项目磋商保证金</w:t>
            </w:r>
            <w:r>
              <w:rPr>
                <w:rFonts w:hint="eastAsia"/>
                <w:color w:val="auto"/>
                <w:szCs w:val="21"/>
                <w:highlight w:val="none"/>
              </w:rPr>
              <w:t>缴</w:t>
            </w:r>
            <w:r>
              <w:rPr>
                <w:color w:val="auto"/>
                <w:szCs w:val="21"/>
                <w:highlight w:val="none"/>
              </w:rPr>
              <w:t>纳专用虚拟账号信息</w:t>
            </w:r>
            <w:r>
              <w:rPr>
                <w:rFonts w:hint="eastAsia"/>
                <w:color w:val="auto"/>
                <w:szCs w:val="21"/>
                <w:highlight w:val="none"/>
              </w:rPr>
              <w:t>如下：</w:t>
            </w:r>
          </w:p>
          <w:p w14:paraId="6CD99DFE">
            <w:pPr>
              <w:spacing w:line="300" w:lineRule="exact"/>
              <w:jc w:val="left"/>
              <w:rPr>
                <w:color w:val="auto"/>
                <w:szCs w:val="21"/>
                <w:highlight w:val="none"/>
              </w:rPr>
            </w:pPr>
            <w:r>
              <w:rPr>
                <w:rFonts w:hint="eastAsia"/>
                <w:color w:val="auto"/>
                <w:szCs w:val="21"/>
                <w:highlight w:val="none"/>
              </w:rPr>
              <w:t>标项一：</w:t>
            </w:r>
          </w:p>
          <w:p w14:paraId="738F1667">
            <w:pPr>
              <w:spacing w:line="300" w:lineRule="exact"/>
              <w:jc w:val="left"/>
              <w:rPr>
                <w:color w:val="auto"/>
                <w:szCs w:val="21"/>
                <w:highlight w:val="none"/>
              </w:rPr>
            </w:pPr>
            <w:r>
              <w:rPr>
                <w:color w:val="auto"/>
                <w:szCs w:val="21"/>
                <w:highlight w:val="none"/>
              </w:rPr>
              <w:t>开户银行：平安银行南宁分行营业部</w:t>
            </w:r>
          </w:p>
          <w:p w14:paraId="535B5472">
            <w:pPr>
              <w:spacing w:line="300" w:lineRule="exact"/>
              <w:jc w:val="left"/>
              <w:rPr>
                <w:color w:val="auto"/>
                <w:szCs w:val="21"/>
                <w:highlight w:val="none"/>
              </w:rPr>
            </w:pPr>
            <w:r>
              <w:rPr>
                <w:color w:val="auto"/>
                <w:szCs w:val="21"/>
                <w:highlight w:val="none"/>
              </w:rPr>
              <w:t>开户名称：广西机电设备招标有限公司</w:t>
            </w:r>
          </w:p>
          <w:p w14:paraId="71C369F6">
            <w:pPr>
              <w:spacing w:line="300" w:lineRule="exact"/>
              <w:jc w:val="left"/>
              <w:rPr>
                <w:color w:val="auto"/>
                <w:szCs w:val="21"/>
                <w:highlight w:val="none"/>
              </w:rPr>
            </w:pPr>
            <w:r>
              <w:rPr>
                <w:color w:val="auto"/>
                <w:szCs w:val="21"/>
                <w:highlight w:val="none"/>
              </w:rPr>
              <w:t>开户账户：</w:t>
            </w:r>
            <w:r>
              <w:rPr>
                <w:rFonts w:hint="eastAsia"/>
                <w:color w:val="auto"/>
                <w:szCs w:val="21"/>
                <w:highlight w:val="none"/>
              </w:rPr>
              <w:t>30210485749922</w:t>
            </w:r>
          </w:p>
          <w:p w14:paraId="70C4E652">
            <w:pPr>
              <w:spacing w:line="300" w:lineRule="exact"/>
              <w:jc w:val="left"/>
              <w:rPr>
                <w:color w:val="auto"/>
                <w:szCs w:val="21"/>
                <w:highlight w:val="none"/>
              </w:rPr>
            </w:pPr>
            <w:r>
              <w:rPr>
                <w:rFonts w:hint="eastAsia"/>
                <w:color w:val="auto"/>
                <w:szCs w:val="21"/>
                <w:highlight w:val="none"/>
              </w:rPr>
              <w:t>标项二：</w:t>
            </w:r>
          </w:p>
          <w:p w14:paraId="4CC4BD9E">
            <w:pPr>
              <w:spacing w:line="300" w:lineRule="exact"/>
              <w:jc w:val="left"/>
              <w:rPr>
                <w:color w:val="auto"/>
                <w:szCs w:val="21"/>
                <w:highlight w:val="none"/>
              </w:rPr>
            </w:pPr>
            <w:r>
              <w:rPr>
                <w:color w:val="auto"/>
                <w:szCs w:val="21"/>
                <w:highlight w:val="none"/>
              </w:rPr>
              <w:t>开户银行：平安银行南宁分行营业部</w:t>
            </w:r>
          </w:p>
          <w:p w14:paraId="32AB2A8B">
            <w:pPr>
              <w:spacing w:line="300" w:lineRule="exact"/>
              <w:jc w:val="left"/>
              <w:rPr>
                <w:color w:val="auto"/>
                <w:szCs w:val="21"/>
                <w:highlight w:val="none"/>
              </w:rPr>
            </w:pPr>
            <w:r>
              <w:rPr>
                <w:color w:val="auto"/>
                <w:szCs w:val="21"/>
                <w:highlight w:val="none"/>
              </w:rPr>
              <w:t>开户名称：广西机电设备招标有限公司</w:t>
            </w:r>
          </w:p>
          <w:p w14:paraId="6B8BEFA9">
            <w:pPr>
              <w:spacing w:line="300" w:lineRule="exact"/>
              <w:jc w:val="left"/>
              <w:rPr>
                <w:color w:val="auto"/>
                <w:szCs w:val="21"/>
                <w:highlight w:val="none"/>
              </w:rPr>
            </w:pPr>
            <w:r>
              <w:rPr>
                <w:color w:val="auto"/>
                <w:szCs w:val="21"/>
                <w:highlight w:val="none"/>
              </w:rPr>
              <w:t>开户账户：</w:t>
            </w:r>
            <w:r>
              <w:rPr>
                <w:rFonts w:hint="eastAsia"/>
                <w:color w:val="auto"/>
                <w:szCs w:val="21"/>
                <w:highlight w:val="none"/>
              </w:rPr>
              <w:t xml:space="preserve"> 30210485435399</w:t>
            </w:r>
          </w:p>
          <w:p w14:paraId="72760613">
            <w:pPr>
              <w:spacing w:line="300" w:lineRule="exact"/>
              <w:jc w:val="left"/>
              <w:rPr>
                <w:color w:val="auto"/>
                <w:szCs w:val="21"/>
                <w:highlight w:val="none"/>
              </w:rPr>
            </w:pPr>
            <w:r>
              <w:rPr>
                <w:rFonts w:hint="eastAsia"/>
                <w:color w:val="auto"/>
                <w:szCs w:val="21"/>
                <w:highlight w:val="none"/>
              </w:rPr>
              <w:t>标项三：</w:t>
            </w:r>
          </w:p>
          <w:p w14:paraId="34D40575">
            <w:pPr>
              <w:spacing w:line="300" w:lineRule="exact"/>
              <w:jc w:val="left"/>
              <w:rPr>
                <w:color w:val="auto"/>
                <w:szCs w:val="21"/>
                <w:highlight w:val="none"/>
              </w:rPr>
            </w:pPr>
            <w:r>
              <w:rPr>
                <w:color w:val="auto"/>
                <w:szCs w:val="21"/>
                <w:highlight w:val="none"/>
              </w:rPr>
              <w:t>开户银行：平安银行南宁分行营业部</w:t>
            </w:r>
          </w:p>
          <w:p w14:paraId="44E22B67">
            <w:pPr>
              <w:spacing w:line="300" w:lineRule="exact"/>
              <w:jc w:val="left"/>
              <w:rPr>
                <w:color w:val="auto"/>
                <w:szCs w:val="21"/>
                <w:highlight w:val="none"/>
              </w:rPr>
            </w:pPr>
            <w:r>
              <w:rPr>
                <w:color w:val="auto"/>
                <w:szCs w:val="21"/>
                <w:highlight w:val="none"/>
              </w:rPr>
              <w:t>开户名称：广西机电设备招标有限公司</w:t>
            </w:r>
          </w:p>
          <w:p w14:paraId="1EC023E6">
            <w:pPr>
              <w:spacing w:line="300" w:lineRule="exact"/>
              <w:jc w:val="left"/>
              <w:rPr>
                <w:color w:val="auto"/>
                <w:highlight w:val="none"/>
              </w:rPr>
            </w:pPr>
            <w:r>
              <w:rPr>
                <w:color w:val="auto"/>
                <w:szCs w:val="21"/>
                <w:highlight w:val="none"/>
              </w:rPr>
              <w:t>开户账户：</w:t>
            </w:r>
            <w:r>
              <w:rPr>
                <w:rFonts w:hint="eastAsia"/>
                <w:color w:val="auto"/>
                <w:szCs w:val="21"/>
                <w:highlight w:val="none"/>
              </w:rPr>
              <w:t>30210485120876</w:t>
            </w:r>
          </w:p>
          <w:p w14:paraId="4C2E0180">
            <w:pPr>
              <w:spacing w:line="300" w:lineRule="exact"/>
              <w:jc w:val="left"/>
              <w:rPr>
                <w:color w:val="auto"/>
                <w:szCs w:val="21"/>
                <w:highlight w:val="none"/>
              </w:rPr>
            </w:pPr>
            <w:r>
              <w:rPr>
                <w:color w:val="auto"/>
                <w:szCs w:val="21"/>
                <w:highlight w:val="none"/>
              </w:rPr>
              <w:t>特别说明：本项目保证金采用虚拟账号，为保证磋商保证金与项目一一对应，供应商如</w:t>
            </w:r>
            <w:r>
              <w:rPr>
                <w:rFonts w:hint="eastAsia"/>
                <w:color w:val="auto"/>
                <w:szCs w:val="21"/>
                <w:highlight w:val="none"/>
              </w:rPr>
              <w:t>参加</w:t>
            </w:r>
            <w:r>
              <w:rPr>
                <w:color w:val="auto"/>
                <w:szCs w:val="21"/>
                <w:highlight w:val="none"/>
              </w:rPr>
              <w:t>本项目多个</w:t>
            </w:r>
            <w:r>
              <w:rPr>
                <w:rFonts w:hint="eastAsia"/>
                <w:color w:val="auto"/>
                <w:szCs w:val="21"/>
                <w:highlight w:val="none"/>
              </w:rPr>
              <w:t>分标</w:t>
            </w:r>
            <w:r>
              <w:rPr>
                <w:color w:val="auto"/>
                <w:szCs w:val="21"/>
                <w:highlight w:val="none"/>
              </w:rPr>
              <w:t>的</w:t>
            </w:r>
            <w:r>
              <w:rPr>
                <w:rFonts w:hint="eastAsia"/>
                <w:color w:val="auto"/>
                <w:szCs w:val="21"/>
                <w:highlight w:val="none"/>
              </w:rPr>
              <w:t>响应</w:t>
            </w:r>
            <w:r>
              <w:rPr>
                <w:color w:val="auto"/>
                <w:szCs w:val="21"/>
                <w:highlight w:val="none"/>
              </w:rPr>
              <w:t>，应按各</w:t>
            </w:r>
            <w:r>
              <w:rPr>
                <w:rFonts w:hint="eastAsia"/>
                <w:color w:val="auto"/>
                <w:szCs w:val="21"/>
                <w:highlight w:val="none"/>
              </w:rPr>
              <w:t>分标</w:t>
            </w:r>
            <w:r>
              <w:rPr>
                <w:color w:val="auto"/>
                <w:szCs w:val="21"/>
                <w:highlight w:val="none"/>
              </w:rPr>
              <w:t>对应的专用虚拟账号分别</w:t>
            </w:r>
            <w:r>
              <w:rPr>
                <w:rFonts w:hint="eastAsia"/>
                <w:color w:val="auto"/>
                <w:szCs w:val="21"/>
                <w:highlight w:val="none"/>
              </w:rPr>
              <w:t>缴纳</w:t>
            </w:r>
            <w:r>
              <w:rPr>
                <w:color w:val="auto"/>
                <w:szCs w:val="21"/>
                <w:highlight w:val="none"/>
              </w:rPr>
              <w:t>磋商保证金。</w:t>
            </w:r>
          </w:p>
          <w:p w14:paraId="1BFC6844">
            <w:pPr>
              <w:spacing w:line="300" w:lineRule="exact"/>
              <w:jc w:val="left"/>
              <w:rPr>
                <w:color w:val="auto"/>
                <w:szCs w:val="21"/>
                <w:highlight w:val="none"/>
              </w:rPr>
            </w:pPr>
            <w:r>
              <w:rPr>
                <w:rFonts w:hint="eastAsia" w:ascii="宋体" w:hAnsi="宋体"/>
                <w:color w:val="auto"/>
                <w:szCs w:val="21"/>
                <w:highlight w:val="none"/>
              </w:rPr>
              <w:t>（2）</w:t>
            </w:r>
            <w:r>
              <w:rPr>
                <w:color w:val="auto"/>
                <w:szCs w:val="21"/>
                <w:highlight w:val="none"/>
              </w:rPr>
              <w:t>磋商保证金币种应与响应报价币种相同。</w:t>
            </w:r>
            <w:r>
              <w:rPr>
                <w:rFonts w:hint="eastAsia"/>
                <w:color w:val="auto"/>
                <w:szCs w:val="21"/>
                <w:highlight w:val="none"/>
              </w:rPr>
              <w:t>磋商保证金缴纳</w:t>
            </w:r>
            <w:r>
              <w:rPr>
                <w:color w:val="auto"/>
                <w:szCs w:val="21"/>
                <w:highlight w:val="none"/>
              </w:rPr>
              <w:t>后无需开具收据，</w:t>
            </w:r>
            <w:r>
              <w:rPr>
                <w:rFonts w:hint="eastAsia"/>
                <w:color w:val="auto"/>
                <w:szCs w:val="21"/>
                <w:highlight w:val="none"/>
              </w:rPr>
              <w:t>供应商应在响应文件中放入转账底单或电汇凭证的复印件，</w:t>
            </w:r>
            <w:r>
              <w:rPr>
                <w:color w:val="auto"/>
                <w:szCs w:val="21"/>
                <w:highlight w:val="none"/>
              </w:rPr>
              <w:t>必须在</w:t>
            </w:r>
            <w:r>
              <w:rPr>
                <w:rFonts w:hint="eastAsia"/>
                <w:color w:val="auto"/>
                <w:szCs w:val="21"/>
                <w:highlight w:val="none"/>
              </w:rPr>
              <w:t>响应</w:t>
            </w:r>
            <w:r>
              <w:rPr>
                <w:color w:val="auto"/>
                <w:szCs w:val="21"/>
                <w:highlight w:val="none"/>
              </w:rPr>
              <w:t>截</w:t>
            </w:r>
            <w:r>
              <w:rPr>
                <w:rFonts w:hint="eastAsia"/>
                <w:color w:val="auto"/>
                <w:szCs w:val="21"/>
                <w:highlight w:val="none"/>
              </w:rPr>
              <w:t>止</w:t>
            </w:r>
            <w:r>
              <w:rPr>
                <w:color w:val="auto"/>
                <w:szCs w:val="21"/>
                <w:highlight w:val="none"/>
              </w:rPr>
              <w:t>时间之前到达指定账号，其到账时间以银行确认的到账时间为准。</w:t>
            </w:r>
          </w:p>
          <w:p w14:paraId="3D38A73C">
            <w:pPr>
              <w:spacing w:line="300" w:lineRule="exact"/>
              <w:jc w:val="left"/>
              <w:rPr>
                <w:color w:val="auto"/>
                <w:szCs w:val="21"/>
                <w:highlight w:val="none"/>
              </w:rPr>
            </w:pPr>
            <w:r>
              <w:rPr>
                <w:rFonts w:hint="eastAsia" w:ascii="宋体" w:hAnsi="宋体"/>
                <w:color w:val="auto"/>
                <w:szCs w:val="21"/>
                <w:highlight w:val="none"/>
              </w:rPr>
              <w:t>（3）</w:t>
            </w:r>
            <w:r>
              <w:rPr>
                <w:color w:val="auto"/>
                <w:szCs w:val="21"/>
                <w:highlight w:val="none"/>
              </w:rPr>
              <w:t>除</w:t>
            </w:r>
            <w:r>
              <w:rPr>
                <w:rFonts w:hint="eastAsia"/>
                <w:color w:val="auto"/>
                <w:szCs w:val="21"/>
                <w:highlight w:val="none"/>
              </w:rPr>
              <w:t>采购文件</w:t>
            </w:r>
            <w:r>
              <w:rPr>
                <w:color w:val="auto"/>
                <w:szCs w:val="21"/>
                <w:highlight w:val="none"/>
              </w:rPr>
              <w:t>规定不予退还保证金的情形外，采购代理机构</w:t>
            </w:r>
            <w:r>
              <w:rPr>
                <w:rFonts w:hint="eastAsia"/>
                <w:color w:val="auto"/>
                <w:szCs w:val="21"/>
                <w:highlight w:val="none"/>
              </w:rPr>
              <w:t>在法定时间内通过银行原路</w:t>
            </w:r>
            <w:r>
              <w:rPr>
                <w:color w:val="auto"/>
                <w:szCs w:val="21"/>
                <w:highlight w:val="none"/>
              </w:rPr>
              <w:t>退</w:t>
            </w:r>
            <w:r>
              <w:rPr>
                <w:rFonts w:hint="eastAsia"/>
                <w:color w:val="auto"/>
                <w:szCs w:val="21"/>
                <w:highlight w:val="none"/>
              </w:rPr>
              <w:t>还保证金至供应商缴纳账户。供应商</w:t>
            </w:r>
            <w:r>
              <w:rPr>
                <w:color w:val="auto"/>
                <w:szCs w:val="21"/>
                <w:highlight w:val="none"/>
              </w:rPr>
              <w:t>自行承担</w:t>
            </w:r>
            <w:r>
              <w:rPr>
                <w:rFonts w:hint="eastAsia"/>
                <w:color w:val="auto"/>
                <w:szCs w:val="21"/>
                <w:highlight w:val="none"/>
              </w:rPr>
              <w:t>交纳保证金后未参加响应活动或磋商保证金缴纳错误而</w:t>
            </w:r>
            <w:r>
              <w:rPr>
                <w:color w:val="auto"/>
                <w:szCs w:val="21"/>
                <w:highlight w:val="none"/>
              </w:rPr>
              <w:t>导致</w:t>
            </w:r>
            <w:r>
              <w:rPr>
                <w:rFonts w:hint="eastAsia"/>
                <w:color w:val="auto"/>
                <w:szCs w:val="21"/>
                <w:highlight w:val="none"/>
              </w:rPr>
              <w:t>磋商保证金</w:t>
            </w:r>
            <w:r>
              <w:rPr>
                <w:color w:val="auto"/>
                <w:szCs w:val="21"/>
                <w:highlight w:val="none"/>
              </w:rPr>
              <w:t>无法及时退还的责任</w:t>
            </w:r>
            <w:r>
              <w:rPr>
                <w:rFonts w:hint="eastAsia"/>
                <w:color w:val="auto"/>
                <w:szCs w:val="21"/>
                <w:highlight w:val="none"/>
              </w:rPr>
              <w:t>。</w:t>
            </w:r>
          </w:p>
          <w:p w14:paraId="41747AEB">
            <w:pPr>
              <w:spacing w:line="300" w:lineRule="exact"/>
              <w:jc w:val="left"/>
              <w:rPr>
                <w:color w:val="auto"/>
                <w:szCs w:val="21"/>
                <w:highlight w:val="none"/>
              </w:rPr>
            </w:pPr>
            <w:r>
              <w:rPr>
                <w:rFonts w:hint="eastAsia"/>
                <w:color w:val="auto"/>
                <w:szCs w:val="21"/>
                <w:highlight w:val="none"/>
              </w:rPr>
              <w:t>2、缴纳方式二：</w:t>
            </w:r>
          </w:p>
          <w:p w14:paraId="2C9C6635">
            <w:pPr>
              <w:spacing w:line="300" w:lineRule="exact"/>
              <w:jc w:val="left"/>
              <w:rPr>
                <w:color w:val="auto"/>
                <w:szCs w:val="21"/>
                <w:highlight w:val="none"/>
              </w:rPr>
            </w:pPr>
            <w:r>
              <w:rPr>
                <w:rFonts w:hint="eastAsia"/>
                <w:color w:val="auto"/>
                <w:szCs w:val="21"/>
                <w:highlight w:val="none"/>
              </w:rPr>
              <w:t>供应商可于响应截止时间前选择支票、汇票、本票或金融机构、担保机构出具的保函等非现金形式缴纳的，供应商应在响应文件中放入支票、汇票、本票或金融机构、担保机构出具的保函的复印件，保函出具格式详见第六章响应文件格式，在响应截止时间前，供应商必须以现场提交或邮寄方式向采购代理机构递交支票、汇票、本票或者保函原件，保证金原件放入一个密封袋中，并在封口处加盖供应商公章或被授权人签字，在封套上标记“项目名称（项目编号）响应保证金”字样。具体收件地址、收件人及联系电话详见磋商公告。</w:t>
            </w:r>
          </w:p>
          <w:p w14:paraId="0709DB1F">
            <w:pPr>
              <w:spacing w:line="300" w:lineRule="exact"/>
              <w:jc w:val="left"/>
              <w:rPr>
                <w:color w:val="auto"/>
                <w:szCs w:val="21"/>
                <w:highlight w:val="none"/>
              </w:rPr>
            </w:pPr>
            <w:r>
              <w:rPr>
                <w:rFonts w:hint="eastAsia"/>
                <w:color w:val="auto"/>
                <w:szCs w:val="21"/>
                <w:highlight w:val="none"/>
              </w:rPr>
              <w:t>3、响应保证金有下列情形之一的，视为保证金无效：</w:t>
            </w:r>
          </w:p>
          <w:p w14:paraId="2027DBE7">
            <w:pPr>
              <w:spacing w:line="300" w:lineRule="exact"/>
              <w:jc w:val="left"/>
              <w:rPr>
                <w:color w:val="auto"/>
                <w:szCs w:val="21"/>
                <w:highlight w:val="none"/>
              </w:rPr>
            </w:pPr>
            <w:r>
              <w:rPr>
                <w:rFonts w:hint="eastAsia"/>
                <w:color w:val="auto"/>
                <w:szCs w:val="21"/>
                <w:highlight w:val="none"/>
              </w:rPr>
              <w:t>（1）保证金在响应截止时间后提交的，或者不按规定交纳方式交纳的，或者未足额交纳的（包含保函额度不足的）的；</w:t>
            </w:r>
          </w:p>
          <w:p w14:paraId="342BE3C4">
            <w:pPr>
              <w:spacing w:line="300" w:lineRule="exact"/>
              <w:jc w:val="left"/>
              <w:rPr>
                <w:color w:val="auto"/>
                <w:szCs w:val="21"/>
                <w:highlight w:val="none"/>
              </w:rPr>
            </w:pPr>
            <w:r>
              <w:rPr>
                <w:rFonts w:hint="eastAsia"/>
                <w:color w:val="auto"/>
                <w:szCs w:val="21"/>
                <w:highlight w:val="none"/>
              </w:rPr>
              <w:t>（2）支票、汇票或者本票出现无效或者背书情形的；</w:t>
            </w:r>
          </w:p>
          <w:p w14:paraId="12CDAE8C">
            <w:pPr>
              <w:spacing w:line="300" w:lineRule="exact"/>
              <w:jc w:val="left"/>
              <w:rPr>
                <w:color w:val="auto"/>
                <w:szCs w:val="21"/>
                <w:highlight w:val="none"/>
              </w:rPr>
            </w:pPr>
            <w:r>
              <w:rPr>
                <w:rFonts w:hint="eastAsia"/>
                <w:color w:val="auto"/>
                <w:szCs w:val="21"/>
                <w:highlight w:val="none"/>
              </w:rPr>
              <w:t>（3）保函有效期低于响应有效期的；</w:t>
            </w:r>
          </w:p>
          <w:p w14:paraId="77ADEA40">
            <w:pPr>
              <w:spacing w:line="300" w:lineRule="exact"/>
              <w:jc w:val="left"/>
              <w:rPr>
                <w:color w:val="auto"/>
                <w:szCs w:val="21"/>
                <w:highlight w:val="none"/>
              </w:rPr>
            </w:pPr>
            <w:r>
              <w:rPr>
                <w:rFonts w:hint="eastAsia"/>
                <w:color w:val="auto"/>
                <w:szCs w:val="21"/>
                <w:highlight w:val="none"/>
              </w:rPr>
              <w:t>（4）非金融机构、担保机构出具保函的、非无条件保函的。</w:t>
            </w:r>
          </w:p>
          <w:p w14:paraId="66009EB2">
            <w:pPr>
              <w:spacing w:line="300" w:lineRule="exact"/>
              <w:jc w:val="left"/>
              <w:rPr>
                <w:color w:val="auto"/>
                <w:szCs w:val="21"/>
                <w:highlight w:val="none"/>
              </w:rPr>
            </w:pPr>
            <w:r>
              <w:rPr>
                <w:rFonts w:hint="eastAsia"/>
                <w:color w:val="auto"/>
                <w:szCs w:val="21"/>
                <w:highlight w:val="none"/>
              </w:rPr>
              <w:t>4、财务部联系电话：0771-2821398</w:t>
            </w:r>
          </w:p>
          <w:p w14:paraId="40D4FFD6">
            <w:pPr>
              <w:spacing w:line="300" w:lineRule="exact"/>
              <w:jc w:val="left"/>
              <w:rPr>
                <w:b/>
                <w:bCs/>
                <w:color w:val="auto"/>
                <w:szCs w:val="21"/>
                <w:highlight w:val="none"/>
              </w:rPr>
            </w:pPr>
            <w:r>
              <w:rPr>
                <w:rFonts w:hint="eastAsia"/>
                <w:b/>
                <w:bCs/>
                <w:color w:val="auto"/>
                <w:szCs w:val="21"/>
                <w:highlight w:val="none"/>
              </w:rPr>
              <w:t>注：为保证磋商保证金退还的及时性与便利性，鼓励优先采用方式一递交磋商保证金。</w:t>
            </w:r>
          </w:p>
        </w:tc>
      </w:tr>
      <w:tr w14:paraId="37E712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vAlign w:val="center"/>
          </w:tcPr>
          <w:p w14:paraId="0BD332F4">
            <w:pPr>
              <w:spacing w:line="300" w:lineRule="exact"/>
              <w:jc w:val="center"/>
              <w:rPr>
                <w:b/>
                <w:color w:val="auto"/>
                <w:szCs w:val="21"/>
                <w:highlight w:val="none"/>
              </w:rPr>
            </w:pPr>
            <w:r>
              <w:rPr>
                <w:rFonts w:hint="eastAsia"/>
                <w:b/>
                <w:color w:val="auto"/>
                <w:szCs w:val="21"/>
                <w:highlight w:val="none"/>
              </w:rPr>
              <w:t>3</w:t>
            </w:r>
            <w:r>
              <w:rPr>
                <w:b/>
                <w:color w:val="auto"/>
                <w:szCs w:val="21"/>
                <w:highlight w:val="none"/>
              </w:rPr>
              <w:t>.6</w:t>
            </w:r>
          </w:p>
        </w:tc>
        <w:tc>
          <w:tcPr>
            <w:tcW w:w="1248" w:type="dxa"/>
            <w:tcBorders>
              <w:top w:val="single" w:color="auto" w:sz="4" w:space="0"/>
              <w:left w:val="single" w:color="auto" w:sz="4" w:space="0"/>
              <w:right w:val="single" w:color="auto" w:sz="4" w:space="0"/>
            </w:tcBorders>
            <w:vAlign w:val="center"/>
          </w:tcPr>
          <w:p w14:paraId="4056766F">
            <w:pPr>
              <w:spacing w:line="300" w:lineRule="exact"/>
              <w:jc w:val="center"/>
              <w:rPr>
                <w:color w:val="auto"/>
                <w:szCs w:val="21"/>
                <w:highlight w:val="none"/>
              </w:rPr>
            </w:pPr>
            <w:r>
              <w:rPr>
                <w:rFonts w:hint="eastAsia"/>
                <w:color w:val="auto"/>
                <w:szCs w:val="21"/>
                <w:highlight w:val="none"/>
              </w:rPr>
              <w:t>响应文件的编制</w:t>
            </w:r>
          </w:p>
        </w:tc>
        <w:tc>
          <w:tcPr>
            <w:tcW w:w="7229" w:type="dxa"/>
            <w:tcBorders>
              <w:top w:val="single" w:color="auto" w:sz="4" w:space="0"/>
              <w:left w:val="single" w:color="auto" w:sz="4" w:space="0"/>
              <w:right w:val="single" w:color="auto" w:sz="4" w:space="0"/>
            </w:tcBorders>
            <w:vAlign w:val="center"/>
          </w:tcPr>
          <w:p w14:paraId="500A5837">
            <w:pPr>
              <w:spacing w:line="300" w:lineRule="exact"/>
              <w:jc w:val="left"/>
              <w:rPr>
                <w:color w:val="auto"/>
                <w:szCs w:val="21"/>
                <w:highlight w:val="none"/>
              </w:rPr>
            </w:pPr>
            <w:r>
              <w:rPr>
                <w:rFonts w:hint="eastAsia" w:hAnsi="宋体"/>
                <w:color w:val="auto"/>
                <w:szCs w:val="21"/>
                <w:highlight w:val="none"/>
              </w:rPr>
              <w:t>响应文件应按第六章响应文件格式分别编制并使用下载的广西政府采购云平台新版客户端制作并上传。</w:t>
            </w:r>
          </w:p>
        </w:tc>
      </w:tr>
      <w:tr w14:paraId="29517A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vAlign w:val="center"/>
          </w:tcPr>
          <w:p w14:paraId="36B598B2">
            <w:pPr>
              <w:spacing w:line="300" w:lineRule="exact"/>
              <w:jc w:val="center"/>
              <w:rPr>
                <w:b/>
                <w:color w:val="auto"/>
                <w:szCs w:val="21"/>
                <w:highlight w:val="none"/>
              </w:rPr>
            </w:pPr>
            <w:r>
              <w:rPr>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vAlign w:val="center"/>
          </w:tcPr>
          <w:p w14:paraId="6FAFA925">
            <w:pPr>
              <w:spacing w:line="300" w:lineRule="exact"/>
              <w:jc w:val="center"/>
              <w:rPr>
                <w:color w:val="auto"/>
                <w:szCs w:val="21"/>
                <w:highlight w:val="none"/>
              </w:rPr>
            </w:pPr>
            <w:r>
              <w:rPr>
                <w:color w:val="auto"/>
                <w:szCs w:val="21"/>
                <w:highlight w:val="none"/>
              </w:rPr>
              <w:t>响应文件递交</w:t>
            </w:r>
            <w:r>
              <w:rPr>
                <w:rFonts w:hint="eastAsia"/>
                <w:color w:val="auto"/>
                <w:szCs w:val="21"/>
                <w:highlight w:val="none"/>
              </w:rPr>
              <w:t>截止时间及截标时间</w:t>
            </w:r>
          </w:p>
        </w:tc>
        <w:tc>
          <w:tcPr>
            <w:tcW w:w="7229" w:type="dxa"/>
            <w:tcBorders>
              <w:top w:val="single" w:color="auto" w:sz="4" w:space="0"/>
              <w:left w:val="single" w:color="auto" w:sz="4" w:space="0"/>
              <w:bottom w:val="single" w:color="auto" w:sz="4" w:space="0"/>
              <w:right w:val="single" w:color="auto" w:sz="4" w:space="0"/>
            </w:tcBorders>
            <w:vAlign w:val="center"/>
          </w:tcPr>
          <w:p w14:paraId="40F8F165">
            <w:pPr>
              <w:spacing w:line="300" w:lineRule="exact"/>
              <w:jc w:val="left"/>
              <w:rPr>
                <w:color w:val="auto"/>
                <w:szCs w:val="21"/>
                <w:highlight w:val="none"/>
              </w:rPr>
            </w:pPr>
            <w:r>
              <w:rPr>
                <w:rFonts w:hint="eastAsia"/>
                <w:color w:val="auto"/>
                <w:kern w:val="0"/>
                <w:szCs w:val="21"/>
                <w:highlight w:val="none"/>
              </w:rPr>
              <w:t>见磋商公告要求</w:t>
            </w:r>
            <w:r>
              <w:rPr>
                <w:rFonts w:hint="eastAsia"/>
                <w:color w:val="auto"/>
                <w:szCs w:val="21"/>
                <w:highlight w:val="none"/>
              </w:rPr>
              <w:t>。</w:t>
            </w:r>
          </w:p>
        </w:tc>
      </w:tr>
      <w:tr w14:paraId="60975C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35D15234">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.2</w:t>
            </w:r>
          </w:p>
        </w:tc>
        <w:tc>
          <w:tcPr>
            <w:tcW w:w="1248" w:type="dxa"/>
            <w:tcBorders>
              <w:top w:val="single" w:color="auto" w:sz="4" w:space="0"/>
              <w:left w:val="single" w:color="auto" w:sz="4" w:space="0"/>
              <w:bottom w:val="single" w:color="auto" w:sz="4" w:space="0"/>
              <w:right w:val="single" w:color="auto" w:sz="4" w:space="0"/>
            </w:tcBorders>
            <w:vAlign w:val="center"/>
          </w:tcPr>
          <w:p w14:paraId="3A4B62BE">
            <w:pPr>
              <w:spacing w:line="300" w:lineRule="exact"/>
              <w:jc w:val="center"/>
              <w:rPr>
                <w:color w:val="auto"/>
                <w:szCs w:val="20"/>
                <w:highlight w:val="none"/>
              </w:rPr>
            </w:pPr>
            <w:r>
              <w:rPr>
                <w:rFonts w:hint="eastAsia"/>
                <w:color w:val="auto"/>
                <w:szCs w:val="21"/>
                <w:highlight w:val="none"/>
              </w:rPr>
              <w:t>备份响应文件</w:t>
            </w:r>
          </w:p>
        </w:tc>
        <w:tc>
          <w:tcPr>
            <w:tcW w:w="7229" w:type="dxa"/>
            <w:tcBorders>
              <w:top w:val="single" w:color="auto" w:sz="4" w:space="0"/>
              <w:left w:val="single" w:color="auto" w:sz="4" w:space="0"/>
              <w:bottom w:val="single" w:color="auto" w:sz="4" w:space="0"/>
              <w:right w:val="single" w:color="auto" w:sz="4" w:space="0"/>
            </w:tcBorders>
            <w:vAlign w:val="center"/>
          </w:tcPr>
          <w:p w14:paraId="7917E24B">
            <w:pPr>
              <w:spacing w:line="276" w:lineRule="auto"/>
              <w:rPr>
                <w:rFonts w:hint="eastAsia" w:ascii="宋体" w:hAnsi="宋体"/>
                <w:color w:val="auto"/>
                <w:szCs w:val="21"/>
                <w:highlight w:val="none"/>
              </w:rPr>
            </w:pPr>
            <w:r>
              <w:rPr>
                <w:rFonts w:hint="eastAsia" w:ascii="宋体" w:hAnsi="宋体"/>
                <w:color w:val="auto"/>
                <w:szCs w:val="21"/>
                <w:highlight w:val="none"/>
              </w:rPr>
              <w:t>本项目</w:t>
            </w:r>
            <w:r>
              <w:rPr>
                <w:color w:val="auto"/>
                <w:sz w:val="22"/>
                <w:szCs w:val="22"/>
                <w:highlight w:val="none"/>
              </w:rPr>
              <w:sym w:font="Wingdings 2" w:char="F052"/>
            </w:r>
            <w:r>
              <w:rPr>
                <w:rFonts w:hint="eastAsia"/>
                <w:color w:val="auto"/>
                <w:szCs w:val="21"/>
                <w:highlight w:val="none"/>
              </w:rPr>
              <w:t>接受   □不接受</w:t>
            </w:r>
            <w:r>
              <w:rPr>
                <w:rFonts w:hint="eastAsia" w:ascii="宋体" w:hAnsi="宋体"/>
                <w:color w:val="auto"/>
                <w:szCs w:val="21"/>
                <w:highlight w:val="none"/>
              </w:rPr>
              <w:t>备份响应文件</w:t>
            </w:r>
          </w:p>
          <w:p w14:paraId="24515E32">
            <w:pPr>
              <w:spacing w:line="276" w:lineRule="auto"/>
              <w:rPr>
                <w:color w:val="auto"/>
                <w:sz w:val="22"/>
                <w:szCs w:val="22"/>
                <w:highlight w:val="none"/>
              </w:rPr>
            </w:pPr>
            <w:r>
              <w:rPr>
                <w:rFonts w:hint="eastAsia" w:ascii="宋体" w:hAnsi="宋体"/>
                <w:color w:val="auto"/>
                <w:szCs w:val="21"/>
                <w:highlight w:val="none"/>
              </w:rPr>
              <w:t>以广西政府采购云平台自动生成的备份文件为依据，当项目允许接受备份响应文件时，供应商才可以按规定上传备份响应文件。</w:t>
            </w:r>
          </w:p>
        </w:tc>
      </w:tr>
      <w:tr w14:paraId="71B062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29D33733">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.3</w:t>
            </w:r>
          </w:p>
        </w:tc>
        <w:tc>
          <w:tcPr>
            <w:tcW w:w="1248" w:type="dxa"/>
            <w:tcBorders>
              <w:top w:val="single" w:color="auto" w:sz="4" w:space="0"/>
              <w:left w:val="single" w:color="auto" w:sz="4" w:space="0"/>
              <w:bottom w:val="single" w:color="auto" w:sz="4" w:space="0"/>
              <w:right w:val="single" w:color="auto" w:sz="4" w:space="0"/>
            </w:tcBorders>
            <w:vAlign w:val="center"/>
          </w:tcPr>
          <w:p w14:paraId="26F964FD">
            <w:pPr>
              <w:spacing w:line="300" w:lineRule="exact"/>
              <w:jc w:val="center"/>
              <w:rPr>
                <w:color w:val="auto"/>
                <w:szCs w:val="21"/>
                <w:highlight w:val="none"/>
              </w:rPr>
            </w:pPr>
            <w:r>
              <w:rPr>
                <w:rFonts w:hint="eastAsia"/>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48A3FFFF">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否   □是</w:t>
            </w:r>
          </w:p>
          <w:p w14:paraId="56A0BB6B">
            <w:pPr>
              <w:spacing w:line="276" w:lineRule="auto"/>
              <w:rPr>
                <w:color w:val="auto"/>
                <w:szCs w:val="21"/>
                <w:highlight w:val="none"/>
                <w:u w:val="single"/>
              </w:rPr>
            </w:pPr>
            <w:r>
              <w:rPr>
                <w:rFonts w:hint="eastAsia"/>
                <w:color w:val="auto"/>
                <w:szCs w:val="21"/>
                <w:highlight w:val="none"/>
              </w:rPr>
              <w:t>演示内容：</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w:t>
            </w:r>
            <w:r>
              <w:rPr>
                <w:color w:val="auto"/>
                <w:szCs w:val="21"/>
                <w:highlight w:val="none"/>
                <w:u w:val="single"/>
              </w:rPr>
              <w:t xml:space="preserve">        </w:t>
            </w:r>
          </w:p>
          <w:p w14:paraId="6F42D348">
            <w:pPr>
              <w:spacing w:line="276" w:lineRule="auto"/>
              <w:rPr>
                <w:color w:val="auto"/>
                <w:szCs w:val="21"/>
                <w:highlight w:val="none"/>
              </w:rPr>
            </w:pPr>
            <w:r>
              <w:rPr>
                <w:rFonts w:hint="eastAsia"/>
                <w:color w:val="auto"/>
                <w:szCs w:val="21"/>
                <w:highlight w:val="none"/>
              </w:rPr>
              <w:t>演示形式：</w:t>
            </w:r>
            <w:r>
              <w:rPr>
                <w:color w:val="auto"/>
                <w:szCs w:val="21"/>
                <w:highlight w:val="none"/>
                <w:u w:val="single"/>
              </w:rPr>
              <w:t xml:space="preserve"> </w:t>
            </w:r>
            <w:r>
              <w:rPr>
                <w:rFonts w:hint="eastAsia"/>
                <w:color w:val="auto"/>
                <w:szCs w:val="21"/>
                <w:highlight w:val="none"/>
                <w:u w:val="single"/>
              </w:rPr>
              <w:t>/</w:t>
            </w:r>
          </w:p>
        </w:tc>
      </w:tr>
      <w:tr w14:paraId="3A0D4D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6AF428E">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vAlign w:val="center"/>
          </w:tcPr>
          <w:p w14:paraId="5C98F85B">
            <w:pPr>
              <w:spacing w:line="300" w:lineRule="exact"/>
              <w:jc w:val="center"/>
              <w:rPr>
                <w:color w:val="auto"/>
                <w:szCs w:val="21"/>
                <w:highlight w:val="none"/>
              </w:rPr>
            </w:pPr>
            <w:r>
              <w:rPr>
                <w:rFonts w:hint="eastAsia"/>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737CB2CB">
            <w:pPr>
              <w:spacing w:line="276" w:lineRule="auto"/>
              <w:rPr>
                <w:color w:val="auto"/>
                <w:szCs w:val="21"/>
                <w:highlight w:val="none"/>
              </w:rPr>
            </w:pPr>
            <w:r>
              <w:rPr>
                <w:color w:val="auto"/>
                <w:sz w:val="24"/>
                <w:highlight w:val="none"/>
              </w:rPr>
              <w:sym w:font="Wingdings 2" w:char="F052"/>
            </w:r>
            <w:r>
              <w:rPr>
                <w:rFonts w:hint="eastAsia"/>
                <w:color w:val="auto"/>
                <w:szCs w:val="21"/>
                <w:highlight w:val="none"/>
              </w:rPr>
              <w:t>否   □是</w:t>
            </w:r>
          </w:p>
          <w:p w14:paraId="11E3F9A1">
            <w:pPr>
              <w:spacing w:line="276" w:lineRule="auto"/>
              <w:rPr>
                <w:color w:val="auto"/>
                <w:szCs w:val="21"/>
                <w:highlight w:val="none"/>
                <w:u w:val="single"/>
              </w:rPr>
            </w:pPr>
            <w:r>
              <w:rPr>
                <w:rFonts w:hint="eastAsia"/>
                <w:color w:val="auto"/>
                <w:szCs w:val="21"/>
                <w:highlight w:val="none"/>
              </w:rPr>
              <w:t>样品制作的标准和要求：</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w:t>
            </w:r>
            <w:r>
              <w:rPr>
                <w:color w:val="auto"/>
                <w:szCs w:val="21"/>
                <w:highlight w:val="none"/>
                <w:u w:val="single"/>
              </w:rPr>
              <w:t xml:space="preserve">      </w:t>
            </w:r>
          </w:p>
          <w:p w14:paraId="71EC4DE8">
            <w:pPr>
              <w:spacing w:line="276" w:lineRule="auto"/>
              <w:rPr>
                <w:color w:val="auto"/>
                <w:szCs w:val="21"/>
                <w:highlight w:val="none"/>
                <w:u w:val="single"/>
              </w:rPr>
            </w:pPr>
            <w:r>
              <w:rPr>
                <w:rFonts w:hint="eastAsia"/>
                <w:color w:val="auto"/>
                <w:szCs w:val="21"/>
                <w:highlight w:val="none"/>
              </w:rPr>
              <w:t>样品检测机构的要求：</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w:t>
            </w:r>
            <w:r>
              <w:rPr>
                <w:color w:val="auto"/>
                <w:szCs w:val="21"/>
                <w:highlight w:val="none"/>
                <w:u w:val="single"/>
              </w:rPr>
              <w:t xml:space="preserve">       </w:t>
            </w:r>
          </w:p>
          <w:p w14:paraId="1175B4DF">
            <w:pPr>
              <w:spacing w:line="276" w:lineRule="auto"/>
              <w:rPr>
                <w:color w:val="auto"/>
                <w:szCs w:val="21"/>
                <w:highlight w:val="none"/>
                <w:u w:val="single"/>
              </w:rPr>
            </w:pPr>
            <w:r>
              <w:rPr>
                <w:rFonts w:hint="eastAsia"/>
                <w:color w:val="auto"/>
                <w:szCs w:val="21"/>
                <w:highlight w:val="none"/>
              </w:rPr>
              <w:t>检测内容：</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w:t>
            </w:r>
            <w:r>
              <w:rPr>
                <w:color w:val="auto"/>
                <w:szCs w:val="21"/>
                <w:highlight w:val="none"/>
                <w:u w:val="single"/>
              </w:rPr>
              <w:t xml:space="preserve">         </w:t>
            </w:r>
          </w:p>
          <w:p w14:paraId="6BA87E97">
            <w:pPr>
              <w:spacing w:line="276" w:lineRule="auto"/>
              <w:rPr>
                <w:color w:val="auto"/>
                <w:szCs w:val="21"/>
                <w:highlight w:val="none"/>
              </w:rPr>
            </w:pPr>
            <w:r>
              <w:rPr>
                <w:rFonts w:hint="eastAsia"/>
                <w:color w:val="auto"/>
                <w:szCs w:val="21"/>
                <w:highlight w:val="none"/>
              </w:rPr>
              <w:t>样品递交方式：</w:t>
            </w:r>
            <w:r>
              <w:rPr>
                <w:color w:val="auto"/>
                <w:szCs w:val="21"/>
                <w:highlight w:val="none"/>
                <w:u w:val="single"/>
              </w:rPr>
              <w:t xml:space="preserve"> </w:t>
            </w:r>
            <w:r>
              <w:rPr>
                <w:rFonts w:hint="eastAsia"/>
                <w:color w:val="auto"/>
                <w:szCs w:val="21"/>
                <w:highlight w:val="none"/>
                <w:u w:val="single"/>
              </w:rPr>
              <w:t>/</w:t>
            </w:r>
          </w:p>
        </w:tc>
      </w:tr>
      <w:tr w14:paraId="687914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2B6EC7DB">
            <w:pPr>
              <w:spacing w:line="300" w:lineRule="exact"/>
              <w:jc w:val="center"/>
              <w:rPr>
                <w:b/>
                <w:color w:val="auto"/>
                <w:szCs w:val="21"/>
                <w:highlight w:val="none"/>
              </w:rPr>
            </w:pPr>
            <w:r>
              <w:rPr>
                <w:b/>
                <w:color w:val="auto"/>
                <w:szCs w:val="21"/>
                <w:highlight w:val="none"/>
                <w:lang w:bidi="ar"/>
              </w:rPr>
              <w:t>6.3.5</w:t>
            </w:r>
          </w:p>
        </w:tc>
        <w:tc>
          <w:tcPr>
            <w:tcW w:w="1248" w:type="dxa"/>
            <w:tcBorders>
              <w:top w:val="single" w:color="auto" w:sz="4" w:space="0"/>
              <w:left w:val="single" w:color="auto" w:sz="4" w:space="0"/>
              <w:bottom w:val="single" w:color="auto" w:sz="4" w:space="0"/>
              <w:right w:val="single" w:color="auto" w:sz="4" w:space="0"/>
            </w:tcBorders>
            <w:vAlign w:val="center"/>
          </w:tcPr>
          <w:p w14:paraId="53F5E53D">
            <w:pPr>
              <w:spacing w:line="300" w:lineRule="exact"/>
              <w:jc w:val="center"/>
              <w:rPr>
                <w:color w:val="auto"/>
                <w:szCs w:val="20"/>
                <w:highlight w:val="none"/>
              </w:rPr>
            </w:pPr>
            <w:r>
              <w:rPr>
                <w:rFonts w:hint="eastAsia" w:cs="宋体"/>
                <w:color w:val="auto"/>
                <w:szCs w:val="21"/>
                <w:highlight w:val="none"/>
                <w:lang w:bidi="ar"/>
              </w:rPr>
              <w:t>异常低价审查</w:t>
            </w:r>
          </w:p>
        </w:tc>
        <w:tc>
          <w:tcPr>
            <w:tcW w:w="7229" w:type="dxa"/>
            <w:tcBorders>
              <w:top w:val="single" w:color="auto" w:sz="4" w:space="0"/>
              <w:left w:val="single" w:color="auto" w:sz="4" w:space="0"/>
              <w:bottom w:val="single" w:color="auto" w:sz="4" w:space="0"/>
              <w:right w:val="single" w:color="auto" w:sz="4" w:space="0"/>
            </w:tcBorders>
            <w:vAlign w:val="center"/>
          </w:tcPr>
          <w:p w14:paraId="1B683658">
            <w:pPr>
              <w:spacing w:line="300" w:lineRule="exact"/>
              <w:jc w:val="left"/>
              <w:rPr>
                <w:color w:val="auto"/>
                <w:szCs w:val="21"/>
                <w:highlight w:val="none"/>
              </w:rPr>
            </w:pPr>
            <w:r>
              <w:rPr>
                <w:rFonts w:hint="eastAsia"/>
                <w:color w:val="auto"/>
                <w:szCs w:val="21"/>
                <w:highlight w:val="none"/>
              </w:rPr>
              <w:t>☑评审中出现下列情形之一的，评审委员会应当启动异常低价响应审查程序：</w:t>
            </w:r>
          </w:p>
          <w:p w14:paraId="07F99800">
            <w:pPr>
              <w:spacing w:line="276" w:lineRule="auto"/>
              <w:rPr>
                <w:color w:val="auto"/>
                <w:szCs w:val="21"/>
                <w:highlight w:val="none"/>
              </w:rPr>
            </w:pPr>
            <w:r>
              <w:rPr>
                <w:rFonts w:hint="eastAsia"/>
                <w:color w:val="auto"/>
                <w:szCs w:val="21"/>
                <w:highlight w:val="none"/>
              </w:rPr>
              <w:t>（1）投标（响应）报价低于全部通过符合性审查供应商投标（响应）报价平均值50%的，即投标（响应）报价&lt;全部通过符合性审查供应商投标（响应）报价平均值×50%；</w:t>
            </w:r>
          </w:p>
          <w:p w14:paraId="0D48FD2A">
            <w:pPr>
              <w:spacing w:line="276" w:lineRule="auto"/>
              <w:rPr>
                <w:color w:val="auto"/>
                <w:szCs w:val="21"/>
                <w:highlight w:val="none"/>
              </w:rPr>
            </w:pPr>
            <w:r>
              <w:rPr>
                <w:rFonts w:hint="eastAsia"/>
                <w:color w:val="auto"/>
                <w:szCs w:val="21"/>
                <w:highlight w:val="none"/>
              </w:rPr>
              <w:t>（2）投标（响应）报价低于通过符合性审查的次低报价供应商投标（响应）报价50%的，即投标（响应）报价&lt;通过符合性审查的次低报价供应商投标（响应）报价×50%；</w:t>
            </w:r>
          </w:p>
          <w:p w14:paraId="4424DA79">
            <w:pPr>
              <w:spacing w:line="276" w:lineRule="auto"/>
              <w:rPr>
                <w:color w:val="auto"/>
                <w:szCs w:val="21"/>
                <w:highlight w:val="none"/>
              </w:rPr>
            </w:pPr>
            <w:r>
              <w:rPr>
                <w:rFonts w:hint="eastAsia"/>
                <w:color w:val="auto"/>
                <w:szCs w:val="21"/>
                <w:highlight w:val="none"/>
              </w:rPr>
              <w:t>（3）投标（响应）报价低于采购项目最高限价45%的，即投标（响应）报价&lt;采购项目最高限价×45%；</w:t>
            </w:r>
          </w:p>
          <w:p w14:paraId="54DE1FDC">
            <w:pPr>
              <w:spacing w:line="276" w:lineRule="auto"/>
              <w:rPr>
                <w:color w:val="auto"/>
                <w:szCs w:val="21"/>
                <w:highlight w:val="none"/>
              </w:rPr>
            </w:pPr>
            <w:r>
              <w:rPr>
                <w:rFonts w:hint="eastAsia"/>
                <w:color w:val="auto"/>
                <w:szCs w:val="21"/>
                <w:highlight w:val="none"/>
              </w:rPr>
              <w:t>（4）评审委员会基于专业判断，认为供应商报价过低，有可能影响产品质量或者不能诚信履约的其他情形。</w:t>
            </w:r>
          </w:p>
        </w:tc>
      </w:tr>
      <w:tr w14:paraId="6B098E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08212E63">
            <w:pPr>
              <w:spacing w:line="300" w:lineRule="exact"/>
              <w:jc w:val="center"/>
              <w:rPr>
                <w:b/>
                <w:color w:val="auto"/>
                <w:szCs w:val="21"/>
                <w:highlight w:val="none"/>
              </w:rPr>
            </w:pPr>
            <w:r>
              <w:rPr>
                <w:b/>
                <w:color w:val="auto"/>
                <w:szCs w:val="21"/>
                <w:highlight w:val="none"/>
              </w:rPr>
              <w:t>6.5</w:t>
            </w:r>
            <w:r>
              <w:rPr>
                <w:rFonts w:hint="eastAsia"/>
                <w:b/>
                <w:color w:val="auto"/>
                <w:szCs w:val="21"/>
                <w:highlight w:val="none"/>
              </w:rPr>
              <w:t>.1</w:t>
            </w:r>
          </w:p>
        </w:tc>
        <w:tc>
          <w:tcPr>
            <w:tcW w:w="1248" w:type="dxa"/>
            <w:tcBorders>
              <w:top w:val="single" w:color="auto" w:sz="4" w:space="0"/>
              <w:left w:val="single" w:color="auto" w:sz="4" w:space="0"/>
              <w:bottom w:val="single" w:color="auto" w:sz="4" w:space="0"/>
              <w:right w:val="single" w:color="auto" w:sz="4" w:space="0"/>
            </w:tcBorders>
            <w:vAlign w:val="center"/>
          </w:tcPr>
          <w:p w14:paraId="7BFD3ADE">
            <w:pPr>
              <w:spacing w:line="300" w:lineRule="exact"/>
              <w:jc w:val="center"/>
              <w:rPr>
                <w:color w:val="auto"/>
                <w:szCs w:val="21"/>
                <w:highlight w:val="none"/>
              </w:rPr>
            </w:pPr>
            <w:r>
              <w:rPr>
                <w:rFonts w:hint="eastAsia"/>
                <w:color w:val="auto"/>
                <w:szCs w:val="21"/>
                <w:highlight w:val="none"/>
              </w:rPr>
              <w:t>结果</w:t>
            </w:r>
            <w:r>
              <w:rPr>
                <w:color w:val="auto"/>
                <w:szCs w:val="21"/>
                <w:highlight w:val="none"/>
              </w:rPr>
              <w:t>公告</w:t>
            </w:r>
          </w:p>
        </w:tc>
        <w:tc>
          <w:tcPr>
            <w:tcW w:w="7229" w:type="dxa"/>
            <w:tcBorders>
              <w:top w:val="single" w:color="auto" w:sz="4" w:space="0"/>
              <w:left w:val="single" w:color="auto" w:sz="4" w:space="0"/>
              <w:bottom w:val="single" w:color="auto" w:sz="4" w:space="0"/>
              <w:right w:val="single" w:color="auto" w:sz="4" w:space="0"/>
            </w:tcBorders>
            <w:vAlign w:val="center"/>
          </w:tcPr>
          <w:p w14:paraId="3CC84B9D">
            <w:pPr>
              <w:spacing w:line="300" w:lineRule="exact"/>
              <w:jc w:val="left"/>
              <w:rPr>
                <w:color w:val="auto"/>
                <w:szCs w:val="21"/>
                <w:highlight w:val="none"/>
              </w:rPr>
            </w:pPr>
            <w:r>
              <w:rPr>
                <w:color w:val="auto"/>
                <w:szCs w:val="21"/>
                <w:highlight w:val="none"/>
              </w:rPr>
              <w:t>采购代理机构在采购人依法确认成交供应商后2个工作日内在磋商公告发布的媒体上发布</w:t>
            </w:r>
            <w:r>
              <w:rPr>
                <w:rFonts w:hint="eastAsia"/>
                <w:color w:val="auto"/>
                <w:szCs w:val="21"/>
                <w:highlight w:val="none"/>
              </w:rPr>
              <w:t>结果</w:t>
            </w:r>
            <w:r>
              <w:rPr>
                <w:color w:val="auto"/>
                <w:szCs w:val="21"/>
                <w:highlight w:val="none"/>
              </w:rPr>
              <w:t>公告</w:t>
            </w:r>
            <w:r>
              <w:rPr>
                <w:rFonts w:hint="eastAsia"/>
                <w:color w:val="auto"/>
                <w:szCs w:val="21"/>
                <w:highlight w:val="none"/>
              </w:rPr>
              <w:t>。</w:t>
            </w:r>
          </w:p>
        </w:tc>
      </w:tr>
      <w:tr w14:paraId="63744F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68A6844F">
            <w:pPr>
              <w:spacing w:line="300" w:lineRule="exact"/>
              <w:jc w:val="center"/>
              <w:rPr>
                <w:b/>
                <w:color w:val="auto"/>
                <w:szCs w:val="21"/>
                <w:highlight w:val="none"/>
              </w:rPr>
            </w:pPr>
            <w:r>
              <w:rPr>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vAlign w:val="center"/>
          </w:tcPr>
          <w:p w14:paraId="572EA955">
            <w:pPr>
              <w:spacing w:line="300" w:lineRule="exact"/>
              <w:jc w:val="center"/>
              <w:rPr>
                <w:color w:val="auto"/>
                <w:szCs w:val="21"/>
                <w:highlight w:val="none"/>
              </w:rPr>
            </w:pPr>
            <w:r>
              <w:rPr>
                <w:rFonts w:hint="eastAsia"/>
                <w:color w:val="auto"/>
                <w:szCs w:val="21"/>
                <w:highlight w:val="none"/>
              </w:rPr>
              <w:t>成交通知书</w:t>
            </w:r>
          </w:p>
        </w:tc>
        <w:tc>
          <w:tcPr>
            <w:tcW w:w="7229" w:type="dxa"/>
            <w:tcBorders>
              <w:top w:val="single" w:color="auto" w:sz="4" w:space="0"/>
              <w:left w:val="single" w:color="auto" w:sz="4" w:space="0"/>
              <w:bottom w:val="single" w:color="auto" w:sz="4" w:space="0"/>
              <w:right w:val="single" w:color="auto" w:sz="4" w:space="0"/>
            </w:tcBorders>
            <w:vAlign w:val="center"/>
          </w:tcPr>
          <w:p w14:paraId="34230B87">
            <w:pPr>
              <w:spacing w:line="300" w:lineRule="exact"/>
              <w:jc w:val="left"/>
              <w:rPr>
                <w:color w:val="auto"/>
                <w:szCs w:val="21"/>
                <w:highlight w:val="none"/>
              </w:rPr>
            </w:pPr>
            <w:r>
              <w:rPr>
                <w:rFonts w:hint="eastAsia"/>
                <w:color w:val="auto"/>
                <w:szCs w:val="21"/>
                <w:highlight w:val="none"/>
              </w:rPr>
              <w:t>采购代理机构通过广西政府采购云平台发出</w:t>
            </w:r>
            <w:r>
              <w:rPr>
                <w:color w:val="auto"/>
                <w:szCs w:val="21"/>
                <w:highlight w:val="none"/>
              </w:rPr>
              <w:t>成交通知书。</w:t>
            </w:r>
          </w:p>
          <w:p w14:paraId="3F7E183A">
            <w:pPr>
              <w:spacing w:line="300" w:lineRule="exact"/>
              <w:jc w:val="left"/>
              <w:rPr>
                <w:color w:val="auto"/>
                <w:szCs w:val="21"/>
                <w:highlight w:val="none"/>
              </w:rPr>
            </w:pPr>
            <w:r>
              <w:rPr>
                <w:rFonts w:hint="eastAsia"/>
                <w:color w:val="auto"/>
                <w:szCs w:val="21"/>
                <w:highlight w:val="none"/>
              </w:rPr>
              <w:t>成交通知书在广西政府采购云平台推送之日起，视为成交供应商已收到，成交供应商自行承担未及时查收的后果。</w:t>
            </w:r>
          </w:p>
        </w:tc>
      </w:tr>
      <w:tr w14:paraId="20734A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001200FB">
            <w:pPr>
              <w:spacing w:line="300" w:lineRule="exact"/>
              <w:jc w:val="center"/>
              <w:rPr>
                <w:b/>
                <w:color w:val="auto"/>
                <w:szCs w:val="21"/>
                <w:highlight w:val="none"/>
              </w:rPr>
            </w:pPr>
            <w:r>
              <w:rPr>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vAlign w:val="center"/>
          </w:tcPr>
          <w:p w14:paraId="4DBC5AC6">
            <w:pPr>
              <w:spacing w:line="300" w:lineRule="exact"/>
              <w:jc w:val="center"/>
              <w:rPr>
                <w:color w:val="auto"/>
                <w:szCs w:val="21"/>
                <w:highlight w:val="none"/>
              </w:rPr>
            </w:pPr>
            <w:r>
              <w:rPr>
                <w:rFonts w:hint="eastAsia"/>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4DF3439C">
            <w:pPr>
              <w:spacing w:line="300" w:lineRule="exact"/>
              <w:jc w:val="left"/>
              <w:rPr>
                <w:color w:val="auto"/>
                <w:szCs w:val="21"/>
                <w:highlight w:val="none"/>
              </w:rPr>
            </w:pPr>
            <w:r>
              <w:rPr>
                <w:rFonts w:hint="eastAsia"/>
                <w:color w:val="auto"/>
                <w:szCs w:val="21"/>
                <w:highlight w:val="none"/>
              </w:rPr>
              <w:t>（1）供应商</w:t>
            </w:r>
            <w:r>
              <w:rPr>
                <w:color w:val="auto"/>
                <w:szCs w:val="21"/>
                <w:highlight w:val="none"/>
              </w:rPr>
              <w:t>认为</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w:t>
            </w:r>
            <w:r>
              <w:rPr>
                <w:rFonts w:hint="eastAsia"/>
                <w:color w:val="auto"/>
                <w:szCs w:val="21"/>
                <w:highlight w:val="none"/>
              </w:rPr>
              <w:t>中标或者成交</w:t>
            </w:r>
            <w:r>
              <w:rPr>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color w:val="auto"/>
                <w:szCs w:val="21"/>
                <w:highlight w:val="none"/>
              </w:rPr>
              <w:t>向采购人、采购代理机构提出质疑。提出质疑的</w:t>
            </w:r>
            <w:r>
              <w:rPr>
                <w:rFonts w:hint="eastAsia"/>
                <w:color w:val="auto"/>
                <w:szCs w:val="21"/>
                <w:highlight w:val="none"/>
              </w:rPr>
              <w:t>供应商</w:t>
            </w:r>
            <w:r>
              <w:rPr>
                <w:color w:val="auto"/>
                <w:szCs w:val="21"/>
                <w:highlight w:val="none"/>
              </w:rPr>
              <w:t>必须是参与本项目采购活动的供应商</w:t>
            </w:r>
            <w:r>
              <w:rPr>
                <w:rFonts w:hint="eastAsia"/>
                <w:color w:val="auto"/>
                <w:szCs w:val="21"/>
                <w:highlight w:val="none"/>
              </w:rPr>
              <w:t>，并须在</w:t>
            </w:r>
            <w:r>
              <w:rPr>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08758B72">
            <w:pPr>
              <w:spacing w:line="300" w:lineRule="exact"/>
              <w:jc w:val="left"/>
              <w:rPr>
                <w:color w:val="auto"/>
                <w:szCs w:val="21"/>
                <w:highlight w:val="none"/>
              </w:rPr>
            </w:pPr>
            <w:r>
              <w:rPr>
                <w:rFonts w:hint="eastAsia"/>
                <w:color w:val="auto"/>
                <w:szCs w:val="21"/>
                <w:highlight w:val="none"/>
              </w:rPr>
              <w:t>（2）</w:t>
            </w:r>
            <w:r>
              <w:rPr>
                <w:color w:val="auto"/>
                <w:szCs w:val="21"/>
                <w:highlight w:val="none"/>
              </w:rPr>
              <w:t>本项目不接受传真、移动通信</w:t>
            </w:r>
            <w:r>
              <w:rPr>
                <w:rFonts w:hint="eastAsia"/>
                <w:color w:val="auto"/>
                <w:szCs w:val="21"/>
                <w:highlight w:val="none"/>
              </w:rPr>
              <w:t>、广西政府采购云平台</w:t>
            </w:r>
            <w:r>
              <w:rPr>
                <w:color w:val="auto"/>
                <w:szCs w:val="21"/>
                <w:highlight w:val="none"/>
              </w:rPr>
              <w:t>等</w:t>
            </w:r>
            <w:r>
              <w:rPr>
                <w:rFonts w:hint="eastAsia"/>
                <w:color w:val="auto"/>
                <w:szCs w:val="21"/>
                <w:highlight w:val="none"/>
              </w:rPr>
              <w:t>方式</w:t>
            </w:r>
            <w:r>
              <w:rPr>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，供应商可通过现场或邮寄方式递交书面质疑材料。供应商应于质疑有效期内将质疑函原件递交或邮寄至磋商公告中采购代理机构信息中的联系人。</w:t>
            </w:r>
          </w:p>
        </w:tc>
      </w:tr>
      <w:tr w14:paraId="25FAE9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37" w:type="dxa"/>
            <w:tcBorders>
              <w:top w:val="single" w:color="auto" w:sz="4" w:space="0"/>
              <w:left w:val="single" w:color="auto" w:sz="4" w:space="0"/>
              <w:bottom w:val="single" w:color="auto" w:sz="4" w:space="0"/>
              <w:right w:val="single" w:color="auto" w:sz="4" w:space="0"/>
            </w:tcBorders>
            <w:vAlign w:val="center"/>
          </w:tcPr>
          <w:p w14:paraId="02070297">
            <w:pPr>
              <w:spacing w:line="300" w:lineRule="exact"/>
              <w:jc w:val="center"/>
              <w:rPr>
                <w:b/>
                <w:color w:val="auto"/>
                <w:szCs w:val="21"/>
                <w:highlight w:val="none"/>
              </w:rPr>
            </w:pPr>
            <w:r>
              <w:rPr>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vAlign w:val="center"/>
          </w:tcPr>
          <w:p w14:paraId="61FB0ABC">
            <w:pPr>
              <w:spacing w:line="300" w:lineRule="exact"/>
              <w:jc w:val="center"/>
              <w:rPr>
                <w:color w:val="auto"/>
                <w:szCs w:val="21"/>
                <w:highlight w:val="none"/>
              </w:rPr>
            </w:pPr>
            <w:r>
              <w:rPr>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76D7AAC2">
            <w:pPr>
              <w:rPr>
                <w:color w:val="auto"/>
                <w:szCs w:val="21"/>
                <w:highlight w:val="none"/>
              </w:rPr>
            </w:pPr>
            <w:r>
              <w:rPr>
                <w:color w:val="auto"/>
                <w:szCs w:val="21"/>
                <w:highlight w:val="none"/>
              </w:rPr>
              <w:t>（1）</w:t>
            </w:r>
            <w:r>
              <w:rPr>
                <w:color w:val="auto"/>
                <w:szCs w:val="20"/>
                <w:highlight w:val="none"/>
              </w:rPr>
              <w:t>代理服务费</w:t>
            </w:r>
          </w:p>
          <w:p w14:paraId="4ABECADD">
            <w:pPr>
              <w:spacing w:line="300" w:lineRule="exact"/>
              <w:jc w:val="left"/>
              <w:rPr>
                <w:color w:val="auto"/>
                <w:szCs w:val="21"/>
                <w:highlight w:val="none"/>
              </w:rPr>
            </w:pPr>
            <w:r>
              <w:rPr>
                <w:color w:val="auto"/>
                <w:szCs w:val="21"/>
                <w:highlight w:val="none"/>
              </w:rPr>
              <w:sym w:font="Wingdings 2" w:char="F052"/>
            </w:r>
            <w:r>
              <w:rPr>
                <w:color w:val="auto"/>
                <w:szCs w:val="21"/>
                <w:highlight w:val="none"/>
              </w:rPr>
              <w:t>采购代理机构向成交供应商收取代理服务费。本项目代理服务费</w:t>
            </w:r>
            <w:r>
              <w:rPr>
                <w:rFonts w:hint="eastAsia"/>
                <w:color w:val="auto"/>
                <w:szCs w:val="21"/>
                <w:highlight w:val="none"/>
              </w:rPr>
              <w:t>按照</w:t>
            </w:r>
            <w:r>
              <w:rPr>
                <w:color w:val="auto"/>
                <w:szCs w:val="21"/>
                <w:highlight w:val="none"/>
              </w:rPr>
              <w:t>《招标代理服务费管理暂行办法》 (计价格﹝2002﹞1980号)、《国家发展改革委关于降低部分建设项目收费标准规范收费行为等有关问题的通知》(发改价格﹝2011﹞534号)</w:t>
            </w:r>
            <w:r>
              <w:rPr>
                <w:rFonts w:hint="eastAsia"/>
                <w:color w:val="auto"/>
                <w:szCs w:val="21"/>
                <w:highlight w:val="none"/>
              </w:rPr>
              <w:t>的</w:t>
            </w:r>
            <w:r>
              <w:rPr>
                <w:color w:val="auto"/>
                <w:szCs w:val="21"/>
                <w:highlight w:val="none"/>
              </w:rPr>
              <w:t>规定</w:t>
            </w:r>
            <w:r>
              <w:rPr>
                <w:rFonts w:hint="eastAsia"/>
                <w:color w:val="auto"/>
                <w:szCs w:val="21"/>
                <w:highlight w:val="none"/>
              </w:rPr>
              <w:t>采用</w:t>
            </w:r>
            <w:r>
              <w:rPr>
                <w:color w:val="auto"/>
                <w:szCs w:val="21"/>
                <w:highlight w:val="none"/>
              </w:rPr>
              <w:t>差额定率累进</w:t>
            </w:r>
            <w:r>
              <w:rPr>
                <w:rFonts w:hint="eastAsia"/>
                <w:color w:val="auto"/>
                <w:szCs w:val="21"/>
                <w:highlight w:val="none"/>
              </w:rPr>
              <w:t>法下浮50%</w:t>
            </w:r>
            <w:r>
              <w:rPr>
                <w:color w:val="auto"/>
                <w:szCs w:val="21"/>
                <w:highlight w:val="none"/>
              </w:rPr>
              <w:t>计算</w:t>
            </w:r>
            <w:r>
              <w:rPr>
                <w:rFonts w:hint="eastAsia"/>
                <w:color w:val="auto"/>
                <w:szCs w:val="21"/>
                <w:highlight w:val="none"/>
              </w:rPr>
              <w:t>，</w:t>
            </w:r>
            <w:r>
              <w:rPr>
                <w:rFonts w:hint="eastAsia"/>
                <w:color w:val="auto"/>
                <w:szCs w:val="21"/>
                <w:highlight w:val="none"/>
                <w:u w:val="single"/>
              </w:rPr>
              <w:t>不足3000元的按3000元收取。</w:t>
            </w:r>
            <w:r>
              <w:rPr>
                <w:color w:val="auto"/>
                <w:szCs w:val="21"/>
                <w:highlight w:val="none"/>
              </w:rPr>
              <w:t>具体费率</w:t>
            </w:r>
            <w:r>
              <w:rPr>
                <w:rFonts w:hint="eastAsia"/>
                <w:color w:val="auto"/>
                <w:szCs w:val="21"/>
                <w:highlight w:val="none"/>
              </w:rPr>
              <w:t>如下：</w:t>
            </w:r>
          </w:p>
          <w:p w14:paraId="147959D4">
            <w:pPr>
              <w:spacing w:line="300" w:lineRule="exact"/>
              <w:jc w:val="left"/>
              <w:rPr>
                <w:color w:val="auto"/>
                <w:szCs w:val="21"/>
                <w:highlight w:val="none"/>
              </w:rPr>
            </w:pPr>
            <w:r>
              <w:rPr>
                <w:rFonts w:hint="eastAsia"/>
                <w:color w:val="auto"/>
                <w:szCs w:val="21"/>
                <w:highlight w:val="none"/>
              </w:rPr>
              <w:t>①成交金额在1</w:t>
            </w:r>
            <w:r>
              <w:rPr>
                <w:color w:val="auto"/>
                <w:szCs w:val="21"/>
                <w:highlight w:val="none"/>
              </w:rPr>
              <w:t>00</w:t>
            </w:r>
            <w:r>
              <w:rPr>
                <w:rFonts w:hint="eastAsia"/>
                <w:color w:val="auto"/>
                <w:szCs w:val="21"/>
                <w:highlight w:val="none"/>
              </w:rPr>
              <w:t>万元以下的：</w:t>
            </w:r>
          </w:p>
          <w:p w14:paraId="0E77CFD1">
            <w:pPr>
              <w:spacing w:line="300" w:lineRule="exact"/>
              <w:jc w:val="left"/>
              <w:rPr>
                <w:color w:val="auto"/>
                <w:szCs w:val="21"/>
                <w:highlight w:val="none"/>
              </w:rPr>
            </w:pPr>
            <w:r>
              <w:rPr>
                <w:rFonts w:hint="eastAsia"/>
                <w:color w:val="auto"/>
                <w:szCs w:val="21"/>
                <w:highlight w:val="none"/>
              </w:rPr>
              <w:t>货物</w:t>
            </w:r>
            <w:r>
              <w:rPr>
                <w:color w:val="auto"/>
                <w:szCs w:val="21"/>
                <w:highlight w:val="none"/>
              </w:rPr>
              <w:t>1.5％</w:t>
            </w:r>
            <w:r>
              <w:rPr>
                <w:rFonts w:hint="eastAsia"/>
                <w:color w:val="auto"/>
                <w:szCs w:val="21"/>
                <w:highlight w:val="none"/>
              </w:rPr>
              <w:t>；</w:t>
            </w:r>
            <w:r>
              <w:rPr>
                <w:color w:val="auto"/>
                <w:szCs w:val="21"/>
                <w:highlight w:val="none"/>
              </w:rPr>
              <w:t>服务招标1.5％</w:t>
            </w:r>
            <w:r>
              <w:rPr>
                <w:rFonts w:hint="eastAsia"/>
                <w:color w:val="auto"/>
                <w:szCs w:val="21"/>
                <w:highlight w:val="none"/>
              </w:rPr>
              <w:t>；</w:t>
            </w:r>
            <w:r>
              <w:rPr>
                <w:color w:val="auto"/>
                <w:szCs w:val="21"/>
                <w:highlight w:val="none"/>
              </w:rPr>
              <w:t>工程招标1.0％</w:t>
            </w:r>
            <w:r>
              <w:rPr>
                <w:rFonts w:hint="eastAsia"/>
                <w:color w:val="auto"/>
                <w:szCs w:val="21"/>
                <w:highlight w:val="none"/>
              </w:rPr>
              <w:t>；</w:t>
            </w:r>
          </w:p>
          <w:p w14:paraId="256C4870">
            <w:pPr>
              <w:spacing w:line="300" w:lineRule="exact"/>
              <w:jc w:val="left"/>
              <w:rPr>
                <w:color w:val="auto"/>
                <w:szCs w:val="21"/>
                <w:highlight w:val="none"/>
              </w:rPr>
            </w:pPr>
            <w:r>
              <w:rPr>
                <w:rFonts w:hint="eastAsia"/>
                <w:color w:val="auto"/>
                <w:szCs w:val="21"/>
                <w:highlight w:val="none"/>
              </w:rPr>
              <w:t>②成交金额在</w:t>
            </w:r>
            <w:r>
              <w:rPr>
                <w:color w:val="auto"/>
                <w:szCs w:val="21"/>
                <w:highlight w:val="none"/>
              </w:rPr>
              <w:t>100-500</w:t>
            </w:r>
            <w:r>
              <w:rPr>
                <w:rFonts w:hint="eastAsia"/>
                <w:color w:val="auto"/>
                <w:szCs w:val="21"/>
                <w:highlight w:val="none"/>
              </w:rPr>
              <w:t>万元之间：</w:t>
            </w:r>
          </w:p>
          <w:p w14:paraId="4623BD6A">
            <w:pPr>
              <w:spacing w:line="300" w:lineRule="exact"/>
              <w:jc w:val="left"/>
              <w:rPr>
                <w:color w:val="auto"/>
                <w:szCs w:val="21"/>
                <w:highlight w:val="none"/>
              </w:rPr>
            </w:pPr>
            <w:r>
              <w:rPr>
                <w:rFonts w:hint="eastAsia"/>
                <w:color w:val="auto"/>
                <w:szCs w:val="21"/>
                <w:highlight w:val="none"/>
              </w:rPr>
              <w:t>货物</w:t>
            </w:r>
            <w:r>
              <w:rPr>
                <w:color w:val="auto"/>
                <w:szCs w:val="21"/>
                <w:highlight w:val="none"/>
              </w:rPr>
              <w:t>1.1％</w:t>
            </w:r>
            <w:r>
              <w:rPr>
                <w:rFonts w:hint="eastAsia"/>
                <w:color w:val="auto"/>
                <w:szCs w:val="21"/>
                <w:highlight w:val="none"/>
              </w:rPr>
              <w:t>；</w:t>
            </w:r>
            <w:r>
              <w:rPr>
                <w:color w:val="auto"/>
                <w:szCs w:val="21"/>
                <w:highlight w:val="none"/>
              </w:rPr>
              <w:t>服务招标0.8％</w:t>
            </w:r>
            <w:r>
              <w:rPr>
                <w:rFonts w:hint="eastAsia"/>
                <w:color w:val="auto"/>
                <w:szCs w:val="21"/>
                <w:highlight w:val="none"/>
              </w:rPr>
              <w:t>；</w:t>
            </w:r>
            <w:r>
              <w:rPr>
                <w:color w:val="auto"/>
                <w:szCs w:val="21"/>
                <w:highlight w:val="none"/>
              </w:rPr>
              <w:t>工程招标0.7％</w:t>
            </w:r>
            <w:r>
              <w:rPr>
                <w:rFonts w:hint="eastAsia"/>
                <w:color w:val="auto"/>
                <w:szCs w:val="21"/>
                <w:highlight w:val="none"/>
              </w:rPr>
              <w:t>；</w:t>
            </w:r>
          </w:p>
          <w:p w14:paraId="64266558">
            <w:pPr>
              <w:spacing w:line="300" w:lineRule="exact"/>
              <w:jc w:val="left"/>
              <w:rPr>
                <w:color w:val="auto"/>
                <w:szCs w:val="21"/>
                <w:highlight w:val="none"/>
              </w:rPr>
            </w:pPr>
            <w:r>
              <w:rPr>
                <w:rFonts w:hint="eastAsia"/>
                <w:color w:val="auto"/>
                <w:szCs w:val="21"/>
                <w:highlight w:val="none"/>
              </w:rPr>
              <w:t>③成交金额在</w:t>
            </w:r>
            <w:r>
              <w:rPr>
                <w:color w:val="auto"/>
                <w:szCs w:val="21"/>
                <w:highlight w:val="none"/>
              </w:rPr>
              <w:t>5</w:t>
            </w:r>
            <w:r>
              <w:rPr>
                <w:rFonts w:hint="eastAsia"/>
                <w:color w:val="auto"/>
                <w:szCs w:val="21"/>
                <w:highlight w:val="none"/>
              </w:rPr>
              <w:t>0</w:t>
            </w:r>
            <w:r>
              <w:rPr>
                <w:color w:val="auto"/>
                <w:szCs w:val="21"/>
                <w:highlight w:val="none"/>
              </w:rPr>
              <w:t>0-1</w:t>
            </w:r>
            <w:r>
              <w:rPr>
                <w:rFonts w:hint="eastAsia"/>
                <w:color w:val="auto"/>
                <w:szCs w:val="21"/>
                <w:highlight w:val="none"/>
              </w:rPr>
              <w:t>00</w:t>
            </w:r>
            <w:r>
              <w:rPr>
                <w:color w:val="auto"/>
                <w:szCs w:val="21"/>
                <w:highlight w:val="none"/>
              </w:rPr>
              <w:t>0</w:t>
            </w:r>
            <w:r>
              <w:rPr>
                <w:rFonts w:hint="eastAsia"/>
                <w:color w:val="auto"/>
                <w:szCs w:val="21"/>
                <w:highlight w:val="none"/>
              </w:rPr>
              <w:t>万元之间：</w:t>
            </w:r>
          </w:p>
          <w:p w14:paraId="300AD901">
            <w:pPr>
              <w:spacing w:line="300" w:lineRule="exact"/>
              <w:jc w:val="left"/>
              <w:rPr>
                <w:color w:val="auto"/>
                <w:szCs w:val="21"/>
                <w:highlight w:val="none"/>
              </w:rPr>
            </w:pPr>
            <w:r>
              <w:rPr>
                <w:rFonts w:hint="eastAsia"/>
                <w:color w:val="auto"/>
                <w:szCs w:val="21"/>
                <w:highlight w:val="none"/>
              </w:rPr>
              <w:t>货物</w:t>
            </w:r>
            <w:r>
              <w:rPr>
                <w:color w:val="auto"/>
                <w:szCs w:val="21"/>
                <w:highlight w:val="none"/>
              </w:rPr>
              <w:t>0.8％</w:t>
            </w:r>
            <w:r>
              <w:rPr>
                <w:rFonts w:hint="eastAsia"/>
                <w:color w:val="auto"/>
                <w:szCs w:val="21"/>
                <w:highlight w:val="none"/>
              </w:rPr>
              <w:t>；</w:t>
            </w:r>
            <w:r>
              <w:rPr>
                <w:color w:val="auto"/>
                <w:szCs w:val="21"/>
                <w:highlight w:val="none"/>
              </w:rPr>
              <w:t>服务招标0.45％</w:t>
            </w:r>
            <w:r>
              <w:rPr>
                <w:rFonts w:hint="eastAsia"/>
                <w:color w:val="auto"/>
                <w:szCs w:val="21"/>
                <w:highlight w:val="none"/>
              </w:rPr>
              <w:t>；</w:t>
            </w:r>
            <w:r>
              <w:rPr>
                <w:color w:val="auto"/>
                <w:szCs w:val="21"/>
                <w:highlight w:val="none"/>
              </w:rPr>
              <w:t>工程招标0.55％</w:t>
            </w:r>
            <w:r>
              <w:rPr>
                <w:rFonts w:hint="eastAsia"/>
                <w:color w:val="auto"/>
                <w:szCs w:val="21"/>
                <w:highlight w:val="none"/>
              </w:rPr>
              <w:t>；</w:t>
            </w:r>
          </w:p>
          <w:p w14:paraId="2B33D4C1">
            <w:pPr>
              <w:spacing w:line="300" w:lineRule="exact"/>
              <w:jc w:val="left"/>
              <w:rPr>
                <w:color w:val="auto"/>
                <w:szCs w:val="21"/>
                <w:highlight w:val="none"/>
              </w:rPr>
            </w:pPr>
            <w:r>
              <w:rPr>
                <w:rFonts w:hint="eastAsia"/>
                <w:color w:val="auto"/>
                <w:szCs w:val="21"/>
                <w:highlight w:val="none"/>
              </w:rPr>
              <w:t>④成交金额在</w:t>
            </w:r>
            <w:r>
              <w:rPr>
                <w:color w:val="auto"/>
                <w:szCs w:val="21"/>
                <w:highlight w:val="none"/>
              </w:rPr>
              <w:t>1000-5000</w:t>
            </w:r>
            <w:r>
              <w:rPr>
                <w:rFonts w:hint="eastAsia"/>
                <w:color w:val="auto"/>
                <w:szCs w:val="21"/>
                <w:highlight w:val="none"/>
              </w:rPr>
              <w:t>万元之间：</w:t>
            </w:r>
          </w:p>
          <w:p w14:paraId="7E75BE56">
            <w:pPr>
              <w:spacing w:line="300" w:lineRule="exact"/>
              <w:jc w:val="left"/>
              <w:rPr>
                <w:color w:val="auto"/>
                <w:szCs w:val="21"/>
                <w:highlight w:val="none"/>
              </w:rPr>
            </w:pPr>
            <w:r>
              <w:rPr>
                <w:rFonts w:hint="eastAsia"/>
                <w:color w:val="auto"/>
                <w:szCs w:val="21"/>
                <w:highlight w:val="none"/>
              </w:rPr>
              <w:t>货物</w:t>
            </w:r>
            <w:r>
              <w:rPr>
                <w:color w:val="auto"/>
                <w:szCs w:val="21"/>
                <w:highlight w:val="none"/>
              </w:rPr>
              <w:t>0.5％</w:t>
            </w:r>
            <w:r>
              <w:rPr>
                <w:rFonts w:hint="eastAsia"/>
                <w:color w:val="auto"/>
                <w:szCs w:val="21"/>
                <w:highlight w:val="none"/>
              </w:rPr>
              <w:t>；</w:t>
            </w:r>
            <w:r>
              <w:rPr>
                <w:color w:val="auto"/>
                <w:szCs w:val="21"/>
                <w:highlight w:val="none"/>
              </w:rPr>
              <w:t>服务招标0.25％</w:t>
            </w:r>
            <w:r>
              <w:rPr>
                <w:rFonts w:hint="eastAsia"/>
                <w:color w:val="auto"/>
                <w:szCs w:val="21"/>
                <w:highlight w:val="none"/>
              </w:rPr>
              <w:t>；</w:t>
            </w:r>
            <w:r>
              <w:rPr>
                <w:color w:val="auto"/>
                <w:szCs w:val="21"/>
                <w:highlight w:val="none"/>
              </w:rPr>
              <w:t>工程招标0.35％</w:t>
            </w:r>
            <w:r>
              <w:rPr>
                <w:rFonts w:hint="eastAsia"/>
                <w:color w:val="auto"/>
                <w:szCs w:val="21"/>
                <w:highlight w:val="none"/>
              </w:rPr>
              <w:t>；</w:t>
            </w:r>
          </w:p>
          <w:p w14:paraId="0613DB5D">
            <w:pPr>
              <w:spacing w:line="300" w:lineRule="exact"/>
              <w:jc w:val="left"/>
              <w:rPr>
                <w:color w:val="auto"/>
                <w:szCs w:val="21"/>
                <w:highlight w:val="none"/>
              </w:rPr>
            </w:pPr>
            <w:r>
              <w:rPr>
                <w:rFonts w:hint="eastAsia"/>
                <w:color w:val="auto"/>
                <w:szCs w:val="21"/>
                <w:highlight w:val="none"/>
              </w:rPr>
              <w:t>……</w:t>
            </w:r>
          </w:p>
          <w:p w14:paraId="42D32479">
            <w:pPr>
              <w:spacing w:line="300" w:lineRule="exact"/>
              <w:jc w:val="left"/>
              <w:rPr>
                <w:color w:val="auto"/>
                <w:szCs w:val="21"/>
                <w:highlight w:val="none"/>
              </w:rPr>
            </w:pP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过程示例：</w:t>
            </w:r>
          </w:p>
          <w:p w14:paraId="392B1DCF">
            <w:pPr>
              <w:spacing w:line="300" w:lineRule="exact"/>
              <w:jc w:val="left"/>
              <w:rPr>
                <w:color w:val="auto"/>
                <w:szCs w:val="21"/>
                <w:highlight w:val="none"/>
              </w:rPr>
            </w:pPr>
            <w:r>
              <w:rPr>
                <w:color w:val="auto"/>
                <w:szCs w:val="21"/>
                <w:highlight w:val="none"/>
              </w:rPr>
              <w:t>例如：某货物招标代理业务成交金额为300万元，招标代理服务费金额按如下计算：</w:t>
            </w:r>
          </w:p>
          <w:p w14:paraId="46235E99">
            <w:pPr>
              <w:spacing w:line="300" w:lineRule="exact"/>
              <w:jc w:val="left"/>
              <w:rPr>
                <w:color w:val="auto"/>
                <w:szCs w:val="21"/>
                <w:highlight w:val="none"/>
              </w:rPr>
            </w:pPr>
            <w:r>
              <w:rPr>
                <w:color w:val="auto"/>
                <w:szCs w:val="21"/>
                <w:highlight w:val="none"/>
              </w:rPr>
              <w:t>100万元×1.5%＝1.5万元</w:t>
            </w:r>
          </w:p>
          <w:p w14:paraId="55F0E999">
            <w:pPr>
              <w:spacing w:line="300" w:lineRule="exact"/>
              <w:jc w:val="left"/>
              <w:rPr>
                <w:color w:val="auto"/>
                <w:szCs w:val="21"/>
                <w:highlight w:val="none"/>
              </w:rPr>
            </w:pPr>
            <w:r>
              <w:rPr>
                <w:color w:val="auto"/>
                <w:szCs w:val="21"/>
                <w:highlight w:val="none"/>
              </w:rPr>
              <w:t>（300－100）万元×1.1%＝2.2万元</w:t>
            </w:r>
          </w:p>
          <w:p w14:paraId="163E8081">
            <w:pPr>
              <w:spacing w:line="300" w:lineRule="exact"/>
              <w:jc w:val="left"/>
              <w:rPr>
                <w:color w:val="auto"/>
                <w:szCs w:val="21"/>
                <w:highlight w:val="none"/>
              </w:rPr>
            </w:pPr>
            <w:r>
              <w:rPr>
                <w:color w:val="auto"/>
                <w:szCs w:val="21"/>
                <w:highlight w:val="none"/>
              </w:rPr>
              <w:t>合计收费＝1.5＋2.2=3.7万元</w:t>
            </w:r>
          </w:p>
          <w:p w14:paraId="76D49A3E">
            <w:pPr>
              <w:spacing w:line="300" w:lineRule="exact"/>
              <w:jc w:val="left"/>
              <w:rPr>
                <w:color w:val="auto"/>
                <w:szCs w:val="21"/>
                <w:highlight w:val="none"/>
                <w:u w:val="single"/>
              </w:rPr>
            </w:pPr>
            <w:r>
              <w:rPr>
                <w:color w:val="auto"/>
                <w:szCs w:val="21"/>
                <w:highlight w:val="none"/>
              </w:rPr>
              <w:sym w:font="Wingdings 2" w:char="F0A3"/>
            </w:r>
            <w:r>
              <w:rPr>
                <w:color w:val="auto"/>
                <w:szCs w:val="21"/>
                <w:highlight w:val="none"/>
              </w:rPr>
              <w:t>采购代理机构</w:t>
            </w:r>
            <w:r>
              <w:rPr>
                <w:color w:val="auto"/>
                <w:szCs w:val="20"/>
                <w:highlight w:val="none"/>
              </w:rPr>
              <w:t>向成交供应商收取代理服务费</w:t>
            </w:r>
            <w:r>
              <w:rPr>
                <w:rFonts w:hint="eastAsia"/>
                <w:color w:val="auto"/>
                <w:szCs w:val="20"/>
                <w:highlight w:val="none"/>
              </w:rPr>
              <w:t>，</w:t>
            </w:r>
            <w:r>
              <w:rPr>
                <w:color w:val="auto"/>
                <w:szCs w:val="20"/>
                <w:highlight w:val="none"/>
              </w:rPr>
              <w:t>具体金额为</w:t>
            </w:r>
            <w:r>
              <w:rPr>
                <w:rFonts w:hint="eastAsia"/>
                <w:color w:val="auto"/>
                <w:szCs w:val="20"/>
                <w:highlight w:val="none"/>
                <w:u w:val="single"/>
              </w:rPr>
              <w:t xml:space="preserve">  /     </w:t>
            </w:r>
            <w:r>
              <w:rPr>
                <w:rFonts w:hint="eastAsia"/>
                <w:color w:val="auto"/>
                <w:szCs w:val="20"/>
                <w:highlight w:val="none"/>
              </w:rPr>
              <w:t>。</w:t>
            </w:r>
          </w:p>
          <w:p w14:paraId="552E445E">
            <w:pPr>
              <w:spacing w:line="300" w:lineRule="exact"/>
              <w:jc w:val="left"/>
              <w:rPr>
                <w:color w:val="auto"/>
                <w:szCs w:val="21"/>
                <w:highlight w:val="none"/>
              </w:rPr>
            </w:pPr>
            <w:r>
              <w:rPr>
                <w:color w:val="auto"/>
                <w:szCs w:val="21"/>
                <w:highlight w:val="none"/>
              </w:rPr>
              <w:t>（2）成交供应商在成交通知书发出前以银行转账或现金形式支付代理服务费；采购代理机构也可以从成交供应商的磋商保证金中扣除上述金额的代理服务费，余款按供应商所汇入磋商保证金的账户原路退回，如无法原路返回，则按《代理服务费承诺书》列明的账户退回。</w:t>
            </w:r>
          </w:p>
          <w:p w14:paraId="6B01B020">
            <w:pPr>
              <w:spacing w:line="300" w:lineRule="exact"/>
              <w:jc w:val="left"/>
              <w:rPr>
                <w:color w:val="auto"/>
                <w:kern w:val="0"/>
                <w:szCs w:val="21"/>
                <w:highlight w:val="none"/>
              </w:rPr>
            </w:pPr>
            <w:r>
              <w:rPr>
                <w:rFonts w:hint="eastAsia"/>
                <w:color w:val="auto"/>
                <w:kern w:val="0"/>
                <w:szCs w:val="21"/>
                <w:highlight w:val="none"/>
              </w:rPr>
              <w:t>开户银行：广西北部湾银行南宁市金湖支行</w:t>
            </w:r>
          </w:p>
          <w:p w14:paraId="3ACE9DA2">
            <w:pPr>
              <w:spacing w:line="300" w:lineRule="exact"/>
              <w:jc w:val="left"/>
              <w:rPr>
                <w:color w:val="auto"/>
                <w:kern w:val="0"/>
                <w:szCs w:val="21"/>
                <w:highlight w:val="none"/>
              </w:rPr>
            </w:pPr>
            <w:r>
              <w:rPr>
                <w:rFonts w:hint="eastAsia"/>
                <w:color w:val="auto"/>
                <w:kern w:val="0"/>
                <w:szCs w:val="21"/>
                <w:highlight w:val="none"/>
              </w:rPr>
              <w:t>（银行地址：南宁市金湖路57号文德大厦1楼）</w:t>
            </w:r>
          </w:p>
          <w:p w14:paraId="238219CF">
            <w:pPr>
              <w:spacing w:line="300" w:lineRule="exact"/>
              <w:jc w:val="left"/>
              <w:rPr>
                <w:color w:val="auto"/>
                <w:kern w:val="0"/>
                <w:szCs w:val="21"/>
                <w:highlight w:val="none"/>
              </w:rPr>
            </w:pPr>
            <w:r>
              <w:rPr>
                <w:rFonts w:hint="eastAsia"/>
                <w:color w:val="auto"/>
                <w:kern w:val="0"/>
                <w:szCs w:val="21"/>
                <w:highlight w:val="none"/>
              </w:rPr>
              <w:t>开户名称：广西机电设备招标有限公司</w:t>
            </w:r>
          </w:p>
          <w:p w14:paraId="5124D864">
            <w:pPr>
              <w:spacing w:line="300" w:lineRule="exact"/>
              <w:jc w:val="left"/>
              <w:rPr>
                <w:color w:val="auto"/>
                <w:kern w:val="0"/>
                <w:szCs w:val="21"/>
                <w:highlight w:val="none"/>
              </w:rPr>
            </w:pPr>
            <w:r>
              <w:rPr>
                <w:rFonts w:hint="eastAsia"/>
                <w:color w:val="auto"/>
                <w:kern w:val="0"/>
                <w:szCs w:val="21"/>
                <w:highlight w:val="none"/>
              </w:rPr>
              <w:t>银行账号：1705012090027723 (联行号 313611017053)</w:t>
            </w:r>
          </w:p>
          <w:p w14:paraId="0D8E4508">
            <w:pPr>
              <w:spacing w:line="300" w:lineRule="exact"/>
              <w:jc w:val="left"/>
              <w:rPr>
                <w:color w:val="auto"/>
                <w:kern w:val="0"/>
                <w:szCs w:val="21"/>
                <w:highlight w:val="none"/>
              </w:rPr>
            </w:pPr>
            <w:r>
              <w:rPr>
                <w:rFonts w:hint="eastAsia"/>
                <w:color w:val="auto"/>
                <w:kern w:val="0"/>
                <w:szCs w:val="21"/>
                <w:highlight w:val="none"/>
              </w:rPr>
              <w:t>财务联系人：吴茜（电话：0771-2821398）</w:t>
            </w:r>
          </w:p>
        </w:tc>
      </w:tr>
      <w:tr w14:paraId="56AF07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vAlign w:val="center"/>
          </w:tcPr>
          <w:p w14:paraId="25CC34FA">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261921B4">
            <w:pPr>
              <w:spacing w:line="300" w:lineRule="exact"/>
              <w:jc w:val="center"/>
              <w:rPr>
                <w:color w:val="auto"/>
                <w:szCs w:val="20"/>
                <w:highlight w:val="none"/>
              </w:rPr>
            </w:pPr>
            <w:r>
              <w:rPr>
                <w:rFonts w:hint="eastAsia"/>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2D2EC9CA">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无</w:t>
            </w:r>
          </w:p>
          <w:p w14:paraId="77000439">
            <w:pPr>
              <w:spacing w:line="276" w:lineRule="auto"/>
              <w:rPr>
                <w:color w:val="auto"/>
                <w:szCs w:val="21"/>
                <w:highlight w:val="none"/>
                <w:u w:val="single"/>
              </w:rPr>
            </w:pPr>
            <w:r>
              <w:rPr>
                <w:rFonts w:hint="eastAsia"/>
                <w:color w:val="auto"/>
                <w:szCs w:val="21"/>
                <w:highlight w:val="none"/>
              </w:rPr>
              <w:t>□有，详见：</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w:t>
            </w:r>
            <w:r>
              <w:rPr>
                <w:color w:val="auto"/>
                <w:szCs w:val="21"/>
                <w:highlight w:val="none"/>
                <w:u w:val="single"/>
              </w:rPr>
              <w:t xml:space="preserve">   </w:t>
            </w:r>
          </w:p>
        </w:tc>
      </w:tr>
      <w:tr w14:paraId="60E637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vAlign w:val="center"/>
          </w:tcPr>
          <w:p w14:paraId="13C37364">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4C2E9201">
            <w:pPr>
              <w:spacing w:line="300" w:lineRule="exact"/>
              <w:jc w:val="center"/>
              <w:rPr>
                <w:color w:val="auto"/>
                <w:szCs w:val="20"/>
                <w:highlight w:val="none"/>
              </w:rPr>
            </w:pPr>
            <w:r>
              <w:rPr>
                <w:rFonts w:hint="eastAsia"/>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31A3FF90">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无</w:t>
            </w:r>
          </w:p>
          <w:p w14:paraId="7B9010EC">
            <w:pPr>
              <w:spacing w:line="276" w:lineRule="auto"/>
              <w:rPr>
                <w:color w:val="auto"/>
                <w:szCs w:val="21"/>
                <w:highlight w:val="none"/>
                <w:u w:val="single"/>
              </w:rPr>
            </w:pPr>
            <w:r>
              <w:rPr>
                <w:rFonts w:hint="eastAsia"/>
                <w:color w:val="auto"/>
                <w:szCs w:val="21"/>
                <w:highlight w:val="none"/>
              </w:rPr>
              <w:t>□有，详见：</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w:t>
            </w:r>
            <w:r>
              <w:rPr>
                <w:color w:val="auto"/>
                <w:szCs w:val="21"/>
                <w:highlight w:val="none"/>
                <w:u w:val="single"/>
              </w:rPr>
              <w:t xml:space="preserve">     </w:t>
            </w:r>
          </w:p>
        </w:tc>
      </w:tr>
      <w:tr w14:paraId="3A06CF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vAlign w:val="center"/>
          </w:tcPr>
          <w:p w14:paraId="7AE191E5">
            <w:pPr>
              <w:spacing w:line="300" w:lineRule="exact"/>
              <w:jc w:val="center"/>
              <w:rPr>
                <w:b/>
                <w:color w:val="auto"/>
                <w:szCs w:val="21"/>
                <w:highlight w:val="none"/>
              </w:rPr>
            </w:pPr>
            <w:r>
              <w:rPr>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vAlign w:val="center"/>
          </w:tcPr>
          <w:p w14:paraId="3AA6F8A0">
            <w:pPr>
              <w:spacing w:line="300" w:lineRule="exact"/>
              <w:jc w:val="center"/>
              <w:rPr>
                <w:color w:val="auto"/>
                <w:szCs w:val="20"/>
                <w:highlight w:val="none"/>
              </w:rPr>
            </w:pPr>
            <w:r>
              <w:rPr>
                <w:rFonts w:hint="eastAsia"/>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329CE479">
            <w:pPr>
              <w:spacing w:line="276" w:lineRule="auto"/>
              <w:rPr>
                <w:color w:val="auto"/>
                <w:szCs w:val="21"/>
                <w:highlight w:val="none"/>
              </w:rPr>
            </w:pPr>
            <w:r>
              <w:rPr>
                <w:rFonts w:hint="eastAsia"/>
                <w:color w:val="auto"/>
                <w:szCs w:val="21"/>
                <w:highlight w:val="none"/>
              </w:rPr>
              <w:t>构成本采购文件的各个组成文件应互为解释，互为说明：</w:t>
            </w:r>
          </w:p>
          <w:p w14:paraId="47F5C156">
            <w:pPr>
              <w:spacing w:line="276" w:lineRule="auto"/>
              <w:rPr>
                <w:color w:val="auto"/>
                <w:sz w:val="24"/>
                <w:highlight w:val="none"/>
              </w:rPr>
            </w:pPr>
            <w:r>
              <w:rPr>
                <w:rFonts w:hint="eastAsia"/>
                <w:color w:val="auto"/>
                <w:szCs w:val="21"/>
                <w:highlight w:val="none"/>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325C7B26">
      <w:pPr>
        <w:rPr>
          <w:color w:val="auto"/>
          <w:highlight w:val="none"/>
        </w:rPr>
      </w:pPr>
    </w:p>
    <w:bookmarkEnd w:id="56"/>
    <w:p w14:paraId="20ED3374">
      <w:pPr>
        <w:spacing w:before="120" w:line="320" w:lineRule="atLeast"/>
        <w:outlineLvl w:val="1"/>
        <w:rPr>
          <w:b/>
          <w:bCs/>
          <w:color w:val="auto"/>
          <w:kern w:val="0"/>
          <w:szCs w:val="21"/>
          <w:highlight w:val="none"/>
        </w:rPr>
      </w:pPr>
      <w:r>
        <w:rPr>
          <w:color w:val="auto"/>
          <w:szCs w:val="21"/>
          <w:highlight w:val="none"/>
        </w:rPr>
        <w:br w:type="page"/>
      </w:r>
      <w:r>
        <w:rPr>
          <w:b/>
          <w:bCs/>
          <w:color w:val="auto"/>
          <w:kern w:val="0"/>
          <w:szCs w:val="21"/>
          <w:highlight w:val="none"/>
        </w:rPr>
        <w:t>1．总则</w:t>
      </w:r>
    </w:p>
    <w:p w14:paraId="46DBAA07">
      <w:pPr>
        <w:spacing w:before="120" w:line="320" w:lineRule="atLeast"/>
        <w:ind w:firstLine="422" w:firstLineChars="200"/>
        <w:outlineLvl w:val="2"/>
        <w:rPr>
          <w:b/>
          <w:bCs/>
          <w:color w:val="auto"/>
          <w:kern w:val="0"/>
          <w:szCs w:val="21"/>
          <w:highlight w:val="none"/>
        </w:rPr>
      </w:pPr>
      <w:bookmarkStart w:id="58" w:name="_Toc254970668"/>
      <w:bookmarkStart w:id="59" w:name="_Toc254970527"/>
      <w:r>
        <w:rPr>
          <w:b/>
          <w:bCs/>
          <w:color w:val="auto"/>
          <w:kern w:val="0"/>
          <w:szCs w:val="21"/>
          <w:highlight w:val="none"/>
        </w:rPr>
        <w:t>1.1适用范围</w:t>
      </w:r>
      <w:bookmarkEnd w:id="58"/>
      <w:bookmarkEnd w:id="59"/>
    </w:p>
    <w:p w14:paraId="7416B3EB">
      <w:pPr>
        <w:spacing w:before="120" w:line="320" w:lineRule="atLeast"/>
        <w:ind w:firstLine="420" w:firstLineChars="200"/>
        <w:rPr>
          <w:color w:val="auto"/>
          <w:szCs w:val="21"/>
          <w:highlight w:val="none"/>
        </w:rPr>
      </w:pPr>
      <w:r>
        <w:rPr>
          <w:color w:val="auto"/>
          <w:szCs w:val="21"/>
          <w:highlight w:val="none"/>
        </w:rPr>
        <w:t>本采购文件适用于供应商须知前附表所述项目的</w:t>
      </w:r>
      <w:r>
        <w:rPr>
          <w:rFonts w:hint="eastAsia"/>
          <w:color w:val="auto"/>
          <w:szCs w:val="21"/>
          <w:highlight w:val="none"/>
        </w:rPr>
        <w:t>政府采购活动。</w:t>
      </w:r>
    </w:p>
    <w:p w14:paraId="2601355C">
      <w:pPr>
        <w:spacing w:before="120" w:line="320" w:lineRule="atLeast"/>
        <w:ind w:firstLine="422" w:firstLineChars="200"/>
        <w:outlineLvl w:val="2"/>
        <w:rPr>
          <w:b/>
          <w:bCs/>
          <w:color w:val="auto"/>
          <w:kern w:val="0"/>
          <w:szCs w:val="21"/>
          <w:highlight w:val="none"/>
        </w:rPr>
      </w:pPr>
      <w:bookmarkStart w:id="60" w:name="_Toc254970528"/>
      <w:bookmarkStart w:id="61" w:name="_Toc254970669"/>
      <w:r>
        <w:rPr>
          <w:b/>
          <w:bCs/>
          <w:color w:val="auto"/>
          <w:kern w:val="0"/>
          <w:szCs w:val="21"/>
          <w:highlight w:val="none"/>
        </w:rPr>
        <w:t>1.2定义</w:t>
      </w:r>
      <w:bookmarkEnd w:id="60"/>
      <w:bookmarkEnd w:id="61"/>
    </w:p>
    <w:p w14:paraId="1768CEFC">
      <w:pPr>
        <w:spacing w:before="120" w:line="320" w:lineRule="atLeast"/>
        <w:ind w:firstLine="420" w:firstLineChars="200"/>
        <w:rPr>
          <w:color w:val="auto"/>
          <w:szCs w:val="21"/>
          <w:highlight w:val="none"/>
        </w:rPr>
      </w:pPr>
      <w:r>
        <w:rPr>
          <w:color w:val="auto"/>
          <w:szCs w:val="21"/>
          <w:highlight w:val="none"/>
        </w:rPr>
        <w:t>1.2.1“采购人”系指依法进行政府采购的国家机关、事业单位、团体组织。</w:t>
      </w:r>
    </w:p>
    <w:p w14:paraId="2AD954BE">
      <w:pPr>
        <w:spacing w:before="120" w:line="320" w:lineRule="atLeast"/>
        <w:ind w:firstLine="420" w:firstLineChars="200"/>
        <w:rPr>
          <w:color w:val="auto"/>
          <w:szCs w:val="21"/>
          <w:highlight w:val="none"/>
        </w:rPr>
      </w:pPr>
      <w:r>
        <w:rPr>
          <w:color w:val="auto"/>
          <w:szCs w:val="21"/>
          <w:highlight w:val="none"/>
        </w:rPr>
        <w:t>1.2.2“供应商”系</w:t>
      </w:r>
      <w:r>
        <w:rPr>
          <w:color w:val="auto"/>
          <w:highlight w:val="none"/>
        </w:rPr>
        <w:t>指响应招标、参加投标竞争的法人、其他组织或者自然人</w:t>
      </w:r>
      <w:r>
        <w:rPr>
          <w:color w:val="auto"/>
          <w:szCs w:val="21"/>
          <w:highlight w:val="none"/>
        </w:rPr>
        <w:t>。</w:t>
      </w:r>
    </w:p>
    <w:p w14:paraId="6E94C387">
      <w:pPr>
        <w:spacing w:before="120" w:line="360" w:lineRule="auto"/>
        <w:ind w:firstLine="420" w:firstLineChars="200"/>
        <w:rPr>
          <w:color w:val="auto"/>
          <w:highlight w:val="none"/>
        </w:rPr>
      </w:pPr>
      <w:r>
        <w:rPr>
          <w:rFonts w:hint="eastAsia"/>
          <w:color w:val="auto"/>
          <w:highlight w:val="none"/>
        </w:rPr>
        <w:t>1.2.3</w:t>
      </w:r>
      <w:r>
        <w:rPr>
          <w:color w:val="auto"/>
          <w:highlight w:val="none"/>
        </w:rPr>
        <w:t>本</w:t>
      </w:r>
      <w:r>
        <w:rPr>
          <w:rFonts w:hint="eastAsia"/>
          <w:color w:val="auto"/>
          <w:highlight w:val="none"/>
        </w:rPr>
        <w:t>文件</w:t>
      </w:r>
      <w:r>
        <w:rPr>
          <w:color w:val="auto"/>
          <w:highlight w:val="none"/>
        </w:rPr>
        <w:t>中的</w:t>
      </w:r>
      <w:r>
        <w:rPr>
          <w:rFonts w:hint="eastAsia"/>
          <w:color w:val="auto"/>
          <w:highlight w:val="none"/>
        </w:rPr>
        <w:t>“法定代表人”若无特别说明，当</w:t>
      </w:r>
      <w:r>
        <w:rPr>
          <w:color w:val="auto"/>
          <w:highlight w:val="none"/>
        </w:rPr>
        <w:t>供应商是</w:t>
      </w:r>
      <w:r>
        <w:rPr>
          <w:rFonts w:hint="eastAsia"/>
          <w:color w:val="auto"/>
          <w:highlight w:val="none"/>
        </w:rPr>
        <w:t>企业的，是指企业法人营业执照上的法定代表人；当</w:t>
      </w:r>
      <w:r>
        <w:rPr>
          <w:color w:val="auto"/>
          <w:highlight w:val="none"/>
        </w:rPr>
        <w:t>供应商是</w:t>
      </w:r>
      <w:r>
        <w:rPr>
          <w:rFonts w:hint="eastAsia"/>
          <w:color w:val="auto"/>
          <w:highlight w:val="none"/>
        </w:rPr>
        <w:t>事业单位的，是指事业单位法人证书上的法定代表人；当</w:t>
      </w:r>
      <w:r>
        <w:rPr>
          <w:color w:val="auto"/>
          <w:highlight w:val="none"/>
        </w:rPr>
        <w:t>供应商是</w:t>
      </w:r>
      <w:r>
        <w:rPr>
          <w:rFonts w:hint="eastAsia"/>
          <w:color w:val="auto"/>
          <w:highlight w:val="none"/>
        </w:rPr>
        <w:t>社会团体、民办非企业的，是指法人登记证书中的法定代表人；当</w:t>
      </w:r>
      <w:r>
        <w:rPr>
          <w:color w:val="auto"/>
          <w:highlight w:val="none"/>
        </w:rPr>
        <w:t>供应商是</w:t>
      </w:r>
      <w:r>
        <w:rPr>
          <w:rFonts w:hint="eastAsia"/>
          <w:color w:val="auto"/>
          <w:highlight w:val="none"/>
        </w:rPr>
        <w:t>个体工商户的，是指个体工商户营业执照上的经营者；</w:t>
      </w:r>
      <w:r>
        <w:rPr>
          <w:color w:val="auto"/>
          <w:highlight w:val="none"/>
        </w:rPr>
        <w:t>当供应商是自然人</w:t>
      </w:r>
      <w:r>
        <w:rPr>
          <w:rFonts w:hint="eastAsia"/>
          <w:color w:val="auto"/>
          <w:highlight w:val="none"/>
        </w:rPr>
        <w:t>的，是指参与本项目响应的自然人本人。</w:t>
      </w:r>
      <w:r>
        <w:rPr>
          <w:color w:val="auto"/>
          <w:highlight w:val="none"/>
        </w:rPr>
        <w:br w:type="textWrapping"/>
      </w:r>
      <w:r>
        <w:rPr>
          <w:color w:val="auto"/>
          <w:highlight w:val="none"/>
        </w:rPr>
        <w:t xml:space="preserve">    </w:t>
      </w:r>
      <w:r>
        <w:rPr>
          <w:rFonts w:hint="eastAsia"/>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5C1E0F52">
      <w:pPr>
        <w:widowControl/>
        <w:spacing w:line="360" w:lineRule="auto"/>
        <w:ind w:firstLine="420" w:firstLineChars="200"/>
        <w:jc w:val="left"/>
        <w:rPr>
          <w:color w:val="auto"/>
          <w:szCs w:val="21"/>
          <w:highlight w:val="none"/>
        </w:rPr>
      </w:pPr>
      <w:r>
        <w:rPr>
          <w:color w:val="auto"/>
          <w:szCs w:val="21"/>
          <w:highlight w:val="none"/>
        </w:rPr>
        <w:t>1.2.</w:t>
      </w:r>
      <w:r>
        <w:rPr>
          <w:rFonts w:hint="eastAsia"/>
          <w:color w:val="auto"/>
          <w:szCs w:val="21"/>
          <w:highlight w:val="none"/>
        </w:rPr>
        <w:t>5</w:t>
      </w:r>
      <w:r>
        <w:rPr>
          <w:color w:val="auto"/>
          <w:szCs w:val="21"/>
          <w:highlight w:val="none"/>
        </w:rPr>
        <w:t>“书面形式”如无特殊规定，</w:t>
      </w:r>
      <w:r>
        <w:rPr>
          <w:rFonts w:hint="eastAsia"/>
          <w:color w:val="auto"/>
          <w:szCs w:val="21"/>
          <w:highlight w:val="none"/>
        </w:rPr>
        <w:t>书面形式是合同书、信件、电报、电传等可以有形地表现所载内容的形式。以电子数据交换、电子邮件等方式能够有形地表现所载内容，并可以随时调取查用的数据电文，视为书面形式。</w:t>
      </w:r>
      <w:r>
        <w:rPr>
          <w:color w:val="auto"/>
          <w:szCs w:val="21"/>
          <w:highlight w:val="none"/>
        </w:rPr>
        <w:t xml:space="preserve">采购文件如有特殊规定，以采购文件规定为准。 </w:t>
      </w:r>
    </w:p>
    <w:p w14:paraId="083EB19B">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6本项目的技术商务要求重要性分为“▲”（如有）、“#”（如有）和一般无标识指标。▲代表实质性要求指标，</w:t>
      </w:r>
      <w:r>
        <w:rPr>
          <w:rFonts w:hint="eastAsia"/>
          <w:b/>
          <w:bCs/>
          <w:color w:val="auto"/>
          <w:szCs w:val="21"/>
          <w:highlight w:val="none"/>
        </w:rPr>
        <w:t>不满足该指标项将导致响应被否决</w:t>
      </w:r>
      <w:r>
        <w:rPr>
          <w:rFonts w:hint="eastAsia"/>
          <w:color w:val="auto"/>
          <w:szCs w:val="21"/>
          <w:highlight w:val="none"/>
        </w:rPr>
        <w:t>，#代表重要指标，无标识则表示一般指标项。</w:t>
      </w:r>
    </w:p>
    <w:p w14:paraId="6830419A">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7 本</w:t>
      </w:r>
      <w:r>
        <w:rPr>
          <w:color w:val="auto"/>
          <w:szCs w:val="21"/>
          <w:highlight w:val="none"/>
        </w:rPr>
        <w:t>采购文件</w:t>
      </w:r>
      <w:r>
        <w:rPr>
          <w:rFonts w:hint="eastAsia"/>
          <w:color w:val="auto"/>
          <w:szCs w:val="21"/>
          <w:highlight w:val="none"/>
        </w:rPr>
        <w:t>出现多种选项的条款，以“</w:t>
      </w:r>
      <w:r>
        <w:rPr>
          <w:color w:val="auto"/>
          <w:highlight w:val="none"/>
        </w:rPr>
        <w:sym w:font="Wingdings 2" w:char="F052"/>
      </w:r>
      <w:r>
        <w:rPr>
          <w:rFonts w:hint="eastAsia"/>
          <w:color w:val="auto"/>
          <w:szCs w:val="21"/>
          <w:highlight w:val="none"/>
        </w:rPr>
        <w:t>”表示本条款所选择的方式。</w:t>
      </w:r>
    </w:p>
    <w:p w14:paraId="1E5196ED">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w:t>
      </w:r>
      <w:r>
        <w:rPr>
          <w:color w:val="auto"/>
          <w:szCs w:val="21"/>
          <w:highlight w:val="none"/>
        </w:rPr>
        <w:t>8 “</w:t>
      </w:r>
      <w:r>
        <w:rPr>
          <w:rFonts w:hint="eastAsia"/>
          <w:color w:val="auto"/>
          <w:szCs w:val="21"/>
          <w:highlight w:val="none"/>
        </w:rPr>
        <w:t>电子交易平台</w:t>
      </w:r>
      <w:r>
        <w:rPr>
          <w:color w:val="auto"/>
          <w:szCs w:val="21"/>
          <w:highlight w:val="none"/>
        </w:rPr>
        <w:t>”</w:t>
      </w:r>
      <w:r>
        <w:rPr>
          <w:rFonts w:hint="eastAsia"/>
          <w:color w:val="auto"/>
          <w:szCs w:val="21"/>
          <w:highlight w:val="none"/>
        </w:rPr>
        <w:t>是指以数据电文形式在线完成采购活动的信息平台，本采购文件中也称</w:t>
      </w:r>
      <w:r>
        <w:rPr>
          <w:color w:val="auto"/>
          <w:szCs w:val="21"/>
          <w:highlight w:val="none"/>
        </w:rPr>
        <w:t>“</w:t>
      </w:r>
      <w:r>
        <w:rPr>
          <w:rFonts w:hint="eastAsia"/>
          <w:color w:val="auto"/>
          <w:szCs w:val="21"/>
          <w:highlight w:val="none"/>
        </w:rPr>
        <w:t>广西政府采购云平台</w:t>
      </w:r>
      <w:r>
        <w:rPr>
          <w:color w:val="auto"/>
          <w:szCs w:val="21"/>
          <w:highlight w:val="none"/>
        </w:rPr>
        <w:t>”</w:t>
      </w:r>
      <w:r>
        <w:rPr>
          <w:rFonts w:hint="eastAsia"/>
          <w:color w:val="auto"/>
          <w:szCs w:val="21"/>
          <w:highlight w:val="none"/>
        </w:rPr>
        <w:t>。</w:t>
      </w:r>
    </w:p>
    <w:p w14:paraId="3B17BDBE">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.3</w:t>
      </w:r>
      <w:r>
        <w:rPr>
          <w:rFonts w:hint="eastAsia"/>
          <w:b/>
          <w:bCs/>
          <w:color w:val="auto"/>
          <w:kern w:val="0"/>
          <w:szCs w:val="21"/>
          <w:highlight w:val="none"/>
        </w:rPr>
        <w:t>项目信息</w:t>
      </w:r>
    </w:p>
    <w:p w14:paraId="18D6EBFB">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.3.1</w:t>
      </w:r>
      <w:r>
        <w:rPr>
          <w:rFonts w:hint="eastAsia"/>
          <w:color w:val="auto"/>
          <w:szCs w:val="21"/>
          <w:highlight w:val="none"/>
        </w:rPr>
        <w:t>项目名称及编号：详见供应商须知前附表</w:t>
      </w:r>
    </w:p>
    <w:p w14:paraId="0827BA61">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.3.2</w:t>
      </w:r>
      <w:r>
        <w:rPr>
          <w:rFonts w:hint="eastAsia"/>
          <w:color w:val="auto"/>
          <w:szCs w:val="21"/>
          <w:highlight w:val="none"/>
        </w:rPr>
        <w:t>采购方式：详见供应商须知前附表</w:t>
      </w:r>
    </w:p>
    <w:p w14:paraId="7725C592">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.4</w:t>
      </w:r>
      <w:r>
        <w:rPr>
          <w:rFonts w:hint="eastAsia"/>
          <w:b/>
          <w:bCs/>
          <w:color w:val="auto"/>
          <w:kern w:val="0"/>
          <w:szCs w:val="21"/>
          <w:highlight w:val="none"/>
        </w:rPr>
        <w:t>促进中小企业发展政策</w:t>
      </w:r>
    </w:p>
    <w:p w14:paraId="7F1963ED">
      <w:pPr>
        <w:spacing w:before="120" w:line="320" w:lineRule="atLeast"/>
        <w:ind w:left="2" w:leftChars="1" w:firstLine="420" w:firstLineChars="200"/>
        <w:rPr>
          <w:color w:val="auto"/>
          <w:szCs w:val="21"/>
          <w:highlight w:val="none"/>
        </w:rPr>
      </w:pPr>
      <w:r>
        <w:rPr>
          <w:color w:val="auto"/>
          <w:szCs w:val="21"/>
          <w:highlight w:val="none"/>
        </w:rPr>
        <w:t>1.4.1</w:t>
      </w:r>
      <w:r>
        <w:rPr>
          <w:rFonts w:hint="eastAsia"/>
          <w:color w:val="auto"/>
          <w:szCs w:val="21"/>
          <w:highlight w:val="none"/>
        </w:rPr>
        <w:t>本项目落实促进中小企业发展政策措施在前附表规定。依据促进中小企业发展政策获得政府采购合同的，小微企业不得将合同分包给大中型企业，中型企业不得将合同分包给大型企业。</w:t>
      </w:r>
    </w:p>
    <w:p w14:paraId="0C1B7EE6">
      <w:pPr>
        <w:spacing w:before="120" w:line="320" w:lineRule="atLeast"/>
        <w:ind w:left="2" w:leftChars="1" w:firstLine="420" w:firstLineChars="200"/>
        <w:rPr>
          <w:color w:val="auto"/>
          <w:szCs w:val="21"/>
          <w:highlight w:val="none"/>
        </w:rPr>
      </w:pPr>
      <w:bookmarkStart w:id="62" w:name="_Hlk92205820"/>
      <w:r>
        <w:rPr>
          <w:rFonts w:hint="eastAsia"/>
          <w:color w:val="auto"/>
          <w:szCs w:val="21"/>
          <w:highlight w:val="none"/>
        </w:rPr>
        <w:t>根 据《政府采购促进中小企业发展管理办法》（财库[2020]46号）第九条以及《广西壮族自治区财政厅 广西壮族自治区工业和信息化厅转发财政部 工业和信息化部政府采购促进中小企业发展管理办法的通知》（桂财采[2021]70号）规定，价格扣除比例在第四章评审方法及标准中规定，对小型企业和微型企业同等对待，不作区分。</w:t>
      </w:r>
    </w:p>
    <w:p w14:paraId="15E00484">
      <w:pPr>
        <w:spacing w:before="120" w:line="320" w:lineRule="atLeast"/>
        <w:ind w:left="2" w:leftChars="1" w:firstLine="420" w:firstLineChars="200"/>
        <w:rPr>
          <w:color w:val="auto"/>
          <w:szCs w:val="21"/>
          <w:highlight w:val="none"/>
        </w:rPr>
      </w:pPr>
      <w:r>
        <w:rPr>
          <w:color w:val="auto"/>
          <w:szCs w:val="21"/>
          <w:highlight w:val="none"/>
        </w:rPr>
        <w:t>1.4.2</w:t>
      </w:r>
      <w:r>
        <w:rPr>
          <w:rFonts w:hint="eastAsia"/>
          <w:color w:val="auto"/>
          <w:szCs w:val="21"/>
          <w:highlight w:val="none"/>
        </w:rPr>
        <w:t>中小企业定义</w:t>
      </w:r>
    </w:p>
    <w:p w14:paraId="4E19EFF4">
      <w:pPr>
        <w:spacing w:before="120" w:line="320" w:lineRule="atLeast"/>
        <w:ind w:firstLine="420" w:firstLineChars="200"/>
        <w:rPr>
          <w:color w:val="auto"/>
          <w:szCs w:val="21"/>
          <w:highlight w:val="none"/>
        </w:rPr>
      </w:pPr>
      <w:r>
        <w:rPr>
          <w:color w:val="auto"/>
          <w:szCs w:val="21"/>
          <w:highlight w:val="none"/>
        </w:rPr>
        <w:t>1.4.2.1</w:t>
      </w:r>
      <w:r>
        <w:rPr>
          <w:rFonts w:hint="eastAsia"/>
          <w:color w:val="auto"/>
          <w:szCs w:val="21"/>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54173FBA">
      <w:pPr>
        <w:spacing w:before="120" w:line="320" w:lineRule="atLeast"/>
        <w:ind w:left="2" w:leftChars="1" w:firstLine="420" w:firstLineChars="200"/>
        <w:rPr>
          <w:color w:val="auto"/>
          <w:szCs w:val="21"/>
          <w:highlight w:val="none"/>
        </w:rPr>
      </w:pPr>
      <w:r>
        <w:rPr>
          <w:color w:val="auto"/>
          <w:szCs w:val="21"/>
          <w:highlight w:val="none"/>
        </w:rPr>
        <w:t>1.4.2.2</w:t>
      </w:r>
      <w:r>
        <w:rPr>
          <w:rFonts w:hint="eastAsia"/>
          <w:color w:val="auto"/>
          <w:szCs w:val="21"/>
          <w:highlight w:val="none"/>
        </w:rPr>
        <w:t>供应商提供的货物、工程或者服务符合下列情形的，享受本款规定的促进中小企业发展政策：</w:t>
      </w:r>
    </w:p>
    <w:p w14:paraId="1AF4A57A">
      <w:pPr>
        <w:spacing w:before="120" w:line="320" w:lineRule="atLeast"/>
        <w:ind w:left="2" w:leftChars="1" w:firstLine="420" w:firstLineChars="200"/>
        <w:rPr>
          <w:color w:val="auto"/>
          <w:szCs w:val="21"/>
          <w:highlight w:val="none"/>
        </w:rPr>
      </w:pPr>
      <w:r>
        <w:rPr>
          <w:rFonts w:hint="eastAsia"/>
          <w:color w:val="auto"/>
          <w:szCs w:val="21"/>
          <w:highlight w:val="none"/>
        </w:rPr>
        <w:t>在货物采购项目中，货物由中小企业制造，即货物由中小企业生产且使用该中小企业商号或者注册商标；</w:t>
      </w:r>
    </w:p>
    <w:p w14:paraId="367D0A2B">
      <w:pPr>
        <w:spacing w:before="120" w:line="320" w:lineRule="atLeast"/>
        <w:ind w:left="2" w:leftChars="1" w:firstLine="420" w:firstLineChars="200"/>
        <w:rPr>
          <w:color w:val="auto"/>
          <w:szCs w:val="21"/>
          <w:highlight w:val="none"/>
        </w:rPr>
      </w:pPr>
      <w:r>
        <w:rPr>
          <w:rFonts w:hint="eastAsia"/>
          <w:color w:val="auto"/>
          <w:szCs w:val="21"/>
          <w:highlight w:val="none"/>
        </w:rPr>
        <w:t>在工程采购项目中，工程由中小企业承建，即工程施工单位为中小企业；</w:t>
      </w:r>
    </w:p>
    <w:p w14:paraId="75FBED15">
      <w:pPr>
        <w:spacing w:before="120" w:line="320" w:lineRule="atLeast"/>
        <w:ind w:left="2" w:leftChars="1" w:firstLine="420" w:firstLineChars="200"/>
        <w:rPr>
          <w:color w:val="auto"/>
          <w:szCs w:val="21"/>
          <w:highlight w:val="none"/>
        </w:rPr>
      </w:pPr>
      <w:r>
        <w:rPr>
          <w:rFonts w:hint="eastAsia"/>
          <w:color w:val="auto"/>
          <w:szCs w:val="21"/>
          <w:highlight w:val="none"/>
        </w:rPr>
        <w:t>在服务采购项目中，服务由中小企业承接，即提供服务的人员为中小企业依照《中华人民共和国劳动合同法》订立劳动合同的从业人员。</w:t>
      </w:r>
    </w:p>
    <w:p w14:paraId="5CC33A2F">
      <w:pPr>
        <w:spacing w:before="120" w:line="320" w:lineRule="atLeast"/>
        <w:ind w:left="2" w:leftChars="1" w:firstLine="420" w:firstLineChars="200"/>
        <w:rPr>
          <w:color w:val="auto"/>
          <w:szCs w:val="21"/>
          <w:highlight w:val="none"/>
        </w:rPr>
      </w:pPr>
      <w:r>
        <w:rPr>
          <w:rFonts w:hint="eastAsia"/>
          <w:color w:val="auto"/>
          <w:szCs w:val="21"/>
          <w:highlight w:val="none"/>
        </w:rPr>
        <w:t>在货物采购项目中，供应商提供的货物既有中小企业制造货物，也有大型企业制造货物的，不享受本款规定的促进中小企业发展政策。</w:t>
      </w:r>
    </w:p>
    <w:p w14:paraId="489C0B25">
      <w:pPr>
        <w:spacing w:before="120" w:line="320" w:lineRule="atLeast"/>
        <w:ind w:firstLine="420" w:firstLineChars="200"/>
        <w:rPr>
          <w:color w:val="auto"/>
          <w:szCs w:val="21"/>
          <w:highlight w:val="none"/>
        </w:rPr>
      </w:pPr>
      <w:r>
        <w:rPr>
          <w:color w:val="auto"/>
          <w:szCs w:val="21"/>
          <w:highlight w:val="none"/>
        </w:rPr>
        <w:t>1.4.2</w:t>
      </w:r>
      <w:r>
        <w:rPr>
          <w:rFonts w:hint="eastAsia"/>
          <w:color w:val="auto"/>
          <w:szCs w:val="21"/>
          <w:highlight w:val="none"/>
        </w:rPr>
        <w:t>.</w:t>
      </w:r>
      <w:r>
        <w:rPr>
          <w:color w:val="auto"/>
          <w:szCs w:val="21"/>
          <w:highlight w:val="none"/>
        </w:rPr>
        <w:t>3</w:t>
      </w:r>
      <w:r>
        <w:rPr>
          <w:rFonts w:hint="eastAsia"/>
          <w:color w:val="auto"/>
          <w:szCs w:val="21"/>
          <w:highlight w:val="none"/>
        </w:rPr>
        <w:t>本项目标的所属行业在第二章采购需求中规定。供应商根据中小企业划分标准（《关于印发中小企业划型标准规定的通知》（工信部联企业〔2011〕300号）判断是否为中小企业。（见附件）</w:t>
      </w:r>
    </w:p>
    <w:p w14:paraId="25645DC3">
      <w:pPr>
        <w:spacing w:before="120" w:line="320" w:lineRule="atLeast"/>
        <w:ind w:firstLine="420" w:firstLineChars="200"/>
        <w:rPr>
          <w:color w:val="auto"/>
          <w:szCs w:val="21"/>
          <w:highlight w:val="none"/>
        </w:rPr>
      </w:pPr>
      <w:r>
        <w:rPr>
          <w:rFonts w:hint="eastAsia"/>
          <w:color w:val="auto"/>
          <w:szCs w:val="21"/>
          <w:highlight w:val="none"/>
        </w:rPr>
        <w:t>符合条件的货物制造商、工程施工单位、服务承接单位为中小企业的，应按采购文件规定在响应文件中提供声明函。</w:t>
      </w:r>
    </w:p>
    <w:p w14:paraId="166DDB15">
      <w:pPr>
        <w:spacing w:before="120" w:line="320" w:lineRule="atLeast"/>
        <w:ind w:firstLine="420" w:firstLineChars="200"/>
        <w:rPr>
          <w:color w:val="auto"/>
          <w:szCs w:val="21"/>
          <w:highlight w:val="none"/>
        </w:rPr>
      </w:pPr>
      <w:r>
        <w:rPr>
          <w:color w:val="auto"/>
          <w:szCs w:val="21"/>
          <w:highlight w:val="none"/>
        </w:rPr>
        <w:t>1.4</w:t>
      </w:r>
      <w:r>
        <w:rPr>
          <w:rFonts w:hint="eastAsia"/>
          <w:color w:val="auto"/>
          <w:szCs w:val="21"/>
          <w:highlight w:val="none"/>
        </w:rPr>
        <w:t>.</w:t>
      </w:r>
      <w:r>
        <w:rPr>
          <w:color w:val="auto"/>
          <w:szCs w:val="21"/>
          <w:highlight w:val="none"/>
        </w:rPr>
        <w:t>2</w:t>
      </w:r>
      <w:r>
        <w:rPr>
          <w:rFonts w:hint="eastAsia"/>
          <w:color w:val="auto"/>
          <w:szCs w:val="21"/>
          <w:highlight w:val="none"/>
        </w:rPr>
        <w:t>.</w:t>
      </w:r>
      <w:r>
        <w:rPr>
          <w:color w:val="auto"/>
          <w:szCs w:val="21"/>
          <w:highlight w:val="none"/>
        </w:rPr>
        <w:t>4</w:t>
      </w:r>
      <w:r>
        <w:rPr>
          <w:rFonts w:hint="eastAsia"/>
          <w:color w:val="auto"/>
          <w:szCs w:val="21"/>
          <w:highlight w:val="none"/>
        </w:rPr>
        <w:t>视同中小企业情形</w:t>
      </w:r>
    </w:p>
    <w:p w14:paraId="0F7A74EC">
      <w:pPr>
        <w:spacing w:before="120" w:line="320" w:lineRule="atLeast"/>
        <w:ind w:firstLine="420" w:firstLineChars="200"/>
        <w:rPr>
          <w:color w:val="auto"/>
          <w:szCs w:val="21"/>
          <w:highlight w:val="none"/>
        </w:rPr>
      </w:pPr>
      <w:r>
        <w:rPr>
          <w:rFonts w:hint="eastAsia"/>
          <w:color w:val="auto"/>
          <w:szCs w:val="21"/>
          <w:highlight w:val="none"/>
        </w:rPr>
        <w:t>（1）符合中小企业划分标准的个体工商户，视同中小企业。</w:t>
      </w:r>
    </w:p>
    <w:p w14:paraId="67E42F5D">
      <w:pPr>
        <w:spacing w:before="120" w:line="320" w:lineRule="atLeast"/>
        <w:ind w:firstLine="420" w:firstLineChars="200"/>
        <w:rPr>
          <w:color w:val="auto"/>
          <w:szCs w:val="21"/>
          <w:highlight w:val="none"/>
        </w:rPr>
      </w:pPr>
      <w:r>
        <w:rPr>
          <w:rFonts w:hint="eastAsia"/>
          <w:color w:val="auto"/>
          <w:szCs w:val="21"/>
          <w:highlight w:val="none"/>
        </w:rPr>
        <w:t>（2）以联合体形式参加政府采购活动，联合体各方均为中小企业的，联合体视同中小企业。其中，联合体各方均为小微企业的，联合体视同小微企业。</w:t>
      </w:r>
    </w:p>
    <w:p w14:paraId="37F9F461">
      <w:pPr>
        <w:spacing w:before="120" w:line="320" w:lineRule="atLeast"/>
        <w:ind w:firstLine="420" w:firstLineChars="200"/>
        <w:rPr>
          <w:color w:val="auto"/>
          <w:szCs w:val="21"/>
          <w:highlight w:val="none"/>
        </w:rPr>
      </w:pPr>
      <w:r>
        <w:rPr>
          <w:rFonts w:hint="eastAsia"/>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0B20EECE">
      <w:pPr>
        <w:spacing w:before="120" w:line="320" w:lineRule="atLeast"/>
        <w:ind w:left="2" w:leftChars="1" w:firstLine="420" w:firstLineChars="200"/>
        <w:rPr>
          <w:color w:val="auto"/>
          <w:szCs w:val="21"/>
          <w:highlight w:val="none"/>
        </w:rPr>
      </w:pPr>
      <w:r>
        <w:rPr>
          <w:rFonts w:hint="eastAsia"/>
          <w:color w:val="auto"/>
          <w:szCs w:val="21"/>
          <w:highlight w:val="none"/>
        </w:rPr>
        <w:t>符合条件的货物制造商、工程施工单位、服务承接单位为监狱企业或残疾人福利性单位的，应按采购文件规定在响应文件中提供相关证明文件。</w:t>
      </w:r>
      <w:bookmarkEnd w:id="62"/>
    </w:p>
    <w:p w14:paraId="097605D8">
      <w:pPr>
        <w:spacing w:before="120" w:line="320" w:lineRule="atLeast"/>
        <w:ind w:firstLine="422" w:firstLineChars="200"/>
        <w:outlineLvl w:val="2"/>
        <w:rPr>
          <w:b/>
          <w:bCs/>
          <w:color w:val="auto"/>
          <w:kern w:val="0"/>
          <w:szCs w:val="21"/>
          <w:highlight w:val="none"/>
        </w:rPr>
      </w:pPr>
      <w:r>
        <w:rPr>
          <w:b/>
          <w:bCs/>
          <w:color w:val="auto"/>
          <w:kern w:val="0"/>
          <w:szCs w:val="21"/>
          <w:highlight w:val="none"/>
        </w:rPr>
        <w:t>1.5供应商资格</w:t>
      </w:r>
      <w:r>
        <w:rPr>
          <w:rFonts w:hint="eastAsia"/>
          <w:b/>
          <w:bCs/>
          <w:color w:val="auto"/>
          <w:kern w:val="0"/>
          <w:szCs w:val="21"/>
          <w:highlight w:val="none"/>
        </w:rPr>
        <w:t>要求</w:t>
      </w:r>
    </w:p>
    <w:p w14:paraId="0FCADB01">
      <w:pPr>
        <w:spacing w:before="120" w:line="320" w:lineRule="atLeast"/>
        <w:ind w:firstLine="420" w:firstLineChars="200"/>
        <w:rPr>
          <w:color w:val="auto"/>
          <w:szCs w:val="21"/>
          <w:highlight w:val="none"/>
        </w:rPr>
      </w:pPr>
      <w:r>
        <w:rPr>
          <w:color w:val="auto"/>
          <w:szCs w:val="21"/>
          <w:highlight w:val="none"/>
        </w:rPr>
        <w:t>1.5.1</w:t>
      </w:r>
      <w:r>
        <w:rPr>
          <w:rFonts w:hint="eastAsia"/>
          <w:color w:val="auto"/>
          <w:szCs w:val="21"/>
          <w:highlight w:val="none"/>
        </w:rPr>
        <w:t>供应商资格要求：详见供应商须知前附表</w:t>
      </w:r>
    </w:p>
    <w:p w14:paraId="74407D4B">
      <w:pPr>
        <w:spacing w:before="120" w:line="320" w:lineRule="atLeast"/>
        <w:ind w:firstLine="420" w:firstLineChars="200"/>
        <w:rPr>
          <w:color w:val="auto"/>
          <w:szCs w:val="21"/>
          <w:highlight w:val="none"/>
        </w:rPr>
      </w:pPr>
      <w:r>
        <w:rPr>
          <w:color w:val="auto"/>
          <w:szCs w:val="21"/>
          <w:highlight w:val="none"/>
        </w:rPr>
        <w:t>1.5.2按照磋商公告的规定获得采购文件。</w:t>
      </w:r>
    </w:p>
    <w:p w14:paraId="69138E78">
      <w:pPr>
        <w:spacing w:before="120" w:line="320" w:lineRule="atLeast"/>
        <w:ind w:firstLine="420" w:firstLineChars="200"/>
        <w:rPr>
          <w:color w:val="auto"/>
          <w:szCs w:val="21"/>
          <w:highlight w:val="none"/>
        </w:rPr>
      </w:pPr>
      <w:r>
        <w:rPr>
          <w:color w:val="auto"/>
          <w:szCs w:val="21"/>
          <w:highlight w:val="none"/>
        </w:rPr>
        <w:t>1.5.3本项目是否接受联合体响应，见“供应商须知前附表”规定。</w:t>
      </w:r>
    </w:p>
    <w:p w14:paraId="2E4D84E9">
      <w:pPr>
        <w:spacing w:before="120" w:line="320" w:lineRule="atLeast"/>
        <w:ind w:firstLine="420" w:firstLineChars="200"/>
        <w:rPr>
          <w:color w:val="auto"/>
          <w:szCs w:val="21"/>
          <w:highlight w:val="none"/>
        </w:rPr>
      </w:pPr>
      <w:r>
        <w:rPr>
          <w:rFonts w:hint="eastAsia"/>
          <w:color w:val="auto"/>
          <w:szCs w:val="21"/>
          <w:highlight w:val="none"/>
        </w:rPr>
        <w:t xml:space="preserve">如接受联合体响应，联合体响应要求如下： </w:t>
      </w:r>
    </w:p>
    <w:p w14:paraId="6EF0A706">
      <w:pPr>
        <w:spacing w:before="120" w:line="320" w:lineRule="atLeast"/>
        <w:ind w:firstLine="420" w:firstLineChars="200"/>
        <w:rPr>
          <w:color w:val="auto"/>
          <w:szCs w:val="21"/>
          <w:highlight w:val="none"/>
        </w:rPr>
      </w:pPr>
      <w:r>
        <w:rPr>
          <w:rFonts w:hint="eastAsia"/>
          <w:color w:val="auto"/>
          <w:szCs w:val="21"/>
          <w:highlight w:val="none"/>
        </w:rPr>
        <w:t>（1）供应商可以组成一个响应联合体，以一个供应商的身份共同参加响应。联合体响应的，须提供《联合体协议书》（格式后附）</w:t>
      </w:r>
    </w:p>
    <w:p w14:paraId="21447CDB">
      <w:pPr>
        <w:spacing w:before="120" w:line="320" w:lineRule="atLeast"/>
        <w:ind w:firstLine="420" w:firstLineChars="200"/>
        <w:rPr>
          <w:color w:val="auto"/>
          <w:szCs w:val="21"/>
          <w:highlight w:val="none"/>
        </w:rPr>
      </w:pPr>
      <w:r>
        <w:rPr>
          <w:rFonts w:hint="eastAsia"/>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5B7691C8">
      <w:pPr>
        <w:spacing w:before="120" w:line="320" w:lineRule="atLeast"/>
        <w:ind w:firstLine="420" w:firstLineChars="200"/>
        <w:rPr>
          <w:color w:val="auto"/>
          <w:szCs w:val="21"/>
          <w:highlight w:val="none"/>
        </w:rPr>
      </w:pPr>
      <w:r>
        <w:rPr>
          <w:rFonts w:hint="eastAsia"/>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6EC396A5">
      <w:pPr>
        <w:spacing w:before="120" w:line="320" w:lineRule="atLeast"/>
        <w:ind w:firstLine="420" w:firstLineChars="200"/>
        <w:rPr>
          <w:color w:val="auto"/>
          <w:szCs w:val="21"/>
          <w:highlight w:val="none"/>
        </w:rPr>
      </w:pPr>
      <w:r>
        <w:rPr>
          <w:rFonts w:hint="eastAsia"/>
          <w:color w:val="auto"/>
          <w:szCs w:val="21"/>
          <w:highlight w:val="none"/>
        </w:rPr>
        <w:t>（4）以联合体形式参加政府采购活动的，联合体各方不得再单独参加或者与其他供应商另外组成联合体参加同一合同项下的政府采购活动。</w:t>
      </w:r>
    </w:p>
    <w:p w14:paraId="607734D8">
      <w:pPr>
        <w:spacing w:before="120" w:line="320" w:lineRule="atLeast"/>
        <w:ind w:firstLine="420" w:firstLineChars="200"/>
        <w:rPr>
          <w:color w:val="auto"/>
          <w:szCs w:val="21"/>
          <w:highlight w:val="none"/>
        </w:rPr>
      </w:pPr>
      <w:r>
        <w:rPr>
          <w:rFonts w:hint="eastAsia"/>
          <w:color w:val="auto"/>
          <w:szCs w:val="21"/>
          <w:highlight w:val="none"/>
        </w:rPr>
        <w:t>（5）联合体中有同类资质的供应商按照联合体分工承担相同工作的，应当按照资质等级较低的供应商确定资质等级。</w:t>
      </w:r>
    </w:p>
    <w:p w14:paraId="58333AE1">
      <w:pPr>
        <w:spacing w:before="120" w:line="320" w:lineRule="atLeast"/>
        <w:ind w:firstLine="420" w:firstLineChars="200"/>
        <w:rPr>
          <w:color w:val="auto"/>
          <w:szCs w:val="21"/>
          <w:highlight w:val="none"/>
        </w:rPr>
      </w:pPr>
      <w:r>
        <w:rPr>
          <w:rFonts w:hint="eastAsia"/>
          <w:color w:val="auto"/>
          <w:szCs w:val="21"/>
          <w:highlight w:val="none"/>
        </w:rPr>
        <w:t>（6）联合体响应业绩、履约能力按照联合体各方其中较高的一方认定并计算（采购文件其他章节另有规定的除外）。</w:t>
      </w:r>
    </w:p>
    <w:p w14:paraId="40669F9B">
      <w:pPr>
        <w:spacing w:before="120" w:line="320" w:lineRule="atLeast"/>
        <w:ind w:firstLine="420" w:firstLineChars="200"/>
        <w:rPr>
          <w:color w:val="auto"/>
          <w:szCs w:val="21"/>
          <w:highlight w:val="none"/>
        </w:rPr>
      </w:pPr>
      <w:r>
        <w:rPr>
          <w:rFonts w:hint="eastAsia"/>
          <w:color w:val="auto"/>
          <w:szCs w:val="21"/>
          <w:highlight w:val="none"/>
        </w:rPr>
        <w:t>（7）供应商为联合体的，可以由联合体中的一方或者多方共同交纳磋商保证金，其交纳的保证金对联合体各方均具有约束力。</w:t>
      </w:r>
    </w:p>
    <w:p w14:paraId="3C05DD4B">
      <w:pPr>
        <w:spacing w:before="120" w:line="320" w:lineRule="atLeast"/>
        <w:ind w:firstLine="420" w:firstLineChars="200"/>
        <w:rPr>
          <w:color w:val="auto"/>
          <w:szCs w:val="21"/>
          <w:highlight w:val="none"/>
        </w:rPr>
      </w:pPr>
      <w:r>
        <w:rPr>
          <w:rFonts w:hint="eastAsia"/>
          <w:color w:val="auto"/>
          <w:szCs w:val="21"/>
          <w:highlight w:val="none"/>
        </w:rPr>
        <w:t>（8）联合体各方均应按照采购文件的规定提交资格证明文件。</w:t>
      </w:r>
    </w:p>
    <w:p w14:paraId="480753DF">
      <w:pPr>
        <w:spacing w:before="120" w:line="320" w:lineRule="atLeast"/>
        <w:ind w:firstLine="422" w:firstLineChars="200"/>
        <w:outlineLvl w:val="2"/>
        <w:rPr>
          <w:b/>
          <w:bCs/>
          <w:color w:val="auto"/>
          <w:kern w:val="0"/>
          <w:szCs w:val="21"/>
          <w:highlight w:val="none"/>
        </w:rPr>
      </w:pPr>
      <w:bookmarkStart w:id="63" w:name="_Toc254970531"/>
      <w:bookmarkStart w:id="64" w:name="_Toc254970672"/>
      <w:r>
        <w:rPr>
          <w:b/>
          <w:bCs/>
          <w:color w:val="auto"/>
          <w:kern w:val="0"/>
          <w:szCs w:val="21"/>
          <w:highlight w:val="none"/>
        </w:rPr>
        <w:t>1.6现场踏勘及响应费用</w:t>
      </w:r>
      <w:bookmarkEnd w:id="63"/>
      <w:bookmarkEnd w:id="64"/>
    </w:p>
    <w:p w14:paraId="5C2972BE">
      <w:pPr>
        <w:spacing w:before="120" w:line="320" w:lineRule="atLeast"/>
        <w:ind w:firstLine="420" w:firstLineChars="200"/>
        <w:rPr>
          <w:color w:val="auto"/>
          <w:szCs w:val="21"/>
          <w:highlight w:val="none"/>
        </w:rPr>
      </w:pPr>
      <w:r>
        <w:rPr>
          <w:color w:val="auto"/>
          <w:szCs w:val="21"/>
          <w:highlight w:val="none"/>
        </w:rPr>
        <w:t>1.6.1前附表如规定现场踏勘的，供应商应按规定时间地点参加踏勘。</w:t>
      </w:r>
    </w:p>
    <w:p w14:paraId="3D23CFF8">
      <w:pPr>
        <w:spacing w:before="120" w:line="320" w:lineRule="atLeast"/>
        <w:ind w:firstLine="420" w:firstLineChars="200"/>
        <w:rPr>
          <w:color w:val="auto"/>
          <w:szCs w:val="21"/>
          <w:highlight w:val="none"/>
        </w:rPr>
      </w:pPr>
      <w:r>
        <w:rPr>
          <w:color w:val="auto"/>
          <w:szCs w:val="21"/>
          <w:highlight w:val="none"/>
        </w:rPr>
        <w:t>1.6.2供应商均应自行承担所有与响应有关的全部费用（采购文件有相关的规定除外）。</w:t>
      </w:r>
    </w:p>
    <w:p w14:paraId="21EE3AFB">
      <w:pPr>
        <w:spacing w:before="120" w:line="320" w:lineRule="atLeast"/>
        <w:ind w:firstLine="422" w:firstLineChars="200"/>
        <w:outlineLvl w:val="2"/>
        <w:rPr>
          <w:b/>
          <w:bCs/>
          <w:color w:val="auto"/>
          <w:kern w:val="0"/>
          <w:szCs w:val="21"/>
          <w:highlight w:val="none"/>
        </w:rPr>
      </w:pPr>
      <w:r>
        <w:rPr>
          <w:b/>
          <w:bCs/>
          <w:color w:val="auto"/>
          <w:kern w:val="0"/>
          <w:szCs w:val="21"/>
          <w:highlight w:val="none"/>
        </w:rPr>
        <w:t>1.7转包与分包</w:t>
      </w:r>
    </w:p>
    <w:p w14:paraId="4B597983">
      <w:pPr>
        <w:spacing w:before="120" w:line="320" w:lineRule="atLeast"/>
        <w:ind w:firstLine="420" w:firstLineChars="200"/>
        <w:rPr>
          <w:color w:val="auto"/>
          <w:szCs w:val="21"/>
          <w:highlight w:val="none"/>
        </w:rPr>
      </w:pPr>
      <w:r>
        <w:rPr>
          <w:color w:val="auto"/>
          <w:szCs w:val="21"/>
          <w:highlight w:val="none"/>
        </w:rPr>
        <w:t>1.7.1如</w:t>
      </w:r>
      <w:r>
        <w:rPr>
          <w:rFonts w:hint="eastAsia"/>
          <w:color w:val="auto"/>
          <w:szCs w:val="21"/>
          <w:highlight w:val="none"/>
        </w:rPr>
        <w:t>采购文件</w:t>
      </w:r>
      <w:r>
        <w:rPr>
          <w:color w:val="auto"/>
          <w:szCs w:val="21"/>
          <w:highlight w:val="none"/>
        </w:rPr>
        <w:t>其他地方无特别规定</w:t>
      </w:r>
      <w:r>
        <w:rPr>
          <w:rFonts w:hint="eastAsia"/>
          <w:color w:val="auto"/>
          <w:szCs w:val="21"/>
          <w:highlight w:val="none"/>
        </w:rPr>
        <w:t>，</w:t>
      </w:r>
      <w:r>
        <w:rPr>
          <w:color w:val="auto"/>
          <w:szCs w:val="21"/>
          <w:highlight w:val="none"/>
        </w:rPr>
        <w:t>本项目不允许转包。</w:t>
      </w:r>
    </w:p>
    <w:p w14:paraId="4297779F">
      <w:pPr>
        <w:spacing w:before="120" w:line="320" w:lineRule="atLeast"/>
        <w:ind w:firstLine="420" w:firstLineChars="200"/>
        <w:rPr>
          <w:color w:val="auto"/>
          <w:szCs w:val="21"/>
          <w:highlight w:val="none"/>
        </w:rPr>
      </w:pPr>
      <w:r>
        <w:rPr>
          <w:color w:val="auto"/>
          <w:szCs w:val="21"/>
          <w:highlight w:val="none"/>
        </w:rPr>
        <w:t>1.7.2</w:t>
      </w:r>
      <w:r>
        <w:rPr>
          <w:rFonts w:hint="eastAsia"/>
          <w:color w:val="auto"/>
          <w:szCs w:val="21"/>
          <w:highlight w:val="none"/>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47D4F138">
      <w:pPr>
        <w:spacing w:before="120" w:line="276" w:lineRule="auto"/>
        <w:ind w:firstLine="422" w:firstLineChars="200"/>
        <w:outlineLvl w:val="2"/>
        <w:rPr>
          <w:b/>
          <w:bCs/>
          <w:color w:val="auto"/>
          <w:kern w:val="0"/>
          <w:szCs w:val="21"/>
          <w:highlight w:val="none"/>
        </w:rPr>
      </w:pPr>
      <w:bookmarkStart w:id="65" w:name="_Toc254970673"/>
      <w:bookmarkStart w:id="66" w:name="_Toc254970532"/>
      <w:r>
        <w:rPr>
          <w:b/>
          <w:bCs/>
          <w:color w:val="auto"/>
          <w:kern w:val="0"/>
          <w:szCs w:val="21"/>
          <w:highlight w:val="none"/>
        </w:rPr>
        <w:t>1.8特别说明</w:t>
      </w:r>
      <w:bookmarkEnd w:id="65"/>
      <w:bookmarkEnd w:id="66"/>
    </w:p>
    <w:p w14:paraId="4F36BEBE">
      <w:pPr>
        <w:spacing w:line="276" w:lineRule="auto"/>
        <w:ind w:firstLine="420" w:firstLineChars="200"/>
        <w:rPr>
          <w:color w:val="auto"/>
          <w:szCs w:val="21"/>
          <w:highlight w:val="none"/>
        </w:rPr>
      </w:pPr>
      <w:r>
        <w:rPr>
          <w:color w:val="auto"/>
          <w:szCs w:val="21"/>
          <w:highlight w:val="none"/>
        </w:rPr>
        <w:t>1.8.1 供应商应保证其提供的联系方式（电话、传真、电子邮件）有效，以保证往来函件（澄清、修改等）能及时通知供应商，并能及时反馈，否则采购人</w:t>
      </w:r>
      <w:r>
        <w:rPr>
          <w:rFonts w:hint="eastAsia"/>
          <w:color w:val="auto"/>
          <w:szCs w:val="21"/>
          <w:highlight w:val="none"/>
        </w:rPr>
        <w:t>及代理机构</w:t>
      </w:r>
      <w:r>
        <w:rPr>
          <w:color w:val="auto"/>
          <w:szCs w:val="21"/>
          <w:highlight w:val="none"/>
        </w:rPr>
        <w:t>不承担由此引起的一切后果。</w:t>
      </w:r>
    </w:p>
    <w:p w14:paraId="02407138">
      <w:pPr>
        <w:spacing w:before="120" w:line="320" w:lineRule="atLeast"/>
        <w:ind w:firstLine="420" w:firstLineChars="200"/>
        <w:rPr>
          <w:color w:val="auto"/>
          <w:szCs w:val="21"/>
          <w:highlight w:val="none"/>
        </w:rPr>
      </w:pPr>
      <w:r>
        <w:rPr>
          <w:color w:val="auto"/>
          <w:szCs w:val="21"/>
          <w:highlight w:val="none"/>
        </w:rPr>
        <w:t>1.8.2供应商应仔细阅读采购文件的所有内容，按照采购文件的要求提交响应文件，并对所提供的全部资料的真实性承担法律责任。</w:t>
      </w:r>
    </w:p>
    <w:p w14:paraId="7D441DEC">
      <w:pPr>
        <w:spacing w:before="120" w:line="360" w:lineRule="auto"/>
        <w:ind w:firstLine="420" w:firstLineChars="200"/>
        <w:rPr>
          <w:color w:val="auto"/>
          <w:szCs w:val="21"/>
          <w:highlight w:val="none"/>
        </w:rPr>
      </w:pPr>
      <w:r>
        <w:rPr>
          <w:color w:val="auto"/>
          <w:szCs w:val="21"/>
          <w:highlight w:val="none"/>
        </w:rPr>
        <w:t>1.8.3供应商在响应活动中提供任何虚假材料，</w:t>
      </w:r>
      <w:r>
        <w:rPr>
          <w:rFonts w:hint="eastAsia"/>
          <w:color w:val="auto"/>
          <w:szCs w:val="21"/>
          <w:highlight w:val="none"/>
        </w:rPr>
        <w:t>将</w:t>
      </w:r>
      <w:r>
        <w:rPr>
          <w:color w:val="auto"/>
          <w:szCs w:val="21"/>
          <w:highlight w:val="none"/>
        </w:rPr>
        <w:t xml:space="preserve">报监管部门查处； </w:t>
      </w:r>
    </w:p>
    <w:p w14:paraId="393CE9DD">
      <w:pPr>
        <w:spacing w:before="120" w:line="276" w:lineRule="auto"/>
        <w:ind w:firstLine="422" w:firstLineChars="200"/>
        <w:outlineLvl w:val="2"/>
        <w:rPr>
          <w:b/>
          <w:bCs/>
          <w:color w:val="auto"/>
          <w:kern w:val="0"/>
          <w:szCs w:val="21"/>
          <w:highlight w:val="none"/>
        </w:rPr>
      </w:pPr>
      <w:bookmarkStart w:id="67" w:name="_Toc254970675"/>
      <w:bookmarkStart w:id="68" w:name="_Toc254970534"/>
      <w:r>
        <w:rPr>
          <w:rFonts w:hint="eastAsia"/>
          <w:b/>
          <w:bCs/>
          <w:color w:val="auto"/>
          <w:kern w:val="0"/>
          <w:szCs w:val="21"/>
          <w:highlight w:val="none"/>
        </w:rPr>
        <w:t>1</w:t>
      </w:r>
      <w:r>
        <w:rPr>
          <w:b/>
          <w:bCs/>
          <w:color w:val="auto"/>
          <w:kern w:val="0"/>
          <w:szCs w:val="21"/>
          <w:highlight w:val="none"/>
        </w:rPr>
        <w:t>.</w:t>
      </w:r>
      <w:r>
        <w:rPr>
          <w:rFonts w:hint="eastAsia"/>
          <w:b/>
          <w:bCs/>
          <w:color w:val="auto"/>
          <w:kern w:val="0"/>
          <w:szCs w:val="21"/>
          <w:highlight w:val="none"/>
        </w:rPr>
        <w:t>9 对本国产品的支持政策</w:t>
      </w:r>
    </w:p>
    <w:p w14:paraId="70E488E4">
      <w:pPr>
        <w:spacing w:before="120" w:line="360" w:lineRule="auto"/>
        <w:ind w:left="819" w:leftChars="190" w:hanging="420" w:hangingChars="200"/>
        <w:rPr>
          <w:color w:val="auto"/>
          <w:szCs w:val="21"/>
          <w:highlight w:val="none"/>
        </w:rPr>
      </w:pPr>
      <w:r>
        <w:rPr>
          <w:rFonts w:hint="eastAsia"/>
          <w:color w:val="auto"/>
          <w:szCs w:val="21"/>
          <w:highlight w:val="none"/>
        </w:rPr>
        <w:t>1.9.1</w:t>
      </w:r>
      <w:r>
        <w:rPr>
          <w:color w:val="auto"/>
          <w:szCs w:val="21"/>
          <w:highlight w:val="none"/>
        </w:rPr>
        <w:t>本国产品标准</w:t>
      </w:r>
    </w:p>
    <w:p w14:paraId="0A648938">
      <w:pPr>
        <w:spacing w:line="276" w:lineRule="auto"/>
        <w:ind w:firstLine="420" w:firstLineChars="200"/>
        <w:rPr>
          <w:color w:val="auto"/>
          <w:szCs w:val="21"/>
          <w:highlight w:val="none"/>
        </w:rPr>
      </w:pPr>
      <w:r>
        <w:rPr>
          <w:rFonts w:hint="eastAsia"/>
          <w:color w:val="auto"/>
          <w:szCs w:val="21"/>
          <w:highlight w:val="none"/>
        </w:rPr>
        <w:t>“本国产品标准的产品”是指：符合《国务院办公厅关于在政府采购中实施本国产品标准及相关政策的通知》（国办发〔2025〕34号）规定的本国产品标准的产品。</w:t>
      </w:r>
    </w:p>
    <w:p w14:paraId="4DF0DC85">
      <w:pPr>
        <w:spacing w:line="276" w:lineRule="auto"/>
        <w:ind w:firstLine="420" w:firstLineChars="200"/>
        <w:rPr>
          <w:color w:val="auto"/>
          <w:szCs w:val="21"/>
          <w:highlight w:val="none"/>
        </w:rPr>
      </w:pPr>
      <w:r>
        <w:rPr>
          <w:rFonts w:hint="eastAsia"/>
          <w:color w:val="auto"/>
          <w:szCs w:val="21"/>
          <w:highlight w:val="none"/>
        </w:rPr>
        <w:t>本国产品标准的产品应当符合以下条件：</w:t>
      </w:r>
    </w:p>
    <w:p w14:paraId="2C48B67B">
      <w:pPr>
        <w:spacing w:line="276" w:lineRule="auto"/>
        <w:ind w:firstLine="420" w:firstLineChars="200"/>
        <w:rPr>
          <w:color w:val="auto"/>
          <w:szCs w:val="21"/>
          <w:highlight w:val="none"/>
        </w:rPr>
      </w:pPr>
      <w:r>
        <w:rPr>
          <w:rFonts w:hint="eastAsia"/>
          <w:color w:val="auto"/>
          <w:szCs w:val="21"/>
          <w:highlight w:val="none"/>
        </w:rPr>
        <w:t>（1）</w:t>
      </w:r>
      <w:r>
        <w:rPr>
          <w:color w:val="auto"/>
          <w:szCs w:val="21"/>
          <w:highlight w:val="none"/>
        </w:rPr>
        <w:t>在中国境内生产</w:t>
      </w:r>
      <w:r>
        <w:rPr>
          <w:rFonts w:hint="eastAsia"/>
          <w:color w:val="auto"/>
          <w:szCs w:val="21"/>
          <w:highlight w:val="none"/>
        </w:rPr>
        <w:t>。</w:t>
      </w:r>
      <w:r>
        <w:rPr>
          <w:color w:val="auto"/>
          <w:szCs w:val="21"/>
          <w:highlight w:val="none"/>
        </w:rPr>
        <w:t>产品应当在中国境内生产，即在中华人民共和国关境内</w:t>
      </w:r>
      <w:r>
        <w:rPr>
          <w:rFonts w:hint="eastAsia"/>
          <w:color w:val="auto"/>
          <w:szCs w:val="21"/>
          <w:highlight w:val="none"/>
        </w:rPr>
        <w:t>（含保税区、综合保税区等海关特殊监管区域）</w:t>
      </w:r>
      <w:r>
        <w:rPr>
          <w:color w:val="auto"/>
          <w:szCs w:val="21"/>
          <w:highlight w:val="none"/>
        </w:rPr>
        <w:t>实现从原材料、组件到产品的属性改变；属性改变是指经过制造、加工或者组装等工序，产生完全不同于原材料、组件的新产品，并具有新的名称和特征（用途），属性改变不包括以下细微操作：</w:t>
      </w:r>
    </w:p>
    <w:p w14:paraId="7C8D5031">
      <w:pPr>
        <w:spacing w:line="276" w:lineRule="auto"/>
        <w:ind w:firstLine="420" w:firstLineChars="200"/>
        <w:rPr>
          <w:color w:val="auto"/>
          <w:szCs w:val="21"/>
          <w:highlight w:val="none"/>
        </w:rPr>
      </w:pPr>
      <w:r>
        <w:rPr>
          <w:color w:val="auto"/>
          <w:szCs w:val="21"/>
          <w:highlight w:val="none"/>
        </w:rPr>
        <w:t>①为确保产品在运输或者储存期间保持某种状态而进行的操作；</w:t>
      </w:r>
    </w:p>
    <w:p w14:paraId="544A5AE4">
      <w:pPr>
        <w:spacing w:line="276" w:lineRule="auto"/>
        <w:ind w:firstLine="420" w:firstLineChars="200"/>
        <w:rPr>
          <w:color w:val="auto"/>
          <w:szCs w:val="21"/>
          <w:highlight w:val="none"/>
        </w:rPr>
      </w:pPr>
      <w:r>
        <w:rPr>
          <w:color w:val="auto"/>
          <w:szCs w:val="21"/>
          <w:highlight w:val="none"/>
        </w:rPr>
        <w:t>②为产品运输或者销售进行的包装或者展示；</w:t>
      </w:r>
    </w:p>
    <w:p w14:paraId="438DB6AB">
      <w:pPr>
        <w:spacing w:line="276" w:lineRule="auto"/>
        <w:ind w:firstLine="420" w:firstLineChars="200"/>
        <w:rPr>
          <w:color w:val="auto"/>
          <w:szCs w:val="21"/>
          <w:highlight w:val="none"/>
        </w:rPr>
      </w:pPr>
      <w:r>
        <w:rPr>
          <w:color w:val="auto"/>
          <w:szCs w:val="21"/>
          <w:highlight w:val="none"/>
        </w:rPr>
        <w:t>③在产品或者其包装上粘贴或者印刷品牌、标志、标识以及其他用于区别的标记；</w:t>
      </w:r>
    </w:p>
    <w:p w14:paraId="2EA58FCB">
      <w:pPr>
        <w:spacing w:line="276" w:lineRule="auto"/>
        <w:ind w:firstLine="420" w:firstLineChars="200"/>
        <w:rPr>
          <w:color w:val="auto"/>
          <w:szCs w:val="21"/>
          <w:highlight w:val="none"/>
        </w:rPr>
      </w:pPr>
      <w:r>
        <w:rPr>
          <w:color w:val="auto"/>
          <w:szCs w:val="21"/>
          <w:highlight w:val="none"/>
        </w:rPr>
        <w:t>④简单的上漆、磨光和分装；</w:t>
      </w:r>
    </w:p>
    <w:p w14:paraId="208A3823">
      <w:pPr>
        <w:spacing w:line="276" w:lineRule="auto"/>
        <w:ind w:firstLine="420" w:firstLineChars="200"/>
        <w:rPr>
          <w:color w:val="auto"/>
          <w:szCs w:val="21"/>
          <w:highlight w:val="none"/>
        </w:rPr>
      </w:pPr>
      <w:r>
        <w:rPr>
          <w:color w:val="auto"/>
          <w:szCs w:val="21"/>
          <w:highlight w:val="none"/>
        </w:rPr>
        <w:t>⑤其他不属于属性改变的情形；</w:t>
      </w:r>
    </w:p>
    <w:p w14:paraId="719864F0">
      <w:pPr>
        <w:spacing w:line="276" w:lineRule="auto"/>
        <w:ind w:firstLine="420" w:firstLineChars="200"/>
        <w:rPr>
          <w:color w:val="auto"/>
          <w:szCs w:val="21"/>
          <w:highlight w:val="none"/>
        </w:rPr>
      </w:pPr>
      <w:r>
        <w:rPr>
          <w:rFonts w:hint="eastAsia"/>
          <w:color w:val="auto"/>
          <w:szCs w:val="21"/>
          <w:highlight w:val="none"/>
        </w:rPr>
        <w:t>（2）</w:t>
      </w:r>
      <w:r>
        <w:rPr>
          <w:color w:val="auto"/>
          <w:szCs w:val="21"/>
          <w:highlight w:val="none"/>
        </w:rPr>
        <w:t>中国境内生产的组件成本占比达到规定比例</w:t>
      </w:r>
      <w:r>
        <w:rPr>
          <w:rFonts w:hint="eastAsia"/>
          <w:color w:val="auto"/>
          <w:szCs w:val="21"/>
          <w:highlight w:val="none"/>
        </w:rPr>
        <w:t>。</w:t>
      </w:r>
    </w:p>
    <w:p w14:paraId="7E653D4D">
      <w:pPr>
        <w:spacing w:line="276" w:lineRule="auto"/>
        <w:ind w:firstLine="420" w:firstLineChars="200"/>
        <w:rPr>
          <w:color w:val="auto"/>
          <w:szCs w:val="21"/>
          <w:highlight w:val="none"/>
        </w:rPr>
      </w:pPr>
      <w:r>
        <w:rPr>
          <w:rFonts w:hint="eastAsia"/>
          <w:color w:val="auto"/>
          <w:szCs w:val="21"/>
          <w:highlight w:val="none"/>
        </w:rPr>
        <w:t>①产品在中国境内生产的组件成本占比应当达到规定比例，计算公式为：产品在中国境内生产的组件成本/产品总成本≥规定比例；</w:t>
      </w:r>
    </w:p>
    <w:p w14:paraId="0CEDA564">
      <w:pPr>
        <w:spacing w:line="276" w:lineRule="auto"/>
        <w:ind w:firstLine="420" w:firstLineChars="200"/>
        <w:rPr>
          <w:color w:val="auto"/>
          <w:szCs w:val="21"/>
          <w:highlight w:val="none"/>
        </w:rPr>
      </w:pPr>
      <w:r>
        <w:rPr>
          <w:rFonts w:hint="eastAsia"/>
          <w:color w:val="auto"/>
          <w:szCs w:val="21"/>
          <w:highlight w:val="none"/>
        </w:rPr>
        <w:t>②产品在中国境内生产的组件成本，按照《中国境内生产的组件成本核算基本规则》计算；</w:t>
      </w:r>
    </w:p>
    <w:p w14:paraId="13EEAEE5">
      <w:pPr>
        <w:spacing w:line="276" w:lineRule="auto"/>
        <w:ind w:firstLine="420" w:firstLineChars="200"/>
        <w:rPr>
          <w:color w:val="auto"/>
          <w:szCs w:val="21"/>
          <w:highlight w:val="none"/>
        </w:rPr>
      </w:pPr>
      <w:r>
        <w:rPr>
          <w:rFonts w:hint="eastAsia"/>
          <w:color w:val="auto"/>
          <w:szCs w:val="21"/>
          <w:highlight w:val="none"/>
        </w:rPr>
        <w:t>③中国境内生产的组件成本占比相关要求实施前，符合第（1）项条件的产品在政府采购活动中视同本国产品。</w:t>
      </w:r>
    </w:p>
    <w:p w14:paraId="46B83832">
      <w:pPr>
        <w:spacing w:line="276" w:lineRule="auto"/>
        <w:ind w:firstLine="420" w:firstLineChars="200"/>
        <w:rPr>
          <w:color w:val="auto"/>
          <w:szCs w:val="21"/>
          <w:highlight w:val="none"/>
        </w:rPr>
      </w:pPr>
      <w:r>
        <w:rPr>
          <w:rFonts w:hint="eastAsia"/>
          <w:color w:val="auto"/>
          <w:szCs w:val="21"/>
          <w:highlight w:val="none"/>
        </w:rPr>
        <w:t>（3）</w:t>
      </w:r>
      <w:r>
        <w:rPr>
          <w:color w:val="auto"/>
          <w:szCs w:val="21"/>
          <w:highlight w:val="none"/>
        </w:rPr>
        <w:t>特定产品的关键组件和工序在中国境内完成。</w:t>
      </w:r>
    </w:p>
    <w:p w14:paraId="2450A810">
      <w:pPr>
        <w:spacing w:line="276" w:lineRule="auto"/>
        <w:ind w:firstLine="420" w:firstLineChars="200"/>
        <w:rPr>
          <w:color w:val="auto"/>
          <w:szCs w:val="21"/>
          <w:highlight w:val="none"/>
        </w:rPr>
      </w:pPr>
      <w:r>
        <w:rPr>
          <w:rFonts w:hint="eastAsia"/>
          <w:color w:val="auto"/>
          <w:szCs w:val="21"/>
          <w:highlight w:val="none"/>
        </w:rPr>
        <w:t>①对特定产品，在符合第（1）项和第（2）项条件的基础上，应当符合财政部会同有关行业主管部门确定的其关键组件、关键工序在中国境内生产、完成等要求；</w:t>
      </w:r>
    </w:p>
    <w:p w14:paraId="454C35BE">
      <w:pPr>
        <w:spacing w:line="276" w:lineRule="auto"/>
        <w:ind w:firstLine="420" w:firstLineChars="200"/>
        <w:rPr>
          <w:color w:val="auto"/>
          <w:szCs w:val="21"/>
          <w:highlight w:val="none"/>
        </w:rPr>
      </w:pPr>
      <w:r>
        <w:rPr>
          <w:rFonts w:hint="eastAsia"/>
          <w:color w:val="auto"/>
          <w:szCs w:val="21"/>
          <w:highlight w:val="none"/>
        </w:rPr>
        <w:t>②特定产品的关键组件、关键工序符合相关要求实施前，符合第（1）项和第（2）项条件的产品在政府采购活动中视同本国产品。</w:t>
      </w:r>
    </w:p>
    <w:p w14:paraId="17B6A240">
      <w:pPr>
        <w:spacing w:before="120" w:line="360" w:lineRule="auto"/>
        <w:ind w:left="819" w:leftChars="190" w:hanging="420" w:hangingChars="200"/>
        <w:rPr>
          <w:color w:val="auto"/>
          <w:szCs w:val="21"/>
          <w:highlight w:val="none"/>
        </w:rPr>
      </w:pPr>
      <w:r>
        <w:rPr>
          <w:rFonts w:hint="eastAsia"/>
          <w:color w:val="auto"/>
          <w:szCs w:val="21"/>
          <w:highlight w:val="none"/>
        </w:rPr>
        <w:t>1.9.2 本国产品标准的适用范围</w:t>
      </w:r>
    </w:p>
    <w:p w14:paraId="547B3E20">
      <w:pPr>
        <w:spacing w:line="276" w:lineRule="auto"/>
        <w:ind w:firstLine="420" w:firstLineChars="200"/>
        <w:rPr>
          <w:color w:val="auto"/>
          <w:szCs w:val="21"/>
          <w:highlight w:val="none"/>
        </w:rPr>
      </w:pPr>
      <w:r>
        <w:rPr>
          <w:color w:val="auto"/>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rPr>
        <w:t>本项目是否适用对本国产品的支持政策详见供应商须知前附表。</w:t>
      </w:r>
    </w:p>
    <w:p w14:paraId="170B3967">
      <w:pPr>
        <w:spacing w:line="276" w:lineRule="auto"/>
        <w:ind w:firstLine="420" w:firstLineChars="200"/>
        <w:rPr>
          <w:color w:val="auto"/>
          <w:szCs w:val="21"/>
          <w:highlight w:val="none"/>
        </w:rPr>
      </w:pPr>
      <w:r>
        <w:rPr>
          <w:color w:val="auto"/>
          <w:szCs w:val="21"/>
          <w:highlight w:val="none"/>
        </w:rPr>
        <w:t>中华人民共和国缔结或者共同参加的国际条约、协定对政府采购中本国产品政策另有规定的，按照有关条约、协定执行。</w:t>
      </w:r>
    </w:p>
    <w:p w14:paraId="24A5EDDA">
      <w:pPr>
        <w:spacing w:before="120" w:line="320" w:lineRule="atLeast"/>
        <w:ind w:firstLine="420" w:firstLineChars="200"/>
        <w:rPr>
          <w:color w:val="auto"/>
          <w:szCs w:val="21"/>
          <w:highlight w:val="none"/>
        </w:rPr>
      </w:pPr>
      <w:r>
        <w:rPr>
          <w:rFonts w:hint="eastAsia"/>
          <w:color w:val="auto"/>
          <w:szCs w:val="21"/>
          <w:highlight w:val="none"/>
        </w:rPr>
        <w:t>1.9.3 价格评审优惠</w:t>
      </w:r>
    </w:p>
    <w:p w14:paraId="0CA277F9">
      <w:pPr>
        <w:spacing w:before="120" w:line="320" w:lineRule="atLeast"/>
        <w:ind w:firstLine="420" w:firstLineChars="200"/>
        <w:rPr>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4FE152A3">
      <w:pPr>
        <w:spacing w:before="120" w:line="320" w:lineRule="atLeast"/>
        <w:ind w:firstLine="420" w:firstLineChars="200"/>
        <w:rPr>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22C267D">
      <w:pPr>
        <w:spacing w:before="120" w:line="320" w:lineRule="atLeast"/>
        <w:ind w:firstLine="420" w:firstLineChars="200"/>
        <w:rPr>
          <w:color w:val="auto"/>
          <w:szCs w:val="21"/>
          <w:highlight w:val="none"/>
        </w:rPr>
      </w:pPr>
      <w:r>
        <w:rPr>
          <w:rFonts w:hint="eastAsia"/>
          <w:color w:val="auto"/>
          <w:szCs w:val="21"/>
          <w:highlight w:val="none"/>
        </w:rPr>
        <w:t>价格扣除比例在第四章评审方法及标准中规定。</w:t>
      </w:r>
    </w:p>
    <w:p w14:paraId="42CD32C5">
      <w:pPr>
        <w:spacing w:before="120" w:line="320" w:lineRule="atLeast"/>
        <w:ind w:firstLine="420" w:firstLineChars="200"/>
        <w:rPr>
          <w:color w:val="auto"/>
          <w:szCs w:val="21"/>
          <w:highlight w:val="none"/>
        </w:rPr>
      </w:pPr>
      <w:r>
        <w:rPr>
          <w:rFonts w:hint="eastAsia"/>
          <w:color w:val="auto"/>
          <w:szCs w:val="21"/>
          <w:highlight w:val="none"/>
        </w:rPr>
        <w:t>1.9.4政策执行要求</w:t>
      </w:r>
    </w:p>
    <w:p w14:paraId="55219398">
      <w:pPr>
        <w:spacing w:before="120" w:line="320" w:lineRule="atLeast"/>
        <w:ind w:firstLine="420" w:firstLineChars="200"/>
        <w:rPr>
          <w:color w:val="auto"/>
          <w:szCs w:val="21"/>
          <w:highlight w:val="none"/>
        </w:rPr>
      </w:pPr>
      <w:r>
        <w:rPr>
          <w:rFonts w:hint="eastAsia"/>
          <w:color w:val="auto"/>
          <w:szCs w:val="21"/>
          <w:highlight w:val="none"/>
        </w:rPr>
        <w:t>1.9.4.1产品在中国境内生产的组件成本核算规则：产品在中国境内生产的组件成本，按照《中国境内生产的组件成本核算基本规则》计算。</w:t>
      </w:r>
    </w:p>
    <w:p w14:paraId="04281ADE">
      <w:pPr>
        <w:spacing w:before="120" w:line="360" w:lineRule="auto"/>
        <w:ind w:firstLine="2520" w:firstLineChars="1200"/>
        <w:rPr>
          <w:color w:val="auto"/>
          <w:szCs w:val="21"/>
          <w:highlight w:val="none"/>
        </w:rPr>
      </w:pPr>
      <w:r>
        <w:rPr>
          <w:rFonts w:hint="eastAsia"/>
          <w:color w:val="auto"/>
          <w:szCs w:val="21"/>
          <w:highlight w:val="none"/>
        </w:rPr>
        <w:t>《中国境内生产的组件成本核算基本规则》</w:t>
      </w:r>
    </w:p>
    <w:p w14:paraId="119B78AA">
      <w:pPr>
        <w:spacing w:before="120"/>
        <w:ind w:firstLine="420" w:firstLineChars="200"/>
        <w:rPr>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470C636">
      <w:pPr>
        <w:spacing w:before="120"/>
        <w:ind w:firstLine="420" w:firstLineChars="200"/>
        <w:rPr>
          <w:color w:val="auto"/>
          <w:szCs w:val="21"/>
          <w:highlight w:val="none"/>
        </w:rPr>
      </w:pPr>
      <w:r>
        <w:rPr>
          <w:rFonts w:hint="eastAsia"/>
          <w:color w:val="auto"/>
          <w:szCs w:val="21"/>
          <w:highlight w:val="none"/>
        </w:rPr>
        <w:t>1.产品的一级组件是指直接组成产品的组件。产品的二级组件是指直接组成产品一级组件的组件。一级组件不可分解的，视同二级组件。</w:t>
      </w:r>
    </w:p>
    <w:p w14:paraId="4570BECA">
      <w:pPr>
        <w:spacing w:before="120"/>
        <w:ind w:firstLine="420" w:firstLineChars="200"/>
        <w:rPr>
          <w:color w:val="auto"/>
          <w:szCs w:val="21"/>
          <w:highlight w:val="none"/>
        </w:rPr>
      </w:pPr>
      <w:r>
        <w:rPr>
          <w:rFonts w:hint="eastAsia"/>
          <w:color w:val="auto"/>
          <w:szCs w:val="21"/>
          <w:highlight w:val="none"/>
        </w:rPr>
        <w:t>2.二级组件在中国境内生产的，其全部成本计入中国境内生产的组件成本；二级组件不在中国境内生产的，其成本不计入中国境内生产的组件成本。</w:t>
      </w:r>
    </w:p>
    <w:p w14:paraId="11541591">
      <w:pPr>
        <w:spacing w:before="120"/>
        <w:ind w:firstLine="420" w:firstLineChars="200"/>
        <w:rPr>
          <w:color w:val="auto"/>
          <w:szCs w:val="21"/>
          <w:highlight w:val="none"/>
        </w:rPr>
      </w:pPr>
      <w:r>
        <w:rPr>
          <w:rFonts w:hint="eastAsia"/>
          <w:color w:val="auto"/>
          <w:szCs w:val="21"/>
          <w:highlight w:val="none"/>
        </w:rPr>
        <w:t>3.产品总成本和组件成本以相关会计核算数据、采购合同、进货记录等为基础进行计算。</w:t>
      </w:r>
    </w:p>
    <w:p w14:paraId="61CC0868">
      <w:pPr>
        <w:spacing w:before="120"/>
        <w:ind w:firstLine="420" w:firstLineChars="200"/>
        <w:rPr>
          <w:color w:val="auto"/>
          <w:szCs w:val="21"/>
          <w:highlight w:val="none"/>
        </w:rPr>
      </w:pPr>
      <w:r>
        <w:rPr>
          <w:rFonts w:hint="eastAsia"/>
          <w:color w:val="auto"/>
          <w:szCs w:val="21"/>
          <w:highlight w:val="none"/>
        </w:rPr>
        <w:t>4.需要对成本核算规则予以进一步明确的其他有关事项，由财政部会同有关部门另行规定。</w:t>
      </w:r>
    </w:p>
    <w:p w14:paraId="6B6B687A">
      <w:pPr>
        <w:spacing w:before="120" w:line="320" w:lineRule="atLeast"/>
        <w:ind w:firstLine="420" w:firstLineChars="200"/>
        <w:rPr>
          <w:color w:val="auto"/>
          <w:szCs w:val="21"/>
          <w:highlight w:val="none"/>
        </w:rPr>
      </w:pPr>
      <w:r>
        <w:rPr>
          <w:rFonts w:hint="eastAsia"/>
          <w:color w:val="auto"/>
          <w:szCs w:val="21"/>
          <w:highlight w:val="none"/>
        </w:rPr>
        <w:t>1.9.4.2证明材料提交与审查：供应商需在投标（响应）文件中对其提供的产品出具《关于符合本国产品标准的声明函》（样式见响应文件格式）或财政部会同有关部门规定的有关证明文件。</w:t>
      </w:r>
      <w:r>
        <w:rPr>
          <w:rFonts w:hint="eastAsia"/>
          <w:b/>
          <w:bCs/>
          <w:color w:val="auto"/>
          <w:szCs w:val="21"/>
          <w:highlight w:val="none"/>
        </w:rPr>
        <w:t>医疗器械产品凭药品监督管理部门授予的准字号注册证直接认定属于在中国境内生产的产品。</w:t>
      </w:r>
      <w:r>
        <w:rPr>
          <w:rFonts w:hint="eastAsia"/>
          <w:color w:val="auto"/>
          <w:szCs w:val="21"/>
          <w:highlight w:val="none"/>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2940357">
      <w:pPr>
        <w:pStyle w:val="2"/>
        <w:ind w:firstLine="420" w:firstLineChars="200"/>
        <w:rPr>
          <w:color w:val="auto"/>
          <w:sz w:val="21"/>
          <w:szCs w:val="21"/>
          <w:highlight w:val="none"/>
        </w:rPr>
      </w:pPr>
      <w:r>
        <w:rPr>
          <w:rFonts w:hint="eastAsia"/>
          <w:color w:val="auto"/>
          <w:sz w:val="21"/>
          <w:szCs w:val="21"/>
          <w:highlight w:val="none"/>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5350CD30">
      <w:pPr>
        <w:pStyle w:val="2"/>
        <w:ind w:firstLine="420" w:firstLineChars="200"/>
        <w:rPr>
          <w:color w:val="auto"/>
          <w:sz w:val="21"/>
          <w:szCs w:val="21"/>
          <w:highlight w:val="none"/>
        </w:rPr>
      </w:pPr>
      <w:r>
        <w:rPr>
          <w:rFonts w:hint="eastAsia"/>
          <w:color w:val="auto"/>
          <w:sz w:val="21"/>
          <w:szCs w:val="21"/>
          <w:highlight w:val="none"/>
        </w:rPr>
        <w:t>澄清补正应当按照“6.3.3澄清、说明或补正”的规定提交。</w:t>
      </w:r>
    </w:p>
    <w:p w14:paraId="5DDC8732">
      <w:pPr>
        <w:pStyle w:val="2"/>
        <w:ind w:firstLine="420" w:firstLineChars="200"/>
        <w:rPr>
          <w:color w:val="auto"/>
          <w:sz w:val="21"/>
          <w:szCs w:val="21"/>
          <w:highlight w:val="none"/>
        </w:rPr>
      </w:pPr>
      <w:r>
        <w:rPr>
          <w:rFonts w:hint="eastAsia"/>
          <w:color w:val="auto"/>
          <w:sz w:val="21"/>
          <w:szCs w:val="21"/>
          <w:highlight w:val="none"/>
        </w:rPr>
        <w:t>1.9.4.3成本核算与承诺</w:t>
      </w:r>
    </w:p>
    <w:p w14:paraId="703B846B">
      <w:pPr>
        <w:pStyle w:val="2"/>
        <w:ind w:firstLine="420" w:firstLineChars="200"/>
        <w:rPr>
          <w:color w:val="auto"/>
          <w:sz w:val="21"/>
          <w:szCs w:val="21"/>
          <w:highlight w:val="none"/>
        </w:rPr>
      </w:pPr>
      <w:r>
        <w:rPr>
          <w:color w:val="auto"/>
          <w:sz w:val="21"/>
          <w:szCs w:val="21"/>
          <w:highlight w:val="none"/>
        </w:rPr>
        <w:t>供应商应依据《中国境内生产的组件成本核算基本规则》核算产品成本占比，并对核算结果负责，按要求提交《</w:t>
      </w:r>
      <w:r>
        <w:rPr>
          <w:rFonts w:hint="eastAsia"/>
          <w:color w:val="auto"/>
          <w:sz w:val="21"/>
          <w:szCs w:val="21"/>
          <w:highlight w:val="none"/>
        </w:rPr>
        <w:t>关于符合</w:t>
      </w:r>
      <w:r>
        <w:rPr>
          <w:color w:val="auto"/>
          <w:sz w:val="21"/>
          <w:szCs w:val="21"/>
          <w:highlight w:val="none"/>
        </w:rPr>
        <w:t>本国产品</w:t>
      </w:r>
      <w:r>
        <w:rPr>
          <w:rFonts w:hint="eastAsia"/>
          <w:color w:val="auto"/>
          <w:sz w:val="21"/>
          <w:szCs w:val="21"/>
          <w:highlight w:val="none"/>
        </w:rPr>
        <w:t>标准的</w:t>
      </w:r>
      <w:r>
        <w:rPr>
          <w:color w:val="auto"/>
          <w:sz w:val="21"/>
          <w:szCs w:val="21"/>
          <w:highlight w:val="none"/>
        </w:rPr>
        <w:t>成本占比承诺函》</w:t>
      </w:r>
      <w:r>
        <w:rPr>
          <w:rFonts w:hint="eastAsia"/>
          <w:color w:val="auto"/>
          <w:sz w:val="21"/>
          <w:szCs w:val="21"/>
          <w:highlight w:val="none"/>
        </w:rPr>
        <w:t>（如适用）</w:t>
      </w:r>
      <w:r>
        <w:rPr>
          <w:color w:val="auto"/>
          <w:sz w:val="21"/>
          <w:szCs w:val="21"/>
          <w:highlight w:val="none"/>
        </w:rPr>
        <w:t>（参考模板</w:t>
      </w:r>
      <w:r>
        <w:rPr>
          <w:rFonts w:hint="eastAsia"/>
          <w:color w:val="auto"/>
          <w:sz w:val="21"/>
          <w:szCs w:val="21"/>
          <w:highlight w:val="none"/>
        </w:rPr>
        <w:t>详见响应文件格式</w:t>
      </w:r>
      <w:r>
        <w:rPr>
          <w:color w:val="auto"/>
          <w:sz w:val="21"/>
          <w:szCs w:val="21"/>
          <w:highlight w:val="none"/>
        </w:rPr>
        <w:t>）。相关成本核算的原始凭证应妥善留存，以备核查。采购人可在履约验收环节对相关材料进行抽查。</w:t>
      </w:r>
    </w:p>
    <w:p w14:paraId="3653F55B">
      <w:pPr>
        <w:spacing w:before="120" w:line="320" w:lineRule="atLeast"/>
        <w:ind w:firstLine="420" w:firstLineChars="200"/>
        <w:rPr>
          <w:color w:val="auto"/>
          <w:szCs w:val="21"/>
          <w:highlight w:val="none"/>
        </w:rPr>
      </w:pPr>
      <w:r>
        <w:rPr>
          <w:rFonts w:hint="eastAsia"/>
          <w:color w:val="auto"/>
          <w:szCs w:val="21"/>
          <w:highlight w:val="none"/>
        </w:rPr>
        <w:t>1.9.5 争议处理</w:t>
      </w:r>
    </w:p>
    <w:p w14:paraId="4DF880E5">
      <w:pPr>
        <w:spacing w:before="120" w:line="360" w:lineRule="auto"/>
        <w:ind w:firstLine="420" w:firstLineChars="200"/>
        <w:rPr>
          <w:color w:val="auto"/>
          <w:szCs w:val="21"/>
          <w:highlight w:val="none"/>
        </w:rPr>
      </w:pPr>
      <w:r>
        <w:rPr>
          <w:rFonts w:hint="eastAsia"/>
          <w:color w:val="auto"/>
          <w:szCs w:val="21"/>
          <w:highlight w:val="none"/>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5175AD0E">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2．采购文件</w:t>
      </w:r>
      <w:bookmarkEnd w:id="67"/>
      <w:bookmarkEnd w:id="68"/>
    </w:p>
    <w:p w14:paraId="2A7CC017">
      <w:pPr>
        <w:spacing w:before="120" w:line="320" w:lineRule="atLeast"/>
        <w:ind w:firstLine="422" w:firstLineChars="200"/>
        <w:outlineLvl w:val="2"/>
        <w:rPr>
          <w:b/>
          <w:bCs/>
          <w:color w:val="auto"/>
          <w:kern w:val="0"/>
          <w:szCs w:val="21"/>
          <w:highlight w:val="none"/>
        </w:rPr>
      </w:pPr>
      <w:r>
        <w:rPr>
          <w:b/>
          <w:bCs/>
          <w:color w:val="auto"/>
          <w:kern w:val="0"/>
          <w:szCs w:val="21"/>
          <w:highlight w:val="none"/>
        </w:rPr>
        <w:t>2.1采购文件的构成</w:t>
      </w:r>
    </w:p>
    <w:p w14:paraId="0EE1E935">
      <w:pPr>
        <w:spacing w:before="120" w:line="320" w:lineRule="atLeast"/>
        <w:ind w:firstLine="420" w:firstLineChars="200"/>
        <w:rPr>
          <w:color w:val="auto"/>
          <w:szCs w:val="21"/>
          <w:highlight w:val="none"/>
        </w:rPr>
      </w:pPr>
      <w:r>
        <w:rPr>
          <w:color w:val="auto"/>
          <w:szCs w:val="21"/>
          <w:highlight w:val="none"/>
        </w:rPr>
        <w:t>第一章 磋商公告</w:t>
      </w:r>
    </w:p>
    <w:p w14:paraId="0BBC483C">
      <w:pPr>
        <w:spacing w:before="120" w:line="320" w:lineRule="atLeast"/>
        <w:ind w:firstLine="420" w:firstLineChars="200"/>
        <w:rPr>
          <w:color w:val="auto"/>
          <w:szCs w:val="21"/>
          <w:highlight w:val="none"/>
        </w:rPr>
      </w:pPr>
      <w:r>
        <w:rPr>
          <w:color w:val="auto"/>
          <w:szCs w:val="21"/>
          <w:highlight w:val="none"/>
        </w:rPr>
        <w:t>第二章 采购需求</w:t>
      </w:r>
    </w:p>
    <w:p w14:paraId="512BDF31">
      <w:pPr>
        <w:spacing w:before="120" w:line="320" w:lineRule="atLeast"/>
        <w:ind w:firstLine="420" w:firstLineChars="200"/>
        <w:rPr>
          <w:color w:val="auto"/>
          <w:szCs w:val="21"/>
          <w:highlight w:val="none"/>
        </w:rPr>
      </w:pPr>
      <w:r>
        <w:rPr>
          <w:color w:val="auto"/>
          <w:szCs w:val="21"/>
          <w:highlight w:val="none"/>
        </w:rPr>
        <w:t>第三章 供应商须知</w:t>
      </w:r>
    </w:p>
    <w:p w14:paraId="1B1E39E3">
      <w:pPr>
        <w:spacing w:before="120" w:line="320" w:lineRule="atLeast"/>
        <w:ind w:firstLine="420" w:firstLineChars="200"/>
        <w:rPr>
          <w:color w:val="auto"/>
          <w:szCs w:val="21"/>
          <w:highlight w:val="none"/>
        </w:rPr>
      </w:pPr>
      <w:r>
        <w:rPr>
          <w:color w:val="auto"/>
          <w:szCs w:val="21"/>
          <w:highlight w:val="none"/>
        </w:rPr>
        <w:t>第四章 评审方法及标准</w:t>
      </w:r>
    </w:p>
    <w:p w14:paraId="719F8032">
      <w:pPr>
        <w:spacing w:before="120" w:line="320" w:lineRule="atLeast"/>
        <w:ind w:firstLine="420" w:firstLineChars="200"/>
        <w:rPr>
          <w:color w:val="auto"/>
          <w:szCs w:val="21"/>
          <w:highlight w:val="none"/>
        </w:rPr>
      </w:pPr>
      <w:r>
        <w:rPr>
          <w:color w:val="auto"/>
          <w:szCs w:val="21"/>
          <w:highlight w:val="none"/>
        </w:rPr>
        <w:t>第五章 合同主要条款格式</w:t>
      </w:r>
    </w:p>
    <w:p w14:paraId="0F05E9FD">
      <w:pPr>
        <w:spacing w:before="120" w:line="320" w:lineRule="atLeast"/>
        <w:ind w:firstLine="420" w:firstLineChars="200"/>
        <w:rPr>
          <w:color w:val="auto"/>
          <w:szCs w:val="21"/>
          <w:highlight w:val="none"/>
        </w:rPr>
      </w:pPr>
      <w:r>
        <w:rPr>
          <w:color w:val="auto"/>
          <w:szCs w:val="21"/>
          <w:highlight w:val="none"/>
        </w:rPr>
        <w:t>第六章 响应文件格式</w:t>
      </w:r>
    </w:p>
    <w:p w14:paraId="70EE5112">
      <w:pPr>
        <w:spacing w:before="120" w:line="320" w:lineRule="atLeast"/>
        <w:ind w:firstLine="422" w:firstLineChars="200"/>
        <w:outlineLvl w:val="2"/>
        <w:rPr>
          <w:b/>
          <w:bCs/>
          <w:color w:val="auto"/>
          <w:kern w:val="0"/>
          <w:szCs w:val="21"/>
          <w:highlight w:val="none"/>
        </w:rPr>
      </w:pPr>
      <w:r>
        <w:rPr>
          <w:b/>
          <w:bCs/>
          <w:color w:val="auto"/>
          <w:kern w:val="0"/>
          <w:szCs w:val="21"/>
          <w:highlight w:val="none"/>
        </w:rPr>
        <w:t>2.2供应商的风险</w:t>
      </w:r>
    </w:p>
    <w:p w14:paraId="01A9084B">
      <w:pPr>
        <w:spacing w:before="120" w:line="320" w:lineRule="atLeast"/>
        <w:ind w:firstLine="420" w:firstLineChars="200"/>
        <w:rPr>
          <w:color w:val="auto"/>
          <w:szCs w:val="21"/>
          <w:highlight w:val="none"/>
        </w:rPr>
      </w:pPr>
      <w:r>
        <w:rPr>
          <w:color w:val="auto"/>
          <w:szCs w:val="21"/>
          <w:highlight w:val="none"/>
        </w:rPr>
        <w:t>供应商没有按照采购文件要求提供全部资料，或者供应商没有对采购文件在各方面作出实质性响应是供应商的风险，并可能导致其响应被否决。</w:t>
      </w:r>
    </w:p>
    <w:p w14:paraId="4CAFD653">
      <w:pPr>
        <w:spacing w:before="120" w:line="320" w:lineRule="atLeast"/>
        <w:ind w:firstLine="422" w:firstLineChars="200"/>
        <w:outlineLvl w:val="2"/>
        <w:rPr>
          <w:b/>
          <w:color w:val="auto"/>
          <w:szCs w:val="21"/>
          <w:highlight w:val="none"/>
        </w:rPr>
      </w:pPr>
      <w:r>
        <w:rPr>
          <w:b/>
          <w:bCs/>
          <w:color w:val="auto"/>
          <w:kern w:val="0"/>
          <w:szCs w:val="21"/>
          <w:highlight w:val="none"/>
        </w:rPr>
        <w:t>2.3采购文件的澄清与修改</w:t>
      </w:r>
    </w:p>
    <w:p w14:paraId="10BE0706">
      <w:pPr>
        <w:spacing w:before="120" w:line="320" w:lineRule="atLeast"/>
        <w:ind w:firstLine="420" w:firstLineChars="200"/>
        <w:rPr>
          <w:color w:val="auto"/>
          <w:szCs w:val="21"/>
          <w:highlight w:val="none"/>
        </w:rPr>
      </w:pPr>
      <w:r>
        <w:rPr>
          <w:color w:val="auto"/>
          <w:szCs w:val="21"/>
          <w:highlight w:val="none"/>
        </w:rPr>
        <w:t>2.3.1</w:t>
      </w:r>
      <w:r>
        <w:rPr>
          <w:rFonts w:hint="eastAsia"/>
          <w:color w:val="auto"/>
          <w:szCs w:val="21"/>
          <w:highlight w:val="none"/>
        </w:rPr>
        <w:t>任何已获得采购文件的潜在供应商，均可</w:t>
      </w:r>
      <w:r>
        <w:rPr>
          <w:color w:val="auto"/>
          <w:szCs w:val="21"/>
          <w:highlight w:val="none"/>
        </w:rPr>
        <w:t>以书面形式要求采购代理机构作出书面解释、澄清</w:t>
      </w:r>
      <w:r>
        <w:rPr>
          <w:rFonts w:hint="eastAsia"/>
          <w:color w:val="auto"/>
          <w:szCs w:val="21"/>
          <w:highlight w:val="none"/>
        </w:rPr>
        <w:t>。</w:t>
      </w:r>
    </w:p>
    <w:p w14:paraId="65201A17">
      <w:pPr>
        <w:spacing w:before="120" w:line="320" w:lineRule="atLeast"/>
        <w:ind w:firstLine="420" w:firstLineChars="200"/>
        <w:rPr>
          <w:color w:val="auto"/>
          <w:szCs w:val="21"/>
          <w:highlight w:val="none"/>
        </w:rPr>
      </w:pPr>
      <w:r>
        <w:rPr>
          <w:color w:val="auto"/>
          <w:szCs w:val="21"/>
          <w:highlight w:val="none"/>
        </w:rPr>
        <w:t>2.3.2</w:t>
      </w:r>
      <w:r>
        <w:rPr>
          <w:rFonts w:hint="eastAsia"/>
          <w:color w:val="auto"/>
          <w:szCs w:val="21"/>
          <w:highlight w:val="none"/>
        </w:rPr>
        <w:t>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w:t>
      </w:r>
      <w:r>
        <w:rPr>
          <w:color w:val="auto"/>
          <w:szCs w:val="21"/>
          <w:highlight w:val="none"/>
        </w:rPr>
        <w:t xml:space="preserve"> </w:t>
      </w:r>
    </w:p>
    <w:p w14:paraId="1B95C4F1">
      <w:pPr>
        <w:spacing w:before="120" w:line="320" w:lineRule="atLeast"/>
        <w:ind w:firstLine="420" w:firstLineChars="200"/>
        <w:rPr>
          <w:color w:val="auto"/>
          <w:szCs w:val="21"/>
          <w:highlight w:val="none"/>
        </w:rPr>
      </w:pPr>
      <w:r>
        <w:rPr>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5BB10A32">
      <w:pPr>
        <w:spacing w:before="120" w:line="320" w:lineRule="atLeast"/>
        <w:ind w:left="2" w:leftChars="1" w:firstLine="422" w:firstLineChars="200"/>
        <w:outlineLvl w:val="1"/>
        <w:rPr>
          <w:b/>
          <w:bCs/>
          <w:color w:val="auto"/>
          <w:kern w:val="0"/>
          <w:szCs w:val="21"/>
          <w:highlight w:val="none"/>
        </w:rPr>
      </w:pPr>
      <w:bookmarkStart w:id="69" w:name="_Toc254970676"/>
      <w:bookmarkStart w:id="70" w:name="_Toc254970535"/>
      <w:r>
        <w:rPr>
          <w:b/>
          <w:bCs/>
          <w:color w:val="auto"/>
          <w:kern w:val="0"/>
          <w:szCs w:val="21"/>
          <w:highlight w:val="none"/>
        </w:rPr>
        <w:t>3．响应文件</w:t>
      </w:r>
      <w:bookmarkEnd w:id="69"/>
      <w:bookmarkEnd w:id="70"/>
    </w:p>
    <w:p w14:paraId="31E1064B">
      <w:pPr>
        <w:spacing w:before="120" w:line="320" w:lineRule="atLeast"/>
        <w:ind w:firstLine="422" w:firstLineChars="200"/>
        <w:outlineLvl w:val="2"/>
        <w:rPr>
          <w:b/>
          <w:bCs/>
          <w:color w:val="auto"/>
          <w:kern w:val="0"/>
          <w:szCs w:val="21"/>
          <w:highlight w:val="none"/>
        </w:rPr>
      </w:pPr>
      <w:bookmarkStart w:id="71" w:name="_Toc254970677"/>
      <w:bookmarkStart w:id="72" w:name="_Toc254970536"/>
      <w:r>
        <w:rPr>
          <w:b/>
          <w:bCs/>
          <w:color w:val="auto"/>
          <w:kern w:val="0"/>
          <w:szCs w:val="21"/>
          <w:highlight w:val="none"/>
        </w:rPr>
        <w:t>3.1响应文件的组成</w:t>
      </w:r>
      <w:bookmarkEnd w:id="71"/>
      <w:bookmarkEnd w:id="72"/>
    </w:p>
    <w:p w14:paraId="20BB34D4">
      <w:pPr>
        <w:spacing w:before="120" w:line="320" w:lineRule="atLeast"/>
        <w:ind w:firstLine="420" w:firstLineChars="200"/>
        <w:rPr>
          <w:color w:val="auto"/>
          <w:szCs w:val="21"/>
          <w:highlight w:val="none"/>
        </w:rPr>
      </w:pPr>
      <w:r>
        <w:rPr>
          <w:color w:val="auto"/>
          <w:szCs w:val="21"/>
          <w:highlight w:val="none"/>
        </w:rPr>
        <w:t>响应文件由第六章“响应文件格式”规定的</w:t>
      </w:r>
      <w:r>
        <w:rPr>
          <w:rFonts w:hint="eastAsia"/>
          <w:color w:val="auto"/>
          <w:szCs w:val="21"/>
          <w:highlight w:val="none"/>
        </w:rPr>
        <w:t>内容</w:t>
      </w:r>
      <w:r>
        <w:rPr>
          <w:color w:val="auto"/>
          <w:szCs w:val="21"/>
          <w:highlight w:val="none"/>
        </w:rPr>
        <w:t>和供应商所作的一切有效补充、修改和承诺等文件组成</w:t>
      </w:r>
      <w:r>
        <w:rPr>
          <w:rFonts w:hint="eastAsia"/>
          <w:color w:val="auto"/>
          <w:szCs w:val="21"/>
          <w:highlight w:val="none"/>
        </w:rPr>
        <w:t>。</w:t>
      </w:r>
    </w:p>
    <w:p w14:paraId="48E66ABA">
      <w:pPr>
        <w:spacing w:before="120" w:line="320" w:lineRule="atLeast"/>
        <w:ind w:firstLine="422" w:firstLineChars="200"/>
        <w:outlineLvl w:val="2"/>
        <w:rPr>
          <w:b/>
          <w:bCs/>
          <w:color w:val="auto"/>
          <w:kern w:val="0"/>
          <w:szCs w:val="21"/>
          <w:highlight w:val="none"/>
        </w:rPr>
      </w:pPr>
      <w:bookmarkStart w:id="73" w:name="_Toc254970537"/>
      <w:bookmarkStart w:id="74" w:name="_Toc254970678"/>
      <w:r>
        <w:rPr>
          <w:b/>
          <w:color w:val="auto"/>
          <w:szCs w:val="21"/>
          <w:highlight w:val="none"/>
        </w:rPr>
        <w:t>3.2</w:t>
      </w:r>
      <w:r>
        <w:rPr>
          <w:b/>
          <w:bCs/>
          <w:color w:val="auto"/>
          <w:kern w:val="0"/>
          <w:szCs w:val="21"/>
          <w:highlight w:val="none"/>
        </w:rPr>
        <w:t>响应文件的语言及计量</w:t>
      </w:r>
      <w:bookmarkEnd w:id="73"/>
      <w:bookmarkEnd w:id="74"/>
    </w:p>
    <w:p w14:paraId="4A9946DF">
      <w:pPr>
        <w:spacing w:before="120" w:line="320" w:lineRule="atLeast"/>
        <w:ind w:firstLine="420" w:firstLineChars="200"/>
        <w:rPr>
          <w:color w:val="auto"/>
          <w:szCs w:val="21"/>
          <w:highlight w:val="none"/>
        </w:rPr>
      </w:pPr>
      <w:r>
        <w:rPr>
          <w:color w:val="auto"/>
          <w:szCs w:val="21"/>
          <w:highlight w:val="none"/>
        </w:rPr>
        <w:t>3.2.1</w:t>
      </w:r>
      <w:r>
        <w:rPr>
          <w:rFonts w:hint="eastAsia"/>
          <w:color w:val="auto"/>
          <w:szCs w:val="21"/>
          <w:highlight w:val="none"/>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7540C907">
      <w:pPr>
        <w:spacing w:before="120" w:line="320" w:lineRule="atLeast"/>
        <w:ind w:firstLine="420" w:firstLineChars="200"/>
        <w:rPr>
          <w:color w:val="auto"/>
          <w:szCs w:val="21"/>
          <w:highlight w:val="none"/>
        </w:rPr>
      </w:pPr>
      <w:r>
        <w:rPr>
          <w:color w:val="auto"/>
          <w:szCs w:val="21"/>
          <w:highlight w:val="none"/>
        </w:rPr>
        <w:t>3.2.2计量单位采购文件已有明确规定的，响应使用采购文件规定的计量单位；采购文件没有规定的，应采用中华人民共和国法定计量单位。</w:t>
      </w:r>
    </w:p>
    <w:p w14:paraId="516D0096">
      <w:pPr>
        <w:spacing w:before="120" w:line="320" w:lineRule="atLeast"/>
        <w:ind w:firstLine="422" w:firstLineChars="200"/>
        <w:outlineLvl w:val="2"/>
        <w:rPr>
          <w:b/>
          <w:bCs/>
          <w:color w:val="auto"/>
          <w:kern w:val="0"/>
          <w:szCs w:val="21"/>
          <w:highlight w:val="none"/>
        </w:rPr>
      </w:pPr>
      <w:bookmarkStart w:id="75" w:name="_Toc254970679"/>
      <w:bookmarkStart w:id="76" w:name="_Toc254970538"/>
      <w:r>
        <w:rPr>
          <w:b/>
          <w:bCs/>
          <w:color w:val="auto"/>
          <w:kern w:val="0"/>
          <w:szCs w:val="21"/>
          <w:highlight w:val="none"/>
        </w:rPr>
        <w:t>3.3响应报价</w:t>
      </w:r>
      <w:bookmarkEnd w:id="75"/>
      <w:bookmarkEnd w:id="76"/>
    </w:p>
    <w:p w14:paraId="5DBC5BD3">
      <w:pPr>
        <w:spacing w:before="120" w:line="320" w:lineRule="atLeast"/>
        <w:ind w:firstLine="420" w:firstLineChars="200"/>
        <w:rPr>
          <w:color w:val="auto"/>
          <w:szCs w:val="21"/>
          <w:highlight w:val="none"/>
        </w:rPr>
      </w:pPr>
      <w:r>
        <w:rPr>
          <w:color w:val="auto"/>
          <w:szCs w:val="21"/>
          <w:highlight w:val="none"/>
        </w:rPr>
        <w:t>3.3.1响应报价应按采购文件中相关附表格式填写。</w:t>
      </w:r>
    </w:p>
    <w:p w14:paraId="1E1B859F">
      <w:pPr>
        <w:spacing w:before="120" w:line="320" w:lineRule="atLeast"/>
        <w:ind w:firstLine="420" w:firstLineChars="200"/>
        <w:rPr>
          <w:color w:val="auto"/>
          <w:szCs w:val="21"/>
          <w:highlight w:val="none"/>
        </w:rPr>
      </w:pPr>
      <w:r>
        <w:rPr>
          <w:color w:val="auto"/>
          <w:szCs w:val="21"/>
          <w:highlight w:val="none"/>
        </w:rPr>
        <w:t>3.3.2响应文件只允许有一个报价，有选择的或有条件的报价将不予接受。</w:t>
      </w:r>
    </w:p>
    <w:p w14:paraId="20E1E1AE">
      <w:pPr>
        <w:suppressAutoHyphens/>
        <w:spacing w:before="120" w:line="320" w:lineRule="atLeast"/>
        <w:ind w:firstLine="420" w:firstLineChars="200"/>
        <w:rPr>
          <w:color w:val="auto"/>
          <w:kern w:val="1"/>
          <w:szCs w:val="21"/>
          <w:highlight w:val="none"/>
        </w:rPr>
      </w:pPr>
      <w:r>
        <w:rPr>
          <w:color w:val="auto"/>
          <w:kern w:val="1"/>
          <w:szCs w:val="21"/>
          <w:highlight w:val="none"/>
        </w:rPr>
        <w:t>3.3.3对于本文件中未列明，而供应商认为必需的费用也需列入</w:t>
      </w:r>
      <w:r>
        <w:rPr>
          <w:rFonts w:hint="eastAsia"/>
          <w:color w:val="auto"/>
          <w:kern w:val="1"/>
          <w:szCs w:val="21"/>
          <w:highlight w:val="none"/>
        </w:rPr>
        <w:t>响应报价</w:t>
      </w:r>
      <w:r>
        <w:rPr>
          <w:color w:val="auto"/>
          <w:kern w:val="1"/>
          <w:szCs w:val="21"/>
          <w:highlight w:val="none"/>
        </w:rPr>
        <w:t>。在合同实施时，采购人将不予支付成交供应商没有列入的项目费用，并认为此项目的费用已包括在</w:t>
      </w:r>
      <w:r>
        <w:rPr>
          <w:rFonts w:hint="eastAsia"/>
          <w:color w:val="auto"/>
          <w:kern w:val="1"/>
          <w:szCs w:val="21"/>
          <w:highlight w:val="none"/>
        </w:rPr>
        <w:t>响应报价</w:t>
      </w:r>
      <w:r>
        <w:rPr>
          <w:color w:val="auto"/>
          <w:kern w:val="1"/>
          <w:szCs w:val="21"/>
          <w:highlight w:val="none"/>
        </w:rPr>
        <w:t>中。</w:t>
      </w:r>
    </w:p>
    <w:p w14:paraId="149B9D8A">
      <w:pPr>
        <w:suppressAutoHyphens/>
        <w:spacing w:before="120" w:line="320" w:lineRule="atLeast"/>
        <w:ind w:firstLine="420" w:firstLineChars="200"/>
        <w:rPr>
          <w:b/>
          <w:bCs/>
          <w:color w:val="auto"/>
          <w:kern w:val="1"/>
          <w:szCs w:val="21"/>
          <w:highlight w:val="none"/>
        </w:rPr>
      </w:pPr>
      <w:r>
        <w:rPr>
          <w:rFonts w:hint="eastAsia"/>
          <w:color w:val="auto"/>
          <w:kern w:val="1"/>
          <w:szCs w:val="21"/>
          <w:highlight w:val="none"/>
        </w:rPr>
        <w:t>3</w:t>
      </w:r>
      <w:r>
        <w:rPr>
          <w:color w:val="auto"/>
          <w:kern w:val="1"/>
          <w:szCs w:val="21"/>
          <w:highlight w:val="none"/>
        </w:rPr>
        <w:t>.3.4</w:t>
      </w:r>
      <w:r>
        <w:rPr>
          <w:rFonts w:hint="eastAsia"/>
          <w:color w:val="auto"/>
          <w:kern w:val="1"/>
          <w:szCs w:val="21"/>
          <w:highlight w:val="none"/>
        </w:rPr>
        <w:t>采购人不接受供应商给予的赠品、回扣或者与采购无关的其他商品、服务。</w:t>
      </w:r>
    </w:p>
    <w:p w14:paraId="30F77BFE">
      <w:pPr>
        <w:spacing w:before="120" w:line="320" w:lineRule="atLeast"/>
        <w:ind w:firstLine="422" w:firstLineChars="200"/>
        <w:outlineLvl w:val="2"/>
        <w:rPr>
          <w:b/>
          <w:bCs/>
          <w:color w:val="auto"/>
          <w:kern w:val="0"/>
          <w:szCs w:val="21"/>
          <w:highlight w:val="none"/>
        </w:rPr>
      </w:pPr>
      <w:r>
        <w:rPr>
          <w:b/>
          <w:bCs/>
          <w:color w:val="auto"/>
          <w:kern w:val="0"/>
          <w:szCs w:val="21"/>
          <w:highlight w:val="none"/>
        </w:rPr>
        <w:t>3.4响应有效期</w:t>
      </w:r>
    </w:p>
    <w:p w14:paraId="215C9658">
      <w:pPr>
        <w:spacing w:before="120" w:line="320" w:lineRule="atLeast"/>
        <w:ind w:firstLine="420" w:firstLineChars="200"/>
        <w:rPr>
          <w:color w:val="auto"/>
          <w:szCs w:val="21"/>
          <w:highlight w:val="none"/>
        </w:rPr>
      </w:pPr>
      <w:r>
        <w:rPr>
          <w:color w:val="auto"/>
          <w:szCs w:val="21"/>
          <w:highlight w:val="none"/>
        </w:rPr>
        <w:t>3.4.1如采购文件其他地方无特别规定</w:t>
      </w:r>
      <w:r>
        <w:rPr>
          <w:rFonts w:hint="eastAsia"/>
          <w:color w:val="auto"/>
          <w:szCs w:val="21"/>
          <w:highlight w:val="none"/>
        </w:rPr>
        <w:t>，</w:t>
      </w:r>
      <w:r>
        <w:rPr>
          <w:color w:val="auto"/>
          <w:szCs w:val="21"/>
          <w:highlight w:val="none"/>
        </w:rPr>
        <w:t>响应有效期则为响应截止之日起</w:t>
      </w:r>
      <w:r>
        <w:rPr>
          <w:rFonts w:hint="eastAsia"/>
          <w:color w:val="auto"/>
          <w:szCs w:val="21"/>
          <w:highlight w:val="none"/>
        </w:rPr>
        <w:t>6</w:t>
      </w:r>
      <w:r>
        <w:rPr>
          <w:color w:val="auto"/>
          <w:szCs w:val="21"/>
          <w:highlight w:val="none"/>
        </w:rPr>
        <w:t>0天</w:t>
      </w:r>
      <w:r>
        <w:rPr>
          <w:rFonts w:hint="eastAsia"/>
          <w:color w:val="auto"/>
          <w:szCs w:val="21"/>
          <w:highlight w:val="none"/>
        </w:rPr>
        <w:t>。</w:t>
      </w:r>
      <w:r>
        <w:rPr>
          <w:color w:val="auto"/>
          <w:szCs w:val="21"/>
          <w:highlight w:val="none"/>
        </w:rPr>
        <w:t>在响应有效期内响应文件应保持有效。</w:t>
      </w:r>
      <w:r>
        <w:rPr>
          <w:b/>
          <w:bCs/>
          <w:color w:val="auto"/>
          <w:szCs w:val="21"/>
          <w:highlight w:val="none"/>
        </w:rPr>
        <w:t>有效期不足的响应文件将被否决</w:t>
      </w:r>
      <w:r>
        <w:rPr>
          <w:color w:val="auto"/>
          <w:szCs w:val="21"/>
          <w:highlight w:val="none"/>
        </w:rPr>
        <w:t>。</w:t>
      </w:r>
    </w:p>
    <w:p w14:paraId="780063FD">
      <w:pPr>
        <w:spacing w:before="120" w:line="320" w:lineRule="atLeast"/>
        <w:ind w:firstLine="420" w:firstLineChars="200"/>
        <w:rPr>
          <w:color w:val="auto"/>
          <w:szCs w:val="21"/>
          <w:highlight w:val="none"/>
        </w:rPr>
      </w:pPr>
      <w:r>
        <w:rPr>
          <w:color w:val="auto"/>
          <w:szCs w:val="21"/>
          <w:highlight w:val="none"/>
        </w:rPr>
        <w:t>3.4.2在特殊情况下，采购人可与供应商协商延长响应文件的有效期，这种要求和答复均以书面形式进行。</w:t>
      </w:r>
    </w:p>
    <w:p w14:paraId="4208DFB0">
      <w:pPr>
        <w:spacing w:before="120" w:line="320" w:lineRule="atLeast"/>
        <w:ind w:firstLine="420" w:firstLineChars="200"/>
        <w:rPr>
          <w:color w:val="auto"/>
          <w:szCs w:val="21"/>
          <w:highlight w:val="none"/>
        </w:rPr>
      </w:pPr>
      <w:r>
        <w:rPr>
          <w:color w:val="auto"/>
          <w:szCs w:val="21"/>
          <w:highlight w:val="none"/>
        </w:rPr>
        <w:t>3.4.3</w:t>
      </w:r>
      <w:r>
        <w:rPr>
          <w:rFonts w:hint="eastAsia"/>
          <w:color w:val="auto"/>
          <w:szCs w:val="21"/>
          <w:highlight w:val="none"/>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697A49A9">
      <w:pPr>
        <w:spacing w:before="120" w:line="320" w:lineRule="atLeast"/>
        <w:ind w:firstLine="422" w:firstLineChars="200"/>
        <w:outlineLvl w:val="2"/>
        <w:rPr>
          <w:b/>
          <w:bCs/>
          <w:color w:val="auto"/>
          <w:kern w:val="0"/>
          <w:szCs w:val="21"/>
          <w:highlight w:val="none"/>
        </w:rPr>
      </w:pPr>
      <w:bookmarkStart w:id="77" w:name="_Toc254970541"/>
      <w:bookmarkStart w:id="78" w:name="_Toc254970682"/>
      <w:r>
        <w:rPr>
          <w:b/>
          <w:bCs/>
          <w:color w:val="auto"/>
          <w:kern w:val="0"/>
          <w:szCs w:val="21"/>
          <w:highlight w:val="none"/>
        </w:rPr>
        <w:t>3.5磋商保证金</w:t>
      </w:r>
      <w:bookmarkEnd w:id="77"/>
      <w:bookmarkEnd w:id="78"/>
    </w:p>
    <w:p w14:paraId="1368D9B9">
      <w:pPr>
        <w:spacing w:before="120" w:line="320" w:lineRule="atLeast"/>
        <w:ind w:firstLine="420" w:firstLineChars="200"/>
        <w:rPr>
          <w:color w:val="auto"/>
          <w:szCs w:val="21"/>
          <w:highlight w:val="none"/>
        </w:rPr>
      </w:pPr>
      <w:r>
        <w:rPr>
          <w:color w:val="auto"/>
          <w:szCs w:val="21"/>
          <w:highlight w:val="none"/>
        </w:rPr>
        <w:t>3.5.1供应商须按须知前附表规定提交磋商保证金，</w:t>
      </w:r>
      <w:r>
        <w:rPr>
          <w:b/>
          <w:bCs/>
          <w:color w:val="auto"/>
          <w:szCs w:val="21"/>
          <w:highlight w:val="none"/>
        </w:rPr>
        <w:t>否则其响应将被否决</w:t>
      </w:r>
      <w:r>
        <w:rPr>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38755551">
      <w:pPr>
        <w:spacing w:before="120" w:line="320" w:lineRule="atLeast"/>
        <w:ind w:firstLine="420" w:firstLineChars="200"/>
        <w:rPr>
          <w:color w:val="auto"/>
          <w:szCs w:val="21"/>
          <w:highlight w:val="none"/>
        </w:rPr>
      </w:pPr>
      <w:r>
        <w:rPr>
          <w:color w:val="auto"/>
          <w:szCs w:val="21"/>
          <w:highlight w:val="none"/>
        </w:rPr>
        <w:t>3.5.2磋商保证金币种应与响应报价币种相同。</w:t>
      </w:r>
    </w:p>
    <w:p w14:paraId="0856C65E">
      <w:pPr>
        <w:spacing w:before="120" w:line="320" w:lineRule="atLeast"/>
        <w:ind w:firstLine="420" w:firstLineChars="200"/>
        <w:rPr>
          <w:color w:val="auto"/>
          <w:szCs w:val="21"/>
          <w:highlight w:val="none"/>
        </w:rPr>
      </w:pPr>
      <w:r>
        <w:rPr>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0404B1A2">
      <w:pPr>
        <w:spacing w:before="120" w:line="320" w:lineRule="atLeast"/>
        <w:ind w:firstLine="420" w:firstLineChars="200"/>
        <w:rPr>
          <w:color w:val="auto"/>
          <w:szCs w:val="21"/>
          <w:highlight w:val="none"/>
        </w:rPr>
      </w:pPr>
      <w:r>
        <w:rPr>
          <w:color w:val="auto"/>
          <w:szCs w:val="21"/>
          <w:highlight w:val="none"/>
        </w:rPr>
        <w:t>3.5.4供应商有下列情形之一的，磋商保证金将不予退还：</w:t>
      </w:r>
    </w:p>
    <w:p w14:paraId="431F5125">
      <w:pPr>
        <w:numPr>
          <w:ilvl w:val="0"/>
          <w:numId w:val="2"/>
        </w:numPr>
        <w:spacing w:before="120" w:line="320" w:lineRule="atLeast"/>
        <w:rPr>
          <w:color w:val="auto"/>
          <w:szCs w:val="21"/>
          <w:highlight w:val="none"/>
        </w:rPr>
      </w:pPr>
      <w:r>
        <w:rPr>
          <w:color w:val="auto"/>
          <w:szCs w:val="21"/>
          <w:highlight w:val="none"/>
        </w:rPr>
        <w:t>供应商在响应有效期内撤销响应文件的；</w:t>
      </w:r>
    </w:p>
    <w:p w14:paraId="2378C23F">
      <w:pPr>
        <w:numPr>
          <w:ilvl w:val="0"/>
          <w:numId w:val="2"/>
        </w:numPr>
        <w:spacing w:before="120" w:line="320" w:lineRule="atLeast"/>
        <w:rPr>
          <w:color w:val="auto"/>
          <w:szCs w:val="21"/>
          <w:highlight w:val="none"/>
        </w:rPr>
      </w:pPr>
      <w:r>
        <w:rPr>
          <w:color w:val="auto"/>
          <w:szCs w:val="21"/>
          <w:highlight w:val="none"/>
        </w:rPr>
        <w:t>供应商在响应过程中弄虚作假，提供虚假材料的；</w:t>
      </w:r>
    </w:p>
    <w:p w14:paraId="6AC0C180">
      <w:pPr>
        <w:numPr>
          <w:ilvl w:val="0"/>
          <w:numId w:val="2"/>
        </w:numPr>
        <w:spacing w:before="120" w:line="320" w:lineRule="atLeast"/>
        <w:rPr>
          <w:color w:val="auto"/>
          <w:szCs w:val="21"/>
          <w:highlight w:val="none"/>
        </w:rPr>
      </w:pPr>
      <w:r>
        <w:rPr>
          <w:color w:val="auto"/>
          <w:szCs w:val="21"/>
          <w:highlight w:val="none"/>
        </w:rPr>
        <w:t>成交供应商无正当理由不与采购人签订合同的；</w:t>
      </w:r>
    </w:p>
    <w:p w14:paraId="7FCC4ACD">
      <w:pPr>
        <w:numPr>
          <w:ilvl w:val="0"/>
          <w:numId w:val="2"/>
        </w:numPr>
        <w:spacing w:before="120" w:line="320" w:lineRule="atLeast"/>
        <w:rPr>
          <w:color w:val="auto"/>
          <w:szCs w:val="21"/>
          <w:highlight w:val="none"/>
        </w:rPr>
      </w:pPr>
      <w:r>
        <w:rPr>
          <w:color w:val="auto"/>
          <w:szCs w:val="21"/>
          <w:highlight w:val="none"/>
        </w:rPr>
        <w:t>将成交项目转让给他人或者在响应文件中未说明且未经采购人同意，将成交项目分包给他人的；</w:t>
      </w:r>
    </w:p>
    <w:p w14:paraId="5B5E8B9D">
      <w:pPr>
        <w:numPr>
          <w:ilvl w:val="0"/>
          <w:numId w:val="2"/>
        </w:numPr>
        <w:spacing w:before="120" w:line="320" w:lineRule="atLeast"/>
        <w:rPr>
          <w:color w:val="auto"/>
          <w:szCs w:val="21"/>
          <w:highlight w:val="none"/>
        </w:rPr>
      </w:pPr>
      <w:r>
        <w:rPr>
          <w:rFonts w:hint="eastAsia"/>
          <w:color w:val="auto"/>
          <w:szCs w:val="21"/>
          <w:highlight w:val="none"/>
        </w:rPr>
        <w:t>供应商与采购人、其他供应商或者采购代理机构恶意串通的；</w:t>
      </w:r>
    </w:p>
    <w:p w14:paraId="551EEAAA">
      <w:pPr>
        <w:numPr>
          <w:ilvl w:val="0"/>
          <w:numId w:val="2"/>
        </w:numPr>
        <w:spacing w:before="120" w:line="320" w:lineRule="atLeast"/>
        <w:rPr>
          <w:color w:val="auto"/>
          <w:szCs w:val="21"/>
          <w:highlight w:val="none"/>
        </w:rPr>
      </w:pPr>
      <w:r>
        <w:rPr>
          <w:color w:val="auto"/>
          <w:szCs w:val="21"/>
          <w:highlight w:val="none"/>
        </w:rPr>
        <w:t>拒绝履行合同义务的；</w:t>
      </w:r>
    </w:p>
    <w:p w14:paraId="1E1D536D">
      <w:pPr>
        <w:numPr>
          <w:ilvl w:val="0"/>
          <w:numId w:val="2"/>
        </w:numPr>
        <w:spacing w:before="120" w:line="320" w:lineRule="atLeast"/>
        <w:rPr>
          <w:color w:val="auto"/>
          <w:szCs w:val="21"/>
          <w:highlight w:val="none"/>
        </w:rPr>
      </w:pPr>
      <w:r>
        <w:rPr>
          <w:color w:val="auto"/>
          <w:szCs w:val="21"/>
          <w:highlight w:val="none"/>
        </w:rPr>
        <w:t>其他严重扰乱招</w:t>
      </w:r>
      <w:r>
        <w:rPr>
          <w:rFonts w:hint="eastAsia"/>
          <w:color w:val="auto"/>
          <w:szCs w:val="21"/>
          <w:highlight w:val="none"/>
        </w:rPr>
        <w:t>投标</w:t>
      </w:r>
      <w:r>
        <w:rPr>
          <w:color w:val="auto"/>
          <w:szCs w:val="21"/>
          <w:highlight w:val="none"/>
        </w:rPr>
        <w:t>程序的</w:t>
      </w:r>
      <w:r>
        <w:rPr>
          <w:rFonts w:hint="eastAsia"/>
          <w:color w:val="auto"/>
          <w:szCs w:val="21"/>
          <w:highlight w:val="none"/>
        </w:rPr>
        <w:t>。</w:t>
      </w:r>
    </w:p>
    <w:p w14:paraId="66164401">
      <w:pPr>
        <w:spacing w:before="120" w:line="320" w:lineRule="atLeast"/>
        <w:ind w:firstLine="422" w:firstLineChars="200"/>
        <w:outlineLvl w:val="2"/>
        <w:rPr>
          <w:b/>
          <w:bCs/>
          <w:color w:val="auto"/>
          <w:kern w:val="0"/>
          <w:szCs w:val="21"/>
          <w:highlight w:val="none"/>
        </w:rPr>
      </w:pPr>
      <w:bookmarkStart w:id="79" w:name="_Toc254970542"/>
      <w:bookmarkStart w:id="80" w:name="_Toc254970683"/>
      <w:r>
        <w:rPr>
          <w:b/>
          <w:bCs/>
          <w:color w:val="auto"/>
          <w:kern w:val="0"/>
          <w:szCs w:val="21"/>
          <w:highlight w:val="none"/>
        </w:rPr>
        <w:t>3.6响应文件的</w:t>
      </w:r>
      <w:bookmarkEnd w:id="79"/>
      <w:bookmarkEnd w:id="80"/>
      <w:r>
        <w:rPr>
          <w:b/>
          <w:bCs/>
          <w:color w:val="auto"/>
          <w:kern w:val="0"/>
          <w:szCs w:val="21"/>
          <w:highlight w:val="none"/>
        </w:rPr>
        <w:t>编制要求</w:t>
      </w:r>
    </w:p>
    <w:p w14:paraId="7F3BB82C">
      <w:pPr>
        <w:spacing w:before="120" w:line="320" w:lineRule="atLeast"/>
        <w:ind w:firstLine="420" w:firstLineChars="200"/>
        <w:rPr>
          <w:b/>
          <w:bCs/>
          <w:color w:val="auto"/>
          <w:kern w:val="0"/>
          <w:szCs w:val="21"/>
          <w:highlight w:val="none"/>
        </w:rPr>
      </w:pPr>
      <w:r>
        <w:rPr>
          <w:rFonts w:hint="eastAsia"/>
          <w:color w:val="auto"/>
          <w:kern w:val="0"/>
          <w:szCs w:val="21"/>
          <w:highlight w:val="none"/>
        </w:rPr>
        <w:t>3</w:t>
      </w:r>
      <w:r>
        <w:rPr>
          <w:color w:val="auto"/>
          <w:kern w:val="0"/>
          <w:szCs w:val="21"/>
          <w:highlight w:val="none"/>
        </w:rPr>
        <w:t>.6.1</w:t>
      </w:r>
      <w:r>
        <w:rPr>
          <w:rFonts w:hint="eastAsia"/>
          <w:color w:val="auto"/>
          <w:szCs w:val="21"/>
          <w:highlight w:val="none"/>
        </w:rPr>
        <w:t>供应商应先安装广西政府采购云平台新版客户端，通过账号密码或C</w:t>
      </w:r>
      <w:r>
        <w:rPr>
          <w:color w:val="auto"/>
          <w:szCs w:val="21"/>
          <w:highlight w:val="none"/>
        </w:rPr>
        <w:t>A</w:t>
      </w:r>
      <w:r>
        <w:rPr>
          <w:rFonts w:hint="eastAsia"/>
          <w:color w:val="auto"/>
          <w:szCs w:val="21"/>
          <w:highlight w:val="none"/>
        </w:rPr>
        <w:t>登录客户端制作响应文件。</w:t>
      </w:r>
    </w:p>
    <w:p w14:paraId="311559B6">
      <w:pPr>
        <w:spacing w:before="120" w:line="320" w:lineRule="atLeast"/>
        <w:ind w:firstLine="420" w:firstLineChars="200"/>
        <w:rPr>
          <w:color w:val="auto"/>
          <w:szCs w:val="21"/>
          <w:highlight w:val="none"/>
        </w:rPr>
      </w:pPr>
      <w:r>
        <w:rPr>
          <w:color w:val="auto"/>
          <w:szCs w:val="21"/>
          <w:highlight w:val="none"/>
        </w:rPr>
        <w:t>3.6.2</w:t>
      </w:r>
      <w:r>
        <w:rPr>
          <w:rFonts w:hint="eastAsia"/>
          <w:color w:val="auto"/>
          <w:szCs w:val="21"/>
          <w:highlight w:val="none"/>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1B1F59FC">
      <w:pPr>
        <w:spacing w:before="120" w:line="320" w:lineRule="atLeast"/>
        <w:ind w:firstLine="420" w:firstLineChars="200"/>
        <w:rPr>
          <w:color w:val="auto"/>
          <w:szCs w:val="21"/>
          <w:highlight w:val="none"/>
        </w:rPr>
      </w:pPr>
      <w:r>
        <w:rPr>
          <w:color w:val="auto"/>
          <w:szCs w:val="21"/>
          <w:highlight w:val="none"/>
        </w:rPr>
        <w:t xml:space="preserve">3.6.3 </w:t>
      </w:r>
      <w:r>
        <w:rPr>
          <w:rFonts w:hint="eastAsia"/>
          <w:color w:val="auto"/>
          <w:szCs w:val="21"/>
          <w:highlight w:val="none"/>
        </w:rPr>
        <w:t>供应商的响应文件未按照采购文件要求签署、盖章的，其响应无效。</w:t>
      </w:r>
    </w:p>
    <w:p w14:paraId="1CCBDB3C">
      <w:pPr>
        <w:spacing w:before="120" w:line="320" w:lineRule="atLeast"/>
        <w:ind w:firstLine="420" w:firstLineChars="200"/>
        <w:rPr>
          <w:color w:val="auto"/>
          <w:szCs w:val="21"/>
          <w:highlight w:val="none"/>
        </w:rPr>
      </w:pPr>
      <w:r>
        <w:rPr>
          <w:color w:val="auto"/>
          <w:szCs w:val="21"/>
          <w:highlight w:val="none"/>
        </w:rPr>
        <w:t>3.6.4</w:t>
      </w:r>
      <w:r>
        <w:rPr>
          <w:rFonts w:hint="eastAsia"/>
          <w:color w:val="auto"/>
          <w:szCs w:val="21"/>
          <w:highlight w:val="none"/>
        </w:rPr>
        <w:t>为确保网上操作合法、有效和安全，供应商应当在响应截止时间前完成在广西政府采购云平台的身份认证，确保在电子投标过程中能够对相关数据电文进行加密和使用电子签名。</w:t>
      </w:r>
    </w:p>
    <w:p w14:paraId="53A65999">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.6.5</w:t>
      </w:r>
      <w:r>
        <w:rPr>
          <w:rFonts w:hint="eastAsia"/>
          <w:color w:val="auto"/>
          <w:szCs w:val="21"/>
          <w:highlight w:val="none"/>
        </w:rPr>
        <w:t>响应文件中标注的供应商名称应与主体资格证明（如营业执照、事业单位法人证书、执业许可证、个体工商户营业执照、自然人身份证等）和公章/电子签章一致，</w:t>
      </w:r>
      <w:r>
        <w:rPr>
          <w:rFonts w:hint="eastAsia"/>
          <w:b/>
          <w:bCs/>
          <w:color w:val="auto"/>
          <w:szCs w:val="21"/>
          <w:highlight w:val="none"/>
        </w:rPr>
        <w:t>否则作无效响应处理。</w:t>
      </w:r>
    </w:p>
    <w:p w14:paraId="2FC82364">
      <w:pPr>
        <w:spacing w:before="120" w:line="320" w:lineRule="atLeast"/>
        <w:ind w:firstLine="422" w:firstLineChars="200"/>
        <w:outlineLvl w:val="2"/>
        <w:rPr>
          <w:b/>
          <w:bCs/>
          <w:color w:val="auto"/>
          <w:kern w:val="0"/>
          <w:szCs w:val="21"/>
          <w:highlight w:val="none"/>
        </w:rPr>
      </w:pPr>
      <w:r>
        <w:rPr>
          <w:b/>
          <w:bCs/>
          <w:color w:val="auto"/>
          <w:kern w:val="0"/>
          <w:szCs w:val="21"/>
          <w:highlight w:val="none"/>
        </w:rPr>
        <w:t>3.7响应文件的递交、修改和撤回</w:t>
      </w:r>
    </w:p>
    <w:p w14:paraId="2C0280E1">
      <w:pPr>
        <w:spacing w:before="120" w:line="320" w:lineRule="atLeast"/>
        <w:ind w:firstLine="420" w:firstLineChars="200"/>
        <w:rPr>
          <w:color w:val="auto"/>
          <w:szCs w:val="21"/>
          <w:highlight w:val="none"/>
        </w:rPr>
      </w:pPr>
      <w:r>
        <w:rPr>
          <w:color w:val="auto"/>
          <w:szCs w:val="21"/>
          <w:highlight w:val="none"/>
        </w:rPr>
        <w:t>3.7.1</w:t>
      </w:r>
      <w:r>
        <w:rPr>
          <w:rFonts w:hint="eastAsia"/>
          <w:color w:val="auto"/>
          <w:szCs w:val="21"/>
          <w:highlight w:val="none"/>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77171180">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.7.2</w:t>
      </w:r>
      <w:r>
        <w:rPr>
          <w:rFonts w:hint="eastAsia"/>
          <w:color w:val="auto"/>
          <w:szCs w:val="21"/>
          <w:highlight w:val="none"/>
        </w:rPr>
        <w:t xml:space="preserve">未在规定时间内提交或者未按照采购文件要求签章、加密的电子响应文件，广西政府采购云平台将拒收。 </w:t>
      </w:r>
    </w:p>
    <w:p w14:paraId="4B074C91">
      <w:pPr>
        <w:spacing w:before="120" w:line="320" w:lineRule="atLeast"/>
        <w:ind w:left="2" w:leftChars="1" w:firstLine="420" w:firstLineChars="200"/>
        <w:rPr>
          <w:color w:val="auto"/>
          <w:szCs w:val="21"/>
          <w:highlight w:val="none"/>
        </w:rPr>
      </w:pPr>
      <w:bookmarkStart w:id="81" w:name="_Toc254970544"/>
      <w:bookmarkStart w:id="82" w:name="_Toc254970685"/>
      <w:r>
        <w:rPr>
          <w:rFonts w:hint="eastAsia"/>
          <w:color w:val="auto"/>
          <w:szCs w:val="21"/>
          <w:highlight w:val="none"/>
        </w:rPr>
        <w:t>3</w:t>
      </w:r>
      <w:r>
        <w:rPr>
          <w:color w:val="auto"/>
          <w:szCs w:val="21"/>
          <w:highlight w:val="none"/>
        </w:rPr>
        <w:t>.7.3</w:t>
      </w:r>
      <w:r>
        <w:rPr>
          <w:rFonts w:hint="eastAsia"/>
          <w:color w:val="auto"/>
          <w:szCs w:val="21"/>
          <w:highlight w:val="none"/>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72113442">
      <w:pPr>
        <w:spacing w:before="120" w:line="320" w:lineRule="atLeast"/>
        <w:ind w:left="2" w:leftChars="1" w:firstLine="420" w:firstLineChars="200"/>
        <w:rPr>
          <w:color w:val="auto"/>
          <w:szCs w:val="21"/>
          <w:highlight w:val="none"/>
        </w:rPr>
      </w:pPr>
      <w:r>
        <w:rPr>
          <w:color w:val="auto"/>
          <w:szCs w:val="21"/>
          <w:highlight w:val="none"/>
        </w:rPr>
        <w:t>3.7.4</w:t>
      </w:r>
      <w:r>
        <w:rPr>
          <w:rFonts w:hint="eastAsia"/>
          <w:color w:val="auto"/>
          <w:szCs w:val="21"/>
          <w:highlight w:val="none"/>
        </w:rPr>
        <w:t>在响应截止时间前，除供应商补充、修改或者撤回响应文件外，任何单位和个人不得解密或提取响应文件。</w:t>
      </w:r>
    </w:p>
    <w:p w14:paraId="190EC329">
      <w:pPr>
        <w:spacing w:before="120" w:line="320" w:lineRule="atLeast"/>
        <w:ind w:left="2" w:leftChars="1" w:firstLine="420" w:firstLineChars="200"/>
        <w:rPr>
          <w:color w:val="auto"/>
          <w:szCs w:val="21"/>
          <w:highlight w:val="none"/>
        </w:rPr>
      </w:pPr>
      <w:r>
        <w:rPr>
          <w:color w:val="auto"/>
          <w:szCs w:val="21"/>
          <w:highlight w:val="none"/>
        </w:rPr>
        <w:t>3.7.5</w:t>
      </w:r>
      <w:r>
        <w:rPr>
          <w:rFonts w:hint="eastAsia"/>
          <w:color w:val="auto"/>
          <w:szCs w:val="21"/>
          <w:highlight w:val="none"/>
        </w:rPr>
        <w:t>在响应截止时间止提交电子版响应文件的供应商不足3家时，电子版响应文件由代理机构在广西政府采购云平台操作退回，除此之外采购人和采购代理机构对已提交的响应文件概不退回。</w:t>
      </w:r>
    </w:p>
    <w:p w14:paraId="6661C70C">
      <w:pPr>
        <w:spacing w:before="120" w:line="320" w:lineRule="atLeast"/>
        <w:ind w:left="2" w:leftChars="1" w:firstLine="420" w:firstLineChars="200"/>
        <w:rPr>
          <w:color w:val="auto"/>
          <w:szCs w:val="21"/>
          <w:highlight w:val="none"/>
        </w:rPr>
      </w:pPr>
      <w:bookmarkStart w:id="83" w:name="_Hlk93046827"/>
      <w:r>
        <w:rPr>
          <w:rFonts w:hint="eastAsia"/>
          <w:color w:val="auto"/>
          <w:szCs w:val="21"/>
          <w:highlight w:val="none"/>
        </w:rPr>
        <w:t>3</w:t>
      </w:r>
      <w:r>
        <w:rPr>
          <w:color w:val="auto"/>
          <w:szCs w:val="21"/>
          <w:highlight w:val="none"/>
        </w:rPr>
        <w:t>.7.6</w:t>
      </w:r>
      <w:r>
        <w:rPr>
          <w:rFonts w:hint="eastAsia"/>
          <w:color w:val="auto"/>
          <w:szCs w:val="21"/>
          <w:highlight w:val="none"/>
        </w:rPr>
        <w:t>采购文件</w:t>
      </w:r>
      <w:bookmarkStart w:id="84" w:name="_Hlk106638610"/>
      <w:r>
        <w:rPr>
          <w:rFonts w:hint="eastAsia"/>
          <w:color w:val="auto"/>
          <w:szCs w:val="21"/>
          <w:highlight w:val="none"/>
        </w:rPr>
        <w:t>未允许同一供应商提交两个或以上不同的响应文件，但存在</w:t>
      </w:r>
      <w:r>
        <w:rPr>
          <w:rFonts w:hint="eastAsia"/>
          <w:color w:val="auto"/>
          <w:highlight w:val="none"/>
        </w:rPr>
        <w:t>同</w:t>
      </w:r>
      <w:r>
        <w:rPr>
          <w:rFonts w:hint="eastAsia"/>
          <w:color w:val="auto"/>
          <w:szCs w:val="21"/>
          <w:highlight w:val="none"/>
        </w:rPr>
        <w:t>一供应商提交两个或以上不同的响应文件的</w:t>
      </w:r>
      <w:bookmarkEnd w:id="84"/>
      <w:r>
        <w:rPr>
          <w:rFonts w:hint="eastAsia"/>
          <w:color w:val="auto"/>
          <w:szCs w:val="21"/>
          <w:highlight w:val="none"/>
        </w:rPr>
        <w:t>，</w:t>
      </w:r>
      <w:r>
        <w:rPr>
          <w:rFonts w:hint="eastAsia"/>
          <w:b/>
          <w:bCs/>
          <w:color w:val="auto"/>
          <w:szCs w:val="21"/>
          <w:highlight w:val="none"/>
        </w:rPr>
        <w:t>其响应无效。</w:t>
      </w:r>
      <w:r>
        <w:rPr>
          <w:rFonts w:hint="eastAsia"/>
          <w:color w:val="auto"/>
          <w:szCs w:val="21"/>
          <w:highlight w:val="none"/>
        </w:rPr>
        <w:t>供应商在同一响应文件中对某项技术、商务要求提供有选择性的响应参数或方案等同于提交两个或以上不同的响应文件。</w:t>
      </w:r>
      <w:bookmarkEnd w:id="83"/>
    </w:p>
    <w:p w14:paraId="501DF851">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4．截标</w:t>
      </w:r>
      <w:bookmarkEnd w:id="81"/>
      <w:bookmarkEnd w:id="82"/>
    </w:p>
    <w:p w14:paraId="28CC16EA">
      <w:pPr>
        <w:spacing w:before="120" w:line="320" w:lineRule="atLeast"/>
        <w:ind w:firstLine="422" w:firstLineChars="200"/>
        <w:outlineLvl w:val="2"/>
        <w:rPr>
          <w:b/>
          <w:bCs/>
          <w:color w:val="auto"/>
          <w:kern w:val="0"/>
          <w:szCs w:val="21"/>
          <w:highlight w:val="none"/>
        </w:rPr>
      </w:pPr>
      <w:r>
        <w:rPr>
          <w:b/>
          <w:bCs/>
          <w:color w:val="auto"/>
          <w:kern w:val="0"/>
          <w:szCs w:val="21"/>
          <w:highlight w:val="none"/>
        </w:rPr>
        <w:t>4.1截标准备</w:t>
      </w:r>
    </w:p>
    <w:p w14:paraId="3897E088">
      <w:pPr>
        <w:spacing w:before="120" w:line="276" w:lineRule="auto"/>
        <w:ind w:firstLine="420" w:firstLineChars="200"/>
        <w:rPr>
          <w:color w:val="auto"/>
          <w:szCs w:val="21"/>
          <w:highlight w:val="none"/>
        </w:rPr>
      </w:pPr>
      <w:r>
        <w:rPr>
          <w:color w:val="auto"/>
          <w:szCs w:val="21"/>
          <w:highlight w:val="none"/>
        </w:rPr>
        <w:t>本项目响应截止时间及地点见“供应商须知前附表”规定。</w:t>
      </w:r>
    </w:p>
    <w:p w14:paraId="358D8CDC">
      <w:pPr>
        <w:autoSpaceDE w:val="0"/>
        <w:autoSpaceDN w:val="0"/>
        <w:adjustRightInd w:val="0"/>
        <w:spacing w:line="276" w:lineRule="auto"/>
        <w:ind w:firstLine="420" w:firstLineChars="200"/>
        <w:rPr>
          <w:color w:val="auto"/>
          <w:szCs w:val="21"/>
          <w:highlight w:val="none"/>
        </w:rPr>
      </w:pPr>
      <w:r>
        <w:rPr>
          <w:rFonts w:hint="eastAsia"/>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w:t>
      </w:r>
      <w:r>
        <w:rPr>
          <w:color w:val="auto"/>
          <w:szCs w:val="21"/>
          <w:highlight w:val="none"/>
        </w:rPr>
        <w:t>如不</w:t>
      </w:r>
      <w:r>
        <w:rPr>
          <w:rFonts w:hint="eastAsia"/>
          <w:color w:val="auto"/>
          <w:szCs w:val="21"/>
          <w:highlight w:val="none"/>
        </w:rPr>
        <w:t>参加</w:t>
      </w:r>
      <w:r>
        <w:rPr>
          <w:color w:val="auto"/>
          <w:szCs w:val="21"/>
          <w:highlight w:val="none"/>
        </w:rPr>
        <w:t>截标大会的，</w:t>
      </w:r>
      <w:r>
        <w:rPr>
          <w:rFonts w:hint="eastAsia"/>
          <w:color w:val="auto"/>
          <w:szCs w:val="21"/>
          <w:highlight w:val="none"/>
        </w:rPr>
        <w:t>视同认可截标结果，</w:t>
      </w:r>
      <w:r>
        <w:rPr>
          <w:color w:val="auto"/>
          <w:szCs w:val="21"/>
          <w:highlight w:val="none"/>
        </w:rPr>
        <w:t>事后不得对采购相关人员、截标过程和截标结果提出异议</w:t>
      </w:r>
      <w:r>
        <w:rPr>
          <w:rFonts w:hint="eastAsia"/>
          <w:color w:val="auto"/>
          <w:szCs w:val="21"/>
          <w:highlight w:val="none"/>
        </w:rPr>
        <w:t>，同时供应商因未在线参加截标而导致响应文件无法按时解密等一切后果由供应商自己承担。</w:t>
      </w:r>
    </w:p>
    <w:p w14:paraId="1261AA64">
      <w:pPr>
        <w:spacing w:before="120" w:line="276" w:lineRule="auto"/>
        <w:ind w:firstLine="420" w:firstLineChars="200"/>
        <w:rPr>
          <w:color w:val="auto"/>
          <w:szCs w:val="21"/>
          <w:highlight w:val="none"/>
        </w:rPr>
      </w:pPr>
      <w:r>
        <w:rPr>
          <w:rFonts w:hint="eastAsia"/>
          <w:color w:val="auto"/>
          <w:szCs w:val="21"/>
          <w:highlight w:val="none"/>
        </w:rPr>
        <w:t xml:space="preserve">如供应商成功解密响应文件，但未在广西政府采购云平台电子开标大厅参加截标的，视同认可截标过程和结果，由此产生的后果由供应商自行负责。 </w:t>
      </w:r>
    </w:p>
    <w:p w14:paraId="47D28955">
      <w:pPr>
        <w:spacing w:before="120" w:line="320" w:lineRule="atLeast"/>
        <w:ind w:firstLine="422" w:firstLineChars="200"/>
        <w:outlineLvl w:val="2"/>
        <w:rPr>
          <w:b/>
          <w:bCs/>
          <w:color w:val="auto"/>
          <w:kern w:val="0"/>
          <w:szCs w:val="21"/>
          <w:highlight w:val="none"/>
        </w:rPr>
      </w:pPr>
      <w:r>
        <w:rPr>
          <w:b/>
          <w:bCs/>
          <w:color w:val="auto"/>
          <w:kern w:val="0"/>
          <w:szCs w:val="21"/>
          <w:highlight w:val="none"/>
        </w:rPr>
        <w:t>4.2截标程序</w:t>
      </w:r>
    </w:p>
    <w:p w14:paraId="72EB54E6">
      <w:pPr>
        <w:spacing w:before="120" w:line="320" w:lineRule="atLeast"/>
        <w:ind w:firstLine="420" w:firstLineChars="200"/>
        <w:rPr>
          <w:color w:val="auto"/>
          <w:szCs w:val="21"/>
          <w:highlight w:val="none"/>
        </w:rPr>
      </w:pPr>
      <w:r>
        <w:rPr>
          <w:color w:val="auto"/>
          <w:szCs w:val="21"/>
          <w:highlight w:val="none"/>
        </w:rPr>
        <w:t>4.2.1</w:t>
      </w:r>
      <w:r>
        <w:rPr>
          <w:rFonts w:hint="eastAsia"/>
          <w:color w:val="auto"/>
          <w:szCs w:val="21"/>
          <w:highlight w:val="none"/>
        </w:rPr>
        <w:t>供应商登录广西政府采购云平台进入开标大厅签到。</w:t>
      </w:r>
    </w:p>
    <w:p w14:paraId="4924DF49">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.2.2</w:t>
      </w:r>
      <w:r>
        <w:rPr>
          <w:rFonts w:hint="eastAsia"/>
          <w:color w:val="auto"/>
          <w:szCs w:val="21"/>
          <w:highlight w:val="none"/>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85" w:name="_Hlk106639817"/>
      <w:r>
        <w:rPr>
          <w:rFonts w:hint="eastAsia"/>
          <w:color w:val="auto"/>
          <w:highlight w:val="none"/>
        </w:rPr>
        <w:t>通知后供应商仍未在上述规定时间内解密响应文件</w:t>
      </w:r>
      <w:bookmarkEnd w:id="85"/>
      <w:r>
        <w:rPr>
          <w:rFonts w:hint="eastAsia"/>
          <w:color w:val="auto"/>
          <w:szCs w:val="21"/>
          <w:highlight w:val="none"/>
        </w:rPr>
        <w:t>，或者供应商没预留联系方式或预留联系方式无效导致代理机构无法联系到供应商进行解密的，均视为无效响应。</w:t>
      </w:r>
    </w:p>
    <w:p w14:paraId="2696C45E">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.2.3</w:t>
      </w:r>
      <w:bookmarkStart w:id="86" w:name="_Hlk106637968"/>
      <w:r>
        <w:rPr>
          <w:rFonts w:hint="eastAsia"/>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86"/>
    <w:p w14:paraId="00F8239E">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.2.4</w:t>
      </w:r>
      <w:r>
        <w:rPr>
          <w:rFonts w:hint="eastAsia"/>
          <w:color w:val="auto"/>
          <w:szCs w:val="21"/>
          <w:highlight w:val="none"/>
        </w:rPr>
        <w:t>解密异常情况处理：详见本章</w:t>
      </w:r>
      <w:r>
        <w:rPr>
          <w:color w:val="auto"/>
          <w:szCs w:val="21"/>
          <w:highlight w:val="none"/>
        </w:rPr>
        <w:t>9.2</w:t>
      </w:r>
      <w:r>
        <w:rPr>
          <w:rFonts w:hint="eastAsia"/>
          <w:color w:val="auto"/>
          <w:szCs w:val="21"/>
          <w:highlight w:val="none"/>
        </w:rPr>
        <w:t>电子交易活动的中止。</w:t>
      </w:r>
    </w:p>
    <w:p w14:paraId="4A7B133A">
      <w:pPr>
        <w:spacing w:before="120" w:line="320" w:lineRule="atLeast"/>
        <w:ind w:firstLine="420" w:firstLineChars="200"/>
        <w:rPr>
          <w:color w:val="auto"/>
          <w:szCs w:val="21"/>
          <w:highlight w:val="none"/>
        </w:rPr>
      </w:pPr>
      <w:r>
        <w:rPr>
          <w:color w:val="auto"/>
          <w:szCs w:val="21"/>
          <w:highlight w:val="none"/>
        </w:rPr>
        <w:t>4.2.5截标结束。</w:t>
      </w:r>
    </w:p>
    <w:p w14:paraId="6E9D8610">
      <w:pPr>
        <w:pStyle w:val="28"/>
        <w:snapToGrid w:val="0"/>
        <w:spacing w:line="440" w:lineRule="exact"/>
        <w:ind w:firstLine="422" w:firstLineChars="200"/>
        <w:rPr>
          <w:rFonts w:hint="eastAsia" w:hAnsi="宋体"/>
          <w:color w:val="auto"/>
          <w:highlight w:val="none"/>
        </w:rPr>
      </w:pPr>
      <w:r>
        <w:rPr>
          <w:rFonts w:hint="eastAsia" w:hAnsi="宋体"/>
          <w:b/>
          <w:bCs/>
          <w:color w:val="auto"/>
          <w:highlight w:val="none"/>
        </w:rPr>
        <w:t>特别说明：</w:t>
      </w:r>
      <w:r>
        <w:rPr>
          <w:rFonts w:hint="eastAsia" w:hAnsi="宋体"/>
          <w:color w:val="auto"/>
          <w:highlight w:val="none"/>
        </w:rPr>
        <w:t>如遇广西政府采购云平台电子化截标或评审程序调整的，按调整后的程序执行。</w:t>
      </w:r>
    </w:p>
    <w:p w14:paraId="2C2D11FE">
      <w:pPr>
        <w:spacing w:before="120" w:line="320" w:lineRule="atLeast"/>
        <w:ind w:firstLine="422" w:firstLineChars="200"/>
        <w:outlineLvl w:val="2"/>
        <w:rPr>
          <w:b/>
          <w:bCs/>
          <w:color w:val="auto"/>
          <w:kern w:val="0"/>
          <w:szCs w:val="21"/>
          <w:highlight w:val="none"/>
        </w:rPr>
      </w:pPr>
      <w:r>
        <w:rPr>
          <w:b/>
          <w:bCs/>
          <w:color w:val="auto"/>
          <w:kern w:val="0"/>
          <w:szCs w:val="21"/>
          <w:highlight w:val="none"/>
        </w:rPr>
        <w:t>4.3演示</w:t>
      </w:r>
    </w:p>
    <w:p w14:paraId="5818129E">
      <w:pPr>
        <w:spacing w:before="120" w:line="320" w:lineRule="atLeast"/>
        <w:ind w:firstLine="420" w:firstLineChars="200"/>
        <w:rPr>
          <w:color w:val="auto"/>
          <w:szCs w:val="21"/>
          <w:highlight w:val="none"/>
        </w:rPr>
      </w:pPr>
      <w:r>
        <w:rPr>
          <w:color w:val="auto"/>
          <w:szCs w:val="21"/>
          <w:highlight w:val="none"/>
        </w:rPr>
        <w:t>4.3.1“供应商须知前附表”规定在截标会议结束后进行演示的，供应商应按规定进行演示。</w:t>
      </w:r>
    </w:p>
    <w:p w14:paraId="2E8F0CF8">
      <w:pPr>
        <w:spacing w:before="120" w:line="320" w:lineRule="atLeast"/>
        <w:ind w:firstLine="420" w:firstLineChars="200"/>
        <w:rPr>
          <w:color w:val="auto"/>
          <w:szCs w:val="21"/>
          <w:highlight w:val="none"/>
        </w:rPr>
      </w:pPr>
      <w:r>
        <w:rPr>
          <w:color w:val="auto"/>
          <w:szCs w:val="21"/>
          <w:highlight w:val="none"/>
        </w:rPr>
        <w:t>4.3.2未按规定时间进行演示可能引起的演示分数被计为0分或响应无效等后果由供应商自行承担。</w:t>
      </w:r>
    </w:p>
    <w:p w14:paraId="40F14A34">
      <w:pPr>
        <w:spacing w:before="120" w:line="320" w:lineRule="atLeast"/>
        <w:ind w:firstLine="422" w:firstLineChars="200"/>
        <w:outlineLvl w:val="2"/>
        <w:rPr>
          <w:color w:val="auto"/>
          <w:szCs w:val="21"/>
          <w:highlight w:val="none"/>
        </w:rPr>
      </w:pPr>
      <w:r>
        <w:rPr>
          <w:b/>
          <w:bCs/>
          <w:color w:val="auto"/>
          <w:kern w:val="0"/>
          <w:szCs w:val="21"/>
          <w:highlight w:val="none"/>
        </w:rPr>
        <w:t>4.4样品</w:t>
      </w:r>
    </w:p>
    <w:p w14:paraId="03B88B01">
      <w:pPr>
        <w:spacing w:before="120" w:line="320" w:lineRule="atLeast"/>
        <w:ind w:firstLine="420" w:firstLineChars="200"/>
        <w:rPr>
          <w:color w:val="auto"/>
          <w:szCs w:val="21"/>
          <w:highlight w:val="none"/>
        </w:rPr>
      </w:pPr>
      <w:r>
        <w:rPr>
          <w:color w:val="auto"/>
          <w:szCs w:val="21"/>
          <w:highlight w:val="none"/>
        </w:rPr>
        <w:t>4.4.1“供应商须知前附表”规定递交样品的，供应商应按前附表规定递交样品，递交样品时应附样品递交表（格式见第六章）。</w:t>
      </w:r>
    </w:p>
    <w:p w14:paraId="59B95E3C">
      <w:pPr>
        <w:spacing w:before="120" w:line="320" w:lineRule="atLeast"/>
        <w:ind w:firstLine="420" w:firstLineChars="200"/>
        <w:rPr>
          <w:color w:val="auto"/>
          <w:szCs w:val="21"/>
          <w:highlight w:val="none"/>
        </w:rPr>
      </w:pPr>
      <w:r>
        <w:rPr>
          <w:color w:val="auto"/>
          <w:szCs w:val="21"/>
          <w:highlight w:val="none"/>
        </w:rPr>
        <w:t>4.4.2未按规定时间递交样品可能引起的样品分数被计为0分或响应无效等后果由供应商自行承担。</w:t>
      </w:r>
    </w:p>
    <w:p w14:paraId="3760F877">
      <w:pPr>
        <w:spacing w:before="120" w:line="320" w:lineRule="atLeast"/>
        <w:ind w:firstLine="420" w:firstLineChars="200"/>
        <w:rPr>
          <w:color w:val="auto"/>
          <w:szCs w:val="21"/>
          <w:highlight w:val="none"/>
        </w:rPr>
      </w:pPr>
      <w:bookmarkStart w:id="87" w:name="_Toc254970545"/>
      <w:bookmarkStart w:id="88" w:name="_Toc254970686"/>
      <w:r>
        <w:rPr>
          <w:color w:val="auto"/>
          <w:szCs w:val="21"/>
          <w:highlight w:val="none"/>
        </w:rPr>
        <w:t>4.4.3样品封存或退还的说明请见第六章响应文件格式所附样品递交表。</w:t>
      </w:r>
    </w:p>
    <w:p w14:paraId="1E28D0D0">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5．</w:t>
      </w:r>
      <w:r>
        <w:rPr>
          <w:rFonts w:hint="eastAsia"/>
          <w:b/>
          <w:bCs/>
          <w:color w:val="auto"/>
          <w:kern w:val="0"/>
          <w:szCs w:val="21"/>
          <w:highlight w:val="none"/>
        </w:rPr>
        <w:t>资格审查</w:t>
      </w:r>
    </w:p>
    <w:p w14:paraId="1EDF7E67">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.1</w:t>
      </w:r>
      <w:r>
        <w:rPr>
          <w:rFonts w:hint="eastAsia"/>
          <w:bCs/>
          <w:color w:val="auto"/>
          <w:kern w:val="0"/>
          <w:szCs w:val="21"/>
          <w:highlight w:val="none"/>
        </w:rPr>
        <w:t>截标</w:t>
      </w:r>
      <w:r>
        <w:rPr>
          <w:rFonts w:ascii="宋体" w:hAnsi="宋体"/>
          <w:bCs/>
          <w:color w:val="auto"/>
          <w:szCs w:val="21"/>
          <w:highlight w:val="none"/>
        </w:rPr>
        <w:t>后，</w:t>
      </w:r>
      <w:r>
        <w:rPr>
          <w:rFonts w:hint="eastAsia" w:ascii="宋体" w:hAnsi="宋体"/>
          <w:bCs/>
          <w:color w:val="auto"/>
          <w:szCs w:val="21"/>
          <w:highlight w:val="none"/>
        </w:rPr>
        <w:t>磋商小组通过电子交易平台</w:t>
      </w:r>
      <w:r>
        <w:rPr>
          <w:rFonts w:ascii="宋体" w:hAnsi="宋体"/>
          <w:bCs/>
          <w:color w:val="auto"/>
          <w:szCs w:val="21"/>
          <w:highlight w:val="none"/>
        </w:rPr>
        <w:t>对供应商的资格进行审查。</w:t>
      </w:r>
      <w:r>
        <w:rPr>
          <w:rFonts w:hint="eastAsia" w:ascii="宋体" w:hAnsi="宋体"/>
          <w:bCs/>
          <w:color w:val="auto"/>
          <w:szCs w:val="21"/>
          <w:highlight w:val="none"/>
        </w:rPr>
        <w:t>资格审查</w:t>
      </w:r>
      <w:r>
        <w:rPr>
          <w:rFonts w:hint="eastAsia"/>
          <w:bCs/>
          <w:color w:val="auto"/>
          <w:kern w:val="0"/>
          <w:szCs w:val="21"/>
          <w:highlight w:val="none"/>
        </w:rPr>
        <w:t>是根据法律法规和采购文件的规定，对供应商的基本资格条件、特定资格条件进行审查。</w:t>
      </w:r>
    </w:p>
    <w:p w14:paraId="7F00E9CA">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2</w:t>
      </w:r>
      <w:r>
        <w:rPr>
          <w:rFonts w:hint="eastAsia"/>
          <w:bCs/>
          <w:color w:val="auto"/>
          <w:kern w:val="0"/>
          <w:szCs w:val="21"/>
          <w:highlight w:val="none"/>
        </w:rPr>
        <w:t>资格审查标准在第四章评审方法及标准中规定，符合资格审查标准要求的供应商即为资格审查合格。</w:t>
      </w:r>
    </w:p>
    <w:p w14:paraId="6115E94F">
      <w:pPr>
        <w:spacing w:before="120" w:line="276" w:lineRule="auto"/>
        <w:ind w:left="2" w:leftChars="1" w:firstLine="420" w:firstLineChars="200"/>
        <w:outlineLvl w:val="2"/>
        <w:rPr>
          <w:bCs/>
          <w:color w:val="auto"/>
          <w:kern w:val="0"/>
          <w:szCs w:val="21"/>
          <w:highlight w:val="none"/>
        </w:rPr>
      </w:pPr>
      <w:r>
        <w:rPr>
          <w:bCs/>
          <w:color w:val="auto"/>
          <w:kern w:val="0"/>
          <w:szCs w:val="21"/>
          <w:highlight w:val="none"/>
        </w:rPr>
        <w:t>5.3</w:t>
      </w:r>
      <w:r>
        <w:rPr>
          <w:rFonts w:hint="eastAsia"/>
          <w:bCs/>
          <w:color w:val="auto"/>
          <w:kern w:val="0"/>
          <w:szCs w:val="21"/>
          <w:highlight w:val="none"/>
        </w:rPr>
        <w:t>供应商有下列情形之一的，资格审查不合格，作无效响应处理：</w:t>
      </w:r>
    </w:p>
    <w:p w14:paraId="20A47084">
      <w:pPr>
        <w:spacing w:line="276" w:lineRule="auto"/>
        <w:ind w:firstLine="420" w:firstLineChars="200"/>
        <w:rPr>
          <w:rFonts w:hint="eastAsia" w:hAnsi="宋体"/>
          <w:color w:val="auto"/>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不具备采购文件中规定的资格要求或资格条件的；</w:t>
      </w:r>
      <w:r>
        <w:rPr>
          <w:color w:val="auto"/>
          <w:szCs w:val="21"/>
          <w:highlight w:val="none"/>
        </w:rPr>
        <w:t xml:space="preserve"> </w:t>
      </w:r>
      <w:r>
        <w:rPr>
          <w:rFonts w:hint="eastAsia" w:hAnsi="宋体"/>
          <w:color w:val="auto"/>
          <w:highlight w:val="none"/>
        </w:rPr>
        <w:t>（注：广西政府采购云平台已与“信用中国”平台做接口，可直接在线查询）</w:t>
      </w:r>
    </w:p>
    <w:p w14:paraId="5F7D323F">
      <w:pPr>
        <w:spacing w:before="120" w:line="276" w:lineRule="auto"/>
        <w:ind w:firstLine="420" w:firstLineChars="200"/>
        <w:rPr>
          <w:color w:val="auto"/>
          <w:szCs w:val="21"/>
          <w:highlight w:val="none"/>
        </w:rPr>
      </w:pPr>
      <w:r>
        <w:rPr>
          <w:rFonts w:hint="eastAsia"/>
          <w:color w:val="auto"/>
          <w:szCs w:val="21"/>
          <w:highlight w:val="none"/>
        </w:rPr>
        <w:t>5</w:t>
      </w:r>
      <w:r>
        <w:rPr>
          <w:color w:val="auto"/>
          <w:szCs w:val="21"/>
          <w:highlight w:val="none"/>
        </w:rPr>
        <w:t>.3.2</w:t>
      </w:r>
      <w:r>
        <w:rPr>
          <w:rFonts w:hint="eastAsia"/>
          <w:color w:val="auto"/>
          <w:szCs w:val="21"/>
          <w:highlight w:val="none"/>
        </w:rPr>
        <w:t>响应文件缺少任何一项资格证明文件或不符合第四章评审方法及标准中资格审查标准规定的评审内容的。</w:t>
      </w:r>
    </w:p>
    <w:p w14:paraId="60FD80DD">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6．评审</w:t>
      </w:r>
    </w:p>
    <w:bookmarkEnd w:id="87"/>
    <w:bookmarkEnd w:id="88"/>
    <w:p w14:paraId="7845804A">
      <w:pPr>
        <w:spacing w:before="120" w:line="320" w:lineRule="atLeast"/>
        <w:ind w:firstLine="422" w:firstLineChars="200"/>
        <w:outlineLvl w:val="2"/>
        <w:rPr>
          <w:b/>
          <w:bCs/>
          <w:color w:val="auto"/>
          <w:kern w:val="0"/>
          <w:szCs w:val="21"/>
          <w:highlight w:val="none"/>
        </w:rPr>
      </w:pPr>
      <w:r>
        <w:rPr>
          <w:b/>
          <w:bCs/>
          <w:color w:val="auto"/>
          <w:kern w:val="0"/>
          <w:szCs w:val="21"/>
          <w:highlight w:val="none"/>
        </w:rPr>
        <w:t>6.1组建磋商小组</w:t>
      </w:r>
    </w:p>
    <w:p w14:paraId="1D578734">
      <w:pPr>
        <w:spacing w:before="120" w:line="320" w:lineRule="atLeast"/>
        <w:ind w:firstLine="420" w:firstLineChars="200"/>
        <w:rPr>
          <w:color w:val="auto"/>
          <w:szCs w:val="21"/>
          <w:highlight w:val="none"/>
        </w:rPr>
      </w:pPr>
      <w:r>
        <w:rPr>
          <w:rFonts w:hint="eastAsia"/>
          <w:color w:val="auto"/>
          <w:szCs w:val="21"/>
          <w:highlight w:val="none"/>
        </w:rPr>
        <w:t>6.1.1</w:t>
      </w:r>
      <w:r>
        <w:rPr>
          <w:color w:val="auto"/>
          <w:szCs w:val="21"/>
          <w:highlight w:val="none"/>
        </w:rPr>
        <w:t>本项目</w:t>
      </w:r>
      <w:r>
        <w:rPr>
          <w:rFonts w:hint="eastAsia"/>
          <w:color w:val="auto"/>
          <w:szCs w:val="21"/>
          <w:highlight w:val="none"/>
        </w:rPr>
        <w:t>评审工作由</w:t>
      </w:r>
      <w:r>
        <w:rPr>
          <w:color w:val="auto"/>
          <w:szCs w:val="21"/>
          <w:highlight w:val="none"/>
        </w:rPr>
        <w:t>磋商小组</w:t>
      </w:r>
      <w:r>
        <w:rPr>
          <w:rFonts w:hint="eastAsia"/>
          <w:color w:val="auto"/>
          <w:szCs w:val="21"/>
          <w:highlight w:val="none"/>
        </w:rPr>
        <w:t>负责，磋商小组</w:t>
      </w:r>
      <w:r>
        <w:rPr>
          <w:color w:val="auto"/>
          <w:szCs w:val="21"/>
          <w:highlight w:val="none"/>
        </w:rPr>
        <w:t>由</w:t>
      </w:r>
      <w:r>
        <w:rPr>
          <w:rFonts w:hint="eastAsia"/>
          <w:color w:val="auto"/>
          <w:szCs w:val="21"/>
          <w:highlight w:val="none"/>
        </w:rPr>
        <w:t>评审专家</w:t>
      </w:r>
      <w:r>
        <w:rPr>
          <w:color w:val="auto"/>
          <w:szCs w:val="21"/>
          <w:highlight w:val="none"/>
        </w:rPr>
        <w:t>和采购人代表</w:t>
      </w:r>
      <w:r>
        <w:rPr>
          <w:rFonts w:hint="eastAsia"/>
          <w:color w:val="auto"/>
          <w:szCs w:val="21"/>
          <w:highlight w:val="none"/>
        </w:rPr>
        <w:t>（如有）</w:t>
      </w:r>
      <w:r>
        <w:rPr>
          <w:color w:val="auto"/>
          <w:szCs w:val="21"/>
          <w:highlight w:val="none"/>
        </w:rPr>
        <w:t>组成。</w:t>
      </w:r>
      <w:r>
        <w:rPr>
          <w:rFonts w:hint="eastAsia"/>
          <w:color w:val="auto"/>
          <w:szCs w:val="21"/>
          <w:highlight w:val="none"/>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Pr>
          <w:color w:val="auto"/>
          <w:szCs w:val="21"/>
          <w:highlight w:val="none"/>
        </w:rPr>
        <w:t>评审专家发现本人与参加采购活动的供应商有利害关系的，应当主动提出回避</w:t>
      </w:r>
      <w:r>
        <w:rPr>
          <w:rFonts w:hint="eastAsia"/>
          <w:color w:val="auto"/>
          <w:szCs w:val="21"/>
          <w:highlight w:val="none"/>
        </w:rPr>
        <w:t>。</w:t>
      </w:r>
    </w:p>
    <w:p w14:paraId="41EA9428">
      <w:pPr>
        <w:spacing w:before="120" w:line="320" w:lineRule="atLeast"/>
        <w:ind w:firstLine="420" w:firstLineChars="200"/>
        <w:rPr>
          <w:color w:val="auto"/>
          <w:szCs w:val="21"/>
          <w:highlight w:val="none"/>
        </w:rPr>
      </w:pPr>
      <w:r>
        <w:rPr>
          <w:rFonts w:hint="eastAsia"/>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5F429A32">
      <w:pPr>
        <w:spacing w:before="120" w:line="320" w:lineRule="atLeast"/>
        <w:ind w:firstLine="420" w:firstLineChars="200"/>
        <w:rPr>
          <w:color w:val="auto"/>
          <w:szCs w:val="21"/>
          <w:highlight w:val="none"/>
        </w:rPr>
      </w:pPr>
      <w:r>
        <w:rPr>
          <w:rFonts w:hint="eastAsia"/>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19225DF0">
      <w:pPr>
        <w:spacing w:before="120" w:line="320" w:lineRule="atLeast"/>
        <w:ind w:firstLine="420" w:firstLineChars="200"/>
        <w:rPr>
          <w:color w:val="auto"/>
          <w:szCs w:val="21"/>
          <w:highlight w:val="none"/>
        </w:rPr>
      </w:pPr>
      <w:r>
        <w:rPr>
          <w:rFonts w:hint="eastAsia"/>
          <w:color w:val="auto"/>
          <w:szCs w:val="21"/>
          <w:highlight w:val="none"/>
        </w:rPr>
        <w:t>6.1.4本项目评审过程实行全程网上留痕及录音、录像监控，供应商在评审过程中所进行的试图影响评审结果的不公正活动，可能导致其响应按无效处理。</w:t>
      </w:r>
    </w:p>
    <w:p w14:paraId="567A77A2">
      <w:pPr>
        <w:spacing w:before="120" w:line="320" w:lineRule="atLeast"/>
        <w:ind w:firstLine="422" w:firstLineChars="200"/>
        <w:outlineLvl w:val="2"/>
        <w:rPr>
          <w:b/>
          <w:bCs/>
          <w:color w:val="auto"/>
          <w:kern w:val="0"/>
          <w:szCs w:val="21"/>
          <w:highlight w:val="none"/>
        </w:rPr>
      </w:pPr>
      <w:r>
        <w:rPr>
          <w:b/>
          <w:bCs/>
          <w:color w:val="auto"/>
          <w:kern w:val="0"/>
          <w:szCs w:val="21"/>
          <w:highlight w:val="none"/>
        </w:rPr>
        <w:t>6.2</w:t>
      </w:r>
      <w:r>
        <w:rPr>
          <w:rFonts w:hint="eastAsia"/>
          <w:b/>
          <w:bCs/>
          <w:color w:val="auto"/>
          <w:kern w:val="0"/>
          <w:szCs w:val="21"/>
          <w:highlight w:val="none"/>
        </w:rPr>
        <w:t>评审方法及依据</w:t>
      </w:r>
    </w:p>
    <w:p w14:paraId="334C6B94">
      <w:pPr>
        <w:spacing w:before="120" w:line="320" w:lineRule="atLeast"/>
        <w:ind w:firstLine="420" w:firstLineChars="200"/>
        <w:rPr>
          <w:bCs/>
          <w:color w:val="auto"/>
          <w:kern w:val="0"/>
          <w:szCs w:val="21"/>
          <w:highlight w:val="none"/>
        </w:rPr>
      </w:pPr>
      <w:r>
        <w:rPr>
          <w:bCs/>
          <w:color w:val="auto"/>
          <w:kern w:val="0"/>
          <w:szCs w:val="21"/>
          <w:highlight w:val="none"/>
        </w:rPr>
        <w:t>6.2.1</w:t>
      </w:r>
      <w:r>
        <w:rPr>
          <w:rFonts w:hint="eastAsia"/>
          <w:bCs/>
          <w:color w:val="auto"/>
          <w:kern w:val="0"/>
          <w:szCs w:val="21"/>
          <w:highlight w:val="none"/>
        </w:rPr>
        <w:t>本项目采用第四章评审方法及标准规定的方法进行评审。</w:t>
      </w:r>
    </w:p>
    <w:p w14:paraId="15C7CB8F">
      <w:pPr>
        <w:suppressAutoHyphens/>
        <w:spacing w:before="120" w:line="320" w:lineRule="atLeast"/>
        <w:ind w:firstLine="420" w:firstLineChars="200"/>
        <w:rPr>
          <w:bCs/>
          <w:color w:val="auto"/>
          <w:kern w:val="0"/>
          <w:szCs w:val="21"/>
          <w:highlight w:val="none"/>
        </w:rPr>
      </w:pPr>
      <w:r>
        <w:rPr>
          <w:bCs/>
          <w:color w:val="auto"/>
          <w:kern w:val="0"/>
          <w:szCs w:val="21"/>
          <w:highlight w:val="none"/>
        </w:rPr>
        <w:t>6.2.2</w:t>
      </w:r>
      <w:r>
        <w:rPr>
          <w:rFonts w:hint="eastAsia"/>
          <w:bCs/>
          <w:color w:val="auto"/>
          <w:kern w:val="0"/>
          <w:szCs w:val="21"/>
          <w:highlight w:val="none"/>
        </w:rPr>
        <w:t>磋商小组</w:t>
      </w:r>
      <w:r>
        <w:rPr>
          <w:color w:val="auto"/>
          <w:highlight w:val="none"/>
        </w:rPr>
        <w:t>以</w:t>
      </w:r>
      <w:r>
        <w:rPr>
          <w:rFonts w:hint="eastAsia"/>
          <w:color w:val="auto"/>
          <w:highlight w:val="none"/>
        </w:rPr>
        <w:t>采购</w:t>
      </w:r>
      <w:r>
        <w:rPr>
          <w:color w:val="auto"/>
          <w:highlight w:val="none"/>
        </w:rPr>
        <w:t>文件、补充文件、</w:t>
      </w:r>
      <w:r>
        <w:rPr>
          <w:rFonts w:hint="eastAsia"/>
          <w:color w:val="auto"/>
          <w:highlight w:val="none"/>
        </w:rPr>
        <w:t>响应</w:t>
      </w:r>
      <w:r>
        <w:rPr>
          <w:color w:val="auto"/>
          <w:highlight w:val="none"/>
        </w:rPr>
        <w:t>文件、澄清及答复为评审依据</w:t>
      </w:r>
      <w:r>
        <w:rPr>
          <w:rFonts w:hint="eastAsia"/>
          <w:color w:val="auto"/>
          <w:highlight w:val="none"/>
        </w:rPr>
        <w:t>，</w:t>
      </w:r>
      <w:r>
        <w:rPr>
          <w:rFonts w:hint="eastAsia"/>
          <w:bCs/>
          <w:color w:val="auto"/>
          <w:kern w:val="0"/>
          <w:szCs w:val="21"/>
          <w:highlight w:val="none"/>
        </w:rPr>
        <w:t>第四章评审方法及标准没有规定的评审方法、标准及因素，不得作为评审依据。</w:t>
      </w:r>
    </w:p>
    <w:p w14:paraId="2CD8E8AB">
      <w:pPr>
        <w:spacing w:before="120" w:line="320" w:lineRule="atLeast"/>
        <w:ind w:firstLine="422" w:firstLineChars="200"/>
        <w:outlineLvl w:val="2"/>
        <w:rPr>
          <w:b/>
          <w:bCs/>
          <w:color w:val="auto"/>
          <w:kern w:val="0"/>
          <w:szCs w:val="21"/>
          <w:highlight w:val="none"/>
        </w:rPr>
      </w:pPr>
      <w:r>
        <w:rPr>
          <w:b/>
          <w:bCs/>
          <w:color w:val="auto"/>
          <w:kern w:val="0"/>
          <w:szCs w:val="21"/>
          <w:highlight w:val="none"/>
        </w:rPr>
        <w:t>6.3评审</w:t>
      </w:r>
      <w:r>
        <w:rPr>
          <w:rFonts w:hint="eastAsia"/>
          <w:b/>
          <w:bCs/>
          <w:color w:val="auto"/>
          <w:kern w:val="0"/>
          <w:szCs w:val="21"/>
          <w:highlight w:val="none"/>
        </w:rPr>
        <w:t>程序</w:t>
      </w:r>
    </w:p>
    <w:p w14:paraId="1862B90C">
      <w:pPr>
        <w:spacing w:before="120" w:line="320" w:lineRule="atLeast"/>
        <w:ind w:firstLine="420" w:firstLineChars="200"/>
        <w:rPr>
          <w:color w:val="auto"/>
          <w:highlight w:val="none"/>
        </w:rPr>
      </w:pPr>
      <w:r>
        <w:rPr>
          <w:color w:val="auto"/>
          <w:highlight w:val="none"/>
        </w:rPr>
        <w:t>6.</w:t>
      </w:r>
      <w:bookmarkStart w:id="89" w:name="_Hlk19175507"/>
      <w:bookmarkStart w:id="90" w:name="_Hlk80956880"/>
      <w:r>
        <w:rPr>
          <w:color w:val="auto"/>
          <w:highlight w:val="none"/>
        </w:rPr>
        <w:t>3.1</w:t>
      </w:r>
      <w:r>
        <w:rPr>
          <w:rFonts w:hint="eastAsia"/>
          <w:color w:val="auto"/>
          <w:highlight w:val="none"/>
        </w:rPr>
        <w:t>符合性审查</w:t>
      </w:r>
    </w:p>
    <w:p w14:paraId="1E61BB6E">
      <w:pPr>
        <w:spacing w:before="120" w:line="320" w:lineRule="atLeast"/>
        <w:ind w:firstLine="420" w:firstLineChars="200"/>
        <w:rPr>
          <w:color w:val="auto"/>
          <w:szCs w:val="21"/>
          <w:highlight w:val="none"/>
        </w:rPr>
      </w:pPr>
      <w:r>
        <w:rPr>
          <w:bCs/>
          <w:color w:val="auto"/>
          <w:kern w:val="1"/>
          <w:szCs w:val="21"/>
          <w:highlight w:val="none"/>
        </w:rPr>
        <w:t>资格审查结束后，</w:t>
      </w:r>
      <w:r>
        <w:rPr>
          <w:rFonts w:hint="eastAsia" w:hAnsi="宋体"/>
          <w:color w:val="auto"/>
          <w:highlight w:val="none"/>
        </w:rPr>
        <w:t>磋商小组对</w:t>
      </w:r>
      <w:r>
        <w:rPr>
          <w:color w:val="auto"/>
          <w:highlight w:val="none"/>
        </w:rPr>
        <w:t>通过资格审查的供应商</w:t>
      </w:r>
      <w:r>
        <w:rPr>
          <w:rFonts w:hint="eastAsia" w:hAnsi="宋体"/>
          <w:color w:val="auto"/>
          <w:highlight w:val="none"/>
        </w:rPr>
        <w:t>的响应文件报价、商务资信、技术等方面实质性内容进行符合性审查，</w:t>
      </w:r>
      <w:r>
        <w:rPr>
          <w:rFonts w:hint="eastAsia"/>
          <w:color w:val="auto"/>
          <w:szCs w:val="21"/>
          <w:highlight w:val="none"/>
        </w:rPr>
        <w:t>符合性审查标准</w:t>
      </w:r>
      <w:r>
        <w:rPr>
          <w:color w:val="auto"/>
          <w:szCs w:val="21"/>
          <w:highlight w:val="none"/>
        </w:rPr>
        <w:t>详见第四章评审方法及标准。</w:t>
      </w:r>
    </w:p>
    <w:bookmarkEnd w:id="89"/>
    <w:bookmarkEnd w:id="90"/>
    <w:p w14:paraId="26603C09">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.3.2</w:t>
      </w:r>
      <w:r>
        <w:rPr>
          <w:rFonts w:hAnsi="宋体"/>
          <w:color w:val="auto"/>
          <w:highlight w:val="none"/>
        </w:rPr>
        <w:t>强制性</w:t>
      </w:r>
      <w:r>
        <w:rPr>
          <w:color w:val="auto"/>
          <w:szCs w:val="21"/>
          <w:highlight w:val="none"/>
        </w:rPr>
        <w:t>采购要求</w:t>
      </w:r>
      <w:r>
        <w:rPr>
          <w:rFonts w:hint="eastAsia"/>
          <w:color w:val="auto"/>
          <w:szCs w:val="21"/>
          <w:highlight w:val="none"/>
        </w:rPr>
        <w:t>（仅适用于货物采购项目）</w:t>
      </w:r>
    </w:p>
    <w:p w14:paraId="54EBED46">
      <w:pPr>
        <w:suppressAutoHyphens/>
        <w:spacing w:before="120" w:line="320" w:lineRule="atLeast"/>
        <w:ind w:firstLine="422" w:firstLineChars="201"/>
        <w:rPr>
          <w:color w:val="auto"/>
          <w:szCs w:val="21"/>
          <w:highlight w:val="none"/>
        </w:rPr>
      </w:pPr>
      <w:bookmarkStart w:id="91" w:name="_Hlk47714684"/>
      <w:r>
        <w:rPr>
          <w:rFonts w:hint="eastAsia"/>
          <w:color w:val="auto"/>
          <w:szCs w:val="21"/>
          <w:highlight w:val="none"/>
        </w:rPr>
        <w:t>（1）</w:t>
      </w:r>
      <w:bookmarkEnd w:id="91"/>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3B8FAEDB">
      <w:pPr>
        <w:spacing w:before="120" w:line="276" w:lineRule="auto"/>
        <w:ind w:firstLine="420" w:firstLineChars="200"/>
        <w:rPr>
          <w:color w:val="auto"/>
          <w:szCs w:val="21"/>
          <w:highlight w:val="none"/>
        </w:rPr>
      </w:pPr>
      <w:bookmarkStart w:id="92" w:name="_Hlk19176155"/>
      <w:r>
        <w:rPr>
          <w:rFonts w:hint="eastAsia"/>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1AE513E2">
      <w:pPr>
        <w:spacing w:before="120" w:line="320" w:lineRule="atLeast"/>
        <w:ind w:firstLine="420" w:firstLineChars="200"/>
        <w:rPr>
          <w:color w:val="auto"/>
          <w:highlight w:val="none"/>
        </w:rPr>
      </w:pPr>
      <w:r>
        <w:rPr>
          <w:rFonts w:hint="eastAsia"/>
          <w:color w:val="auto"/>
          <w:szCs w:val="21"/>
          <w:highlight w:val="none"/>
        </w:rPr>
        <w:t>注：网络安全专用产品在中共中央网络安全和信息化委员会办公室网站上发布的《网络关键设备和网络安全专用产品目录》中查询。</w:t>
      </w:r>
      <w:r>
        <w:rPr>
          <w:color w:val="auto"/>
          <w:szCs w:val="21"/>
          <w:highlight w:val="none"/>
        </w:rPr>
        <w:t xml:space="preserve"> </w:t>
      </w:r>
      <w:r>
        <w:rPr>
          <w:rFonts w:hint="eastAsia"/>
          <w:color w:val="auto"/>
          <w:szCs w:val="21"/>
          <w:highlight w:val="none"/>
        </w:rPr>
        <w:t>“网络安全专用产品”内“产品类别”共34类：数据备份与恢复产品、防火墙、入侵检测系统（I</w:t>
      </w:r>
      <w:r>
        <w:rPr>
          <w:color w:val="auto"/>
          <w:szCs w:val="21"/>
          <w:highlight w:val="none"/>
        </w:rPr>
        <w:t>DS</w:t>
      </w:r>
      <w:r>
        <w:rPr>
          <w:rFonts w:hint="eastAsia"/>
          <w:color w:val="auto"/>
          <w:szCs w:val="21"/>
          <w:highlight w:val="none"/>
        </w:rPr>
        <w:t>）、入侵防御系统（</w:t>
      </w:r>
      <w:r>
        <w:rPr>
          <w:color w:val="auto"/>
          <w:szCs w:val="21"/>
          <w:highlight w:val="none"/>
        </w:rPr>
        <w:t>IPS</w:t>
      </w:r>
      <w:r>
        <w:rPr>
          <w:rFonts w:hint="eastAsia"/>
          <w:color w:val="auto"/>
          <w:szCs w:val="21"/>
          <w:highlight w:val="none"/>
        </w:rPr>
        <w:t>）、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613886F6">
      <w:pPr>
        <w:spacing w:before="120" w:line="320" w:lineRule="atLeast"/>
        <w:ind w:firstLine="420" w:firstLineChars="200"/>
        <w:rPr>
          <w:color w:val="auto"/>
          <w:highlight w:val="none"/>
        </w:rPr>
      </w:pPr>
      <w:r>
        <w:rPr>
          <w:color w:val="auto"/>
          <w:highlight w:val="none"/>
        </w:rPr>
        <w:t>6.3.3澄清、说明或补正</w:t>
      </w:r>
    </w:p>
    <w:p w14:paraId="509E7E9B">
      <w:pPr>
        <w:spacing w:before="120" w:line="320" w:lineRule="atLeast"/>
        <w:ind w:firstLine="420" w:firstLineChars="200"/>
        <w:rPr>
          <w:color w:val="auto"/>
          <w:highlight w:val="none"/>
        </w:rPr>
      </w:pPr>
      <w:r>
        <w:rPr>
          <w:rFonts w:hint="eastAsia"/>
          <w:color w:val="auto"/>
          <w:highlight w:val="none"/>
        </w:rPr>
        <w:t>（1）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B6BE815">
      <w:pPr>
        <w:spacing w:before="120" w:line="320" w:lineRule="atLeast"/>
        <w:ind w:firstLine="420" w:firstLineChars="200"/>
        <w:rPr>
          <w:color w:val="auto"/>
          <w:highlight w:val="none"/>
        </w:rPr>
      </w:pPr>
      <w:r>
        <w:rPr>
          <w:rFonts w:hint="eastAsia"/>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25B35D6D">
      <w:pPr>
        <w:spacing w:before="120" w:line="320" w:lineRule="atLeast"/>
        <w:ind w:firstLine="420" w:firstLineChars="200"/>
        <w:rPr>
          <w:color w:val="auto"/>
          <w:highlight w:val="none"/>
        </w:rPr>
      </w:pPr>
      <w:r>
        <w:rPr>
          <w:color w:val="auto"/>
          <w:highlight w:val="none"/>
        </w:rPr>
        <w:t>6.3.4</w:t>
      </w:r>
      <w:r>
        <w:rPr>
          <w:rFonts w:hint="eastAsia"/>
          <w:color w:val="auto"/>
          <w:highlight w:val="none"/>
        </w:rPr>
        <w:t>报价</w:t>
      </w:r>
      <w:r>
        <w:rPr>
          <w:color w:val="auto"/>
          <w:highlight w:val="none"/>
        </w:rPr>
        <w:t>修正</w:t>
      </w:r>
    </w:p>
    <w:p w14:paraId="6D13D25F">
      <w:pPr>
        <w:spacing w:before="120" w:line="320" w:lineRule="atLeast"/>
        <w:ind w:firstLine="420" w:firstLineChars="200"/>
        <w:rPr>
          <w:color w:val="auto"/>
          <w:highlight w:val="none"/>
        </w:rPr>
      </w:pPr>
      <w:r>
        <w:rPr>
          <w:rFonts w:hint="eastAsia"/>
          <w:color w:val="auto"/>
          <w:highlight w:val="none"/>
        </w:rPr>
        <w:t>（1）报价出现前后不一致的，按照下列规定修正：</w:t>
      </w:r>
    </w:p>
    <w:p w14:paraId="2C7A740F">
      <w:pPr>
        <w:spacing w:before="120" w:line="320" w:lineRule="atLeast"/>
        <w:ind w:firstLine="420" w:firstLineChars="200"/>
        <w:rPr>
          <w:color w:val="auto"/>
          <w:szCs w:val="21"/>
          <w:highlight w:val="none"/>
        </w:rPr>
      </w:pPr>
      <w:r>
        <w:rPr>
          <w:rFonts w:hint="eastAsia" w:ascii="宋体" w:hAnsi="宋体"/>
          <w:color w:val="auto"/>
          <w:szCs w:val="21"/>
          <w:highlight w:val="none"/>
        </w:rPr>
        <w:t>①</w:t>
      </w:r>
      <w:r>
        <w:rPr>
          <w:color w:val="auto"/>
          <w:szCs w:val="21"/>
          <w:highlight w:val="none"/>
        </w:rPr>
        <w:t>响应文件中开标一览表（报价表）内容与响应文件中相应内容不一致的，以开标一览表（报价表）为准；</w:t>
      </w:r>
    </w:p>
    <w:p w14:paraId="70C32C80">
      <w:pPr>
        <w:spacing w:before="120" w:line="320" w:lineRule="atLeast"/>
        <w:ind w:firstLine="420" w:firstLineChars="200"/>
        <w:rPr>
          <w:color w:val="auto"/>
          <w:szCs w:val="21"/>
          <w:highlight w:val="none"/>
        </w:rPr>
      </w:pPr>
      <w:r>
        <w:rPr>
          <w:rFonts w:ascii="宋体" w:hAnsi="宋体"/>
          <w:color w:val="auto"/>
          <w:szCs w:val="21"/>
          <w:highlight w:val="none"/>
        </w:rPr>
        <w:t>②</w:t>
      </w:r>
      <w:r>
        <w:rPr>
          <w:color w:val="auto"/>
          <w:szCs w:val="21"/>
          <w:highlight w:val="none"/>
        </w:rPr>
        <w:t>大写金额和小写金额不一致的，以大写金额为准；</w:t>
      </w:r>
    </w:p>
    <w:p w14:paraId="0A8F2E87">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单价金额小数点或者百分比有明显错位的，以开标一览表的总价为准，并修改单价；</w:t>
      </w:r>
    </w:p>
    <w:p w14:paraId="31F8A69E">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总价金额与按单价汇总金额不一致的，以单价金额计算结果为准</w:t>
      </w:r>
      <w:r>
        <w:rPr>
          <w:rFonts w:hint="eastAsia"/>
          <w:color w:val="auto"/>
          <w:szCs w:val="21"/>
          <w:highlight w:val="none"/>
        </w:rPr>
        <w:t>。</w:t>
      </w:r>
    </w:p>
    <w:p w14:paraId="2B1CD05E">
      <w:pPr>
        <w:spacing w:before="120" w:line="320" w:lineRule="atLeast"/>
        <w:ind w:firstLine="420" w:firstLineChars="200"/>
        <w:rPr>
          <w:color w:val="auto"/>
          <w:szCs w:val="21"/>
          <w:highlight w:val="none"/>
        </w:rPr>
      </w:pPr>
      <w:r>
        <w:rPr>
          <w:rFonts w:hint="eastAsia"/>
          <w:color w:val="auto"/>
          <w:szCs w:val="21"/>
          <w:highlight w:val="none"/>
        </w:rPr>
        <w:t>同时出现两种以上不一致的，按照上述</w:t>
      </w:r>
      <w:r>
        <w:rPr>
          <w:rFonts w:hint="eastAsia" w:ascii="宋体" w:hAnsi="宋体"/>
          <w:color w:val="auto"/>
          <w:szCs w:val="21"/>
          <w:highlight w:val="none"/>
        </w:rPr>
        <w:t>①-</w:t>
      </w:r>
      <w:r>
        <w:rPr>
          <w:rFonts w:hint="eastAsia"/>
          <w:color w:val="auto"/>
          <w:szCs w:val="21"/>
          <w:highlight w:val="none"/>
        </w:rPr>
        <w:t>④顺序修正。修正后的报价按照上述“</w:t>
      </w:r>
      <w:r>
        <w:rPr>
          <w:color w:val="auto"/>
          <w:szCs w:val="21"/>
          <w:highlight w:val="none"/>
        </w:rPr>
        <w:t>6.3.3</w:t>
      </w:r>
      <w:r>
        <w:rPr>
          <w:rFonts w:hint="eastAsia"/>
          <w:color w:val="auto"/>
          <w:szCs w:val="21"/>
          <w:highlight w:val="none"/>
        </w:rPr>
        <w:t>澄清、说明或补正”的规定经供应商确认后产生约束力，供应商不确认的，其响应无效。</w:t>
      </w:r>
    </w:p>
    <w:p w14:paraId="0B727F3E">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）经供应商确认修正后的报价若超过采购预算金额或者最高限价，其响应文件作无效响应处理。</w:t>
      </w:r>
    </w:p>
    <w:p w14:paraId="42881FE0">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）经供应商确认修正后的报价作为签订合同的依据，并以此报价计算价格分。</w:t>
      </w:r>
    </w:p>
    <w:p w14:paraId="7B3BB09C">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）如磋商过程中有多轮报价的，磋商小组在每一轮报价均应按上述规则修正报价。</w:t>
      </w:r>
    </w:p>
    <w:p w14:paraId="3BF34184">
      <w:pPr>
        <w:spacing w:before="120" w:line="320" w:lineRule="atLeast"/>
        <w:ind w:firstLine="420" w:firstLineChars="200"/>
        <w:rPr>
          <w:color w:val="auto"/>
          <w:szCs w:val="21"/>
          <w:highlight w:val="none"/>
        </w:rPr>
      </w:pPr>
      <w:r>
        <w:rPr>
          <w:color w:val="auto"/>
          <w:szCs w:val="21"/>
          <w:highlight w:val="none"/>
          <w:lang w:bidi="ar"/>
        </w:rPr>
        <w:t>6.3.5</w:t>
      </w:r>
      <w:r>
        <w:rPr>
          <w:rFonts w:hint="eastAsia" w:cs="宋体"/>
          <w:color w:val="auto"/>
          <w:szCs w:val="21"/>
          <w:highlight w:val="none"/>
          <w:lang w:bidi="ar"/>
        </w:rPr>
        <w:t>异常低价审查</w:t>
      </w:r>
    </w:p>
    <w:p w14:paraId="7E252DB4">
      <w:pPr>
        <w:spacing w:before="120" w:line="320" w:lineRule="atLeast"/>
        <w:ind w:firstLine="420" w:firstLineChars="200"/>
        <w:rPr>
          <w:color w:val="auto"/>
          <w:szCs w:val="21"/>
          <w:highlight w:val="none"/>
        </w:rPr>
      </w:pPr>
      <w:r>
        <w:rPr>
          <w:rFonts w:hint="eastAsia" w:cs="宋体"/>
          <w:color w:val="auto"/>
          <w:szCs w:val="21"/>
          <w:highlight w:val="none"/>
          <w:lang w:bidi="ar"/>
        </w:rPr>
        <w:t>本项目异常低价审查情形见</w:t>
      </w:r>
      <w:r>
        <w:rPr>
          <w:color w:val="auto"/>
          <w:szCs w:val="21"/>
          <w:highlight w:val="none"/>
          <w:lang w:bidi="ar"/>
        </w:rPr>
        <w:t>“</w:t>
      </w:r>
      <w:r>
        <w:rPr>
          <w:rFonts w:hint="eastAsia" w:cs="宋体"/>
          <w:color w:val="auto"/>
          <w:szCs w:val="21"/>
          <w:highlight w:val="none"/>
          <w:lang w:bidi="ar"/>
        </w:rPr>
        <w:t>投标人须知前附表</w:t>
      </w:r>
      <w:r>
        <w:rPr>
          <w:color w:val="auto"/>
          <w:szCs w:val="21"/>
          <w:highlight w:val="none"/>
          <w:lang w:bidi="ar"/>
        </w:rPr>
        <w:t>”</w:t>
      </w:r>
      <w:r>
        <w:rPr>
          <w:rFonts w:hint="eastAsia" w:cs="宋体"/>
          <w:color w:val="auto"/>
          <w:szCs w:val="21"/>
          <w:highlight w:val="none"/>
          <w:lang w:bidi="ar"/>
        </w:rPr>
        <w:t>规定。</w:t>
      </w:r>
    </w:p>
    <w:p w14:paraId="735760E7">
      <w:pPr>
        <w:spacing w:before="120" w:line="320" w:lineRule="atLeast"/>
        <w:ind w:firstLine="420" w:firstLineChars="200"/>
        <w:rPr>
          <w:color w:val="auto"/>
          <w:szCs w:val="21"/>
          <w:highlight w:val="none"/>
        </w:rPr>
      </w:pPr>
      <w:r>
        <w:rPr>
          <w:rFonts w:hint="eastAsia"/>
          <w:color w:val="auto"/>
          <w:szCs w:val="21"/>
          <w:highlight w:val="none"/>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A2D6A56">
      <w:pPr>
        <w:spacing w:before="120" w:line="320" w:lineRule="atLeast"/>
        <w:ind w:firstLine="420" w:firstLineChars="200"/>
        <w:rPr>
          <w:strike/>
          <w:color w:val="auto"/>
          <w:szCs w:val="21"/>
          <w:highlight w:val="none"/>
        </w:rPr>
      </w:pPr>
      <w:r>
        <w:rPr>
          <w:rFonts w:hint="eastAsia"/>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B555F27">
      <w:pPr>
        <w:spacing w:before="120" w:line="320" w:lineRule="atLeast"/>
        <w:ind w:firstLine="420" w:firstLineChars="200"/>
        <w:rPr>
          <w:color w:val="auto"/>
          <w:szCs w:val="21"/>
          <w:highlight w:val="none"/>
        </w:rPr>
      </w:pPr>
      <w:r>
        <w:rPr>
          <w:rFonts w:hint="eastAsia"/>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5302306">
      <w:pPr>
        <w:spacing w:before="120" w:line="320" w:lineRule="atLeast"/>
        <w:ind w:firstLine="420" w:firstLineChars="200"/>
        <w:rPr>
          <w:color w:val="auto"/>
          <w:szCs w:val="21"/>
          <w:highlight w:val="none"/>
        </w:rPr>
      </w:pPr>
      <w:r>
        <w:rPr>
          <w:rFonts w:hint="eastAsia"/>
          <w:color w:val="auto"/>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32BC7E70">
      <w:pPr>
        <w:spacing w:before="120" w:line="320" w:lineRule="atLeast"/>
        <w:ind w:firstLine="420" w:firstLineChars="200"/>
        <w:rPr>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p>
    <w:p w14:paraId="044B5FB0">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rPr>
        <w:t>6相同品牌认定（仅适用于货物采购项目）</w:t>
      </w:r>
    </w:p>
    <w:p w14:paraId="5AA2A3F9">
      <w:pPr>
        <w:spacing w:before="120" w:line="320" w:lineRule="atLeast"/>
        <w:ind w:firstLine="420" w:firstLineChars="200"/>
        <w:rPr>
          <w:color w:val="auto"/>
          <w:szCs w:val="21"/>
          <w:highlight w:val="none"/>
        </w:rPr>
      </w:pPr>
      <w:r>
        <w:rPr>
          <w:rFonts w:hint="eastAsia"/>
          <w:color w:val="auto"/>
          <w:szCs w:val="21"/>
          <w:highlight w:val="none"/>
        </w:rPr>
        <w:t>（1）单一产品采购项目，</w:t>
      </w:r>
      <w:r>
        <w:rPr>
          <w:color w:val="auto"/>
          <w:highlight w:val="none"/>
        </w:rPr>
        <w:t>不同供应商提供的产品品牌相同时，</w:t>
      </w:r>
      <w:r>
        <w:rPr>
          <w:rFonts w:hint="eastAsia"/>
          <w:color w:val="auto"/>
          <w:highlight w:val="none"/>
        </w:rPr>
        <w:t>按以下</w:t>
      </w:r>
      <w:r>
        <w:rPr>
          <w:color w:val="auto"/>
          <w:highlight w:val="none"/>
        </w:rPr>
        <w:t>规定</w:t>
      </w:r>
      <w:r>
        <w:rPr>
          <w:rFonts w:hint="eastAsia"/>
          <w:color w:val="auto"/>
          <w:highlight w:val="none"/>
        </w:rPr>
        <w:t>确定</w:t>
      </w:r>
      <w:r>
        <w:rPr>
          <w:bCs/>
          <w:color w:val="auto"/>
          <w:kern w:val="0"/>
          <w:szCs w:val="21"/>
          <w:highlight w:val="none"/>
        </w:rPr>
        <w:t>相同品牌的响应有效性</w:t>
      </w:r>
      <w:r>
        <w:rPr>
          <w:color w:val="auto"/>
          <w:highlight w:val="none"/>
        </w:rPr>
        <w:t>。</w:t>
      </w:r>
    </w:p>
    <w:bookmarkEnd w:id="92"/>
    <w:p w14:paraId="2C797AC6">
      <w:pPr>
        <w:spacing w:before="120" w:line="320" w:lineRule="atLeast"/>
        <w:ind w:firstLine="420" w:firstLineChars="200"/>
        <w:rPr>
          <w:color w:val="auto"/>
          <w:szCs w:val="21"/>
          <w:highlight w:val="none"/>
        </w:rPr>
      </w:pPr>
      <w:r>
        <w:rPr>
          <w:rFonts w:hint="eastAsia"/>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4B67C64F">
      <w:pPr>
        <w:spacing w:before="120" w:line="320" w:lineRule="atLeast"/>
        <w:ind w:firstLine="420" w:firstLineChars="200"/>
        <w:rPr>
          <w:color w:val="auto"/>
          <w:szCs w:val="21"/>
          <w:highlight w:val="none"/>
        </w:rPr>
      </w:pPr>
      <w:r>
        <w:rPr>
          <w:rFonts w:hint="eastAsia"/>
          <w:color w:val="auto"/>
          <w:szCs w:val="21"/>
          <w:highlight w:val="none"/>
        </w:rPr>
        <w:t>（2）非单一产品采购项目，</w:t>
      </w:r>
      <w:r>
        <w:rPr>
          <w:color w:val="auto"/>
          <w:szCs w:val="21"/>
          <w:highlight w:val="none"/>
        </w:rPr>
        <w:t>采购人应当确定核心产品，并在采购文件中载明。</w:t>
      </w:r>
      <w:r>
        <w:rPr>
          <w:rFonts w:hint="eastAsia"/>
          <w:color w:val="auto"/>
          <w:szCs w:val="21"/>
          <w:highlight w:val="none"/>
        </w:rPr>
        <w:t>不同</w:t>
      </w:r>
      <w:r>
        <w:rPr>
          <w:color w:val="auto"/>
          <w:szCs w:val="21"/>
          <w:highlight w:val="none"/>
        </w:rPr>
        <w:t>供应商提供的核心产品品牌相同的，按上述规定处理。核心产品</w:t>
      </w:r>
      <w:r>
        <w:rPr>
          <w:rFonts w:hint="eastAsia"/>
          <w:color w:val="auto"/>
          <w:szCs w:val="21"/>
          <w:highlight w:val="none"/>
        </w:rPr>
        <w:t>在第二章</w:t>
      </w:r>
      <w:r>
        <w:rPr>
          <w:color w:val="auto"/>
          <w:szCs w:val="21"/>
          <w:highlight w:val="none"/>
        </w:rPr>
        <w:t>采购需求规定。</w:t>
      </w:r>
    </w:p>
    <w:p w14:paraId="672FB05E">
      <w:pPr>
        <w:spacing w:before="120" w:line="320" w:lineRule="atLeast"/>
        <w:ind w:firstLine="420" w:firstLineChars="200"/>
        <w:rPr>
          <w:color w:val="auto"/>
          <w:highlight w:val="none"/>
        </w:rPr>
      </w:pPr>
      <w:r>
        <w:rPr>
          <w:color w:val="auto"/>
          <w:highlight w:val="none"/>
        </w:rPr>
        <w:t>6.3.</w:t>
      </w:r>
      <w:r>
        <w:rPr>
          <w:rFonts w:hint="eastAsia"/>
          <w:color w:val="auto"/>
          <w:highlight w:val="none"/>
        </w:rPr>
        <w:t>7磋商</w:t>
      </w:r>
    </w:p>
    <w:p w14:paraId="2B8E0707">
      <w:pPr>
        <w:spacing w:before="120" w:line="320" w:lineRule="atLeast"/>
        <w:ind w:firstLine="420" w:firstLineChars="200"/>
        <w:rPr>
          <w:color w:val="auto"/>
          <w:highlight w:val="none"/>
        </w:rPr>
      </w:pPr>
      <w:r>
        <w:rPr>
          <w:rFonts w:hint="eastAsia"/>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2B05B35">
      <w:pPr>
        <w:spacing w:before="120" w:line="320" w:lineRule="atLeast"/>
        <w:ind w:firstLine="420" w:firstLineChars="200"/>
        <w:rPr>
          <w:color w:val="auto"/>
          <w:highlight w:val="none"/>
        </w:rPr>
      </w:pPr>
      <w:r>
        <w:rPr>
          <w:rFonts w:hint="eastAsia"/>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42A7B48E">
      <w:pPr>
        <w:spacing w:before="120" w:line="320" w:lineRule="atLeast"/>
        <w:ind w:firstLine="420" w:firstLineChars="200"/>
        <w:rPr>
          <w:color w:val="auto"/>
          <w:highlight w:val="none"/>
        </w:rPr>
      </w:pPr>
      <w:r>
        <w:rPr>
          <w:rFonts w:hint="eastAsia"/>
          <w:color w:val="auto"/>
          <w:highlight w:val="none"/>
        </w:rPr>
        <w:t>对采购文件作出的实质性变动是采购文件的有效组成部分，由磋商小组通过广西政府采购云平台以书面形式同时通知所有参加磋商的供应商。</w:t>
      </w:r>
    </w:p>
    <w:p w14:paraId="36C67D30">
      <w:pPr>
        <w:spacing w:before="120" w:line="320" w:lineRule="atLeast"/>
        <w:ind w:firstLine="420" w:firstLineChars="200"/>
        <w:rPr>
          <w:color w:val="auto"/>
          <w:highlight w:val="none"/>
        </w:rPr>
      </w:pPr>
      <w:r>
        <w:rPr>
          <w:rFonts w:hint="eastAsia"/>
          <w:color w:val="auto"/>
          <w:highlight w:val="none"/>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77BD5D7F">
      <w:pPr>
        <w:spacing w:before="120" w:line="320" w:lineRule="atLeast"/>
        <w:ind w:firstLine="420" w:firstLineChars="200"/>
        <w:rPr>
          <w:color w:val="auto"/>
          <w:highlight w:val="none"/>
        </w:rPr>
      </w:pPr>
      <w:r>
        <w:rPr>
          <w:rFonts w:hint="eastAsia"/>
          <w:color w:val="auto"/>
          <w:highlight w:val="none"/>
        </w:rPr>
        <w:t>（4）供应商的法定代表人或其授权代表无须到现场参加磋商，提问及回答/响应均通过广西政府采购云平台进行。磋商过程中使用的电子签章应为供应商上传响应文件的同一签章。</w:t>
      </w:r>
    </w:p>
    <w:p w14:paraId="36B8C0C8">
      <w:pPr>
        <w:spacing w:before="120" w:line="320" w:lineRule="atLeast"/>
        <w:ind w:firstLine="420" w:firstLineChars="200"/>
        <w:rPr>
          <w:color w:val="auto"/>
          <w:highlight w:val="none"/>
        </w:rPr>
      </w:pPr>
      <w:r>
        <w:rPr>
          <w:rFonts w:hint="eastAsia"/>
          <w:color w:val="auto"/>
          <w:highlight w:val="none"/>
        </w:rPr>
        <w:t>6</w:t>
      </w:r>
      <w:r>
        <w:rPr>
          <w:color w:val="auto"/>
          <w:highlight w:val="none"/>
        </w:rPr>
        <w:t>.3.</w:t>
      </w:r>
      <w:r>
        <w:rPr>
          <w:rFonts w:hint="eastAsia"/>
          <w:color w:val="auto"/>
          <w:highlight w:val="none"/>
        </w:rPr>
        <w:t>8最后报价</w:t>
      </w:r>
    </w:p>
    <w:p w14:paraId="68C88502">
      <w:pPr>
        <w:spacing w:before="120" w:line="320" w:lineRule="atLeast"/>
        <w:ind w:firstLine="420" w:firstLineChars="200"/>
        <w:rPr>
          <w:color w:val="auto"/>
          <w:highlight w:val="none"/>
        </w:rPr>
      </w:pPr>
      <w:r>
        <w:rPr>
          <w:rFonts w:hint="eastAsia"/>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6FA37B16">
      <w:pPr>
        <w:spacing w:before="120" w:line="320" w:lineRule="atLeast"/>
        <w:ind w:firstLine="420" w:firstLineChars="200"/>
        <w:rPr>
          <w:color w:val="auto"/>
          <w:highlight w:val="none"/>
        </w:rPr>
      </w:pPr>
      <w:r>
        <w:rPr>
          <w:rFonts w:hint="eastAsia"/>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DB5E144">
      <w:pPr>
        <w:spacing w:before="120" w:line="320" w:lineRule="atLeast"/>
        <w:ind w:firstLine="420" w:firstLineChars="200"/>
        <w:rPr>
          <w:color w:val="auto"/>
          <w:highlight w:val="none"/>
        </w:rPr>
      </w:pPr>
      <w:r>
        <w:rPr>
          <w:rFonts w:hint="eastAsia"/>
          <w:color w:val="auto"/>
          <w:highlight w:val="none"/>
        </w:rPr>
        <w:t>最后报价是供应商响应文件的有效组成部分。</w:t>
      </w:r>
    </w:p>
    <w:p w14:paraId="758FEBA8">
      <w:pPr>
        <w:spacing w:before="120" w:line="320" w:lineRule="atLeast"/>
        <w:ind w:firstLine="420" w:firstLineChars="200"/>
        <w:rPr>
          <w:color w:val="auto"/>
          <w:highlight w:val="none"/>
        </w:rPr>
      </w:pPr>
      <w:r>
        <w:rPr>
          <w:rFonts w:hint="eastAsia"/>
          <w:color w:val="auto"/>
          <w:highlight w:val="none"/>
        </w:rPr>
        <w:t>（2）如符合“市场竞争不充分的科研项目、需要扶持的科技成果转化项目、政府购买服务项目（含政府和社会资本合作项目）的，提交最后报价的供应商可以为2家。</w:t>
      </w:r>
    </w:p>
    <w:p w14:paraId="2D5072E9">
      <w:pPr>
        <w:spacing w:before="120" w:line="320" w:lineRule="atLeast"/>
        <w:ind w:firstLine="420" w:firstLineChars="200"/>
        <w:rPr>
          <w:color w:val="auto"/>
          <w:highlight w:val="none"/>
        </w:rPr>
      </w:pPr>
      <w:r>
        <w:rPr>
          <w:rFonts w:hint="eastAsia"/>
          <w:color w:val="auto"/>
          <w:highlight w:val="none"/>
        </w:rPr>
        <w:t>（3）最后报价要求通过广西政府采购云平台发出，供应商需在广西政府采购云平台设置的时间内报价，最后报价不得超过采购预算金额且具有唯一性，否则否决其响应。</w:t>
      </w:r>
    </w:p>
    <w:p w14:paraId="02551743">
      <w:pPr>
        <w:spacing w:before="120" w:line="320" w:lineRule="atLeast"/>
        <w:ind w:firstLine="420" w:firstLineChars="200"/>
        <w:rPr>
          <w:color w:val="auto"/>
          <w:highlight w:val="none"/>
        </w:rPr>
      </w:pPr>
      <w:r>
        <w:rPr>
          <w:rFonts w:hint="eastAsia"/>
          <w:color w:val="auto"/>
          <w:highlight w:val="none"/>
        </w:rPr>
        <w:t>（4）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156A04D0">
      <w:pPr>
        <w:spacing w:before="120" w:line="320" w:lineRule="atLeast"/>
        <w:ind w:firstLine="420" w:firstLineChars="200"/>
        <w:rPr>
          <w:color w:val="auto"/>
          <w:highlight w:val="none"/>
        </w:rPr>
      </w:pPr>
      <w:r>
        <w:rPr>
          <w:rFonts w:hint="eastAsia"/>
          <w:color w:val="auto"/>
          <w:highlight w:val="none"/>
        </w:rPr>
        <w:t>（5）供应商未在规定时间内提交最后报价的，视同退出磋商。</w:t>
      </w:r>
    </w:p>
    <w:p w14:paraId="1F475E22">
      <w:pPr>
        <w:spacing w:before="120" w:line="320" w:lineRule="atLeast"/>
        <w:ind w:firstLine="420" w:firstLineChars="200"/>
        <w:rPr>
          <w:color w:val="auto"/>
          <w:highlight w:val="none"/>
        </w:rPr>
      </w:pPr>
      <w:r>
        <w:rPr>
          <w:rFonts w:hint="eastAsia"/>
          <w:color w:val="auto"/>
          <w:highlight w:val="none"/>
        </w:rPr>
        <w:t>（6）最后报价结束后，磋商小组不得再与供应商进行任何形式的商谈。</w:t>
      </w:r>
    </w:p>
    <w:p w14:paraId="0FF2FC2C">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9</w:t>
      </w:r>
      <w:r>
        <w:rPr>
          <w:color w:val="auto"/>
          <w:szCs w:val="21"/>
          <w:highlight w:val="none"/>
        </w:rPr>
        <w:t>串通投标认定</w:t>
      </w:r>
    </w:p>
    <w:p w14:paraId="77C0D1D6">
      <w:pPr>
        <w:spacing w:before="120" w:line="320" w:lineRule="atLeast"/>
        <w:ind w:firstLine="420" w:firstLineChars="200"/>
        <w:rPr>
          <w:color w:val="auto"/>
          <w:highlight w:val="none"/>
        </w:rPr>
      </w:pPr>
      <w:r>
        <w:rPr>
          <w:color w:val="auto"/>
          <w:szCs w:val="21"/>
          <w:highlight w:val="none"/>
        </w:rPr>
        <w:t>磋商小组须根据</w:t>
      </w:r>
      <w:r>
        <w:rPr>
          <w:rFonts w:hint="eastAsia"/>
          <w:color w:val="auto"/>
          <w:szCs w:val="21"/>
          <w:highlight w:val="none"/>
        </w:rPr>
        <w:t>以下</w:t>
      </w:r>
      <w:r>
        <w:rPr>
          <w:color w:val="auto"/>
          <w:szCs w:val="21"/>
          <w:highlight w:val="none"/>
        </w:rPr>
        <w:t>规定</w:t>
      </w:r>
      <w:r>
        <w:rPr>
          <w:rFonts w:hint="eastAsia"/>
          <w:color w:val="auto"/>
          <w:szCs w:val="21"/>
          <w:highlight w:val="none"/>
        </w:rPr>
        <w:t>认定</w:t>
      </w:r>
      <w:r>
        <w:rPr>
          <w:color w:val="auto"/>
          <w:szCs w:val="21"/>
          <w:highlight w:val="none"/>
        </w:rPr>
        <w:t>供应商是否有</w:t>
      </w:r>
      <w:r>
        <w:rPr>
          <w:bCs/>
          <w:color w:val="auto"/>
          <w:kern w:val="0"/>
          <w:szCs w:val="21"/>
          <w:highlight w:val="none"/>
        </w:rPr>
        <w:t>串通投标的行为</w:t>
      </w:r>
      <w:r>
        <w:rPr>
          <w:color w:val="auto"/>
          <w:highlight w:val="none"/>
        </w:rPr>
        <w:t>。</w:t>
      </w:r>
    </w:p>
    <w:p w14:paraId="3B3F053D">
      <w:pPr>
        <w:spacing w:before="120" w:line="320" w:lineRule="atLeast"/>
        <w:ind w:firstLine="420" w:firstLineChars="200"/>
        <w:rPr>
          <w:color w:val="auto"/>
          <w:szCs w:val="21"/>
          <w:highlight w:val="none"/>
        </w:rPr>
      </w:pPr>
      <w:bookmarkStart w:id="93" w:name="_Hlk19122026"/>
      <w:r>
        <w:rPr>
          <w:rFonts w:hint="eastAsia"/>
          <w:color w:val="auto"/>
          <w:szCs w:val="21"/>
          <w:highlight w:val="none"/>
        </w:rPr>
        <w:t>（1）</w:t>
      </w:r>
      <w:bookmarkEnd w:id="93"/>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桂财采[2016]42号</w:t>
      </w:r>
      <w:r>
        <w:rPr>
          <w:rFonts w:hint="eastAsia"/>
          <w:color w:val="auto"/>
          <w:szCs w:val="21"/>
          <w:highlight w:val="none"/>
        </w:rPr>
        <w:t>）</w:t>
      </w:r>
      <w:r>
        <w:rPr>
          <w:color w:val="auto"/>
          <w:szCs w:val="21"/>
          <w:highlight w:val="none"/>
        </w:rPr>
        <w:t>规定，出现下述情况的，相关供应商的投标作无效投标处理。</w:t>
      </w:r>
    </w:p>
    <w:p w14:paraId="7BB8D0CB">
      <w:pPr>
        <w:spacing w:before="120" w:line="320" w:lineRule="atLeast"/>
        <w:ind w:firstLine="420" w:firstLineChars="200"/>
        <w:rPr>
          <w:color w:val="auto"/>
          <w:szCs w:val="21"/>
          <w:highlight w:val="none"/>
        </w:rPr>
      </w:pPr>
      <w:bookmarkStart w:id="94" w:name="_Hlk19122039"/>
      <w:r>
        <w:rPr>
          <w:rFonts w:hint="eastAsia" w:ascii="宋体" w:hAnsi="宋体" w:cs="宋体"/>
          <w:color w:val="auto"/>
          <w:szCs w:val="21"/>
          <w:highlight w:val="none"/>
        </w:rPr>
        <w:t>①</w:t>
      </w:r>
      <w:r>
        <w:rPr>
          <w:color w:val="auto"/>
          <w:szCs w:val="21"/>
          <w:highlight w:val="none"/>
        </w:rPr>
        <w:t>单位负责人为同一人或者存在直接控股、管理关系，参加同一合同项下政府采购活动的不同供应商。</w:t>
      </w:r>
    </w:p>
    <w:p w14:paraId="7C2F0191">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授权给供应商后参加同一合同项（分标、分包）投标的生产厂商。</w:t>
      </w:r>
    </w:p>
    <w:p w14:paraId="325C0167">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视为或被认定为串通投标的相关供应商。</w:t>
      </w:r>
    </w:p>
    <w:bookmarkEnd w:id="94"/>
    <w:p w14:paraId="0EAE8B49">
      <w:pPr>
        <w:spacing w:before="120" w:line="320" w:lineRule="atLeast"/>
        <w:ind w:firstLine="420" w:firstLineChars="200"/>
        <w:rPr>
          <w:color w:val="auto"/>
          <w:szCs w:val="21"/>
          <w:highlight w:val="none"/>
        </w:rPr>
      </w:pPr>
      <w:bookmarkStart w:id="95" w:name="_Hlk19122058"/>
      <w:r>
        <w:rPr>
          <w:rFonts w:hint="eastAsia"/>
          <w:color w:val="auto"/>
          <w:szCs w:val="21"/>
          <w:highlight w:val="none"/>
        </w:rPr>
        <w:t>（2）</w:t>
      </w:r>
      <w:bookmarkEnd w:id="95"/>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桂财采[2016]42号</w:t>
      </w:r>
      <w:r>
        <w:rPr>
          <w:rFonts w:hint="eastAsia"/>
          <w:color w:val="auto"/>
          <w:szCs w:val="21"/>
          <w:highlight w:val="none"/>
        </w:rPr>
        <w:t>）</w:t>
      </w:r>
      <w:r>
        <w:rPr>
          <w:color w:val="auto"/>
          <w:szCs w:val="21"/>
          <w:highlight w:val="none"/>
        </w:rPr>
        <w:t>规定，有下列情形之一的视为供应商相互串通投标，响应文件将被视为无效。</w:t>
      </w:r>
    </w:p>
    <w:p w14:paraId="59223234">
      <w:pPr>
        <w:spacing w:before="120" w:line="320" w:lineRule="atLeast"/>
        <w:ind w:firstLine="420" w:firstLineChars="200"/>
        <w:rPr>
          <w:color w:val="auto"/>
          <w:szCs w:val="21"/>
          <w:highlight w:val="none"/>
        </w:rPr>
      </w:pPr>
      <w:bookmarkStart w:id="96" w:name="_Hlk19122048"/>
      <w:r>
        <w:rPr>
          <w:rFonts w:hint="eastAsia" w:ascii="宋体" w:hAnsi="宋体" w:cs="宋体"/>
          <w:color w:val="auto"/>
          <w:szCs w:val="21"/>
          <w:highlight w:val="none"/>
        </w:rPr>
        <w:t>①</w:t>
      </w:r>
      <w:r>
        <w:rPr>
          <w:color w:val="auto"/>
          <w:szCs w:val="21"/>
          <w:highlight w:val="none"/>
        </w:rPr>
        <w:t>不同供应商的响应文件由同一单位或者个人编制；或不同供应商报名的IP地址一致的；</w:t>
      </w:r>
    </w:p>
    <w:p w14:paraId="0FECE80F">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不同供应商委托同一单位或者个人办理投标事宜；</w:t>
      </w:r>
    </w:p>
    <w:p w14:paraId="0E8F41E6">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不同的供应商的响应文件载明的项目管理员为同一个人；</w:t>
      </w:r>
    </w:p>
    <w:p w14:paraId="28DFBBBE">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不同供应商的响应文件异常一致或投标报价呈规律性差异；</w:t>
      </w:r>
    </w:p>
    <w:p w14:paraId="2A3241CA">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不同供应商的响应文件相互混装；</w:t>
      </w:r>
    </w:p>
    <w:p w14:paraId="6512AD16">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不同供应商的保证金从同一单位或者个人账户转出。</w:t>
      </w:r>
    </w:p>
    <w:bookmarkEnd w:id="96"/>
    <w:p w14:paraId="18870281">
      <w:pPr>
        <w:spacing w:before="120" w:line="320" w:lineRule="atLeast"/>
        <w:ind w:firstLine="420" w:firstLineChars="200"/>
        <w:rPr>
          <w:color w:val="auto"/>
          <w:szCs w:val="21"/>
          <w:highlight w:val="none"/>
        </w:rPr>
      </w:pPr>
      <w:bookmarkStart w:id="97" w:name="_Hlk19122102"/>
      <w:r>
        <w:rPr>
          <w:rFonts w:hint="eastAsia"/>
          <w:color w:val="auto"/>
          <w:szCs w:val="21"/>
          <w:highlight w:val="none"/>
        </w:rPr>
        <w:t>（3）</w:t>
      </w:r>
      <w:bookmarkEnd w:id="97"/>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桂财采[2016]42号</w:t>
      </w:r>
      <w:r>
        <w:rPr>
          <w:rFonts w:hint="eastAsia"/>
          <w:color w:val="auto"/>
          <w:szCs w:val="21"/>
          <w:highlight w:val="none"/>
        </w:rPr>
        <w:t>）</w:t>
      </w:r>
      <w:r>
        <w:rPr>
          <w:color w:val="auto"/>
          <w:szCs w:val="21"/>
          <w:highlight w:val="none"/>
        </w:rPr>
        <w:t>规定，供应商有下列情形之一的，属于恶意串通行为，响应文件将被视为无效。</w:t>
      </w:r>
    </w:p>
    <w:p w14:paraId="0E77DCB8">
      <w:pPr>
        <w:spacing w:before="120" w:line="320" w:lineRule="atLeast"/>
        <w:ind w:firstLine="420" w:firstLineChars="200"/>
        <w:rPr>
          <w:color w:val="auto"/>
          <w:szCs w:val="21"/>
          <w:highlight w:val="none"/>
        </w:rPr>
      </w:pPr>
      <w:bookmarkStart w:id="98" w:name="_Hlk19122095"/>
      <w:r>
        <w:rPr>
          <w:rFonts w:hint="eastAsia"/>
          <w:color w:val="auto"/>
          <w:szCs w:val="21"/>
          <w:highlight w:val="none"/>
        </w:rPr>
        <w:t>①</w:t>
      </w:r>
      <w:r>
        <w:rPr>
          <w:color w:val="auto"/>
          <w:szCs w:val="21"/>
          <w:highlight w:val="none"/>
        </w:rPr>
        <w:t>供应商直接或者间接从采购人或者采购代理机构处获得其他供应商的相关信息并修改其响应文件或者响应文件；</w:t>
      </w:r>
    </w:p>
    <w:p w14:paraId="275B27C2">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供应商按照采购人或者采购代理机构的授意撤换、修改响应文件或者响应文件；</w:t>
      </w:r>
    </w:p>
    <w:p w14:paraId="6F10F7B1">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供应商之间协商报价、技术方案等响应文件或者响应文件的实质性内容；</w:t>
      </w:r>
    </w:p>
    <w:p w14:paraId="78FB46AC">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属于同一集团、协会、商会等组织成员的供应商按照该组织要求协同参加政府采购活动；</w:t>
      </w:r>
    </w:p>
    <w:p w14:paraId="5AD31A9C">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供应商之间事先约定一致抬高或者压低投标报价，或者在招标项目中事先约定轮流以高价位或者低价位中标，或者事先约定由某一特定供应商中标，然后再参加投标；</w:t>
      </w:r>
    </w:p>
    <w:p w14:paraId="6FB0C2B0">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供应商之间商定部分供应商放弃参加政府采购活动或者放弃中标；</w:t>
      </w:r>
    </w:p>
    <w:p w14:paraId="6B29C8FB">
      <w:pPr>
        <w:spacing w:before="120" w:line="320" w:lineRule="atLeast"/>
        <w:ind w:firstLine="420" w:firstLineChars="200"/>
        <w:rPr>
          <w:color w:val="auto"/>
          <w:szCs w:val="21"/>
          <w:highlight w:val="none"/>
        </w:rPr>
      </w:pPr>
      <w:r>
        <w:rPr>
          <w:rFonts w:hint="eastAsia"/>
          <w:color w:val="auto"/>
          <w:szCs w:val="21"/>
          <w:highlight w:val="none"/>
        </w:rPr>
        <w:t>⑦</w:t>
      </w:r>
      <w:r>
        <w:rPr>
          <w:color w:val="auto"/>
          <w:szCs w:val="21"/>
          <w:highlight w:val="none"/>
        </w:rPr>
        <w:t>供应商与采购人或者采购代理机构之间、供应商相互之间，为谋求特定供应商中标或者排斥其他供应商的其他串通行为。</w:t>
      </w:r>
    </w:p>
    <w:bookmarkEnd w:id="98"/>
    <w:p w14:paraId="3D102684">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10</w:t>
      </w:r>
      <w:r>
        <w:rPr>
          <w:color w:val="auto"/>
          <w:szCs w:val="21"/>
          <w:highlight w:val="none"/>
        </w:rPr>
        <w:t>响应</w:t>
      </w:r>
      <w:r>
        <w:rPr>
          <w:rFonts w:hint="eastAsia"/>
          <w:color w:val="auto"/>
          <w:szCs w:val="21"/>
          <w:highlight w:val="none"/>
        </w:rPr>
        <w:t>无效</w:t>
      </w:r>
      <w:r>
        <w:rPr>
          <w:color w:val="auto"/>
          <w:szCs w:val="21"/>
          <w:highlight w:val="none"/>
        </w:rPr>
        <w:t>认定</w:t>
      </w:r>
    </w:p>
    <w:p w14:paraId="2FA26DFF">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1）在</w:t>
      </w:r>
      <w:r>
        <w:rPr>
          <w:rFonts w:hint="eastAsia"/>
          <w:color w:val="auto"/>
          <w:szCs w:val="21"/>
          <w:highlight w:val="none"/>
        </w:rPr>
        <w:t>评审过程中</w:t>
      </w:r>
      <w:r>
        <w:rPr>
          <w:color w:val="auto"/>
          <w:szCs w:val="21"/>
          <w:highlight w:val="none"/>
        </w:rPr>
        <w:t>如发现下列情形之一的，响应文件将被视为无效：</w:t>
      </w:r>
    </w:p>
    <w:p w14:paraId="05629387">
      <w:pPr>
        <w:spacing w:before="120" w:line="320" w:lineRule="atLeast"/>
        <w:ind w:firstLine="420" w:firstLineChars="200"/>
        <w:rPr>
          <w:color w:val="auto"/>
          <w:highlight w:val="none"/>
        </w:rPr>
      </w:pPr>
      <w:r>
        <w:rPr>
          <w:rFonts w:hint="eastAsia"/>
          <w:color w:val="auto"/>
          <w:szCs w:val="21"/>
          <w:highlight w:val="none"/>
        </w:rPr>
        <w:t>①</w:t>
      </w:r>
      <w:r>
        <w:rPr>
          <w:color w:val="auto"/>
          <w:szCs w:val="21"/>
          <w:highlight w:val="none"/>
        </w:rPr>
        <w:t>响应文件</w:t>
      </w:r>
      <w:r>
        <w:rPr>
          <w:rFonts w:hint="eastAsia"/>
          <w:color w:val="auto"/>
          <w:szCs w:val="21"/>
          <w:highlight w:val="none"/>
        </w:rPr>
        <w:t>存在法律、法规及监督部门有关文件规定的无效情形</w:t>
      </w:r>
      <w:r>
        <w:rPr>
          <w:color w:val="auto"/>
          <w:szCs w:val="21"/>
          <w:highlight w:val="none"/>
        </w:rPr>
        <w:t>。</w:t>
      </w:r>
    </w:p>
    <w:p w14:paraId="31C244E3">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响应文件</w:t>
      </w:r>
      <w:r>
        <w:rPr>
          <w:rFonts w:hint="eastAsia"/>
          <w:color w:val="auto"/>
          <w:szCs w:val="21"/>
          <w:highlight w:val="none"/>
        </w:rPr>
        <w:t>存在采购文件规定的无效情形。</w:t>
      </w:r>
    </w:p>
    <w:p w14:paraId="04D97DB4">
      <w:pPr>
        <w:spacing w:before="120" w:line="320" w:lineRule="atLeast"/>
        <w:ind w:firstLine="420" w:firstLineChars="200"/>
        <w:rPr>
          <w:color w:val="auto"/>
          <w:szCs w:val="21"/>
          <w:highlight w:val="none"/>
        </w:rPr>
      </w:pPr>
      <w:bookmarkStart w:id="99" w:name="_Hlk19113313"/>
      <w:r>
        <w:rPr>
          <w:rFonts w:hint="eastAsia"/>
          <w:color w:val="auto"/>
          <w:szCs w:val="21"/>
          <w:highlight w:val="none"/>
        </w:rPr>
        <w:t>（2）根据</w:t>
      </w:r>
      <w:r>
        <w:rPr>
          <w:color w:val="auto"/>
          <w:szCs w:val="21"/>
          <w:highlight w:val="none"/>
        </w:rPr>
        <w:t>财库</w:t>
      </w:r>
      <w:r>
        <w:rPr>
          <w:rFonts w:hint="eastAsia"/>
          <w:color w:val="auto"/>
          <w:szCs w:val="21"/>
          <w:highlight w:val="none"/>
        </w:rPr>
        <w:t>《</w:t>
      </w:r>
      <w:r>
        <w:rPr>
          <w:color w:val="auto"/>
          <w:szCs w:val="21"/>
          <w:highlight w:val="none"/>
        </w:rPr>
        <w:t>关于促进政府采购公平竞争优化营商环境的通知</w:t>
      </w:r>
      <w:r>
        <w:rPr>
          <w:rFonts w:hint="eastAsia"/>
          <w:color w:val="auto"/>
          <w:szCs w:val="21"/>
          <w:highlight w:val="none"/>
        </w:rPr>
        <w:t>》（</w:t>
      </w:r>
      <w:r>
        <w:rPr>
          <w:color w:val="auto"/>
          <w:szCs w:val="21"/>
          <w:highlight w:val="none"/>
        </w:rPr>
        <w:t>〔2019〕38号</w:t>
      </w:r>
      <w:r>
        <w:rPr>
          <w:rFonts w:hint="eastAsia"/>
          <w:color w:val="auto"/>
          <w:szCs w:val="21"/>
          <w:highlight w:val="none"/>
        </w:rPr>
        <w:t>）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99"/>
    <w:p w14:paraId="26B80F93">
      <w:pPr>
        <w:spacing w:before="120" w:line="320" w:lineRule="atLeast"/>
        <w:ind w:firstLine="420" w:firstLineChars="200"/>
        <w:rPr>
          <w:color w:val="auto"/>
          <w:szCs w:val="21"/>
          <w:highlight w:val="none"/>
        </w:rPr>
      </w:pPr>
      <w:bookmarkStart w:id="100" w:name="_Hlk19113363"/>
      <w:r>
        <w:rPr>
          <w:color w:val="auto"/>
          <w:szCs w:val="21"/>
          <w:highlight w:val="none"/>
        </w:rPr>
        <w:t>6.3.1</w:t>
      </w:r>
      <w:r>
        <w:rPr>
          <w:rFonts w:hint="eastAsia"/>
          <w:color w:val="auto"/>
          <w:szCs w:val="21"/>
          <w:highlight w:val="none"/>
        </w:rPr>
        <w:t>1</w:t>
      </w:r>
      <w:r>
        <w:rPr>
          <w:color w:val="auto"/>
          <w:szCs w:val="21"/>
          <w:highlight w:val="none"/>
        </w:rPr>
        <w:t>比较与评价</w:t>
      </w:r>
    </w:p>
    <w:p w14:paraId="7E3A422E">
      <w:pPr>
        <w:spacing w:before="120" w:line="320" w:lineRule="atLeast"/>
        <w:ind w:firstLine="420" w:firstLineChars="200"/>
        <w:rPr>
          <w:color w:val="auto"/>
          <w:szCs w:val="21"/>
          <w:highlight w:val="none"/>
        </w:rPr>
      </w:pPr>
      <w:r>
        <w:rPr>
          <w:rFonts w:hint="eastAsia"/>
          <w:color w:val="auto"/>
          <w:szCs w:val="21"/>
          <w:highlight w:val="none"/>
        </w:rPr>
        <w:t>（1）磋商小组</w:t>
      </w:r>
      <w:r>
        <w:rPr>
          <w:color w:val="auto"/>
          <w:szCs w:val="21"/>
          <w:highlight w:val="none"/>
        </w:rPr>
        <w:t>按采购文件中规定的评审方法和标准，</w:t>
      </w:r>
      <w:r>
        <w:rPr>
          <w:rFonts w:hint="eastAsia"/>
          <w:color w:val="auto"/>
          <w:szCs w:val="21"/>
          <w:highlight w:val="none"/>
        </w:rPr>
        <w:t>对提交最后报价的供应商的响应文件和最后报价进行综合评分。</w:t>
      </w:r>
    </w:p>
    <w:p w14:paraId="1C09DF5E">
      <w:pPr>
        <w:spacing w:before="120" w:line="320" w:lineRule="atLeast"/>
        <w:ind w:firstLine="420" w:firstLineChars="200"/>
        <w:rPr>
          <w:color w:val="auto"/>
          <w:szCs w:val="21"/>
          <w:highlight w:val="none"/>
        </w:rPr>
      </w:pPr>
      <w:r>
        <w:rPr>
          <w:rFonts w:hint="eastAsia"/>
          <w:color w:val="auto"/>
          <w:szCs w:val="21"/>
          <w:highlight w:val="none"/>
        </w:rPr>
        <w:t>（2）</w:t>
      </w:r>
      <w:r>
        <w:rPr>
          <w:color w:val="auto"/>
          <w:szCs w:val="21"/>
          <w:highlight w:val="none"/>
        </w:rPr>
        <w:t>磋商小组各成员独立对每个有效供应商的响应文件进行评价</w:t>
      </w:r>
      <w:r>
        <w:rPr>
          <w:rFonts w:hint="eastAsia"/>
          <w:color w:val="auto"/>
          <w:szCs w:val="21"/>
          <w:highlight w:val="none"/>
        </w:rPr>
        <w:t>、打分。评价打分</w:t>
      </w:r>
      <w:r>
        <w:rPr>
          <w:color w:val="auto"/>
          <w:szCs w:val="21"/>
          <w:highlight w:val="none"/>
        </w:rPr>
        <w:t>有误的应及时进行修正。</w:t>
      </w:r>
      <w:r>
        <w:rPr>
          <w:rFonts w:hint="eastAsia"/>
          <w:color w:val="auto"/>
          <w:szCs w:val="21"/>
          <w:highlight w:val="none"/>
        </w:rPr>
        <w:t>评分</w:t>
      </w:r>
      <w:r>
        <w:rPr>
          <w:color w:val="auto"/>
          <w:szCs w:val="21"/>
          <w:highlight w:val="none"/>
        </w:rPr>
        <w:t>标准如有客观分定义，磋商小组所有成员的客观分</w:t>
      </w:r>
      <w:r>
        <w:rPr>
          <w:rFonts w:hint="eastAsia"/>
          <w:color w:val="auto"/>
          <w:szCs w:val="21"/>
          <w:highlight w:val="none"/>
        </w:rPr>
        <w:t>评分分值</w:t>
      </w:r>
      <w:r>
        <w:rPr>
          <w:color w:val="auto"/>
          <w:szCs w:val="21"/>
          <w:highlight w:val="none"/>
        </w:rPr>
        <w:t>应当一致。</w:t>
      </w:r>
    </w:p>
    <w:p w14:paraId="41CAC7FB">
      <w:pPr>
        <w:spacing w:before="120" w:line="320" w:lineRule="atLeast"/>
        <w:ind w:firstLine="420" w:firstLineChars="200"/>
        <w:rPr>
          <w:color w:val="auto"/>
          <w:szCs w:val="21"/>
          <w:highlight w:val="none"/>
        </w:rPr>
      </w:pPr>
      <w:r>
        <w:rPr>
          <w:rFonts w:hint="eastAsia"/>
          <w:color w:val="auto"/>
          <w:szCs w:val="21"/>
          <w:highlight w:val="none"/>
        </w:rPr>
        <w:t>（3）磋商小组按综合评分由高到低的排列顺序推荐</w:t>
      </w:r>
      <w:r>
        <w:rPr>
          <w:color w:val="auto"/>
          <w:szCs w:val="21"/>
          <w:highlight w:val="none"/>
        </w:rPr>
        <w:t>3</w:t>
      </w:r>
      <w:r>
        <w:rPr>
          <w:rFonts w:hint="eastAsia"/>
          <w:color w:val="auto"/>
          <w:szCs w:val="21"/>
          <w:highlight w:val="none"/>
        </w:rPr>
        <w:t>名以上成交候选供应商，排名第一的为第一成交候选供应商。</w:t>
      </w:r>
      <w:r>
        <w:rPr>
          <w:color w:val="auto"/>
          <w:szCs w:val="21"/>
          <w:highlight w:val="none"/>
        </w:rPr>
        <w:t>若</w:t>
      </w:r>
      <w:r>
        <w:rPr>
          <w:rFonts w:hint="eastAsia"/>
          <w:color w:val="auto"/>
          <w:szCs w:val="21"/>
          <w:highlight w:val="none"/>
        </w:rPr>
        <w:t>成交</w:t>
      </w:r>
      <w:r>
        <w:rPr>
          <w:color w:val="auto"/>
          <w:szCs w:val="21"/>
          <w:highlight w:val="none"/>
        </w:rPr>
        <w:t>候选人综合</w:t>
      </w:r>
      <w:r>
        <w:rPr>
          <w:rFonts w:hint="eastAsia"/>
          <w:color w:val="auto"/>
          <w:szCs w:val="21"/>
          <w:highlight w:val="none"/>
        </w:rPr>
        <w:t>评</w:t>
      </w:r>
      <w:r>
        <w:rPr>
          <w:color w:val="auto"/>
          <w:szCs w:val="21"/>
          <w:highlight w:val="none"/>
        </w:rPr>
        <w:t>分相同的，按</w:t>
      </w:r>
      <w:r>
        <w:rPr>
          <w:rFonts w:hint="eastAsia"/>
          <w:color w:val="auto"/>
          <w:szCs w:val="21"/>
          <w:highlight w:val="none"/>
        </w:rPr>
        <w:t>最后</w:t>
      </w:r>
      <w:r>
        <w:rPr>
          <w:color w:val="auto"/>
          <w:szCs w:val="21"/>
          <w:highlight w:val="none"/>
        </w:rPr>
        <w:t>报价由低到高顺序排列；综合</w:t>
      </w:r>
      <w:r>
        <w:rPr>
          <w:rFonts w:hint="eastAsia"/>
          <w:color w:val="auto"/>
          <w:szCs w:val="21"/>
          <w:highlight w:val="none"/>
        </w:rPr>
        <w:t>评</w:t>
      </w:r>
      <w:r>
        <w:rPr>
          <w:color w:val="auto"/>
          <w:szCs w:val="21"/>
          <w:highlight w:val="none"/>
        </w:rPr>
        <w:t>分且</w:t>
      </w:r>
      <w:r>
        <w:rPr>
          <w:rFonts w:hint="eastAsia"/>
          <w:color w:val="auto"/>
          <w:szCs w:val="21"/>
          <w:highlight w:val="none"/>
        </w:rPr>
        <w:t>最后</w:t>
      </w:r>
      <w:r>
        <w:rPr>
          <w:color w:val="auto"/>
          <w:szCs w:val="21"/>
          <w:highlight w:val="none"/>
        </w:rPr>
        <w:t>报价相同的</w:t>
      </w:r>
      <w:r>
        <w:rPr>
          <w:color w:val="auto"/>
          <w:highlight w:val="none"/>
        </w:rPr>
        <w:t>并列</w:t>
      </w:r>
      <w:r>
        <w:rPr>
          <w:color w:val="auto"/>
          <w:szCs w:val="21"/>
          <w:highlight w:val="none"/>
        </w:rPr>
        <w:t>；</w:t>
      </w:r>
      <w:r>
        <w:rPr>
          <w:rFonts w:hint="eastAsia"/>
          <w:color w:val="auto"/>
          <w:szCs w:val="21"/>
          <w:highlight w:val="none"/>
        </w:rPr>
        <w:t>成交</w:t>
      </w:r>
      <w:r>
        <w:rPr>
          <w:color w:val="auto"/>
          <w:szCs w:val="21"/>
          <w:highlight w:val="none"/>
        </w:rPr>
        <w:t>候选人并列的，按技术部分</w:t>
      </w:r>
      <w:r>
        <w:rPr>
          <w:rFonts w:hint="eastAsia"/>
          <w:color w:val="auto"/>
          <w:szCs w:val="21"/>
          <w:highlight w:val="none"/>
        </w:rPr>
        <w:t>评</w:t>
      </w:r>
      <w:r>
        <w:rPr>
          <w:color w:val="auto"/>
          <w:szCs w:val="21"/>
          <w:highlight w:val="none"/>
        </w:rPr>
        <w:t>分由高到低顺序排列，若综合评分、</w:t>
      </w:r>
      <w:r>
        <w:rPr>
          <w:rFonts w:hint="eastAsia"/>
          <w:color w:val="auto"/>
          <w:szCs w:val="21"/>
          <w:highlight w:val="none"/>
        </w:rPr>
        <w:t>最后</w:t>
      </w:r>
      <w:r>
        <w:rPr>
          <w:color w:val="auto"/>
          <w:szCs w:val="21"/>
          <w:highlight w:val="none"/>
        </w:rPr>
        <w:t>报价、技术部分</w:t>
      </w:r>
      <w:r>
        <w:rPr>
          <w:rFonts w:hint="eastAsia"/>
          <w:color w:val="auto"/>
          <w:szCs w:val="21"/>
          <w:highlight w:val="none"/>
        </w:rPr>
        <w:t>评分</w:t>
      </w:r>
      <w:r>
        <w:rPr>
          <w:color w:val="auto"/>
          <w:szCs w:val="21"/>
          <w:highlight w:val="none"/>
        </w:rPr>
        <w:t>均相同的，按商务</w:t>
      </w:r>
      <w:r>
        <w:rPr>
          <w:rFonts w:hint="eastAsia"/>
          <w:color w:val="auto"/>
          <w:szCs w:val="21"/>
          <w:highlight w:val="none"/>
        </w:rPr>
        <w:t>资信</w:t>
      </w:r>
      <w:r>
        <w:rPr>
          <w:color w:val="auto"/>
          <w:szCs w:val="21"/>
          <w:highlight w:val="none"/>
        </w:rPr>
        <w:t>部分</w:t>
      </w:r>
      <w:r>
        <w:rPr>
          <w:rFonts w:hint="eastAsia"/>
          <w:color w:val="auto"/>
          <w:szCs w:val="21"/>
          <w:highlight w:val="none"/>
        </w:rPr>
        <w:t>评</w:t>
      </w:r>
      <w:r>
        <w:rPr>
          <w:color w:val="auto"/>
          <w:szCs w:val="21"/>
          <w:highlight w:val="none"/>
        </w:rPr>
        <w:t>分由高到低顺序排列。</w:t>
      </w:r>
      <w:r>
        <w:rPr>
          <w:rFonts w:hint="eastAsia"/>
          <w:color w:val="auto"/>
          <w:szCs w:val="21"/>
          <w:highlight w:val="none"/>
        </w:rPr>
        <w:t>若综合评分、最后报价、技术部分评分、商务资信部分评分均相同的，由采购人自行决定。</w:t>
      </w:r>
    </w:p>
    <w:p w14:paraId="1B66AFD1">
      <w:pPr>
        <w:spacing w:before="120" w:line="320" w:lineRule="atLeast"/>
        <w:ind w:firstLine="420" w:firstLineChars="200"/>
        <w:rPr>
          <w:color w:val="auto"/>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）磋商小组根据评审记录及评审结果编写评审报告，磋商小组成员均应当在评审报告上签字，对自己的评审意见承担法律责任。</w:t>
      </w:r>
      <w:r>
        <w:rPr>
          <w:color w:val="auto"/>
          <w:highlight w:val="none"/>
        </w:rPr>
        <w:t>评审报告签署前，经复核发现存在以</w:t>
      </w:r>
      <w:r>
        <w:rPr>
          <w:rFonts w:hint="eastAsia"/>
          <w:color w:val="auto"/>
          <w:highlight w:val="none"/>
        </w:rPr>
        <w:t>下</w:t>
      </w:r>
      <w:r>
        <w:rPr>
          <w:color w:val="auto"/>
          <w:highlight w:val="none"/>
        </w:rPr>
        <w:t>情形之一的，磋商小组应当当场修改评审结果，并在评审报告中记载；评审报告签署后，采购人或者采购代理机构发现存在以</w:t>
      </w:r>
      <w:r>
        <w:rPr>
          <w:rFonts w:hint="eastAsia"/>
          <w:color w:val="auto"/>
          <w:highlight w:val="none"/>
        </w:rPr>
        <w:t>下</w:t>
      </w:r>
      <w:r>
        <w:rPr>
          <w:color w:val="auto"/>
          <w:highlight w:val="none"/>
        </w:rPr>
        <w:t>情形之一的，应当组织原磋商小组进行重新评审。</w:t>
      </w:r>
    </w:p>
    <w:p w14:paraId="4D73B147">
      <w:pPr>
        <w:spacing w:before="120" w:line="320" w:lineRule="atLeast"/>
        <w:ind w:firstLine="420" w:firstLineChars="200"/>
        <w:rPr>
          <w:color w:val="auto"/>
          <w:highlight w:val="none"/>
        </w:rPr>
      </w:pPr>
      <w:r>
        <w:rPr>
          <w:rFonts w:hint="eastAsia"/>
          <w:color w:val="auto"/>
          <w:highlight w:val="none"/>
        </w:rPr>
        <w:t>资格性检查认定错误、分值汇总计算错误、分项评分超出评分标准范围、客观分评分不一致、经磋商小组一致认定评分畸高、畸低。</w:t>
      </w:r>
    </w:p>
    <w:bookmarkEnd w:id="100"/>
    <w:p w14:paraId="6A64CE27">
      <w:pPr>
        <w:spacing w:before="120" w:line="320" w:lineRule="atLeast"/>
        <w:ind w:firstLine="422" w:firstLineChars="200"/>
        <w:outlineLvl w:val="2"/>
        <w:rPr>
          <w:b/>
          <w:bCs/>
          <w:color w:val="auto"/>
          <w:kern w:val="0"/>
          <w:szCs w:val="21"/>
          <w:highlight w:val="none"/>
        </w:rPr>
      </w:pPr>
      <w:r>
        <w:rPr>
          <w:b/>
          <w:bCs/>
          <w:color w:val="auto"/>
          <w:kern w:val="0"/>
          <w:szCs w:val="21"/>
          <w:highlight w:val="none"/>
        </w:rPr>
        <w:t>6.4确定成交供应商</w:t>
      </w:r>
    </w:p>
    <w:p w14:paraId="38459472">
      <w:pPr>
        <w:spacing w:before="120" w:line="276" w:lineRule="auto"/>
        <w:ind w:firstLine="420" w:firstLineChars="200"/>
        <w:rPr>
          <w:color w:val="auto"/>
          <w:szCs w:val="21"/>
          <w:highlight w:val="none"/>
        </w:rPr>
      </w:pPr>
      <w:r>
        <w:rPr>
          <w:rFonts w:hint="eastAsia"/>
          <w:color w:val="auto"/>
          <w:szCs w:val="21"/>
          <w:highlight w:val="none"/>
        </w:rPr>
        <w:t>6.4</w:t>
      </w:r>
      <w:r>
        <w:rPr>
          <w:color w:val="auto"/>
          <w:szCs w:val="21"/>
          <w:highlight w:val="none"/>
        </w:rPr>
        <w:t>.1采购代理机构在评审结束后2个工作日内将评审报告送采购人，采购人在5个工作日内按照评审报告中推荐的成交候选供应商顺序确定成交供应商。</w:t>
      </w:r>
    </w:p>
    <w:p w14:paraId="605CB0EE">
      <w:pPr>
        <w:spacing w:before="120" w:line="276" w:lineRule="auto"/>
        <w:ind w:firstLine="420" w:firstLineChars="20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5EFC7A4B">
      <w:pPr>
        <w:spacing w:before="120" w:line="320" w:lineRule="atLeast"/>
        <w:ind w:firstLine="422" w:firstLineChars="200"/>
        <w:outlineLvl w:val="2"/>
        <w:rPr>
          <w:b/>
          <w:bCs/>
          <w:color w:val="auto"/>
          <w:kern w:val="0"/>
          <w:szCs w:val="21"/>
          <w:highlight w:val="none"/>
        </w:rPr>
      </w:pPr>
      <w:r>
        <w:rPr>
          <w:b/>
          <w:bCs/>
          <w:color w:val="auto"/>
          <w:kern w:val="0"/>
          <w:szCs w:val="21"/>
          <w:highlight w:val="none"/>
        </w:rPr>
        <w:t>6.5</w:t>
      </w:r>
      <w:r>
        <w:rPr>
          <w:rFonts w:hint="eastAsia"/>
          <w:b/>
          <w:bCs/>
          <w:color w:val="auto"/>
          <w:kern w:val="0"/>
          <w:szCs w:val="21"/>
          <w:highlight w:val="none"/>
        </w:rPr>
        <w:t>结果公告</w:t>
      </w:r>
    </w:p>
    <w:p w14:paraId="16EC754D">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.5.1自成交供应商确定后2个工作日内，采购代理机构</w:t>
      </w:r>
      <w:r>
        <w:rPr>
          <w:rFonts w:hint="eastAsia"/>
          <w:color w:val="auto"/>
          <w:szCs w:val="21"/>
          <w:highlight w:val="none"/>
        </w:rPr>
        <w:t>按照供应商须知</w:t>
      </w:r>
      <w:r>
        <w:rPr>
          <w:rFonts w:hint="eastAsia"/>
          <w:color w:val="auto"/>
          <w:kern w:val="0"/>
          <w:szCs w:val="21"/>
          <w:highlight w:val="none"/>
        </w:rPr>
        <w:t>前附表的规定</w:t>
      </w:r>
      <w:r>
        <w:rPr>
          <w:color w:val="auto"/>
          <w:kern w:val="0"/>
          <w:szCs w:val="21"/>
          <w:highlight w:val="none"/>
        </w:rPr>
        <w:t>公告</w:t>
      </w:r>
      <w:r>
        <w:rPr>
          <w:color w:val="auto"/>
          <w:szCs w:val="21"/>
          <w:highlight w:val="none"/>
        </w:rPr>
        <w:t>成交结果。</w:t>
      </w:r>
    </w:p>
    <w:p w14:paraId="085CCD96">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.5.2在发布</w:t>
      </w:r>
      <w:r>
        <w:rPr>
          <w:rFonts w:hint="eastAsia"/>
          <w:color w:val="auto"/>
          <w:szCs w:val="21"/>
          <w:highlight w:val="none"/>
        </w:rPr>
        <w:t>结果</w:t>
      </w:r>
      <w:r>
        <w:rPr>
          <w:color w:val="auto"/>
          <w:szCs w:val="21"/>
          <w:highlight w:val="none"/>
        </w:rPr>
        <w:t>公告的同时，采购代理机构以供应商须知前附表规定的形式向成交供应商发出成交通知书。成交通知书发出后，采购人改变成交结果，或者成交供应商放弃成交，应当承担相应的法律责任。</w:t>
      </w:r>
    </w:p>
    <w:p w14:paraId="6B47B953">
      <w:pPr>
        <w:suppressAutoHyphens/>
        <w:spacing w:before="120" w:line="320" w:lineRule="atLeast"/>
        <w:ind w:firstLine="422" w:firstLineChars="200"/>
        <w:outlineLvl w:val="2"/>
        <w:rPr>
          <w:b/>
          <w:bCs/>
          <w:color w:val="auto"/>
          <w:kern w:val="0"/>
          <w:szCs w:val="21"/>
          <w:highlight w:val="none"/>
        </w:rPr>
      </w:pPr>
      <w:r>
        <w:rPr>
          <w:b/>
          <w:bCs/>
          <w:color w:val="auto"/>
          <w:kern w:val="0"/>
          <w:szCs w:val="21"/>
          <w:highlight w:val="none"/>
        </w:rPr>
        <w:t>6.6</w:t>
      </w:r>
      <w:r>
        <w:rPr>
          <w:rFonts w:hint="eastAsia"/>
          <w:b/>
          <w:bCs/>
          <w:color w:val="auto"/>
          <w:kern w:val="0"/>
          <w:szCs w:val="21"/>
          <w:highlight w:val="none"/>
        </w:rPr>
        <w:t>废标</w:t>
      </w:r>
    </w:p>
    <w:p w14:paraId="399D8A15">
      <w:pPr>
        <w:spacing w:before="120" w:line="320" w:lineRule="atLeast"/>
        <w:ind w:firstLine="420" w:firstLineChars="200"/>
        <w:rPr>
          <w:color w:val="auto"/>
          <w:kern w:val="1"/>
          <w:szCs w:val="21"/>
          <w:highlight w:val="none"/>
        </w:rPr>
      </w:pPr>
      <w:r>
        <w:rPr>
          <w:color w:val="auto"/>
          <w:kern w:val="1"/>
          <w:szCs w:val="21"/>
          <w:highlight w:val="none"/>
        </w:rPr>
        <w:t>6.6.1</w:t>
      </w:r>
      <w:r>
        <w:rPr>
          <w:rFonts w:hint="eastAsia"/>
          <w:color w:val="auto"/>
          <w:kern w:val="1"/>
          <w:szCs w:val="21"/>
          <w:highlight w:val="none"/>
        </w:rPr>
        <w:t xml:space="preserve">出现下列情形之一，将导致项目废标： </w:t>
      </w:r>
    </w:p>
    <w:p w14:paraId="6BC714E1">
      <w:pPr>
        <w:spacing w:before="120" w:line="320" w:lineRule="atLeast"/>
        <w:ind w:firstLine="420" w:firstLineChars="200"/>
        <w:rPr>
          <w:color w:val="auto"/>
          <w:szCs w:val="21"/>
          <w:highlight w:val="none"/>
        </w:rPr>
      </w:pPr>
      <w:r>
        <w:rPr>
          <w:rFonts w:hint="eastAsia"/>
          <w:color w:val="auto"/>
          <w:kern w:val="1"/>
          <w:szCs w:val="21"/>
          <w:highlight w:val="none"/>
        </w:rPr>
        <w:t>（1</w:t>
      </w:r>
      <w:r>
        <w:rPr>
          <w:rFonts w:hint="eastAsia"/>
          <w:color w:val="auto"/>
          <w:szCs w:val="21"/>
          <w:highlight w:val="none"/>
        </w:rPr>
        <w:t>）符合专业条件的供应商或者对采购文件做实质性响应的供应商不足三家；</w:t>
      </w:r>
    </w:p>
    <w:p w14:paraId="4F78DFFE">
      <w:pPr>
        <w:spacing w:before="120" w:line="320" w:lineRule="atLeast"/>
        <w:ind w:firstLine="420" w:firstLineChars="200"/>
        <w:rPr>
          <w:color w:val="auto"/>
          <w:szCs w:val="21"/>
          <w:highlight w:val="none"/>
        </w:rPr>
      </w:pPr>
      <w:r>
        <w:rPr>
          <w:rFonts w:hint="eastAsia"/>
          <w:color w:val="auto"/>
          <w:szCs w:val="21"/>
          <w:highlight w:val="none"/>
        </w:rPr>
        <w:t>（2）出现影响采购公正的违法、违规行为的；</w:t>
      </w:r>
    </w:p>
    <w:p w14:paraId="6B35EE9C">
      <w:pPr>
        <w:spacing w:before="120" w:line="320" w:lineRule="atLeast"/>
        <w:ind w:firstLine="420" w:firstLineChars="200"/>
        <w:rPr>
          <w:color w:val="auto"/>
          <w:szCs w:val="21"/>
          <w:highlight w:val="none"/>
        </w:rPr>
      </w:pPr>
      <w:r>
        <w:rPr>
          <w:rFonts w:hint="eastAsia"/>
          <w:color w:val="auto"/>
          <w:szCs w:val="21"/>
          <w:highlight w:val="none"/>
        </w:rPr>
        <w:t>（3）供应商的报价均超过了采购预算，采购人不能支付的；</w:t>
      </w:r>
    </w:p>
    <w:p w14:paraId="0F0FC0A0">
      <w:pPr>
        <w:spacing w:before="120" w:line="320" w:lineRule="atLeast"/>
        <w:ind w:firstLine="420" w:firstLineChars="20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6A5D679B">
      <w:pPr>
        <w:spacing w:before="120" w:line="320" w:lineRule="atLeast"/>
        <w:ind w:firstLine="420" w:firstLineChars="200"/>
        <w:rPr>
          <w:color w:val="auto"/>
          <w:szCs w:val="21"/>
          <w:highlight w:val="none"/>
        </w:rPr>
      </w:pPr>
      <w:r>
        <w:rPr>
          <w:color w:val="auto"/>
          <w:kern w:val="1"/>
          <w:szCs w:val="21"/>
          <w:highlight w:val="none"/>
        </w:rPr>
        <w:t>6.6.2</w:t>
      </w:r>
      <w:r>
        <w:rPr>
          <w:rFonts w:hint="eastAsia"/>
          <w:color w:val="auto"/>
          <w:kern w:val="1"/>
          <w:szCs w:val="21"/>
          <w:highlight w:val="none"/>
        </w:rPr>
        <w:t>废标后</w:t>
      </w:r>
      <w:r>
        <w:rPr>
          <w:rFonts w:hint="eastAsia"/>
          <w:color w:val="auto"/>
          <w:szCs w:val="21"/>
          <w:highlight w:val="none"/>
        </w:rPr>
        <w:t>采购</w:t>
      </w:r>
      <w:r>
        <w:rPr>
          <w:rFonts w:hint="eastAsia"/>
          <w:color w:val="auto"/>
          <w:kern w:val="1"/>
          <w:szCs w:val="21"/>
          <w:highlight w:val="none"/>
        </w:rPr>
        <w:t>代理机构将发布废标公告通知供应商。</w:t>
      </w:r>
    </w:p>
    <w:p w14:paraId="1C5C88F7">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7．合同</w:t>
      </w:r>
    </w:p>
    <w:p w14:paraId="24FF3589">
      <w:pPr>
        <w:spacing w:before="120" w:line="320" w:lineRule="atLeast"/>
        <w:ind w:firstLine="422" w:firstLineChars="200"/>
        <w:outlineLvl w:val="2"/>
        <w:rPr>
          <w:b/>
          <w:bCs/>
          <w:color w:val="auto"/>
          <w:kern w:val="0"/>
          <w:szCs w:val="21"/>
          <w:highlight w:val="none"/>
        </w:rPr>
      </w:pPr>
      <w:r>
        <w:rPr>
          <w:b/>
          <w:bCs/>
          <w:color w:val="auto"/>
          <w:kern w:val="0"/>
          <w:szCs w:val="21"/>
          <w:highlight w:val="none"/>
        </w:rPr>
        <w:t>7.1合同授予标准</w:t>
      </w:r>
    </w:p>
    <w:p w14:paraId="6DB59F62">
      <w:pPr>
        <w:spacing w:before="120" w:line="320" w:lineRule="atLeast"/>
        <w:ind w:firstLine="420" w:firstLineChars="200"/>
        <w:rPr>
          <w:color w:val="auto"/>
          <w:szCs w:val="21"/>
          <w:highlight w:val="none"/>
        </w:rPr>
      </w:pPr>
      <w:r>
        <w:rPr>
          <w:color w:val="auto"/>
          <w:szCs w:val="21"/>
          <w:highlight w:val="none"/>
        </w:rPr>
        <w:t>合同将授予被确定实质上响应采购文件要求，具备履行合同能力，综合评分排名第一的供应商。在</w:t>
      </w:r>
      <w:r>
        <w:rPr>
          <w:rFonts w:hint="eastAsia"/>
          <w:color w:val="auto"/>
          <w:szCs w:val="21"/>
          <w:highlight w:val="none"/>
        </w:rPr>
        <w:t>成交通知书</w:t>
      </w:r>
      <w:r>
        <w:rPr>
          <w:color w:val="auto"/>
          <w:szCs w:val="21"/>
          <w:highlight w:val="none"/>
        </w:rPr>
        <w:t>发出前或签订合同前，如果</w:t>
      </w:r>
      <w:r>
        <w:rPr>
          <w:rFonts w:hint="eastAsia"/>
          <w:color w:val="auto"/>
          <w:szCs w:val="21"/>
          <w:highlight w:val="none"/>
        </w:rPr>
        <w:t>成交供应商</w:t>
      </w:r>
      <w:r>
        <w:rPr>
          <w:color w:val="auto"/>
          <w:szCs w:val="21"/>
          <w:highlight w:val="none"/>
        </w:rPr>
        <w:t>的组织机构</w:t>
      </w:r>
      <w:r>
        <w:rPr>
          <w:rFonts w:hint="eastAsia"/>
          <w:color w:val="auto"/>
          <w:szCs w:val="21"/>
          <w:highlight w:val="none"/>
        </w:rPr>
        <w:t>、</w:t>
      </w:r>
      <w:r>
        <w:rPr>
          <w:color w:val="auto"/>
          <w:szCs w:val="21"/>
          <w:highlight w:val="none"/>
        </w:rPr>
        <w:t>经营、财务状况发生较大变化，可能造成不能履行合同、无法按照</w:t>
      </w:r>
      <w:r>
        <w:rPr>
          <w:rFonts w:hint="eastAsia"/>
          <w:color w:val="auto"/>
          <w:szCs w:val="21"/>
          <w:highlight w:val="none"/>
        </w:rPr>
        <w:t>采购文件</w:t>
      </w:r>
      <w:r>
        <w:rPr>
          <w:color w:val="auto"/>
          <w:szCs w:val="21"/>
          <w:highlight w:val="none"/>
        </w:rPr>
        <w:t>要求提交履约保证金等情形，不符合成交条件或不满足供应商资格条件要求 ，应在</w:t>
      </w:r>
      <w:r>
        <w:rPr>
          <w:rFonts w:hint="eastAsia"/>
          <w:color w:val="auto"/>
          <w:szCs w:val="21"/>
          <w:highlight w:val="none"/>
        </w:rPr>
        <w:t>成交通知书</w:t>
      </w:r>
      <w:r>
        <w:rPr>
          <w:color w:val="auto"/>
          <w:szCs w:val="21"/>
          <w:highlight w:val="none"/>
        </w:rPr>
        <w:t>发出前或签订合同前及时书面告知采购人</w:t>
      </w:r>
      <w:r>
        <w:rPr>
          <w:rFonts w:hint="eastAsia"/>
          <w:color w:val="auto"/>
          <w:szCs w:val="21"/>
          <w:highlight w:val="none"/>
        </w:rPr>
        <w:t>，</w:t>
      </w:r>
      <w:r>
        <w:rPr>
          <w:color w:val="auto"/>
          <w:szCs w:val="21"/>
          <w:highlight w:val="none"/>
        </w:rPr>
        <w:t>未主动告知</w:t>
      </w:r>
      <w:r>
        <w:rPr>
          <w:rFonts w:hint="eastAsia"/>
          <w:color w:val="auto"/>
          <w:szCs w:val="21"/>
          <w:highlight w:val="none"/>
        </w:rPr>
        <w:t>，</w:t>
      </w:r>
      <w:r>
        <w:rPr>
          <w:color w:val="auto"/>
          <w:szCs w:val="21"/>
          <w:highlight w:val="none"/>
        </w:rPr>
        <w:t>给采购人造成损失的</w:t>
      </w:r>
      <w:r>
        <w:rPr>
          <w:rFonts w:hint="eastAsia"/>
          <w:color w:val="auto"/>
          <w:szCs w:val="21"/>
          <w:highlight w:val="none"/>
        </w:rPr>
        <w:t>，</w:t>
      </w:r>
      <w:r>
        <w:rPr>
          <w:color w:val="auto"/>
          <w:szCs w:val="21"/>
          <w:highlight w:val="none"/>
        </w:rPr>
        <w:t>采购人有权</w:t>
      </w:r>
      <w:r>
        <w:rPr>
          <w:rFonts w:hint="eastAsia"/>
          <w:color w:val="auto"/>
          <w:szCs w:val="21"/>
          <w:highlight w:val="none"/>
        </w:rPr>
        <w:t>取消其成交资格并</w:t>
      </w:r>
      <w:r>
        <w:rPr>
          <w:color w:val="auto"/>
          <w:szCs w:val="21"/>
          <w:highlight w:val="none"/>
        </w:rPr>
        <w:t>没收磋商保证金</w:t>
      </w:r>
      <w:r>
        <w:rPr>
          <w:rFonts w:hint="eastAsia"/>
          <w:color w:val="auto"/>
          <w:szCs w:val="21"/>
          <w:highlight w:val="none"/>
        </w:rPr>
        <w:t>。</w:t>
      </w:r>
    </w:p>
    <w:p w14:paraId="6BB071E7">
      <w:pPr>
        <w:spacing w:before="120" w:line="320" w:lineRule="atLeast"/>
        <w:ind w:firstLine="422" w:firstLineChars="200"/>
        <w:outlineLvl w:val="2"/>
        <w:rPr>
          <w:b/>
          <w:bCs/>
          <w:color w:val="auto"/>
          <w:kern w:val="0"/>
          <w:szCs w:val="21"/>
          <w:highlight w:val="none"/>
        </w:rPr>
      </w:pPr>
      <w:r>
        <w:rPr>
          <w:b/>
          <w:bCs/>
          <w:color w:val="auto"/>
          <w:kern w:val="0"/>
          <w:szCs w:val="21"/>
          <w:highlight w:val="none"/>
        </w:rPr>
        <w:t>7.2签订合同</w:t>
      </w:r>
    </w:p>
    <w:p w14:paraId="6B0E9C22">
      <w:pPr>
        <w:spacing w:before="120" w:line="320" w:lineRule="atLeast"/>
        <w:ind w:firstLine="420" w:firstLineChars="200"/>
        <w:rPr>
          <w:color w:val="auto"/>
          <w:szCs w:val="21"/>
          <w:highlight w:val="none"/>
        </w:rPr>
      </w:pPr>
      <w:r>
        <w:rPr>
          <w:color w:val="auto"/>
          <w:szCs w:val="21"/>
          <w:highlight w:val="none"/>
        </w:rPr>
        <w:t>7.2.1如</w:t>
      </w:r>
      <w:r>
        <w:rPr>
          <w:rFonts w:hint="eastAsia"/>
          <w:color w:val="auto"/>
          <w:szCs w:val="21"/>
          <w:highlight w:val="none"/>
        </w:rPr>
        <w:t>采购文件</w:t>
      </w:r>
      <w:r>
        <w:rPr>
          <w:color w:val="auto"/>
          <w:szCs w:val="21"/>
          <w:highlight w:val="none"/>
        </w:rPr>
        <w:t>无</w:t>
      </w:r>
      <w:r>
        <w:rPr>
          <w:rFonts w:hint="eastAsia"/>
          <w:color w:val="auto"/>
          <w:szCs w:val="21"/>
          <w:highlight w:val="none"/>
        </w:rPr>
        <w:t>特别</w:t>
      </w:r>
      <w:r>
        <w:rPr>
          <w:color w:val="auto"/>
          <w:szCs w:val="21"/>
          <w:highlight w:val="none"/>
        </w:rPr>
        <w:t>规定，</w:t>
      </w:r>
      <w:r>
        <w:rPr>
          <w:rFonts w:hint="eastAsia"/>
          <w:color w:val="auto"/>
          <w:szCs w:val="21"/>
          <w:highlight w:val="none"/>
        </w:rPr>
        <w:t>成交供应商按采购文件确定的事项签订政府采购合同。</w:t>
      </w:r>
    </w:p>
    <w:p w14:paraId="2A88AFE0">
      <w:pPr>
        <w:spacing w:before="120" w:line="320" w:lineRule="atLeast"/>
        <w:ind w:firstLine="420" w:firstLineChars="200"/>
        <w:rPr>
          <w:color w:val="auto"/>
          <w:szCs w:val="21"/>
          <w:highlight w:val="none"/>
        </w:rPr>
      </w:pPr>
      <w:r>
        <w:rPr>
          <w:color w:val="auto"/>
          <w:szCs w:val="21"/>
          <w:highlight w:val="none"/>
        </w:rPr>
        <w:t>7.2.2</w:t>
      </w:r>
      <w:r>
        <w:rPr>
          <w:rFonts w:hint="eastAsia"/>
          <w:color w:val="auto"/>
          <w:szCs w:val="21"/>
          <w:highlight w:val="none"/>
        </w:rPr>
        <w:t>政府采购合同应当包括采购人与成交供应商的名称和住所、标的、数量、质量、价款或者报酬、履行期限及地点和方式、验收要求、违约责任、解决争议的方法等内容。</w:t>
      </w:r>
      <w:r>
        <w:rPr>
          <w:color w:val="auto"/>
          <w:szCs w:val="21"/>
          <w:highlight w:val="none"/>
        </w:rPr>
        <w:t>采购文件、成交供应商的响应文件及澄清文件等，均为签订政府采购合同的依据。</w:t>
      </w:r>
    </w:p>
    <w:p w14:paraId="58CFF107">
      <w:pPr>
        <w:spacing w:before="120" w:line="320" w:lineRule="atLeast"/>
        <w:ind w:firstLine="420" w:firstLineChars="200"/>
        <w:rPr>
          <w:color w:val="auto"/>
          <w:szCs w:val="21"/>
          <w:highlight w:val="none"/>
        </w:rPr>
      </w:pPr>
      <w:r>
        <w:rPr>
          <w:color w:val="auto"/>
          <w:szCs w:val="21"/>
          <w:highlight w:val="none"/>
        </w:rPr>
        <w:t>7.2.3如成交供应商不按成交通知书的规定签订合同，</w:t>
      </w:r>
      <w:r>
        <w:rPr>
          <w:rFonts w:hint="eastAsia"/>
          <w:color w:val="auto"/>
          <w:szCs w:val="21"/>
          <w:highlight w:val="none"/>
        </w:rPr>
        <w:t>其磋商保证金将不予退还，并报由同级政府采购监督管理部门处理。</w:t>
      </w:r>
    </w:p>
    <w:p w14:paraId="3C5E6C6A">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成交供应商拒绝与采购人签订合同的，采购人可以按照评审报告推荐的成交候选人名单排序，确定下一候选人为成交供应商，也可以重新开展政府采购活动。</w:t>
      </w:r>
    </w:p>
    <w:p w14:paraId="0D71F44E">
      <w:pPr>
        <w:spacing w:before="120" w:line="320" w:lineRule="atLeast"/>
        <w:ind w:firstLine="420" w:firstLineChars="200"/>
        <w:rPr>
          <w:color w:val="auto"/>
          <w:szCs w:val="21"/>
          <w:highlight w:val="none"/>
        </w:rPr>
      </w:pPr>
      <w:bookmarkStart w:id="101" w:name="_Hlk155170999"/>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bookmarkEnd w:id="101"/>
    </w:p>
    <w:p w14:paraId="67B606FC">
      <w:pPr>
        <w:spacing w:before="120" w:line="320" w:lineRule="atLeast"/>
        <w:ind w:firstLine="422" w:firstLineChars="200"/>
        <w:outlineLvl w:val="2"/>
        <w:rPr>
          <w:b/>
          <w:bCs/>
          <w:color w:val="auto"/>
          <w:kern w:val="0"/>
          <w:szCs w:val="21"/>
          <w:highlight w:val="none"/>
        </w:rPr>
      </w:pPr>
      <w:r>
        <w:rPr>
          <w:b/>
          <w:bCs/>
          <w:color w:val="auto"/>
          <w:kern w:val="0"/>
          <w:szCs w:val="21"/>
          <w:highlight w:val="none"/>
        </w:rPr>
        <w:t>7.3合同公告</w:t>
      </w:r>
    </w:p>
    <w:p w14:paraId="4D36E9A8">
      <w:pPr>
        <w:spacing w:before="120" w:line="320" w:lineRule="atLeast"/>
        <w:ind w:firstLine="420" w:firstLineChars="200"/>
        <w:rPr>
          <w:color w:val="auto"/>
          <w:szCs w:val="21"/>
          <w:highlight w:val="none"/>
        </w:rPr>
      </w:pPr>
      <w:r>
        <w:rPr>
          <w:color w:val="auto"/>
          <w:szCs w:val="21"/>
          <w:highlight w:val="none"/>
        </w:rPr>
        <w:t>7.3.1如</w:t>
      </w:r>
      <w:r>
        <w:rPr>
          <w:rFonts w:hint="eastAsia"/>
          <w:color w:val="auto"/>
          <w:szCs w:val="21"/>
          <w:highlight w:val="none"/>
        </w:rPr>
        <w:t>采购文件</w:t>
      </w:r>
      <w:r>
        <w:rPr>
          <w:color w:val="auto"/>
          <w:szCs w:val="21"/>
          <w:highlight w:val="none"/>
        </w:rPr>
        <w:t>无特殊规定</w:t>
      </w:r>
      <w:r>
        <w:rPr>
          <w:rFonts w:hint="eastAsia"/>
          <w:color w:val="auto"/>
          <w:szCs w:val="21"/>
          <w:highlight w:val="none"/>
        </w:rPr>
        <w:t>，</w:t>
      </w:r>
      <w:r>
        <w:rPr>
          <w:color w:val="auto"/>
          <w:szCs w:val="21"/>
          <w:highlight w:val="none"/>
        </w:rPr>
        <w:t>成交供应商应在签订合同后1个工作日内，将政府采购合同副本送采购代理机构</w:t>
      </w:r>
      <w:r>
        <w:rPr>
          <w:rFonts w:hint="eastAsia"/>
          <w:color w:val="auto"/>
          <w:szCs w:val="21"/>
          <w:highlight w:val="none"/>
        </w:rPr>
        <w:t>存档</w:t>
      </w:r>
      <w:r>
        <w:rPr>
          <w:color w:val="auto"/>
          <w:szCs w:val="21"/>
          <w:highlight w:val="none"/>
        </w:rPr>
        <w:t>。</w:t>
      </w:r>
    </w:p>
    <w:p w14:paraId="4EAEB263">
      <w:pPr>
        <w:spacing w:before="120" w:line="320" w:lineRule="atLeast"/>
        <w:ind w:firstLine="420" w:firstLineChars="200"/>
        <w:rPr>
          <w:color w:val="auto"/>
          <w:szCs w:val="21"/>
          <w:highlight w:val="none"/>
        </w:rPr>
      </w:pPr>
      <w:r>
        <w:rPr>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1EFE706F">
      <w:pPr>
        <w:spacing w:before="120" w:line="320" w:lineRule="atLeast"/>
        <w:ind w:firstLine="420" w:firstLineChars="200"/>
        <w:rPr>
          <w:color w:val="auto"/>
          <w:szCs w:val="21"/>
          <w:highlight w:val="none"/>
        </w:rPr>
      </w:pPr>
      <w:bookmarkStart w:id="102" w:name="_Hlk155171014"/>
      <w:r>
        <w:rPr>
          <w:rFonts w:hint="eastAsia"/>
          <w:color w:val="auto"/>
          <w:szCs w:val="21"/>
          <w:highlight w:val="none"/>
        </w:rPr>
        <w:t>7</w:t>
      </w:r>
      <w:r>
        <w:rPr>
          <w:color w:val="auto"/>
          <w:szCs w:val="21"/>
          <w:highlight w:val="none"/>
        </w:rPr>
        <w:t xml:space="preserve">.3.3 </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102"/>
    </w:p>
    <w:p w14:paraId="222C1E74">
      <w:pPr>
        <w:spacing w:before="120" w:line="320" w:lineRule="atLeast"/>
        <w:ind w:firstLine="422" w:firstLineChars="200"/>
        <w:outlineLvl w:val="2"/>
        <w:rPr>
          <w:b/>
          <w:bCs/>
          <w:color w:val="auto"/>
          <w:kern w:val="0"/>
          <w:szCs w:val="21"/>
          <w:highlight w:val="none"/>
        </w:rPr>
      </w:pPr>
      <w:r>
        <w:rPr>
          <w:b/>
          <w:bCs/>
          <w:color w:val="auto"/>
          <w:kern w:val="0"/>
          <w:szCs w:val="21"/>
          <w:highlight w:val="none"/>
        </w:rPr>
        <w:t>7.4 履行合同</w:t>
      </w:r>
    </w:p>
    <w:p w14:paraId="11991099">
      <w:pPr>
        <w:spacing w:before="120" w:line="320" w:lineRule="atLeast"/>
        <w:ind w:firstLine="420" w:firstLineChars="200"/>
        <w:rPr>
          <w:color w:val="auto"/>
          <w:szCs w:val="21"/>
          <w:highlight w:val="none"/>
        </w:rPr>
      </w:pPr>
      <w:bookmarkStart w:id="103" w:name="_Toc308164814"/>
      <w:bookmarkStart w:id="104" w:name="_Toc217446070"/>
      <w:r>
        <w:rPr>
          <w:color w:val="auto"/>
          <w:szCs w:val="21"/>
          <w:highlight w:val="none"/>
        </w:rPr>
        <w:t>7.4.1</w:t>
      </w:r>
      <w:r>
        <w:rPr>
          <w:rFonts w:hint="eastAsia"/>
          <w:color w:val="auto"/>
          <w:szCs w:val="21"/>
          <w:highlight w:val="none"/>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381E89DC">
      <w:pPr>
        <w:spacing w:before="120" w:line="320" w:lineRule="atLeast"/>
        <w:ind w:firstLine="422" w:firstLineChars="200"/>
        <w:rPr>
          <w:b/>
          <w:bCs/>
          <w:color w:val="auto"/>
          <w:kern w:val="0"/>
          <w:szCs w:val="21"/>
          <w:highlight w:val="none"/>
        </w:rPr>
      </w:pPr>
      <w:r>
        <w:rPr>
          <w:b/>
          <w:bCs/>
          <w:color w:val="auto"/>
          <w:kern w:val="0"/>
          <w:szCs w:val="21"/>
          <w:highlight w:val="none"/>
        </w:rPr>
        <w:t>7.5履约验收</w:t>
      </w:r>
      <w:bookmarkEnd w:id="103"/>
      <w:bookmarkEnd w:id="104"/>
    </w:p>
    <w:p w14:paraId="069B9351">
      <w:pPr>
        <w:spacing w:before="120" w:line="320" w:lineRule="atLeast"/>
        <w:ind w:firstLine="420" w:firstLineChars="200"/>
        <w:rPr>
          <w:color w:val="auto"/>
          <w:szCs w:val="21"/>
          <w:highlight w:val="none"/>
        </w:rPr>
      </w:pPr>
      <w:r>
        <w:rPr>
          <w:color w:val="auto"/>
          <w:szCs w:val="21"/>
          <w:highlight w:val="none"/>
        </w:rPr>
        <w:t>7.5.1采购人可以根据政府采购项目具体情况自行组织验收，或者委托政府采购代理机构、国家认可的质量检测机构开展采购项目履约验收工作。</w:t>
      </w:r>
    </w:p>
    <w:p w14:paraId="196F4E77">
      <w:pPr>
        <w:spacing w:before="120" w:line="320" w:lineRule="atLeast"/>
        <w:ind w:firstLine="420" w:firstLineChars="200"/>
        <w:rPr>
          <w:color w:val="auto"/>
          <w:szCs w:val="21"/>
          <w:highlight w:val="none"/>
        </w:rPr>
      </w:pPr>
      <w:r>
        <w:rPr>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5E21DC02">
      <w:pPr>
        <w:spacing w:before="120" w:line="320" w:lineRule="atLeast"/>
        <w:ind w:firstLine="420" w:firstLineChars="200"/>
        <w:rPr>
          <w:color w:val="auto"/>
          <w:szCs w:val="21"/>
          <w:highlight w:val="none"/>
        </w:rPr>
      </w:pPr>
      <w:r>
        <w:rPr>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54021C15">
      <w:pPr>
        <w:spacing w:before="120" w:line="320" w:lineRule="atLeast"/>
        <w:ind w:firstLine="420" w:firstLineChars="200"/>
        <w:rPr>
          <w:color w:val="auto"/>
          <w:szCs w:val="21"/>
          <w:highlight w:val="none"/>
        </w:rPr>
      </w:pPr>
      <w:r>
        <w:rPr>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6FFC25EC">
      <w:pPr>
        <w:spacing w:before="120" w:line="320" w:lineRule="atLeast"/>
        <w:ind w:left="2" w:leftChars="1" w:firstLine="422" w:firstLineChars="200"/>
        <w:outlineLvl w:val="1"/>
        <w:rPr>
          <w:b/>
          <w:bCs/>
          <w:color w:val="auto"/>
          <w:kern w:val="0"/>
          <w:szCs w:val="21"/>
          <w:highlight w:val="none"/>
        </w:rPr>
      </w:pPr>
      <w:bookmarkStart w:id="105" w:name="_Toc254970533"/>
      <w:bookmarkStart w:id="106" w:name="_Toc254970674"/>
      <w:r>
        <w:rPr>
          <w:b/>
          <w:bCs/>
          <w:color w:val="auto"/>
          <w:kern w:val="0"/>
          <w:szCs w:val="21"/>
          <w:highlight w:val="none"/>
        </w:rPr>
        <w:t>8．质疑和投诉</w:t>
      </w:r>
      <w:bookmarkEnd w:id="105"/>
      <w:bookmarkEnd w:id="106"/>
    </w:p>
    <w:p w14:paraId="3747B5D6">
      <w:pPr>
        <w:spacing w:before="120" w:line="320" w:lineRule="atLeast"/>
        <w:ind w:firstLine="422" w:firstLineChars="200"/>
        <w:outlineLvl w:val="2"/>
        <w:rPr>
          <w:b/>
          <w:bCs/>
          <w:color w:val="auto"/>
          <w:kern w:val="0"/>
          <w:szCs w:val="21"/>
          <w:highlight w:val="none"/>
        </w:rPr>
      </w:pPr>
      <w:r>
        <w:rPr>
          <w:b/>
          <w:bCs/>
          <w:color w:val="auto"/>
          <w:kern w:val="0"/>
          <w:szCs w:val="21"/>
          <w:highlight w:val="none"/>
        </w:rPr>
        <w:t>8.1质疑</w:t>
      </w:r>
    </w:p>
    <w:p w14:paraId="5517AA2F">
      <w:pPr>
        <w:spacing w:before="120" w:line="320" w:lineRule="atLeast"/>
        <w:ind w:firstLine="420" w:firstLineChars="200"/>
        <w:rPr>
          <w:color w:val="auto"/>
          <w:szCs w:val="21"/>
          <w:highlight w:val="none"/>
        </w:rPr>
      </w:pPr>
      <w:r>
        <w:rPr>
          <w:color w:val="auto"/>
          <w:szCs w:val="21"/>
          <w:highlight w:val="none"/>
        </w:rPr>
        <w:t>8.1.1质疑内容、时限</w:t>
      </w:r>
    </w:p>
    <w:p w14:paraId="07E8A5F1">
      <w:pPr>
        <w:spacing w:before="120" w:line="320" w:lineRule="atLeast"/>
        <w:ind w:firstLine="420" w:firstLineChars="20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0332D25D">
      <w:pPr>
        <w:spacing w:before="120" w:line="320" w:lineRule="atLeast"/>
        <w:ind w:firstLine="420" w:firstLineChars="200"/>
        <w:rPr>
          <w:color w:val="auto"/>
          <w:szCs w:val="21"/>
          <w:highlight w:val="none"/>
        </w:rPr>
      </w:pPr>
      <w:r>
        <w:rPr>
          <w:rFonts w:hint="eastAsia"/>
          <w:color w:val="auto"/>
          <w:szCs w:val="21"/>
          <w:highlight w:val="none"/>
        </w:rPr>
        <w:t>（2）供应商认为采购文件、采购过程、中标或者成交结果使自己的权益受到损害的，可以在知道或者应知其权益受到损害之日起7个工作日内向采购人或采购代理机构提出质疑。采购人或</w:t>
      </w:r>
      <w:r>
        <w:rPr>
          <w:color w:val="auto"/>
          <w:szCs w:val="21"/>
          <w:highlight w:val="none"/>
        </w:rPr>
        <w:t>采购代理机构在收到供应商书面质疑后7个工作日内，对质疑内容作出答复。</w:t>
      </w:r>
    </w:p>
    <w:p w14:paraId="4FBCFC05">
      <w:pPr>
        <w:spacing w:before="120" w:line="320" w:lineRule="atLeast"/>
        <w:ind w:firstLine="420" w:firstLineChars="200"/>
        <w:rPr>
          <w:color w:val="auto"/>
          <w:szCs w:val="21"/>
          <w:highlight w:val="none"/>
        </w:rPr>
      </w:pPr>
      <w:r>
        <w:rPr>
          <w:color w:val="auto"/>
          <w:szCs w:val="21"/>
          <w:highlight w:val="none"/>
        </w:rPr>
        <w:t>8.1.2质疑形式</w:t>
      </w:r>
    </w:p>
    <w:p w14:paraId="201D3B8A">
      <w:pPr>
        <w:spacing w:before="120" w:line="320" w:lineRule="atLeast"/>
        <w:ind w:firstLine="420" w:firstLineChars="200"/>
        <w:rPr>
          <w:color w:val="auto"/>
          <w:szCs w:val="21"/>
          <w:highlight w:val="none"/>
        </w:rPr>
      </w:pPr>
      <w:r>
        <w:rPr>
          <w:color w:val="auto"/>
          <w:szCs w:val="21"/>
          <w:highlight w:val="none"/>
        </w:rPr>
        <w:t>质疑应当采用</w:t>
      </w:r>
      <w:r>
        <w:rPr>
          <w:rFonts w:hint="eastAsia"/>
          <w:color w:val="auto"/>
          <w:szCs w:val="21"/>
          <w:highlight w:val="none"/>
        </w:rPr>
        <w:t>供应商</w:t>
      </w:r>
      <w:r>
        <w:rPr>
          <w:color w:val="auto"/>
          <w:szCs w:val="21"/>
          <w:highlight w:val="none"/>
        </w:rPr>
        <w:t>须知前附表所规定的形式，质疑书应明确阐述</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过程或成交结果中使自己合法权益受到损害的实质性内容，提供相关事实、依据和证据及其来源或线索，便于有关单位调查、答复和处理。</w:t>
      </w:r>
    </w:p>
    <w:p w14:paraId="1C81E0F2">
      <w:pPr>
        <w:spacing w:before="120" w:line="320" w:lineRule="atLeast"/>
        <w:ind w:firstLine="420" w:firstLineChars="200"/>
        <w:rPr>
          <w:color w:val="auto"/>
          <w:szCs w:val="21"/>
          <w:highlight w:val="none"/>
        </w:rPr>
      </w:pPr>
      <w:r>
        <w:rPr>
          <w:rFonts w:hint="eastAsia"/>
          <w:color w:val="auto"/>
          <w:szCs w:val="21"/>
          <w:highlight w:val="none"/>
        </w:rPr>
        <w:t>8</w:t>
      </w:r>
      <w:r>
        <w:rPr>
          <w:color w:val="auto"/>
          <w:szCs w:val="21"/>
          <w:highlight w:val="none"/>
        </w:rPr>
        <w:t>.1.3</w:t>
      </w:r>
      <w:r>
        <w:rPr>
          <w:rFonts w:hint="eastAsia"/>
          <w:color w:val="auto"/>
          <w:highlight w:val="none"/>
        </w:rPr>
        <w:t xml:space="preserve"> </w:t>
      </w:r>
      <w:r>
        <w:rPr>
          <w:rFonts w:hint="eastAsia"/>
          <w:color w:val="auto"/>
          <w:szCs w:val="21"/>
          <w:highlight w:val="none"/>
        </w:rPr>
        <w:t>供应商提出质疑应当提交质疑函和必要的证明材料。质疑函应当包括下列内容：</w:t>
      </w:r>
    </w:p>
    <w:p w14:paraId="3D9F6627">
      <w:pP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271EAF86">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5F407AD9">
      <w:pPr>
        <w:spacing w:before="120" w:line="320" w:lineRule="atLeast"/>
        <w:ind w:firstLine="420" w:firstLineChars="200"/>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47B5C880">
      <w:pPr>
        <w:spacing w:before="120" w:line="320" w:lineRule="atLeast"/>
        <w:ind w:firstLine="420" w:firstLineChars="200"/>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23D99F08">
      <w:pPr>
        <w:spacing w:before="120" w:line="320" w:lineRule="atLeast"/>
        <w:ind w:firstLine="420" w:firstLineChars="200"/>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6EB6C926">
      <w:pPr>
        <w:spacing w:before="120" w:line="320" w:lineRule="atLeast"/>
        <w:ind w:firstLine="420" w:firstLineChars="200"/>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754FAF70">
      <w:pPr>
        <w:spacing w:before="120" w:line="320" w:lineRule="atLeast"/>
        <w:ind w:firstLine="420" w:firstLineChars="20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r>
        <w:rPr>
          <w:color w:val="auto"/>
          <w:szCs w:val="21"/>
          <w:highlight w:val="none"/>
        </w:rPr>
        <w:t xml:space="preserve"> </w:t>
      </w:r>
    </w:p>
    <w:p w14:paraId="0D0A469D">
      <w:pPr>
        <w:spacing w:before="120" w:line="320" w:lineRule="atLeast"/>
        <w:ind w:firstLine="422" w:firstLineChars="200"/>
        <w:outlineLvl w:val="2"/>
        <w:rPr>
          <w:b/>
          <w:bCs/>
          <w:color w:val="auto"/>
          <w:kern w:val="0"/>
          <w:szCs w:val="21"/>
          <w:highlight w:val="none"/>
        </w:rPr>
      </w:pPr>
      <w:r>
        <w:rPr>
          <w:b/>
          <w:bCs/>
          <w:color w:val="auto"/>
          <w:kern w:val="0"/>
          <w:szCs w:val="21"/>
          <w:highlight w:val="none"/>
        </w:rPr>
        <w:t>8.2投诉</w:t>
      </w:r>
    </w:p>
    <w:p w14:paraId="5E43B04D">
      <w:pPr>
        <w:spacing w:before="120" w:line="320" w:lineRule="atLeast"/>
        <w:ind w:firstLine="420" w:firstLineChars="200"/>
        <w:rPr>
          <w:color w:val="auto"/>
          <w:szCs w:val="21"/>
          <w:highlight w:val="none"/>
        </w:rPr>
      </w:pPr>
      <w:r>
        <w:rPr>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65CF6DCF">
      <w:pPr>
        <w:spacing w:before="120" w:line="320" w:lineRule="atLeast"/>
        <w:ind w:firstLine="420" w:firstLineChars="200"/>
        <w:rPr>
          <w:color w:val="auto"/>
          <w:szCs w:val="21"/>
          <w:highlight w:val="none"/>
        </w:rPr>
      </w:pPr>
      <w:r>
        <w:rPr>
          <w:color w:val="auto"/>
          <w:szCs w:val="21"/>
          <w:highlight w:val="none"/>
        </w:rPr>
        <w:t>8.2.</w:t>
      </w:r>
      <w:r>
        <w:rPr>
          <w:rFonts w:hint="eastAsia"/>
          <w:color w:val="auto"/>
          <w:szCs w:val="21"/>
          <w:highlight w:val="none"/>
        </w:rPr>
        <w:t>2投诉</w:t>
      </w:r>
      <w:r>
        <w:rPr>
          <w:color w:val="auto"/>
          <w:szCs w:val="21"/>
          <w:highlight w:val="none"/>
        </w:rPr>
        <w:t>书应使用财政部发布的</w:t>
      </w:r>
      <w:r>
        <w:rPr>
          <w:rFonts w:hint="eastAsia"/>
          <w:color w:val="auto"/>
          <w:szCs w:val="21"/>
          <w:highlight w:val="none"/>
        </w:rPr>
        <w:t>政府采购供应投诉书范本，并应按照“投诉书制作说明”进行编写。</w:t>
      </w:r>
    </w:p>
    <w:p w14:paraId="61B4975B">
      <w:pPr>
        <w:spacing w:before="120" w:line="320" w:lineRule="atLeast"/>
        <w:ind w:firstLine="422" w:firstLineChars="200"/>
        <w:outlineLvl w:val="1"/>
        <w:rPr>
          <w:b/>
          <w:bCs/>
          <w:color w:val="auto"/>
          <w:kern w:val="0"/>
          <w:szCs w:val="21"/>
          <w:highlight w:val="none"/>
        </w:rPr>
      </w:pPr>
      <w:r>
        <w:rPr>
          <w:b/>
          <w:bCs/>
          <w:color w:val="auto"/>
          <w:kern w:val="0"/>
          <w:szCs w:val="21"/>
          <w:highlight w:val="none"/>
        </w:rPr>
        <w:t>9．其他事项</w:t>
      </w:r>
    </w:p>
    <w:p w14:paraId="681F733F">
      <w:pPr>
        <w:spacing w:before="120" w:line="320" w:lineRule="atLeast"/>
        <w:ind w:firstLine="420" w:firstLineChars="200"/>
        <w:rPr>
          <w:color w:val="auto"/>
          <w:szCs w:val="21"/>
          <w:highlight w:val="none"/>
        </w:rPr>
      </w:pPr>
      <w:r>
        <w:rPr>
          <w:color w:val="auto"/>
          <w:szCs w:val="21"/>
          <w:highlight w:val="none"/>
        </w:rPr>
        <w:t>9.1代理服务收费由采购代理机构向成交供应商收取。签订合同前，成交供应商应向采购代理机构一次付清代理服务费。</w:t>
      </w:r>
    </w:p>
    <w:p w14:paraId="19951506">
      <w:pPr>
        <w:spacing w:before="120" w:line="276" w:lineRule="auto"/>
        <w:ind w:firstLine="420" w:firstLineChars="20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0754588E">
      <w:pPr>
        <w:spacing w:before="120" w:line="276" w:lineRule="auto"/>
        <w:ind w:firstLine="420" w:firstLineChars="200"/>
        <w:rPr>
          <w:color w:val="auto"/>
          <w:szCs w:val="21"/>
          <w:highlight w:val="none"/>
        </w:rPr>
      </w:pPr>
      <w:r>
        <w:rPr>
          <w:rFonts w:hint="eastAsia"/>
          <w:color w:val="auto"/>
          <w:szCs w:val="21"/>
          <w:highlight w:val="none"/>
        </w:rPr>
        <w:t xml:space="preserve">（1）电子交易平台发生故障而无法登录访问的； </w:t>
      </w:r>
    </w:p>
    <w:p w14:paraId="49D5FD1A">
      <w:pPr>
        <w:spacing w:before="120" w:line="276" w:lineRule="auto"/>
        <w:ind w:firstLine="420" w:firstLineChars="200"/>
        <w:rPr>
          <w:color w:val="auto"/>
          <w:szCs w:val="21"/>
          <w:highlight w:val="none"/>
        </w:rPr>
      </w:pPr>
      <w:r>
        <w:rPr>
          <w:rFonts w:hint="eastAsia"/>
          <w:color w:val="auto"/>
          <w:szCs w:val="21"/>
          <w:highlight w:val="none"/>
        </w:rPr>
        <w:t>（2）电子交易平台应用或数据库出现错误，不能进行正常操作的；</w:t>
      </w:r>
    </w:p>
    <w:p w14:paraId="315BAD28">
      <w:pPr>
        <w:spacing w:before="120" w:line="276" w:lineRule="auto"/>
        <w:ind w:firstLine="420" w:firstLineChars="200"/>
        <w:rPr>
          <w:color w:val="auto"/>
          <w:szCs w:val="21"/>
          <w:highlight w:val="none"/>
        </w:rPr>
      </w:pPr>
      <w:r>
        <w:rPr>
          <w:rFonts w:hint="eastAsia"/>
          <w:color w:val="auto"/>
          <w:szCs w:val="21"/>
          <w:highlight w:val="none"/>
        </w:rPr>
        <w:t>（3）电子交易平台发现严重安全漏洞，有潜在泄密危险的；</w:t>
      </w:r>
    </w:p>
    <w:p w14:paraId="250EA1CA">
      <w:pPr>
        <w:spacing w:before="120" w:line="276" w:lineRule="auto"/>
        <w:ind w:firstLine="420" w:firstLineChars="200"/>
        <w:rPr>
          <w:color w:val="auto"/>
          <w:szCs w:val="21"/>
          <w:highlight w:val="none"/>
        </w:rPr>
      </w:pPr>
      <w:r>
        <w:rPr>
          <w:rFonts w:hint="eastAsia"/>
          <w:color w:val="auto"/>
          <w:szCs w:val="21"/>
          <w:highlight w:val="none"/>
        </w:rPr>
        <w:t xml:space="preserve">（4）病毒发作导致不能进行正常操作的； </w:t>
      </w:r>
    </w:p>
    <w:p w14:paraId="3D617615">
      <w:pPr>
        <w:spacing w:before="120" w:line="276" w:lineRule="auto"/>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5EFBEA34">
      <w:pPr>
        <w:tabs>
          <w:tab w:val="left" w:pos="4820"/>
        </w:tabs>
        <w:spacing w:before="120" w:line="360" w:lineRule="auto"/>
        <w:ind w:firstLine="420" w:firstLineChars="20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auto"/>
          <w:szCs w:val="21"/>
          <w:highlight w:val="none"/>
        </w:rPr>
        <w:t xml:space="preserve"> </w:t>
      </w:r>
    </w:p>
    <w:p w14:paraId="0154C049">
      <w:pPr>
        <w:spacing w:line="360" w:lineRule="auto"/>
        <w:ind w:firstLine="420"/>
        <w:rPr>
          <w:color w:val="auto"/>
          <w:szCs w:val="21"/>
          <w:highlight w:val="none"/>
        </w:rPr>
      </w:pPr>
      <w:r>
        <w:rPr>
          <w:color w:val="auto"/>
          <w:szCs w:val="21"/>
          <w:highlight w:val="none"/>
        </w:rPr>
        <w:t>9.3</w:t>
      </w:r>
      <w:r>
        <w:rPr>
          <w:rFonts w:hint="eastAsia"/>
          <w:color w:val="auto"/>
          <w:szCs w:val="21"/>
          <w:highlight w:val="none"/>
        </w:rPr>
        <w:t>本项目的附件及图纸</w:t>
      </w:r>
      <w:r>
        <w:rPr>
          <w:color w:val="auto"/>
          <w:szCs w:val="21"/>
          <w:highlight w:val="none"/>
        </w:rPr>
        <w:t>详见供应商须知前附表</w:t>
      </w:r>
      <w:r>
        <w:rPr>
          <w:rFonts w:hint="eastAsia"/>
          <w:color w:val="auto"/>
          <w:szCs w:val="21"/>
          <w:highlight w:val="none"/>
        </w:rPr>
        <w:t>。</w:t>
      </w:r>
    </w:p>
    <w:p w14:paraId="2B615982">
      <w:pPr>
        <w:spacing w:line="360" w:lineRule="auto"/>
        <w:ind w:firstLine="420"/>
        <w:rPr>
          <w:color w:val="auto"/>
          <w:szCs w:val="21"/>
          <w:highlight w:val="none"/>
        </w:rPr>
      </w:pPr>
      <w:r>
        <w:rPr>
          <w:color w:val="auto"/>
          <w:szCs w:val="21"/>
          <w:highlight w:val="none"/>
        </w:rPr>
        <w:t>9.4</w:t>
      </w:r>
      <w:r>
        <w:rPr>
          <w:rFonts w:hint="eastAsia"/>
          <w:color w:val="auto"/>
          <w:szCs w:val="21"/>
          <w:highlight w:val="none"/>
        </w:rPr>
        <w:t>本项目的其他事项</w:t>
      </w:r>
      <w:r>
        <w:rPr>
          <w:color w:val="auto"/>
          <w:szCs w:val="21"/>
          <w:highlight w:val="none"/>
        </w:rPr>
        <w:t>详见供应商须知前附表</w:t>
      </w:r>
      <w:r>
        <w:rPr>
          <w:rFonts w:hint="eastAsia"/>
          <w:color w:val="auto"/>
          <w:szCs w:val="21"/>
          <w:highlight w:val="none"/>
        </w:rPr>
        <w:t>。</w:t>
      </w:r>
    </w:p>
    <w:p w14:paraId="50B3916A">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10．</w:t>
      </w:r>
      <w:r>
        <w:rPr>
          <w:rFonts w:hint="eastAsia"/>
          <w:b/>
          <w:bCs/>
          <w:color w:val="auto"/>
          <w:kern w:val="0"/>
          <w:szCs w:val="21"/>
          <w:highlight w:val="none"/>
        </w:rPr>
        <w:t>其他说明</w:t>
      </w:r>
    </w:p>
    <w:p w14:paraId="13DE75E6">
      <w:pPr>
        <w:spacing w:before="120" w:line="320" w:lineRule="atLeast"/>
        <w:ind w:left="2" w:leftChars="1" w:firstLine="422" w:firstLineChars="200"/>
        <w:outlineLvl w:val="1"/>
        <w:rPr>
          <w:color w:val="auto"/>
          <w:kern w:val="0"/>
          <w:szCs w:val="21"/>
          <w:highlight w:val="none"/>
        </w:rPr>
      </w:pPr>
      <w:r>
        <w:rPr>
          <w:rFonts w:hint="eastAsia"/>
          <w:b/>
          <w:bCs/>
          <w:color w:val="auto"/>
          <w:kern w:val="0"/>
          <w:szCs w:val="21"/>
          <w:highlight w:val="none"/>
        </w:rPr>
        <w:t>1</w:t>
      </w:r>
      <w:r>
        <w:rPr>
          <w:b/>
          <w:bCs/>
          <w:color w:val="auto"/>
          <w:kern w:val="0"/>
          <w:szCs w:val="21"/>
          <w:highlight w:val="none"/>
        </w:rPr>
        <w:t>0.1</w:t>
      </w:r>
      <w:r>
        <w:rPr>
          <w:rFonts w:hint="eastAsia"/>
          <w:color w:val="auto"/>
          <w:kern w:val="0"/>
          <w:szCs w:val="21"/>
          <w:highlight w:val="none"/>
        </w:rPr>
        <w:t>其余未尽事宜按</w:t>
      </w:r>
      <w:r>
        <w:rPr>
          <w:color w:val="auto"/>
          <w:kern w:val="0"/>
          <w:szCs w:val="21"/>
          <w:highlight w:val="none"/>
        </w:rPr>
        <w:t>《中华人民共和国政府采购法》、《中华人民共和国政府采购法实施条例》</w:t>
      </w:r>
      <w:r>
        <w:rPr>
          <w:rFonts w:hint="eastAsia"/>
          <w:color w:val="auto"/>
          <w:kern w:val="0"/>
          <w:szCs w:val="21"/>
          <w:highlight w:val="none"/>
        </w:rPr>
        <w:t>的相关规定执行。</w:t>
      </w:r>
    </w:p>
    <w:p w14:paraId="022A5022">
      <w:pPr>
        <w:spacing w:before="120" w:line="320" w:lineRule="atLeast"/>
        <w:ind w:left="2" w:leftChars="1" w:firstLine="422" w:firstLineChars="200"/>
        <w:outlineLvl w:val="1"/>
        <w:rPr>
          <w:color w:val="auto"/>
          <w:sz w:val="32"/>
          <w:szCs w:val="32"/>
          <w:highlight w:val="none"/>
        </w:rPr>
        <w:sectPr>
          <w:headerReference r:id="rId15" w:type="first"/>
          <w:headerReference r:id="rId14" w:type="default"/>
          <w:pgSz w:w="11906" w:h="16838"/>
          <w:pgMar w:top="993" w:right="1133" w:bottom="1246" w:left="1418" w:header="851" w:footer="992" w:gutter="0"/>
          <w:cols w:space="720" w:num="1"/>
          <w:titlePg/>
          <w:docGrid w:linePitch="312" w:charSpace="0"/>
        </w:sectPr>
      </w:pPr>
      <w:r>
        <w:rPr>
          <w:b/>
          <w:bCs/>
          <w:color w:val="auto"/>
          <w:kern w:val="0"/>
          <w:szCs w:val="21"/>
          <w:highlight w:val="none"/>
        </w:rPr>
        <w:t>10.2</w:t>
      </w:r>
      <w:r>
        <w:rPr>
          <w:rFonts w:hint="eastAsia"/>
          <w:color w:val="auto"/>
          <w:highlight w:val="none"/>
        </w:rPr>
        <w:t>本</w:t>
      </w:r>
      <w:r>
        <w:rPr>
          <w:color w:val="auto"/>
          <w:highlight w:val="none"/>
        </w:rPr>
        <w:t>采购文件是根据国家有关法律及有关政策、法规和参照国际惯例编制，解释权属采购代理机构</w:t>
      </w:r>
    </w:p>
    <w:p w14:paraId="20B6B160">
      <w:pPr>
        <w:pStyle w:val="28"/>
        <w:snapToGrid w:val="0"/>
        <w:spacing w:before="120" w:after="120" w:line="320" w:lineRule="exact"/>
        <w:jc w:val="center"/>
        <w:outlineLvl w:val="0"/>
        <w:rPr>
          <w:rFonts w:ascii="Times New Roman" w:hAnsi="Times New Roman" w:cs="Times New Roman"/>
          <w:color w:val="auto"/>
          <w:sz w:val="32"/>
          <w:szCs w:val="32"/>
          <w:highlight w:val="none"/>
        </w:rPr>
      </w:pPr>
      <w:bookmarkStart w:id="107" w:name="_Toc26283"/>
      <w:bookmarkStart w:id="108" w:name="_Toc254970690"/>
      <w:bookmarkStart w:id="109" w:name="_Toc254970549"/>
      <w:r>
        <w:rPr>
          <w:rFonts w:ascii="Times New Roman" w:hAnsi="Times New Roman" w:cs="Times New Roman"/>
          <w:color w:val="auto"/>
          <w:sz w:val="32"/>
          <w:szCs w:val="32"/>
          <w:highlight w:val="none"/>
        </w:rPr>
        <w:t>第四章  评审方法及标准</w:t>
      </w:r>
      <w:bookmarkEnd w:id="107"/>
    </w:p>
    <w:p w14:paraId="1BBF8140">
      <w:pPr>
        <w:spacing w:before="120" w:line="320" w:lineRule="atLeast"/>
        <w:ind w:firstLine="413" w:firstLineChars="196"/>
        <w:outlineLvl w:val="1"/>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评审</w:t>
      </w:r>
      <w:r>
        <w:rPr>
          <w:rFonts w:hint="eastAsia"/>
          <w:b/>
          <w:bCs/>
          <w:color w:val="auto"/>
          <w:kern w:val="0"/>
          <w:szCs w:val="21"/>
          <w:highlight w:val="none"/>
        </w:rPr>
        <w:t>方法</w:t>
      </w:r>
    </w:p>
    <w:p w14:paraId="1CCE31C5">
      <w:pPr>
        <w:suppressAutoHyphens/>
        <w:spacing w:before="120" w:line="320" w:lineRule="atLeast"/>
        <w:ind w:firstLine="420" w:firstLineChars="200"/>
        <w:rPr>
          <w:color w:val="auto"/>
          <w:kern w:val="1"/>
          <w:szCs w:val="21"/>
          <w:highlight w:val="none"/>
        </w:rPr>
      </w:pPr>
      <w:r>
        <w:rPr>
          <w:color w:val="auto"/>
          <w:szCs w:val="21"/>
          <w:highlight w:val="none"/>
        </w:rPr>
        <w:t>本项目采用</w:t>
      </w:r>
      <w:r>
        <w:rPr>
          <w:bCs/>
          <w:color w:val="auto"/>
          <w:kern w:val="1"/>
          <w:szCs w:val="21"/>
          <w:highlight w:val="none"/>
        </w:rPr>
        <w:t>综合评分法</w:t>
      </w:r>
      <w:r>
        <w:rPr>
          <w:color w:val="auto"/>
          <w:szCs w:val="21"/>
          <w:highlight w:val="none"/>
        </w:rPr>
        <w:t>进行评审</w:t>
      </w:r>
      <w:r>
        <w:rPr>
          <w:bCs/>
          <w:color w:val="auto"/>
          <w:kern w:val="1"/>
          <w:szCs w:val="21"/>
          <w:highlight w:val="none"/>
        </w:rPr>
        <w:t>。</w:t>
      </w:r>
      <w:r>
        <w:rPr>
          <w:color w:val="auto"/>
          <w:szCs w:val="21"/>
          <w:highlight w:val="none"/>
        </w:rPr>
        <w:t>综合评分法，是指响应文件满足采购文件全部实质性要求且按照评审因素的量化指标评审得分最高的</w:t>
      </w:r>
      <w:r>
        <w:rPr>
          <w:rFonts w:hint="eastAsia"/>
          <w:color w:val="auto"/>
          <w:szCs w:val="21"/>
          <w:highlight w:val="none"/>
        </w:rPr>
        <w:t>供应商</w:t>
      </w:r>
      <w:r>
        <w:rPr>
          <w:color w:val="auto"/>
          <w:szCs w:val="21"/>
          <w:highlight w:val="none"/>
        </w:rPr>
        <w:t>为</w:t>
      </w:r>
      <w:r>
        <w:rPr>
          <w:rFonts w:hint="eastAsia"/>
          <w:color w:val="auto"/>
          <w:szCs w:val="21"/>
          <w:highlight w:val="none"/>
        </w:rPr>
        <w:t>成交</w:t>
      </w:r>
      <w:r>
        <w:rPr>
          <w:color w:val="auto"/>
          <w:szCs w:val="21"/>
          <w:highlight w:val="none"/>
        </w:rPr>
        <w:t>候选人的评审方法。</w:t>
      </w:r>
    </w:p>
    <w:p w14:paraId="2D580AEA">
      <w:pPr>
        <w:suppressAutoHyphens/>
        <w:spacing w:before="120" w:line="320" w:lineRule="atLeast"/>
        <w:ind w:firstLine="420" w:firstLineChars="200"/>
        <w:rPr>
          <w:color w:val="auto"/>
          <w:kern w:val="1"/>
          <w:szCs w:val="21"/>
          <w:highlight w:val="none"/>
        </w:rPr>
      </w:pPr>
      <w:r>
        <w:rPr>
          <w:rFonts w:hint="eastAsia"/>
          <w:color w:val="auto"/>
          <w:kern w:val="1"/>
          <w:szCs w:val="21"/>
          <w:highlight w:val="none"/>
        </w:rPr>
        <w:t>本项目评审的其他详细规定在第三章供应商须知中规定。</w:t>
      </w:r>
    </w:p>
    <w:p w14:paraId="25A77D44">
      <w:pPr>
        <w:spacing w:before="120" w:line="320" w:lineRule="atLeast"/>
        <w:ind w:firstLine="413" w:firstLineChars="196"/>
        <w:outlineLvl w:val="1"/>
        <w:rPr>
          <w:b/>
          <w:color w:val="auto"/>
          <w:kern w:val="0"/>
          <w:szCs w:val="21"/>
          <w:highlight w:val="none"/>
        </w:rPr>
      </w:pPr>
      <w:r>
        <w:rPr>
          <w:b/>
          <w:color w:val="auto"/>
          <w:kern w:val="0"/>
          <w:szCs w:val="21"/>
          <w:highlight w:val="none"/>
        </w:rPr>
        <w:t>2</w:t>
      </w:r>
      <w:r>
        <w:rPr>
          <w:rFonts w:hint="eastAsia"/>
          <w:b/>
          <w:color w:val="auto"/>
          <w:kern w:val="0"/>
          <w:szCs w:val="21"/>
          <w:highlight w:val="none"/>
        </w:rPr>
        <w:t>.资格审查标准</w:t>
      </w:r>
      <w:r>
        <w:rPr>
          <w:rFonts w:hint="eastAsia"/>
          <w:b/>
          <w:bCs/>
          <w:color w:val="auto"/>
          <w:kern w:val="0"/>
          <w:szCs w:val="21"/>
          <w:highlight w:val="none"/>
        </w:rPr>
        <w:t>（不满足任何一项审查内容要求，资格审查即为不合格；</w:t>
      </w:r>
      <w:bookmarkStart w:id="110" w:name="_Hlk160525103"/>
      <w:r>
        <w:rPr>
          <w:rFonts w:hint="eastAsia"/>
          <w:b/>
          <w:bCs/>
          <w:color w:val="auto"/>
          <w:kern w:val="0"/>
          <w:szCs w:val="21"/>
          <w:highlight w:val="none"/>
        </w:rPr>
        <w:t>联合体投标的，联合体各方均应提交第一项基本资格要求的资格证明文件）</w:t>
      </w:r>
      <w:bookmarkEnd w:id="110"/>
    </w:p>
    <w:tbl>
      <w:tblPr>
        <w:tblStyle w:val="53"/>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44BA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vAlign w:val="center"/>
          </w:tcPr>
          <w:p w14:paraId="257D4D68">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因素</w:t>
            </w:r>
          </w:p>
        </w:tc>
        <w:tc>
          <w:tcPr>
            <w:tcW w:w="1843" w:type="dxa"/>
            <w:vAlign w:val="center"/>
          </w:tcPr>
          <w:p w14:paraId="530F4EFE">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内容</w:t>
            </w:r>
          </w:p>
        </w:tc>
        <w:tc>
          <w:tcPr>
            <w:tcW w:w="6242" w:type="dxa"/>
            <w:vAlign w:val="center"/>
          </w:tcPr>
          <w:p w14:paraId="0D5659AB">
            <w:pPr>
              <w:spacing w:line="240" w:lineRule="exact"/>
              <w:jc w:val="center"/>
              <w:rPr>
                <w:b/>
                <w:color w:val="auto"/>
                <w:kern w:val="0"/>
                <w:szCs w:val="21"/>
                <w:highlight w:val="none"/>
              </w:rPr>
            </w:pPr>
            <w:r>
              <w:rPr>
                <w:rFonts w:hint="eastAsia"/>
                <w:b/>
                <w:color w:val="auto"/>
                <w:kern w:val="0"/>
                <w:szCs w:val="21"/>
                <w:highlight w:val="none"/>
              </w:rPr>
              <w:t>说明</w:t>
            </w:r>
          </w:p>
        </w:tc>
      </w:tr>
      <w:tr w14:paraId="6E37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vAlign w:val="center"/>
          </w:tcPr>
          <w:p w14:paraId="4650595C">
            <w:pPr>
              <w:spacing w:line="240" w:lineRule="exact"/>
              <w:rPr>
                <w:color w:val="auto"/>
                <w:szCs w:val="21"/>
                <w:highlight w:val="none"/>
                <w:lang w:val="zh-CN"/>
              </w:rPr>
            </w:pPr>
            <w:r>
              <w:rPr>
                <w:color w:val="auto"/>
                <w:szCs w:val="21"/>
                <w:highlight w:val="none"/>
                <w:lang w:val="zh-CN"/>
              </w:rPr>
              <w:t>供应商应符合的</w:t>
            </w:r>
            <w:r>
              <w:rPr>
                <w:rFonts w:hint="eastAsia"/>
                <w:color w:val="auto"/>
                <w:szCs w:val="21"/>
                <w:highlight w:val="none"/>
                <w:lang w:val="zh-CN"/>
              </w:rPr>
              <w:t>基本</w:t>
            </w:r>
            <w:r>
              <w:rPr>
                <w:color w:val="auto"/>
                <w:szCs w:val="21"/>
                <w:highlight w:val="none"/>
              </w:rPr>
              <w:t>资格</w:t>
            </w:r>
            <w:r>
              <w:rPr>
                <w:rFonts w:hint="eastAsia"/>
                <w:color w:val="auto"/>
                <w:szCs w:val="21"/>
                <w:highlight w:val="none"/>
              </w:rPr>
              <w:t>要求</w:t>
            </w:r>
          </w:p>
        </w:tc>
        <w:tc>
          <w:tcPr>
            <w:tcW w:w="1843" w:type="dxa"/>
            <w:vAlign w:val="center"/>
          </w:tcPr>
          <w:p w14:paraId="1380F950">
            <w:pPr>
              <w:spacing w:line="240" w:lineRule="exact"/>
              <w:jc w:val="left"/>
              <w:rPr>
                <w:color w:val="auto"/>
                <w:szCs w:val="21"/>
                <w:highlight w:val="none"/>
              </w:rPr>
            </w:pPr>
            <w:r>
              <w:rPr>
                <w:color w:val="auto"/>
                <w:szCs w:val="21"/>
                <w:highlight w:val="none"/>
              </w:rPr>
              <w:t>（1）具有独立承担民事责任的能力</w:t>
            </w:r>
          </w:p>
        </w:tc>
        <w:tc>
          <w:tcPr>
            <w:tcW w:w="6242" w:type="dxa"/>
          </w:tcPr>
          <w:p w14:paraId="55E93233">
            <w:pPr>
              <w:spacing w:line="240" w:lineRule="exact"/>
              <w:rPr>
                <w:color w:val="auto"/>
                <w:szCs w:val="21"/>
                <w:highlight w:val="none"/>
              </w:rPr>
            </w:pPr>
            <w:r>
              <w:rPr>
                <w:rFonts w:hint="eastAsia"/>
                <w:color w:val="auto"/>
                <w:szCs w:val="21"/>
                <w:highlight w:val="none"/>
              </w:rPr>
              <w:t>审查供应商为法人或者其他组织的，提供营业执照等证明文件（如营业执照或者事业单位法人证书或者执业许可证等），供应商为自然人的，提供身份证复印件</w:t>
            </w:r>
          </w:p>
        </w:tc>
      </w:tr>
      <w:tr w14:paraId="2C5B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6B0BCFBF">
            <w:pPr>
              <w:spacing w:line="240" w:lineRule="exact"/>
              <w:rPr>
                <w:color w:val="auto"/>
                <w:szCs w:val="21"/>
                <w:highlight w:val="none"/>
                <w:lang w:val="zh-CN"/>
              </w:rPr>
            </w:pPr>
          </w:p>
        </w:tc>
        <w:tc>
          <w:tcPr>
            <w:tcW w:w="1843" w:type="dxa"/>
            <w:vAlign w:val="center"/>
          </w:tcPr>
          <w:p w14:paraId="3F2DB9B7">
            <w:pPr>
              <w:spacing w:line="240" w:lineRule="exact"/>
              <w:jc w:val="left"/>
              <w:rPr>
                <w:color w:val="auto"/>
                <w:szCs w:val="21"/>
                <w:highlight w:val="none"/>
              </w:rPr>
            </w:pPr>
            <w:r>
              <w:rPr>
                <w:color w:val="auto"/>
                <w:szCs w:val="21"/>
                <w:highlight w:val="none"/>
                <w:lang w:val="zh-CN"/>
              </w:rPr>
              <w:t>（2）</w:t>
            </w:r>
            <w:r>
              <w:rPr>
                <w:color w:val="auto"/>
                <w:szCs w:val="21"/>
                <w:highlight w:val="none"/>
              </w:rPr>
              <w:t>具有良好的商业信誉和健全的财务会计制度</w:t>
            </w:r>
          </w:p>
        </w:tc>
        <w:tc>
          <w:tcPr>
            <w:tcW w:w="6242" w:type="dxa"/>
          </w:tcPr>
          <w:p w14:paraId="583A678A">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审查商业信誉声明。须提供，格式见第六章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szCs w:val="21"/>
                <w:highlight w:val="none"/>
              </w:rPr>
              <w:t>声明书”。</w:t>
            </w:r>
          </w:p>
          <w:p w14:paraId="53A2EC9A">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w:t>
            </w:r>
            <w:r>
              <w:rPr>
                <w:rFonts w:hint="eastAsia"/>
                <w:color w:val="auto"/>
                <w:szCs w:val="21"/>
                <w:highlight w:val="none"/>
              </w:rPr>
              <w:t>2024年度或2025年度</w:t>
            </w:r>
            <w:r>
              <w:rPr>
                <w:color w:val="auto"/>
                <w:szCs w:val="21"/>
                <w:highlight w:val="none"/>
              </w:rPr>
              <w:t>财务状况报告（表）复印件或银行出具的资信证明复印件，</w:t>
            </w:r>
            <w:r>
              <w:rPr>
                <w:color w:val="auto"/>
                <w:highlight w:val="none"/>
              </w:rPr>
              <w:t>对于从取得营业执照时间起到响应文件递交截止时间为止不足1年的供应商，只需提交</w:t>
            </w:r>
            <w:r>
              <w:rPr>
                <w:rFonts w:hint="eastAsia"/>
                <w:color w:val="auto"/>
                <w:szCs w:val="21"/>
                <w:highlight w:val="none"/>
              </w:rPr>
              <w:t>响应</w:t>
            </w:r>
            <w:r>
              <w:rPr>
                <w:color w:val="auto"/>
                <w:szCs w:val="21"/>
                <w:highlight w:val="none"/>
              </w:rPr>
              <w:t>文件递交截止时间前一个月的财务状况报告（表）复印件。</w:t>
            </w:r>
          </w:p>
        </w:tc>
      </w:tr>
      <w:tr w14:paraId="7097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558CFEAC">
            <w:pPr>
              <w:spacing w:line="240" w:lineRule="exact"/>
              <w:rPr>
                <w:color w:val="auto"/>
                <w:szCs w:val="21"/>
                <w:highlight w:val="none"/>
                <w:lang w:val="zh-CN"/>
              </w:rPr>
            </w:pPr>
          </w:p>
        </w:tc>
        <w:tc>
          <w:tcPr>
            <w:tcW w:w="1843" w:type="dxa"/>
            <w:vAlign w:val="center"/>
          </w:tcPr>
          <w:p w14:paraId="1D12E13B">
            <w:pPr>
              <w:spacing w:line="240" w:lineRule="exact"/>
              <w:jc w:val="left"/>
              <w:rPr>
                <w:color w:val="auto"/>
                <w:szCs w:val="21"/>
                <w:highlight w:val="none"/>
              </w:rPr>
            </w:pPr>
            <w:r>
              <w:rPr>
                <w:color w:val="auto"/>
                <w:szCs w:val="21"/>
                <w:highlight w:val="none"/>
                <w:lang w:val="zh-CN"/>
              </w:rPr>
              <w:t>（3）具有履行合同所必需的设备和专业技术能力</w:t>
            </w:r>
          </w:p>
        </w:tc>
        <w:tc>
          <w:tcPr>
            <w:tcW w:w="6242" w:type="dxa"/>
          </w:tcPr>
          <w:p w14:paraId="7857589D">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 xml:space="preserve">审查供应商营业执照，须有效； </w:t>
            </w:r>
          </w:p>
          <w:p w14:paraId="49EF8A7A">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审查书面声明。须提供，格式见第六章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highlight w:val="none"/>
              </w:rPr>
              <w:t>声明书</w:t>
            </w:r>
            <w:r>
              <w:rPr>
                <w:color w:val="auto"/>
                <w:szCs w:val="21"/>
                <w:highlight w:val="none"/>
              </w:rPr>
              <w:t>”。</w:t>
            </w:r>
          </w:p>
          <w:p w14:paraId="05A04583">
            <w:pPr>
              <w:spacing w:line="240" w:lineRule="exact"/>
              <w:jc w:val="left"/>
              <w:rPr>
                <w:color w:val="auto"/>
                <w:szCs w:val="21"/>
                <w:highlight w:val="none"/>
              </w:rPr>
            </w:pPr>
            <w:r>
              <w:rPr>
                <w:color w:val="auto"/>
                <w:szCs w:val="21"/>
                <w:highlight w:val="none"/>
              </w:rPr>
              <w:t>审查</w:t>
            </w:r>
            <w:r>
              <w:rPr>
                <w:rFonts w:hint="eastAsia" w:ascii="宋体" w:hAnsi="宋体" w:cs="宋体"/>
                <w:color w:val="auto"/>
                <w:szCs w:val="21"/>
                <w:highlight w:val="none"/>
              </w:rPr>
              <w:t>①</w:t>
            </w:r>
            <w:r>
              <w:rPr>
                <w:color w:val="auto"/>
                <w:szCs w:val="21"/>
                <w:highlight w:val="none"/>
              </w:rPr>
              <w:t>或</w:t>
            </w:r>
            <w:r>
              <w:rPr>
                <w:rFonts w:hint="eastAsia" w:ascii="宋体" w:hAnsi="宋体" w:cs="宋体"/>
                <w:color w:val="auto"/>
                <w:szCs w:val="21"/>
                <w:highlight w:val="none"/>
              </w:rPr>
              <w:t>②</w:t>
            </w:r>
            <w:r>
              <w:rPr>
                <w:color w:val="auto"/>
                <w:szCs w:val="21"/>
                <w:highlight w:val="none"/>
              </w:rPr>
              <w:t>，满足其一，即为符合要求。</w:t>
            </w:r>
          </w:p>
        </w:tc>
      </w:tr>
      <w:tr w14:paraId="6374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7B86C818">
            <w:pPr>
              <w:spacing w:line="240" w:lineRule="exact"/>
              <w:rPr>
                <w:color w:val="auto"/>
                <w:szCs w:val="21"/>
                <w:highlight w:val="none"/>
                <w:lang w:val="zh-CN"/>
              </w:rPr>
            </w:pPr>
          </w:p>
        </w:tc>
        <w:tc>
          <w:tcPr>
            <w:tcW w:w="1843" w:type="dxa"/>
            <w:vAlign w:val="center"/>
          </w:tcPr>
          <w:p w14:paraId="7CB73C1F">
            <w:pPr>
              <w:spacing w:line="240" w:lineRule="exact"/>
              <w:jc w:val="left"/>
              <w:rPr>
                <w:color w:val="auto"/>
                <w:szCs w:val="21"/>
                <w:highlight w:val="none"/>
              </w:rPr>
            </w:pPr>
            <w:r>
              <w:rPr>
                <w:color w:val="auto"/>
                <w:szCs w:val="21"/>
                <w:highlight w:val="none"/>
                <w:lang w:val="zh-CN"/>
              </w:rPr>
              <w:t>（4）有依法缴纳税收和社会保障金的良好记录</w:t>
            </w:r>
          </w:p>
        </w:tc>
        <w:tc>
          <w:tcPr>
            <w:tcW w:w="6242" w:type="dxa"/>
          </w:tcPr>
          <w:p w14:paraId="1C8A77C3">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审查</w:t>
            </w:r>
            <w:r>
              <w:rPr>
                <w:rFonts w:hint="eastAsia"/>
                <w:color w:val="auto"/>
                <w:szCs w:val="21"/>
                <w:highlight w:val="none"/>
              </w:rPr>
              <w:t>响应</w:t>
            </w:r>
            <w:r>
              <w:rPr>
                <w:color w:val="auto"/>
                <w:szCs w:val="21"/>
                <w:highlight w:val="none"/>
              </w:rPr>
              <w:t>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szCs w:val="21"/>
                <w:highlight w:val="none"/>
              </w:rPr>
              <w:t>依法缴纳税费证明复印件加盖供应商</w:t>
            </w:r>
            <w:r>
              <w:rPr>
                <w:rFonts w:hint="eastAsia"/>
                <w:color w:val="auto"/>
                <w:szCs w:val="21"/>
                <w:highlight w:val="none"/>
              </w:rPr>
              <w:t>电子签章</w:t>
            </w:r>
            <w:r>
              <w:rPr>
                <w:color w:val="auto"/>
                <w:szCs w:val="21"/>
                <w:highlight w:val="none"/>
              </w:rPr>
              <w:t>。</w:t>
            </w:r>
          </w:p>
          <w:p w14:paraId="0721291E">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w:t>
            </w:r>
            <w:r>
              <w:rPr>
                <w:rFonts w:hint="eastAsia"/>
                <w:color w:val="auto"/>
                <w:szCs w:val="21"/>
                <w:highlight w:val="none"/>
              </w:rPr>
              <w:t>响应</w:t>
            </w:r>
            <w:r>
              <w:rPr>
                <w:color w:val="auto"/>
                <w:szCs w:val="21"/>
                <w:highlight w:val="none"/>
              </w:rPr>
              <w:t>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szCs w:val="21"/>
                <w:highlight w:val="none"/>
              </w:rPr>
              <w:t>的社保缴费证明记录复印件加盖供应商</w:t>
            </w:r>
            <w:r>
              <w:rPr>
                <w:rFonts w:hint="eastAsia"/>
                <w:color w:val="auto"/>
                <w:szCs w:val="21"/>
                <w:highlight w:val="none"/>
              </w:rPr>
              <w:t>电子签章</w:t>
            </w:r>
            <w:r>
              <w:rPr>
                <w:color w:val="auto"/>
                <w:szCs w:val="21"/>
                <w:highlight w:val="none"/>
              </w:rPr>
              <w:t>。</w:t>
            </w:r>
          </w:p>
          <w:p w14:paraId="1E331CFF">
            <w:pPr>
              <w:spacing w:line="240" w:lineRule="exact"/>
              <w:jc w:val="left"/>
              <w:rPr>
                <w:color w:val="auto"/>
                <w:szCs w:val="21"/>
                <w:highlight w:val="none"/>
              </w:rPr>
            </w:pPr>
            <w:r>
              <w:rPr>
                <w:color w:val="auto"/>
                <w:szCs w:val="21"/>
                <w:highlight w:val="none"/>
              </w:rPr>
              <w:t>供应商成立不足</w:t>
            </w:r>
            <w:r>
              <w:rPr>
                <w:rFonts w:hint="eastAsia"/>
                <w:color w:val="auto"/>
                <w:szCs w:val="21"/>
                <w:highlight w:val="none"/>
              </w:rPr>
              <w:t>1个月的，无须提供</w:t>
            </w:r>
            <w:r>
              <w:rPr>
                <w:color w:val="auto"/>
                <w:szCs w:val="21"/>
                <w:highlight w:val="none"/>
              </w:rPr>
              <w:t>缴纳税费证明及社保缴费证明加盖供应商电子签章</w:t>
            </w:r>
            <w:r>
              <w:rPr>
                <w:rFonts w:hint="eastAsia"/>
                <w:color w:val="auto"/>
                <w:szCs w:val="21"/>
                <w:highlight w:val="none"/>
              </w:rPr>
              <w:t>。</w:t>
            </w:r>
          </w:p>
          <w:p w14:paraId="29EC25D9">
            <w:pPr>
              <w:spacing w:line="240" w:lineRule="exact"/>
              <w:jc w:val="left"/>
              <w:rPr>
                <w:color w:val="auto"/>
                <w:szCs w:val="21"/>
                <w:highlight w:val="none"/>
              </w:rPr>
            </w:pPr>
            <w:r>
              <w:rPr>
                <w:color w:val="auto"/>
                <w:szCs w:val="21"/>
                <w:highlight w:val="none"/>
              </w:rPr>
              <w:t>依法免税或不需要缴纳社会保障资金的供应商，须提供相应文件证明其依法免税或不需要缴纳社会保障资金。</w:t>
            </w:r>
          </w:p>
        </w:tc>
      </w:tr>
      <w:tr w14:paraId="55C2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12EB2FB0">
            <w:pPr>
              <w:spacing w:line="240" w:lineRule="exact"/>
              <w:rPr>
                <w:color w:val="auto"/>
                <w:szCs w:val="21"/>
                <w:highlight w:val="none"/>
                <w:lang w:val="zh-CN"/>
              </w:rPr>
            </w:pPr>
          </w:p>
        </w:tc>
        <w:tc>
          <w:tcPr>
            <w:tcW w:w="1843" w:type="dxa"/>
            <w:vAlign w:val="center"/>
          </w:tcPr>
          <w:p w14:paraId="63911CBF">
            <w:pPr>
              <w:spacing w:line="240" w:lineRule="exact"/>
              <w:jc w:val="left"/>
              <w:rPr>
                <w:color w:val="auto"/>
                <w:szCs w:val="21"/>
                <w:highlight w:val="none"/>
              </w:rPr>
            </w:pPr>
            <w:r>
              <w:rPr>
                <w:color w:val="auto"/>
                <w:szCs w:val="21"/>
                <w:highlight w:val="none"/>
              </w:rPr>
              <w:t>（5）参加政府采购活动前三年内，在经营活动中没有重大违法记录</w:t>
            </w:r>
          </w:p>
        </w:tc>
        <w:tc>
          <w:tcPr>
            <w:tcW w:w="6242" w:type="dxa"/>
            <w:vAlign w:val="center"/>
          </w:tcPr>
          <w:p w14:paraId="5108B2DD">
            <w:pPr>
              <w:spacing w:line="240" w:lineRule="exact"/>
              <w:jc w:val="left"/>
              <w:rPr>
                <w:color w:val="auto"/>
                <w:szCs w:val="21"/>
                <w:highlight w:val="none"/>
              </w:rPr>
            </w:pPr>
            <w:r>
              <w:rPr>
                <w:color w:val="auto"/>
                <w:szCs w:val="21"/>
                <w:highlight w:val="none"/>
              </w:rPr>
              <w:t>审查无重大违法记录声明。须提供，格式见第六章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szCs w:val="21"/>
                <w:highlight w:val="none"/>
              </w:rPr>
              <w:t xml:space="preserve">声明书”。 </w:t>
            </w:r>
          </w:p>
        </w:tc>
      </w:tr>
      <w:tr w14:paraId="3BD3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25EF6184">
            <w:pPr>
              <w:spacing w:line="240" w:lineRule="exact"/>
              <w:rPr>
                <w:color w:val="auto"/>
                <w:szCs w:val="21"/>
                <w:highlight w:val="none"/>
                <w:lang w:val="zh-CN"/>
              </w:rPr>
            </w:pPr>
          </w:p>
        </w:tc>
        <w:tc>
          <w:tcPr>
            <w:tcW w:w="1843" w:type="dxa"/>
            <w:vAlign w:val="center"/>
          </w:tcPr>
          <w:p w14:paraId="6B7CCAA2">
            <w:pPr>
              <w:spacing w:line="240" w:lineRule="exact"/>
              <w:jc w:val="left"/>
              <w:rPr>
                <w:color w:val="auto"/>
                <w:szCs w:val="21"/>
                <w:highlight w:val="none"/>
              </w:rPr>
            </w:pPr>
            <w:r>
              <w:rPr>
                <w:color w:val="auto"/>
                <w:szCs w:val="21"/>
                <w:highlight w:val="none"/>
              </w:rPr>
              <w:t>（6）具备法律、行政法规规定的其他要求</w:t>
            </w:r>
          </w:p>
        </w:tc>
        <w:tc>
          <w:tcPr>
            <w:tcW w:w="6242" w:type="dxa"/>
            <w:vAlign w:val="center"/>
          </w:tcPr>
          <w:p w14:paraId="2D76A635">
            <w:pPr>
              <w:spacing w:line="240" w:lineRule="exact"/>
              <w:jc w:val="left"/>
              <w:rPr>
                <w:color w:val="auto"/>
                <w:szCs w:val="21"/>
                <w:highlight w:val="none"/>
              </w:rPr>
            </w:pPr>
            <w:r>
              <w:rPr>
                <w:color w:val="auto"/>
                <w:szCs w:val="21"/>
                <w:highlight w:val="none"/>
              </w:rPr>
              <w:t>无。</w:t>
            </w:r>
          </w:p>
        </w:tc>
      </w:tr>
      <w:tr w14:paraId="4E9B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Align w:val="center"/>
          </w:tcPr>
          <w:p w14:paraId="2BCFC6E5">
            <w:pPr>
              <w:spacing w:line="240" w:lineRule="exact"/>
              <w:rPr>
                <w:color w:val="auto"/>
                <w:szCs w:val="21"/>
                <w:highlight w:val="none"/>
                <w:lang w:val="zh-CN"/>
              </w:rPr>
            </w:pPr>
            <w:r>
              <w:rPr>
                <w:rFonts w:hint="eastAsia"/>
                <w:color w:val="auto"/>
                <w:kern w:val="0"/>
                <w:szCs w:val="21"/>
                <w:highlight w:val="none"/>
              </w:rPr>
              <w:t>采购政策</w:t>
            </w:r>
          </w:p>
        </w:tc>
        <w:tc>
          <w:tcPr>
            <w:tcW w:w="1843" w:type="dxa"/>
            <w:vAlign w:val="center"/>
          </w:tcPr>
          <w:p w14:paraId="5D0DFB0F">
            <w:pPr>
              <w:spacing w:line="240" w:lineRule="exact"/>
              <w:jc w:val="left"/>
              <w:rPr>
                <w:color w:val="auto"/>
                <w:szCs w:val="21"/>
                <w:highlight w:val="none"/>
              </w:rPr>
            </w:pPr>
            <w:r>
              <w:rPr>
                <w:rFonts w:hint="eastAsia"/>
                <w:color w:val="auto"/>
                <w:szCs w:val="21"/>
                <w:highlight w:val="none"/>
              </w:rPr>
              <w:t>落实政府采购政策需满足的资格要求</w:t>
            </w:r>
          </w:p>
        </w:tc>
        <w:tc>
          <w:tcPr>
            <w:tcW w:w="6242" w:type="dxa"/>
            <w:vAlign w:val="center"/>
          </w:tcPr>
          <w:p w14:paraId="055CA7BB">
            <w:pPr>
              <w:spacing w:line="240" w:lineRule="exact"/>
              <w:jc w:val="left"/>
              <w:rPr>
                <w:color w:val="auto"/>
                <w:szCs w:val="21"/>
                <w:highlight w:val="none"/>
              </w:rPr>
            </w:pPr>
            <w:r>
              <w:rPr>
                <w:rFonts w:hint="eastAsia"/>
                <w:color w:val="auto"/>
                <w:szCs w:val="21"/>
                <w:highlight w:val="none"/>
              </w:rPr>
              <w:t>《中小企业声明函》或《残疾人福利性单位声明函》或属于监狱企业的证明文件</w:t>
            </w:r>
          </w:p>
        </w:tc>
      </w:tr>
      <w:tr w14:paraId="3C0E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846" w:type="dxa"/>
            <w:vMerge w:val="restart"/>
            <w:vAlign w:val="center"/>
          </w:tcPr>
          <w:p w14:paraId="37B8E0BA">
            <w:pPr>
              <w:spacing w:line="240" w:lineRule="exact"/>
              <w:rPr>
                <w:color w:val="auto"/>
                <w:szCs w:val="21"/>
                <w:highlight w:val="none"/>
              </w:rPr>
            </w:pPr>
            <w:r>
              <w:rPr>
                <w:color w:val="auto"/>
                <w:szCs w:val="21"/>
                <w:highlight w:val="none"/>
                <w:lang w:val="zh-CN"/>
              </w:rPr>
              <w:t>供应商应符合的</w:t>
            </w:r>
            <w:r>
              <w:rPr>
                <w:color w:val="auto"/>
                <w:szCs w:val="21"/>
                <w:highlight w:val="none"/>
              </w:rPr>
              <w:t>特定资格</w:t>
            </w:r>
            <w:r>
              <w:rPr>
                <w:rFonts w:hint="eastAsia"/>
                <w:color w:val="auto"/>
                <w:szCs w:val="21"/>
                <w:highlight w:val="none"/>
              </w:rPr>
              <w:t>要求</w:t>
            </w:r>
          </w:p>
        </w:tc>
        <w:tc>
          <w:tcPr>
            <w:tcW w:w="1843" w:type="dxa"/>
            <w:vAlign w:val="center"/>
          </w:tcPr>
          <w:p w14:paraId="4A920C72">
            <w:pPr>
              <w:spacing w:line="240" w:lineRule="exact"/>
              <w:jc w:val="left"/>
              <w:rPr>
                <w:color w:val="auto"/>
                <w:szCs w:val="21"/>
                <w:highlight w:val="none"/>
              </w:rPr>
            </w:pPr>
            <w:r>
              <w:rPr>
                <w:color w:val="auto"/>
                <w:szCs w:val="21"/>
                <w:highlight w:val="none"/>
              </w:rPr>
              <w:t>（1）资质</w:t>
            </w:r>
            <w:r>
              <w:rPr>
                <w:rFonts w:hint="eastAsia"/>
                <w:color w:val="auto"/>
                <w:szCs w:val="21"/>
                <w:highlight w:val="none"/>
              </w:rPr>
              <w:t>要求</w:t>
            </w:r>
          </w:p>
        </w:tc>
        <w:tc>
          <w:tcPr>
            <w:tcW w:w="6242" w:type="dxa"/>
            <w:vAlign w:val="center"/>
          </w:tcPr>
          <w:p w14:paraId="5FF45930">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“磋商公告”</w:t>
            </w:r>
            <w:r>
              <w:rPr>
                <w:color w:val="auto"/>
                <w:szCs w:val="21"/>
                <w:highlight w:val="none"/>
              </w:rPr>
              <w:t>的要求</w:t>
            </w:r>
          </w:p>
        </w:tc>
      </w:tr>
      <w:tr w14:paraId="5B43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846" w:type="dxa"/>
            <w:vMerge w:val="continue"/>
            <w:vAlign w:val="center"/>
          </w:tcPr>
          <w:p w14:paraId="11DA8F93">
            <w:pPr>
              <w:spacing w:line="240" w:lineRule="exact"/>
              <w:rPr>
                <w:color w:val="auto"/>
                <w:szCs w:val="21"/>
                <w:highlight w:val="none"/>
              </w:rPr>
            </w:pPr>
          </w:p>
        </w:tc>
        <w:tc>
          <w:tcPr>
            <w:tcW w:w="1843" w:type="dxa"/>
            <w:vAlign w:val="center"/>
          </w:tcPr>
          <w:p w14:paraId="08C2C197">
            <w:pPr>
              <w:spacing w:line="240" w:lineRule="exact"/>
              <w:jc w:val="left"/>
              <w:rPr>
                <w:color w:val="auto"/>
                <w:szCs w:val="21"/>
                <w:highlight w:val="none"/>
              </w:rPr>
            </w:pPr>
            <w:r>
              <w:rPr>
                <w:color w:val="auto"/>
                <w:szCs w:val="21"/>
                <w:highlight w:val="none"/>
              </w:rPr>
              <w:t>（2）业绩要求</w:t>
            </w:r>
          </w:p>
        </w:tc>
        <w:tc>
          <w:tcPr>
            <w:tcW w:w="6242" w:type="dxa"/>
            <w:vAlign w:val="center"/>
          </w:tcPr>
          <w:p w14:paraId="32896066">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“磋商公告”</w:t>
            </w:r>
            <w:r>
              <w:rPr>
                <w:color w:val="auto"/>
                <w:szCs w:val="21"/>
                <w:highlight w:val="none"/>
              </w:rPr>
              <w:t>的要求</w:t>
            </w:r>
          </w:p>
        </w:tc>
      </w:tr>
      <w:tr w14:paraId="3C2B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trPr>
        <w:tc>
          <w:tcPr>
            <w:tcW w:w="846" w:type="dxa"/>
            <w:vMerge w:val="continue"/>
            <w:vAlign w:val="center"/>
          </w:tcPr>
          <w:p w14:paraId="59ABCE52">
            <w:pPr>
              <w:spacing w:line="240" w:lineRule="exact"/>
              <w:jc w:val="left"/>
              <w:rPr>
                <w:color w:val="auto"/>
                <w:szCs w:val="21"/>
                <w:highlight w:val="none"/>
              </w:rPr>
            </w:pPr>
          </w:p>
        </w:tc>
        <w:tc>
          <w:tcPr>
            <w:tcW w:w="1843" w:type="dxa"/>
            <w:vAlign w:val="center"/>
          </w:tcPr>
          <w:p w14:paraId="2F170C70">
            <w:pPr>
              <w:spacing w:line="240" w:lineRule="exact"/>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）供应商不得参加响应的情形</w:t>
            </w:r>
          </w:p>
        </w:tc>
        <w:tc>
          <w:tcPr>
            <w:tcW w:w="6242" w:type="dxa"/>
            <w:vAlign w:val="center"/>
          </w:tcPr>
          <w:p w14:paraId="2244E6B4">
            <w:pPr>
              <w:spacing w:line="240" w:lineRule="exact"/>
              <w:jc w:val="left"/>
              <w:rPr>
                <w:color w:val="auto"/>
                <w:kern w:val="0"/>
                <w:szCs w:val="21"/>
                <w:highlight w:val="none"/>
              </w:rPr>
            </w:pP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p>
          <w:p w14:paraId="48533BD7">
            <w:pPr>
              <w:spacing w:line="240" w:lineRule="exact"/>
              <w:jc w:val="left"/>
              <w:rPr>
                <w:color w:val="auto"/>
                <w:szCs w:val="21"/>
                <w:highlight w:val="none"/>
              </w:rPr>
            </w:pPr>
            <w:r>
              <w:rPr>
                <w:color w:val="auto"/>
                <w:szCs w:val="21"/>
                <w:highlight w:val="none"/>
              </w:rPr>
              <w:t>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供应商直接控股股东、管理关系信息表</w:t>
            </w:r>
            <w:r>
              <w:rPr>
                <w:color w:val="auto"/>
                <w:szCs w:val="21"/>
                <w:highlight w:val="none"/>
              </w:rPr>
              <w:t>”。</w:t>
            </w:r>
          </w:p>
        </w:tc>
      </w:tr>
      <w:tr w14:paraId="7FBC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6CD90BC1">
            <w:pPr>
              <w:spacing w:line="240" w:lineRule="exact"/>
              <w:jc w:val="left"/>
              <w:rPr>
                <w:color w:val="auto"/>
                <w:kern w:val="0"/>
                <w:szCs w:val="21"/>
                <w:highlight w:val="none"/>
              </w:rPr>
            </w:pPr>
          </w:p>
        </w:tc>
        <w:tc>
          <w:tcPr>
            <w:tcW w:w="1843" w:type="dxa"/>
            <w:vAlign w:val="center"/>
          </w:tcPr>
          <w:p w14:paraId="5DA4E492">
            <w:pPr>
              <w:spacing w:line="240" w:lineRule="exact"/>
              <w:jc w:val="left"/>
              <w:rPr>
                <w:color w:val="auto"/>
                <w:kern w:val="0"/>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）诚信要求</w:t>
            </w:r>
          </w:p>
        </w:tc>
        <w:tc>
          <w:tcPr>
            <w:tcW w:w="6242" w:type="dxa"/>
          </w:tcPr>
          <w:p w14:paraId="19E19FD1">
            <w:pPr>
              <w:spacing w:line="240" w:lineRule="exact"/>
              <w:jc w:val="left"/>
              <w:rPr>
                <w:color w:val="auto"/>
                <w:kern w:val="0"/>
                <w:szCs w:val="21"/>
                <w:highlight w:val="none"/>
              </w:rPr>
            </w:pPr>
            <w:r>
              <w:rPr>
                <w:rFonts w:hint="eastAsia"/>
                <w:color w:val="auto"/>
                <w:szCs w:val="21"/>
                <w:highlight w:val="none"/>
              </w:rPr>
              <w:t>未被列入失信被执行人、</w:t>
            </w:r>
            <w:r>
              <w:rPr>
                <w:color w:val="auto"/>
                <w:szCs w:val="21"/>
                <w:highlight w:val="none"/>
              </w:rPr>
              <w:t>重大税收违法失信主体、政府采购严重违法失信行为记录名单</w:t>
            </w:r>
            <w:r>
              <w:rPr>
                <w:rFonts w:hint="eastAsia"/>
                <w:color w:val="auto"/>
                <w:szCs w:val="21"/>
                <w:highlight w:val="none"/>
              </w:rPr>
              <w:t>。</w:t>
            </w:r>
          </w:p>
        </w:tc>
      </w:tr>
      <w:tr w14:paraId="0E95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077253D4">
            <w:pPr>
              <w:spacing w:line="240" w:lineRule="exact"/>
              <w:jc w:val="left"/>
              <w:rPr>
                <w:color w:val="auto"/>
                <w:kern w:val="0"/>
                <w:szCs w:val="21"/>
                <w:highlight w:val="none"/>
              </w:rPr>
            </w:pPr>
          </w:p>
        </w:tc>
        <w:tc>
          <w:tcPr>
            <w:tcW w:w="1843" w:type="dxa"/>
            <w:vAlign w:val="center"/>
          </w:tcPr>
          <w:p w14:paraId="48069BE5">
            <w:pPr>
              <w:spacing w:line="240" w:lineRule="exact"/>
              <w:jc w:val="left"/>
              <w:rPr>
                <w:color w:val="auto"/>
                <w:szCs w:val="21"/>
                <w:highlight w:val="none"/>
              </w:rPr>
            </w:pPr>
            <w:r>
              <w:rPr>
                <w:rFonts w:hint="eastAsia"/>
                <w:color w:val="auto"/>
                <w:szCs w:val="21"/>
                <w:highlight w:val="none"/>
              </w:rPr>
              <w:t>（5）分公司</w:t>
            </w:r>
          </w:p>
        </w:tc>
        <w:tc>
          <w:tcPr>
            <w:tcW w:w="6242" w:type="dxa"/>
            <w:vAlign w:val="center"/>
          </w:tcPr>
          <w:p w14:paraId="40977CA7">
            <w:pPr>
              <w:spacing w:line="240" w:lineRule="exact"/>
              <w:rPr>
                <w:color w:val="auto"/>
                <w:szCs w:val="21"/>
                <w:highlight w:val="none"/>
              </w:rPr>
            </w:pPr>
            <w:r>
              <w:rPr>
                <w:rFonts w:hint="eastAsia"/>
                <w:color w:val="auto"/>
                <w:szCs w:val="21"/>
                <w:highlight w:val="none"/>
              </w:rPr>
              <w:t>允许分公司参与响应的，供应商须提供总公司出具的授权其参与本项目的授权文件或制度。</w:t>
            </w:r>
          </w:p>
        </w:tc>
      </w:tr>
      <w:tr w14:paraId="46A0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2973BF54">
            <w:pPr>
              <w:spacing w:line="240" w:lineRule="exact"/>
              <w:jc w:val="left"/>
              <w:rPr>
                <w:color w:val="auto"/>
                <w:kern w:val="0"/>
                <w:szCs w:val="21"/>
                <w:highlight w:val="none"/>
              </w:rPr>
            </w:pPr>
          </w:p>
        </w:tc>
        <w:tc>
          <w:tcPr>
            <w:tcW w:w="1843" w:type="dxa"/>
            <w:vAlign w:val="center"/>
          </w:tcPr>
          <w:p w14:paraId="587FD4DA">
            <w:pPr>
              <w:spacing w:line="240" w:lineRule="exact"/>
              <w:jc w:val="left"/>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）分包</w:t>
            </w:r>
          </w:p>
        </w:tc>
        <w:tc>
          <w:tcPr>
            <w:tcW w:w="6242" w:type="dxa"/>
            <w:vAlign w:val="center"/>
          </w:tcPr>
          <w:p w14:paraId="3B159925">
            <w:pPr>
              <w:spacing w:line="240" w:lineRule="exact"/>
              <w:rPr>
                <w:color w:val="auto"/>
                <w:szCs w:val="21"/>
                <w:highlight w:val="none"/>
                <w:lang w:val="zh-CN"/>
              </w:rPr>
            </w:pPr>
            <w:r>
              <w:rPr>
                <w:color w:val="auto"/>
                <w:szCs w:val="21"/>
                <w:highlight w:val="none"/>
              </w:rPr>
              <w:t>须符合</w:t>
            </w:r>
            <w:r>
              <w:rPr>
                <w:rFonts w:hint="eastAsia"/>
                <w:color w:val="auto"/>
                <w:szCs w:val="21"/>
                <w:highlight w:val="none"/>
              </w:rPr>
              <w:t>“磋商公告”</w:t>
            </w:r>
            <w:r>
              <w:rPr>
                <w:color w:val="auto"/>
                <w:szCs w:val="21"/>
                <w:highlight w:val="none"/>
              </w:rPr>
              <w:t>的要求</w:t>
            </w:r>
          </w:p>
        </w:tc>
      </w:tr>
      <w:tr w14:paraId="1BEE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27C2B86F">
            <w:pPr>
              <w:spacing w:line="240" w:lineRule="exact"/>
              <w:jc w:val="left"/>
              <w:rPr>
                <w:color w:val="auto"/>
                <w:kern w:val="0"/>
                <w:szCs w:val="21"/>
                <w:highlight w:val="none"/>
              </w:rPr>
            </w:pPr>
          </w:p>
        </w:tc>
        <w:tc>
          <w:tcPr>
            <w:tcW w:w="1843" w:type="dxa"/>
            <w:vAlign w:val="center"/>
          </w:tcPr>
          <w:p w14:paraId="742A4C5E">
            <w:pPr>
              <w:spacing w:line="240" w:lineRule="exact"/>
              <w:jc w:val="left"/>
              <w:rPr>
                <w:color w:val="auto"/>
                <w:szCs w:val="21"/>
                <w:highlight w:val="none"/>
              </w:rPr>
            </w:pPr>
            <w:r>
              <w:rPr>
                <w:rFonts w:hint="eastAsia"/>
                <w:color w:val="auto"/>
                <w:szCs w:val="21"/>
                <w:highlight w:val="none"/>
              </w:rPr>
              <w:t>（</w:t>
            </w:r>
            <w:r>
              <w:rPr>
                <w:color w:val="auto"/>
                <w:szCs w:val="21"/>
                <w:highlight w:val="none"/>
              </w:rPr>
              <w:t>7</w:t>
            </w:r>
            <w:r>
              <w:rPr>
                <w:rFonts w:hint="eastAsia"/>
                <w:color w:val="auto"/>
                <w:szCs w:val="21"/>
                <w:highlight w:val="none"/>
              </w:rPr>
              <w:t>）联合体</w:t>
            </w:r>
          </w:p>
        </w:tc>
        <w:tc>
          <w:tcPr>
            <w:tcW w:w="6242" w:type="dxa"/>
            <w:vAlign w:val="center"/>
          </w:tcPr>
          <w:p w14:paraId="15C0AE62">
            <w:pPr>
              <w:spacing w:line="240" w:lineRule="exact"/>
              <w:rPr>
                <w:color w:val="auto"/>
                <w:szCs w:val="21"/>
                <w:highlight w:val="none"/>
              </w:rPr>
            </w:pPr>
            <w:r>
              <w:rPr>
                <w:rFonts w:hint="eastAsia"/>
                <w:color w:val="auto"/>
                <w:szCs w:val="21"/>
                <w:highlight w:val="none"/>
              </w:rPr>
              <w:t>本项目不接受联合体响应</w:t>
            </w:r>
          </w:p>
        </w:tc>
      </w:tr>
      <w:tr w14:paraId="26FCF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2C64DB13">
            <w:pPr>
              <w:spacing w:line="240" w:lineRule="exact"/>
              <w:jc w:val="left"/>
              <w:rPr>
                <w:color w:val="auto"/>
                <w:kern w:val="0"/>
                <w:szCs w:val="21"/>
                <w:highlight w:val="none"/>
              </w:rPr>
            </w:pPr>
          </w:p>
        </w:tc>
        <w:tc>
          <w:tcPr>
            <w:tcW w:w="1843" w:type="dxa"/>
            <w:vAlign w:val="center"/>
          </w:tcPr>
          <w:p w14:paraId="34354065">
            <w:pPr>
              <w:spacing w:line="240" w:lineRule="exact"/>
              <w:jc w:val="left"/>
              <w:rPr>
                <w:color w:val="auto"/>
                <w:szCs w:val="21"/>
                <w:highlight w:val="none"/>
              </w:rPr>
            </w:pPr>
            <w:r>
              <w:rPr>
                <w:rFonts w:hint="eastAsia"/>
                <w:color w:val="auto"/>
                <w:szCs w:val="21"/>
                <w:highlight w:val="none"/>
              </w:rPr>
              <w:t>（</w:t>
            </w:r>
            <w:r>
              <w:rPr>
                <w:color w:val="auto"/>
                <w:szCs w:val="21"/>
                <w:highlight w:val="none"/>
              </w:rPr>
              <w:t>8</w:t>
            </w:r>
            <w:r>
              <w:rPr>
                <w:rFonts w:hint="eastAsia"/>
                <w:color w:val="auto"/>
                <w:szCs w:val="21"/>
                <w:highlight w:val="none"/>
              </w:rPr>
              <w:t>）其他要求</w:t>
            </w:r>
          </w:p>
        </w:tc>
        <w:tc>
          <w:tcPr>
            <w:tcW w:w="6242" w:type="dxa"/>
            <w:vAlign w:val="center"/>
          </w:tcPr>
          <w:p w14:paraId="79F42A05">
            <w:pPr>
              <w:spacing w:line="312" w:lineRule="auto"/>
              <w:rPr>
                <w:color w:val="auto"/>
                <w:kern w:val="0"/>
                <w:szCs w:val="21"/>
                <w:highlight w:val="none"/>
              </w:rPr>
            </w:pPr>
            <w:r>
              <w:rPr>
                <w:rFonts w:hint="eastAsia"/>
                <w:color w:val="auto"/>
                <w:kern w:val="0"/>
                <w:szCs w:val="21"/>
                <w:highlight w:val="none"/>
              </w:rPr>
              <w:t>按</w:t>
            </w:r>
            <w:r>
              <w:rPr>
                <w:color w:val="auto"/>
                <w:kern w:val="0"/>
                <w:szCs w:val="21"/>
                <w:highlight w:val="none"/>
              </w:rPr>
              <w:t>照</w:t>
            </w:r>
            <w:r>
              <w:rPr>
                <w:rFonts w:hint="eastAsia"/>
                <w:color w:val="auto"/>
                <w:kern w:val="0"/>
                <w:szCs w:val="21"/>
                <w:highlight w:val="none"/>
              </w:rPr>
              <w:t>磋商</w:t>
            </w:r>
            <w:r>
              <w:rPr>
                <w:color w:val="auto"/>
                <w:kern w:val="0"/>
                <w:szCs w:val="21"/>
                <w:highlight w:val="none"/>
              </w:rPr>
              <w:t>公告规定获得</w:t>
            </w:r>
            <w:r>
              <w:rPr>
                <w:rFonts w:hint="eastAsia"/>
                <w:color w:val="auto"/>
                <w:kern w:val="0"/>
                <w:szCs w:val="21"/>
                <w:highlight w:val="none"/>
              </w:rPr>
              <w:t>采购</w:t>
            </w:r>
            <w:r>
              <w:rPr>
                <w:color w:val="auto"/>
                <w:kern w:val="0"/>
                <w:szCs w:val="21"/>
                <w:highlight w:val="none"/>
              </w:rPr>
              <w:t>文件。</w:t>
            </w:r>
            <w:r>
              <w:rPr>
                <w:rFonts w:hint="eastAsia"/>
                <w:color w:val="auto"/>
                <w:kern w:val="0"/>
                <w:szCs w:val="21"/>
                <w:highlight w:val="none"/>
              </w:rPr>
              <w:t>足额、及时缴纳磋商保证金。</w:t>
            </w:r>
          </w:p>
        </w:tc>
      </w:tr>
    </w:tbl>
    <w:p w14:paraId="52D050BC">
      <w:pPr>
        <w:spacing w:before="120" w:line="320" w:lineRule="atLeast"/>
        <w:ind w:firstLine="413" w:firstLineChars="196"/>
        <w:outlineLvl w:val="1"/>
        <w:rPr>
          <w:color w:val="auto"/>
          <w:szCs w:val="21"/>
          <w:highlight w:val="none"/>
        </w:rPr>
      </w:pPr>
      <w:r>
        <w:rPr>
          <w:b/>
          <w:bCs/>
          <w:color w:val="auto"/>
          <w:kern w:val="0"/>
          <w:szCs w:val="21"/>
          <w:highlight w:val="none"/>
        </w:rPr>
        <w:t>3</w:t>
      </w:r>
      <w:r>
        <w:rPr>
          <w:rFonts w:hint="eastAsia"/>
          <w:b/>
          <w:bCs/>
          <w:color w:val="auto"/>
          <w:kern w:val="0"/>
          <w:szCs w:val="21"/>
          <w:highlight w:val="none"/>
        </w:rPr>
        <w:t>.</w:t>
      </w:r>
      <w:r>
        <w:rPr>
          <w:b/>
          <w:bCs/>
          <w:color w:val="auto"/>
          <w:kern w:val="0"/>
          <w:szCs w:val="21"/>
          <w:highlight w:val="none"/>
        </w:rPr>
        <w:t>符合性审查</w:t>
      </w:r>
      <w:r>
        <w:rPr>
          <w:rFonts w:hint="eastAsia"/>
          <w:b/>
          <w:bCs/>
          <w:color w:val="auto"/>
          <w:kern w:val="0"/>
          <w:szCs w:val="21"/>
          <w:highlight w:val="none"/>
        </w:rPr>
        <w:t>标准（不满足任何一项审查内容要求，符合性审查即为不合格）</w:t>
      </w:r>
    </w:p>
    <w:tbl>
      <w:tblPr>
        <w:tblStyle w:val="53"/>
        <w:tblW w:w="89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2333"/>
        <w:gridCol w:w="5085"/>
      </w:tblGrid>
      <w:tr w14:paraId="21ED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Align w:val="center"/>
          </w:tcPr>
          <w:p w14:paraId="1CB6280C">
            <w:pPr>
              <w:spacing w:line="240" w:lineRule="exact"/>
              <w:jc w:val="center"/>
              <w:rPr>
                <w:b/>
                <w:color w:val="auto"/>
                <w:kern w:val="0"/>
                <w:szCs w:val="21"/>
                <w:highlight w:val="none"/>
              </w:rPr>
            </w:pPr>
            <w:bookmarkStart w:id="111" w:name="_Hlk48146640"/>
            <w:bookmarkStart w:id="112" w:name="_Hlk20388968"/>
            <w:r>
              <w:rPr>
                <w:rFonts w:hint="eastAsia"/>
                <w:b/>
                <w:color w:val="auto"/>
                <w:kern w:val="0"/>
                <w:szCs w:val="21"/>
                <w:highlight w:val="none"/>
              </w:rPr>
              <w:t>审查</w:t>
            </w:r>
            <w:r>
              <w:rPr>
                <w:b/>
                <w:color w:val="auto"/>
                <w:kern w:val="0"/>
                <w:szCs w:val="21"/>
                <w:highlight w:val="none"/>
              </w:rPr>
              <w:t>因素</w:t>
            </w:r>
          </w:p>
        </w:tc>
        <w:tc>
          <w:tcPr>
            <w:tcW w:w="2333" w:type="dxa"/>
            <w:vAlign w:val="center"/>
          </w:tcPr>
          <w:p w14:paraId="132B0F7B">
            <w:pPr>
              <w:spacing w:line="240" w:lineRule="exact"/>
              <w:jc w:val="center"/>
              <w:rPr>
                <w:b/>
                <w:color w:val="auto"/>
                <w:kern w:val="0"/>
                <w:szCs w:val="21"/>
                <w:highlight w:val="none"/>
              </w:rPr>
            </w:pPr>
            <w:r>
              <w:rPr>
                <w:rFonts w:hint="eastAsia"/>
                <w:b/>
                <w:color w:val="auto"/>
                <w:kern w:val="0"/>
                <w:szCs w:val="21"/>
                <w:highlight w:val="none"/>
              </w:rPr>
              <w:t>审查内容</w:t>
            </w:r>
          </w:p>
        </w:tc>
        <w:tc>
          <w:tcPr>
            <w:tcW w:w="5085" w:type="dxa"/>
          </w:tcPr>
          <w:p w14:paraId="75FDA138">
            <w:pPr>
              <w:spacing w:line="240" w:lineRule="exact"/>
              <w:jc w:val="center"/>
              <w:rPr>
                <w:b/>
                <w:color w:val="auto"/>
                <w:kern w:val="0"/>
                <w:szCs w:val="21"/>
                <w:highlight w:val="none"/>
              </w:rPr>
            </w:pPr>
          </w:p>
          <w:p w14:paraId="1E1EE2BF">
            <w:pPr>
              <w:spacing w:line="240" w:lineRule="exact"/>
              <w:jc w:val="center"/>
              <w:rPr>
                <w:b/>
                <w:color w:val="auto"/>
                <w:kern w:val="0"/>
                <w:szCs w:val="21"/>
                <w:highlight w:val="none"/>
              </w:rPr>
            </w:pPr>
            <w:r>
              <w:rPr>
                <w:rFonts w:hint="eastAsia"/>
                <w:b/>
                <w:color w:val="auto"/>
                <w:kern w:val="0"/>
                <w:szCs w:val="21"/>
                <w:highlight w:val="none"/>
              </w:rPr>
              <w:t>说明</w:t>
            </w:r>
          </w:p>
        </w:tc>
      </w:tr>
      <w:tr w14:paraId="3822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1512" w:type="dxa"/>
            <w:vMerge w:val="restart"/>
            <w:vAlign w:val="center"/>
          </w:tcPr>
          <w:p w14:paraId="30757DEB">
            <w:pPr>
              <w:spacing w:line="240" w:lineRule="exact"/>
              <w:jc w:val="center"/>
              <w:rPr>
                <w:color w:val="auto"/>
                <w:kern w:val="0"/>
                <w:szCs w:val="21"/>
                <w:highlight w:val="none"/>
              </w:rPr>
            </w:pPr>
            <w:r>
              <w:rPr>
                <w:rFonts w:hint="eastAsia"/>
                <w:color w:val="auto"/>
                <w:kern w:val="0"/>
                <w:szCs w:val="21"/>
                <w:highlight w:val="none"/>
              </w:rPr>
              <w:t>商务资信</w:t>
            </w:r>
          </w:p>
        </w:tc>
        <w:tc>
          <w:tcPr>
            <w:tcW w:w="2333" w:type="dxa"/>
            <w:vAlign w:val="center"/>
          </w:tcPr>
          <w:p w14:paraId="266C7079">
            <w:pPr>
              <w:spacing w:line="240" w:lineRule="exact"/>
              <w:rPr>
                <w:color w:val="auto"/>
                <w:highlight w:val="none"/>
              </w:rPr>
            </w:pPr>
            <w:r>
              <w:rPr>
                <w:rFonts w:hint="eastAsia"/>
                <w:color w:val="auto"/>
                <w:highlight w:val="none"/>
              </w:rPr>
              <w:t>法定代表人身份证明及授权委托书</w:t>
            </w:r>
          </w:p>
        </w:tc>
        <w:tc>
          <w:tcPr>
            <w:tcW w:w="5085" w:type="dxa"/>
            <w:vAlign w:val="center"/>
          </w:tcPr>
          <w:p w14:paraId="29238C1A">
            <w:pPr>
              <w:spacing w:line="240" w:lineRule="exact"/>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参加响应</w:t>
            </w:r>
            <w:r>
              <w:rPr>
                <w:color w:val="auto"/>
                <w:szCs w:val="21"/>
                <w:highlight w:val="none"/>
              </w:rPr>
              <w:t>时审查</w:t>
            </w:r>
            <w:r>
              <w:rPr>
                <w:color w:val="auto"/>
                <w:highlight w:val="none"/>
              </w:rPr>
              <w:t>：</w:t>
            </w:r>
            <w:r>
              <w:rPr>
                <w:rFonts w:ascii="宋体" w:hAnsi="宋体"/>
                <w:color w:val="auto"/>
                <w:szCs w:val="21"/>
                <w:highlight w:val="none"/>
              </w:rPr>
              <w:t>法定代表人授权委托书及附件</w:t>
            </w:r>
            <w:r>
              <w:rPr>
                <w:color w:val="auto"/>
                <w:szCs w:val="21"/>
                <w:highlight w:val="none"/>
              </w:rPr>
              <w:t xml:space="preserve"> </w:t>
            </w:r>
          </w:p>
          <w:p w14:paraId="53C2997C">
            <w:pPr>
              <w:spacing w:line="240" w:lineRule="exact"/>
              <w:rPr>
                <w:rFonts w:hint="eastAsia" w:ascii="宋体" w:hAnsi="宋体"/>
                <w:color w:val="auto"/>
                <w:szCs w:val="21"/>
                <w:highlight w:val="none"/>
              </w:rPr>
            </w:pPr>
            <w:r>
              <w:rPr>
                <w:rFonts w:hint="eastAsia"/>
                <w:color w:val="auto"/>
                <w:szCs w:val="21"/>
                <w:highlight w:val="none"/>
              </w:rPr>
              <w:t>法定代表人直接参加响应</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w:t>
            </w:r>
          </w:p>
          <w:p w14:paraId="6B87144B">
            <w:pPr>
              <w:spacing w:line="240" w:lineRule="exact"/>
              <w:rPr>
                <w:color w:val="auto"/>
                <w:highlight w:val="none"/>
              </w:rPr>
            </w:pPr>
            <w:r>
              <w:rPr>
                <w:rFonts w:ascii="宋体" w:hAnsi="宋体"/>
                <w:color w:val="auto"/>
                <w:szCs w:val="21"/>
                <w:highlight w:val="none"/>
              </w:rPr>
              <w:t>格式及附件见第六章响应文件格式要求</w:t>
            </w:r>
          </w:p>
        </w:tc>
      </w:tr>
      <w:tr w14:paraId="4A46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vAlign w:val="center"/>
          </w:tcPr>
          <w:p w14:paraId="1C4EC73D">
            <w:pPr>
              <w:spacing w:line="240" w:lineRule="exact"/>
              <w:jc w:val="center"/>
              <w:rPr>
                <w:color w:val="auto"/>
                <w:kern w:val="0"/>
                <w:szCs w:val="21"/>
                <w:highlight w:val="none"/>
              </w:rPr>
            </w:pPr>
          </w:p>
        </w:tc>
        <w:tc>
          <w:tcPr>
            <w:tcW w:w="2333" w:type="dxa"/>
            <w:vAlign w:val="center"/>
          </w:tcPr>
          <w:p w14:paraId="153E2350">
            <w:pPr>
              <w:spacing w:line="240" w:lineRule="exact"/>
              <w:rPr>
                <w:color w:val="auto"/>
                <w:szCs w:val="21"/>
                <w:highlight w:val="none"/>
              </w:rPr>
            </w:pPr>
            <w:r>
              <w:rPr>
                <w:rFonts w:hint="eastAsia"/>
                <w:color w:val="auto"/>
                <w:szCs w:val="21"/>
                <w:highlight w:val="none"/>
              </w:rPr>
              <w:t>实质性条款响应</w:t>
            </w:r>
          </w:p>
        </w:tc>
        <w:tc>
          <w:tcPr>
            <w:tcW w:w="5085" w:type="dxa"/>
            <w:vAlign w:val="center"/>
          </w:tcPr>
          <w:p w14:paraId="0BDD77BA">
            <w:pPr>
              <w:spacing w:line="240" w:lineRule="exact"/>
              <w:rPr>
                <w:color w:val="auto"/>
                <w:szCs w:val="21"/>
                <w:highlight w:val="none"/>
              </w:rPr>
            </w:pPr>
            <w:r>
              <w:rPr>
                <w:rFonts w:hint="eastAsia" w:ascii="宋体" w:hAnsi="宋体"/>
                <w:color w:val="auto"/>
                <w:szCs w:val="21"/>
                <w:highlight w:val="none"/>
              </w:rPr>
              <w:t>采购文件实质性要求响应均无负偏离</w:t>
            </w:r>
          </w:p>
        </w:tc>
      </w:tr>
      <w:tr w14:paraId="7172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vAlign w:val="center"/>
          </w:tcPr>
          <w:p w14:paraId="197B129C">
            <w:pPr>
              <w:spacing w:line="240" w:lineRule="exact"/>
              <w:jc w:val="center"/>
              <w:rPr>
                <w:color w:val="auto"/>
                <w:kern w:val="0"/>
                <w:szCs w:val="21"/>
                <w:highlight w:val="none"/>
              </w:rPr>
            </w:pPr>
          </w:p>
        </w:tc>
        <w:tc>
          <w:tcPr>
            <w:tcW w:w="2333" w:type="dxa"/>
            <w:vAlign w:val="center"/>
          </w:tcPr>
          <w:p w14:paraId="2185BD18">
            <w:pPr>
              <w:spacing w:line="240" w:lineRule="exact"/>
              <w:rPr>
                <w:color w:val="auto"/>
                <w:szCs w:val="21"/>
                <w:highlight w:val="none"/>
              </w:rPr>
            </w:pPr>
            <w:r>
              <w:rPr>
                <w:rFonts w:hint="eastAsia"/>
                <w:color w:val="auto"/>
                <w:szCs w:val="21"/>
                <w:highlight w:val="none"/>
              </w:rPr>
              <w:t>串通投标</w:t>
            </w:r>
          </w:p>
        </w:tc>
        <w:tc>
          <w:tcPr>
            <w:tcW w:w="5085" w:type="dxa"/>
            <w:vAlign w:val="center"/>
          </w:tcPr>
          <w:p w14:paraId="22B41411">
            <w:pPr>
              <w:spacing w:line="240" w:lineRule="exact"/>
              <w:rPr>
                <w:color w:val="auto"/>
                <w:szCs w:val="21"/>
                <w:highlight w:val="none"/>
              </w:rPr>
            </w:pPr>
            <w:r>
              <w:rPr>
                <w:rFonts w:hint="eastAsia" w:ascii="宋体" w:hAnsi="宋体"/>
                <w:color w:val="auto"/>
                <w:szCs w:val="21"/>
                <w:highlight w:val="none"/>
              </w:rPr>
              <w:t>不属于供应商须知正文第</w:t>
            </w: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.9规定的串通投标情形，见</w:t>
            </w:r>
            <w:r>
              <w:rPr>
                <w:rFonts w:ascii="宋体" w:hAnsi="宋体"/>
                <w:color w:val="auto"/>
                <w:szCs w:val="21"/>
                <w:highlight w:val="none"/>
              </w:rPr>
              <w:t>第六章响应文件格式要求</w:t>
            </w:r>
          </w:p>
        </w:tc>
      </w:tr>
      <w:tr w14:paraId="72DC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restart"/>
            <w:vAlign w:val="center"/>
          </w:tcPr>
          <w:p w14:paraId="54C66615">
            <w:pPr>
              <w:spacing w:line="240" w:lineRule="exact"/>
              <w:jc w:val="center"/>
              <w:rPr>
                <w:color w:val="auto"/>
                <w:kern w:val="0"/>
                <w:szCs w:val="21"/>
                <w:highlight w:val="none"/>
              </w:rPr>
            </w:pPr>
            <w:r>
              <w:rPr>
                <w:rFonts w:hint="eastAsia"/>
                <w:color w:val="auto"/>
                <w:kern w:val="0"/>
                <w:szCs w:val="21"/>
                <w:highlight w:val="none"/>
              </w:rPr>
              <w:t>报价</w:t>
            </w:r>
          </w:p>
        </w:tc>
        <w:tc>
          <w:tcPr>
            <w:tcW w:w="2333" w:type="dxa"/>
            <w:vAlign w:val="center"/>
          </w:tcPr>
          <w:p w14:paraId="5A472931">
            <w:pPr>
              <w:spacing w:line="240" w:lineRule="exact"/>
              <w:rPr>
                <w:color w:val="auto"/>
                <w:szCs w:val="21"/>
                <w:highlight w:val="none"/>
              </w:rPr>
            </w:pPr>
            <w:r>
              <w:rPr>
                <w:rFonts w:hint="eastAsia"/>
                <w:color w:val="auto"/>
                <w:szCs w:val="21"/>
                <w:highlight w:val="none"/>
              </w:rPr>
              <w:t>有效报价</w:t>
            </w:r>
          </w:p>
        </w:tc>
        <w:tc>
          <w:tcPr>
            <w:tcW w:w="5085" w:type="dxa"/>
            <w:vAlign w:val="center"/>
          </w:tcPr>
          <w:p w14:paraId="77041669">
            <w:pPr>
              <w:spacing w:line="240" w:lineRule="exact"/>
              <w:rPr>
                <w:bCs/>
                <w:color w:val="auto"/>
                <w:kern w:val="0"/>
                <w:szCs w:val="21"/>
                <w:highlight w:val="none"/>
              </w:rPr>
            </w:pPr>
            <w:r>
              <w:rPr>
                <w:rFonts w:hint="eastAsia"/>
                <w:color w:val="auto"/>
                <w:highlight w:val="none"/>
                <w:lang w:bidi="ar"/>
              </w:rPr>
              <w:t>报价未超出采购预算金额，也未超出最高限价（如有）</w:t>
            </w:r>
            <w:r>
              <w:rPr>
                <w:rFonts w:ascii="宋体" w:hAnsi="宋体" w:cs="宋体"/>
                <w:color w:val="auto"/>
                <w:sz w:val="24"/>
                <w:highlight w:val="none"/>
              </w:rPr>
              <w:t xml:space="preserve"> </w:t>
            </w:r>
          </w:p>
        </w:tc>
      </w:tr>
      <w:tr w14:paraId="2C9D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1A4A2A0C">
            <w:pPr>
              <w:spacing w:line="240" w:lineRule="exact"/>
              <w:jc w:val="center"/>
              <w:rPr>
                <w:color w:val="auto"/>
                <w:kern w:val="0"/>
                <w:szCs w:val="21"/>
                <w:highlight w:val="none"/>
              </w:rPr>
            </w:pPr>
          </w:p>
        </w:tc>
        <w:tc>
          <w:tcPr>
            <w:tcW w:w="2333" w:type="dxa"/>
            <w:vAlign w:val="center"/>
          </w:tcPr>
          <w:p w14:paraId="2A3BBC24">
            <w:pPr>
              <w:spacing w:line="240" w:lineRule="exact"/>
              <w:rPr>
                <w:bCs/>
                <w:color w:val="auto"/>
                <w:kern w:val="0"/>
                <w:szCs w:val="21"/>
                <w:highlight w:val="none"/>
              </w:rPr>
            </w:pPr>
            <w:r>
              <w:rPr>
                <w:rFonts w:hint="eastAsia"/>
                <w:bCs/>
                <w:color w:val="auto"/>
                <w:kern w:val="0"/>
                <w:szCs w:val="21"/>
                <w:highlight w:val="none"/>
              </w:rPr>
              <w:t>漏项报价</w:t>
            </w:r>
          </w:p>
        </w:tc>
        <w:tc>
          <w:tcPr>
            <w:tcW w:w="5085" w:type="dxa"/>
            <w:vAlign w:val="center"/>
          </w:tcPr>
          <w:p w14:paraId="50AD8A3E">
            <w:pPr>
              <w:spacing w:line="240" w:lineRule="exact"/>
              <w:rPr>
                <w:rFonts w:hint="eastAsia" w:hAnsi="宋体"/>
                <w:color w:val="auto"/>
                <w:szCs w:val="21"/>
                <w:highlight w:val="none"/>
              </w:rPr>
            </w:pPr>
            <w:r>
              <w:rPr>
                <w:rFonts w:hint="eastAsia" w:ascii="宋体" w:hAnsi="宋体"/>
                <w:color w:val="auto"/>
                <w:szCs w:val="21"/>
                <w:highlight w:val="none"/>
              </w:rPr>
              <w:t>未就所投分标进行报价或者存在漏项报价；</w:t>
            </w:r>
          </w:p>
        </w:tc>
      </w:tr>
      <w:tr w14:paraId="0B2B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2981655F">
            <w:pPr>
              <w:spacing w:line="240" w:lineRule="exact"/>
              <w:jc w:val="center"/>
              <w:rPr>
                <w:color w:val="auto"/>
                <w:kern w:val="0"/>
                <w:szCs w:val="21"/>
                <w:highlight w:val="none"/>
              </w:rPr>
            </w:pPr>
          </w:p>
        </w:tc>
        <w:tc>
          <w:tcPr>
            <w:tcW w:w="2333" w:type="dxa"/>
            <w:vAlign w:val="center"/>
          </w:tcPr>
          <w:p w14:paraId="641AB85D">
            <w:pPr>
              <w:spacing w:line="240" w:lineRule="exact"/>
              <w:rPr>
                <w:rFonts w:hint="eastAsia" w:hAnsi="宋体"/>
                <w:color w:val="auto"/>
                <w:szCs w:val="21"/>
                <w:highlight w:val="none"/>
              </w:rPr>
            </w:pPr>
            <w:r>
              <w:rPr>
                <w:rFonts w:hint="eastAsia" w:hAnsi="宋体"/>
                <w:color w:val="auto"/>
                <w:szCs w:val="21"/>
                <w:highlight w:val="none"/>
              </w:rPr>
              <w:t>响应报价唯一性</w:t>
            </w:r>
          </w:p>
        </w:tc>
        <w:tc>
          <w:tcPr>
            <w:tcW w:w="5085" w:type="dxa"/>
            <w:vAlign w:val="center"/>
          </w:tcPr>
          <w:p w14:paraId="701FB33B">
            <w:pPr>
              <w:spacing w:line="240" w:lineRule="exact"/>
              <w:rPr>
                <w:color w:val="auto"/>
                <w:szCs w:val="21"/>
                <w:highlight w:val="none"/>
              </w:rPr>
            </w:pPr>
            <w:r>
              <w:rPr>
                <w:rFonts w:hint="eastAsia" w:ascii="宋体" w:hAnsi="宋体"/>
                <w:color w:val="auto"/>
                <w:szCs w:val="21"/>
                <w:highlight w:val="none"/>
              </w:rPr>
              <w:t>不存在有选择、有条件的最后报价（采购文件允许有备选方案或者其他约定的除外）</w:t>
            </w:r>
          </w:p>
        </w:tc>
      </w:tr>
      <w:tr w14:paraId="5941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2A00C7E2">
            <w:pPr>
              <w:spacing w:line="240" w:lineRule="exact"/>
              <w:jc w:val="center"/>
              <w:rPr>
                <w:color w:val="auto"/>
                <w:kern w:val="0"/>
                <w:szCs w:val="21"/>
                <w:highlight w:val="none"/>
              </w:rPr>
            </w:pPr>
          </w:p>
        </w:tc>
        <w:tc>
          <w:tcPr>
            <w:tcW w:w="2333" w:type="dxa"/>
            <w:vAlign w:val="center"/>
          </w:tcPr>
          <w:p w14:paraId="7B00E33E">
            <w:pPr>
              <w:spacing w:line="240" w:lineRule="exact"/>
              <w:rPr>
                <w:rFonts w:hint="eastAsia" w:ascii="宋体" w:hAnsi="宋体"/>
                <w:color w:val="auto"/>
                <w:szCs w:val="21"/>
                <w:highlight w:val="none"/>
              </w:rPr>
            </w:pPr>
            <w:r>
              <w:rPr>
                <w:rFonts w:hint="eastAsia" w:ascii="宋体" w:hAnsi="宋体"/>
                <w:color w:val="auto"/>
                <w:szCs w:val="21"/>
                <w:highlight w:val="none"/>
                <w:lang w:val="zh-CN"/>
              </w:rPr>
              <w:t>过低报价合理性</w:t>
            </w:r>
          </w:p>
        </w:tc>
        <w:tc>
          <w:tcPr>
            <w:tcW w:w="5085" w:type="dxa"/>
            <w:vAlign w:val="center"/>
          </w:tcPr>
          <w:p w14:paraId="6C1ABFED">
            <w:pPr>
              <w:spacing w:line="240" w:lineRule="exact"/>
              <w:rPr>
                <w:rFonts w:hint="eastAsia" w:ascii="宋体" w:hAnsi="宋体"/>
                <w:color w:val="auto"/>
                <w:szCs w:val="21"/>
                <w:highlight w:val="none"/>
              </w:rPr>
            </w:pPr>
            <w:r>
              <w:rPr>
                <w:rFonts w:hint="eastAsia" w:ascii="宋体" w:hAnsi="宋体"/>
                <w:color w:val="auto"/>
                <w:szCs w:val="21"/>
                <w:highlight w:val="none"/>
              </w:rPr>
              <w:t>供应商的报价存在异常低价问题的情形，评审委员会应当要求其在评标现场合理的时间内提供报价合理性相关的书面说明及必要的证明材料。供应商不能证明其报价合理性的，评审委员会应当将其作为无效投标处理。</w:t>
            </w:r>
          </w:p>
        </w:tc>
      </w:tr>
      <w:tr w14:paraId="3F28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4D0BEC7B">
            <w:pPr>
              <w:spacing w:line="240" w:lineRule="exact"/>
              <w:jc w:val="center"/>
              <w:rPr>
                <w:color w:val="auto"/>
                <w:kern w:val="0"/>
                <w:szCs w:val="21"/>
                <w:highlight w:val="none"/>
              </w:rPr>
            </w:pPr>
          </w:p>
        </w:tc>
        <w:tc>
          <w:tcPr>
            <w:tcW w:w="2333" w:type="dxa"/>
            <w:vAlign w:val="center"/>
          </w:tcPr>
          <w:p w14:paraId="5D7C1920">
            <w:pPr>
              <w:spacing w:line="240" w:lineRule="exact"/>
              <w:rPr>
                <w:rFonts w:hint="eastAsia" w:ascii="宋体" w:hAnsi="宋体"/>
                <w:color w:val="auto"/>
                <w:szCs w:val="21"/>
                <w:highlight w:val="none"/>
              </w:rPr>
            </w:pPr>
            <w:r>
              <w:rPr>
                <w:rFonts w:hint="eastAsia" w:ascii="宋体" w:hAnsi="宋体"/>
                <w:color w:val="auto"/>
                <w:szCs w:val="21"/>
                <w:highlight w:val="none"/>
              </w:rPr>
              <w:t>响应有效期</w:t>
            </w:r>
          </w:p>
        </w:tc>
        <w:tc>
          <w:tcPr>
            <w:tcW w:w="5085" w:type="dxa"/>
            <w:vAlign w:val="center"/>
          </w:tcPr>
          <w:p w14:paraId="7CDCD6C9">
            <w:pPr>
              <w:spacing w:line="240" w:lineRule="exact"/>
              <w:rPr>
                <w:rFonts w:hint="eastAsia" w:ascii="宋体" w:hAnsi="宋体"/>
                <w:color w:val="auto"/>
                <w:szCs w:val="21"/>
                <w:highlight w:val="none"/>
              </w:rPr>
            </w:pPr>
            <w:r>
              <w:rPr>
                <w:rFonts w:hint="eastAsia" w:ascii="宋体" w:hAnsi="宋体"/>
                <w:color w:val="auto"/>
                <w:szCs w:val="21"/>
                <w:highlight w:val="none"/>
              </w:rPr>
              <w:t>满足采购文件规定</w:t>
            </w:r>
          </w:p>
        </w:tc>
      </w:tr>
      <w:bookmarkEnd w:id="111"/>
      <w:bookmarkEnd w:id="112"/>
    </w:tbl>
    <w:p w14:paraId="1A8E29FB">
      <w:pPr>
        <w:spacing w:before="120" w:line="320" w:lineRule="atLeast"/>
        <w:rPr>
          <w:color w:val="auto"/>
          <w:highlight w:val="none"/>
        </w:rPr>
      </w:pPr>
    </w:p>
    <w:p w14:paraId="5AED4492">
      <w:pPr>
        <w:spacing w:before="120" w:line="320" w:lineRule="atLeast"/>
        <w:rPr>
          <w:color w:val="auto"/>
          <w:highlight w:val="none"/>
        </w:rPr>
      </w:pPr>
    </w:p>
    <w:p w14:paraId="5B6C6C54">
      <w:pPr>
        <w:tabs>
          <w:tab w:val="left" w:pos="1950"/>
        </w:tabs>
        <w:spacing w:before="120" w:line="320" w:lineRule="atLeast"/>
        <w:jc w:val="left"/>
        <w:outlineLvl w:val="1"/>
        <w:rPr>
          <w:b/>
          <w:bCs/>
          <w:color w:val="auto"/>
          <w:kern w:val="0"/>
          <w:szCs w:val="21"/>
          <w:highlight w:val="none"/>
        </w:rPr>
      </w:pPr>
      <w:r>
        <w:rPr>
          <w:b/>
          <w:bCs/>
          <w:color w:val="auto"/>
          <w:kern w:val="0"/>
          <w:highlight w:val="none"/>
        </w:rPr>
        <w:br w:type="page"/>
      </w:r>
      <w:r>
        <w:rPr>
          <w:b/>
          <w:bCs/>
          <w:color w:val="auto"/>
          <w:kern w:val="0"/>
          <w:szCs w:val="21"/>
          <w:highlight w:val="none"/>
        </w:rPr>
        <w:t>4.</w:t>
      </w:r>
      <w:r>
        <w:rPr>
          <w:rFonts w:hint="eastAsia"/>
          <w:b/>
          <w:bCs/>
          <w:color w:val="auto"/>
          <w:kern w:val="0"/>
          <w:szCs w:val="21"/>
          <w:highlight w:val="none"/>
        </w:rPr>
        <w:t>评审标准</w:t>
      </w:r>
    </w:p>
    <w:p w14:paraId="6984C3CE">
      <w:pPr>
        <w:tabs>
          <w:tab w:val="left" w:pos="1950"/>
        </w:tabs>
        <w:spacing w:before="120" w:line="320" w:lineRule="atLeast"/>
        <w:jc w:val="left"/>
        <w:outlineLvl w:val="1"/>
        <w:rPr>
          <w:b/>
          <w:bCs/>
          <w:color w:val="auto"/>
          <w:kern w:val="0"/>
          <w:szCs w:val="21"/>
          <w:highlight w:val="none"/>
        </w:rPr>
      </w:pPr>
      <w:r>
        <w:rPr>
          <w:rFonts w:hint="eastAsia"/>
          <w:b/>
          <w:bCs/>
          <w:color w:val="auto"/>
          <w:kern w:val="0"/>
          <w:szCs w:val="21"/>
          <w:highlight w:val="none"/>
        </w:rPr>
        <w:t>标项一：</w:t>
      </w:r>
    </w:p>
    <w:tbl>
      <w:tblPr>
        <w:tblStyle w:val="5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252"/>
        <w:gridCol w:w="692"/>
        <w:gridCol w:w="6768"/>
      </w:tblGrid>
      <w:tr w14:paraId="1CD6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blHeader/>
          <w:jc w:val="center"/>
        </w:trPr>
        <w:tc>
          <w:tcPr>
            <w:tcW w:w="646" w:type="dxa"/>
            <w:vAlign w:val="center"/>
          </w:tcPr>
          <w:p w14:paraId="28D21952">
            <w:pPr>
              <w:adjustRightInd w:val="0"/>
              <w:spacing w:line="41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131" w:type="dxa"/>
            <w:vAlign w:val="center"/>
          </w:tcPr>
          <w:p w14:paraId="6CAAE085">
            <w:pPr>
              <w:adjustRightInd w:val="0"/>
              <w:spacing w:line="410" w:lineRule="exact"/>
              <w:jc w:val="center"/>
              <w:textAlignment w:val="baseline"/>
              <w:rPr>
                <w:rFonts w:hint="eastAsia" w:ascii="宋体" w:hAnsi="宋体" w:cs="宋体"/>
                <w:color w:val="auto"/>
                <w:szCs w:val="21"/>
                <w:highlight w:val="none"/>
              </w:rPr>
            </w:pPr>
            <w:r>
              <w:rPr>
                <w:rFonts w:hint="eastAsia" w:ascii="宋体" w:hAnsi="宋体" w:cs="宋体"/>
                <w:b/>
                <w:color w:val="auto"/>
                <w:szCs w:val="21"/>
                <w:highlight w:val="none"/>
              </w:rPr>
              <w:t>评审因素</w:t>
            </w:r>
          </w:p>
        </w:tc>
        <w:tc>
          <w:tcPr>
            <w:tcW w:w="625" w:type="dxa"/>
            <w:vAlign w:val="center"/>
          </w:tcPr>
          <w:p w14:paraId="1CD9A12F">
            <w:pPr>
              <w:adjustRightInd w:val="0"/>
              <w:spacing w:line="41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分值</w:t>
            </w:r>
          </w:p>
        </w:tc>
        <w:tc>
          <w:tcPr>
            <w:tcW w:w="6116" w:type="dxa"/>
            <w:vAlign w:val="center"/>
          </w:tcPr>
          <w:p w14:paraId="0D7FB1C2">
            <w:pPr>
              <w:adjustRightInd w:val="0"/>
              <w:spacing w:line="41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评标标准</w:t>
            </w:r>
          </w:p>
        </w:tc>
      </w:tr>
      <w:tr w14:paraId="58BC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46" w:type="dxa"/>
            <w:vAlign w:val="center"/>
          </w:tcPr>
          <w:p w14:paraId="4494BE9A">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1131" w:type="dxa"/>
            <w:vAlign w:val="center"/>
          </w:tcPr>
          <w:p w14:paraId="3D1911AE">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报价</w:t>
            </w:r>
          </w:p>
        </w:tc>
        <w:tc>
          <w:tcPr>
            <w:tcW w:w="625" w:type="dxa"/>
            <w:vAlign w:val="center"/>
          </w:tcPr>
          <w:p w14:paraId="093DBB34">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10分</w:t>
            </w:r>
          </w:p>
        </w:tc>
        <w:tc>
          <w:tcPr>
            <w:tcW w:w="6116" w:type="dxa"/>
            <w:vAlign w:val="center"/>
          </w:tcPr>
          <w:p w14:paraId="71F812F9">
            <w:pPr>
              <w:pStyle w:val="28"/>
              <w:spacing w:line="420" w:lineRule="exact"/>
              <w:ind w:firstLine="210" w:firstLineChars="100"/>
              <w:rPr>
                <w:rFonts w:cs="宋体"/>
                <w:bCs/>
                <w:color w:val="auto"/>
                <w:highlight w:val="none"/>
              </w:rPr>
            </w:pPr>
            <w:r>
              <w:rPr>
                <w:rFonts w:hint="eastAsia" w:cs="宋体"/>
                <w:bCs/>
                <w:color w:val="auto"/>
                <w:highlight w:val="none"/>
              </w:rPr>
              <w:t>（1）评审价为供应商的最后报价，最终成交供应商的成交金额等于最后报价（如有修正，以确认修正后的最后报价为准）。</w:t>
            </w:r>
          </w:p>
          <w:p w14:paraId="379C86AA">
            <w:pPr>
              <w:pStyle w:val="28"/>
              <w:spacing w:line="420" w:lineRule="exact"/>
              <w:ind w:firstLine="210" w:firstLineChars="100"/>
              <w:rPr>
                <w:rFonts w:cs="宋体"/>
                <w:bCs/>
                <w:color w:val="auto"/>
                <w:highlight w:val="none"/>
              </w:rPr>
            </w:pPr>
            <w:r>
              <w:rPr>
                <w:rFonts w:hint="eastAsia" w:cs="宋体"/>
                <w:bCs/>
                <w:color w:val="auto"/>
                <w:highlight w:val="none"/>
              </w:rPr>
              <w:t>（2）本项目为专门面向中小企业采购的项目，参加本项目磋商的供应商必须为中小微企业，或监狱企业，或残疾人福利性单位，否则响应无效。价格评审时，参加本次项目响应的供应商不重复享受政策，其评审价=最后报价。</w:t>
            </w:r>
          </w:p>
          <w:p w14:paraId="23D672D6">
            <w:pPr>
              <w:pStyle w:val="28"/>
              <w:spacing w:line="420" w:lineRule="exact"/>
              <w:ind w:firstLine="210" w:firstLineChars="100"/>
              <w:rPr>
                <w:rFonts w:cs="宋体"/>
                <w:bCs/>
                <w:color w:val="auto"/>
                <w:highlight w:val="none"/>
              </w:rPr>
            </w:pPr>
            <w:r>
              <w:rPr>
                <w:rFonts w:hint="eastAsia" w:cs="宋体"/>
                <w:bCs/>
                <w:color w:val="auto"/>
                <w:highlight w:val="none"/>
              </w:rPr>
              <w:t>（3）以进入比较与评价环节的最低的评审价为基准价，基准价得分为10分。</w:t>
            </w:r>
          </w:p>
          <w:p w14:paraId="7DE69485">
            <w:pPr>
              <w:pStyle w:val="28"/>
              <w:spacing w:line="420" w:lineRule="exact"/>
              <w:ind w:firstLine="210" w:firstLineChars="100"/>
              <w:rPr>
                <w:rFonts w:cs="宋体"/>
                <w:bCs/>
                <w:color w:val="auto"/>
                <w:highlight w:val="none"/>
              </w:rPr>
            </w:pPr>
            <w:r>
              <w:rPr>
                <w:rFonts w:hint="eastAsia" w:cs="宋体"/>
                <w:bCs/>
                <w:color w:val="auto"/>
                <w:highlight w:val="none"/>
              </w:rPr>
              <w:t>（4）价格分计算公式：报价得分=（基准价/最后报价）×10分</w:t>
            </w:r>
          </w:p>
        </w:tc>
      </w:tr>
      <w:tr w14:paraId="4AC0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46" w:type="dxa"/>
            <w:vAlign w:val="center"/>
          </w:tcPr>
          <w:p w14:paraId="19048B5A">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1131" w:type="dxa"/>
            <w:vAlign w:val="center"/>
          </w:tcPr>
          <w:p w14:paraId="4808981C">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技术分</w:t>
            </w:r>
          </w:p>
        </w:tc>
        <w:tc>
          <w:tcPr>
            <w:tcW w:w="625" w:type="dxa"/>
            <w:vAlign w:val="center"/>
          </w:tcPr>
          <w:p w14:paraId="4703058A">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70分</w:t>
            </w:r>
          </w:p>
        </w:tc>
        <w:tc>
          <w:tcPr>
            <w:tcW w:w="6116" w:type="dxa"/>
            <w:vAlign w:val="center"/>
          </w:tcPr>
          <w:p w14:paraId="4D54DAE6">
            <w:pPr>
              <w:spacing w:line="400" w:lineRule="exact"/>
              <w:ind w:firstLine="422" w:firstLineChars="200"/>
              <w:jc w:val="left"/>
              <w:rPr>
                <w:rFonts w:hint="eastAsia" w:ascii="宋体" w:hAnsi="宋体" w:cs="宋体"/>
                <w:bCs/>
                <w:color w:val="auto"/>
                <w:kern w:val="0"/>
                <w:szCs w:val="21"/>
                <w:highlight w:val="none"/>
              </w:rPr>
            </w:pPr>
            <w:r>
              <w:rPr>
                <w:rFonts w:hint="eastAsia" w:ascii="宋体" w:hAnsi="宋体" w:cs="宋体"/>
                <w:b/>
                <w:color w:val="auto"/>
                <w:kern w:val="0"/>
                <w:szCs w:val="21"/>
                <w:highlight w:val="none"/>
              </w:rPr>
              <w:t>2.1运维服务方案</w:t>
            </w:r>
            <w:r>
              <w:rPr>
                <w:rFonts w:hint="eastAsia" w:ascii="宋体" w:hAnsi="宋体" w:cs="宋体"/>
                <w:b/>
                <w:color w:val="auto"/>
                <w:kern w:val="0"/>
                <w:szCs w:val="21"/>
                <w:highlight w:val="none"/>
                <w:lang w:eastAsia="zh-Hans"/>
              </w:rPr>
              <w:t>分</w:t>
            </w:r>
            <w:r>
              <w:rPr>
                <w:rFonts w:hint="eastAsia" w:ascii="宋体" w:hAnsi="宋体" w:cs="宋体"/>
                <w:b/>
                <w:color w:val="auto"/>
                <w:kern w:val="0"/>
                <w:szCs w:val="21"/>
                <w:highlight w:val="none"/>
              </w:rPr>
              <w:t>（满分30分）</w:t>
            </w:r>
          </w:p>
          <w:p w14:paraId="009A21EB">
            <w:pPr>
              <w:widowControl/>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由评委根据供应商提供的运维服务方案，包括①服务承诺书、②实施方案、③运维服务内容、④服务方案、⑤质量保障、⑥项目运维安全管理制度进行独立评分。</w:t>
            </w:r>
          </w:p>
          <w:p w14:paraId="22C1C7BF">
            <w:pPr>
              <w:widowControl/>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未达到一档要求的不得分。</w:t>
            </w:r>
          </w:p>
          <w:p w14:paraId="2CA61F7F">
            <w:pPr>
              <w:widowControl/>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一档（10分）：上述6项内容仅提供5项，内容基本满足采购需求。</w:t>
            </w:r>
          </w:p>
          <w:p w14:paraId="0FB90C1F">
            <w:pPr>
              <w:widowControl/>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档（20分）：提供上述6项内容，内容完全满足采购需求；其中，④服务方案能说明驻场服务、远程技术支持服务、日常运维服务、现场技术支持服务、定期巡检服务、硬件设备故障处理服务、紧急故障处理服务、关键时间点驻场服务、应急服务、应用培训服务的实现方式，并提供设备安装、故障处理、现场维护、紧急维护、需求变更、巡检等运维服务流程图。</w:t>
            </w:r>
          </w:p>
          <w:p w14:paraId="1A158134">
            <w:pPr>
              <w:widowControl/>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三档（30分）：在满足二档要求的基础上，补充说明本项目所运维系统的基本情况及技术功能，并可基于现有系统完成优化运维服务。</w:t>
            </w:r>
          </w:p>
          <w:p w14:paraId="4EF05F05">
            <w:pPr>
              <w:spacing w:line="400" w:lineRule="exact"/>
              <w:ind w:firstLine="422" w:firstLineChars="20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2.2应急服务预案分（满分20分）</w:t>
            </w:r>
          </w:p>
          <w:p w14:paraId="0DF0A254">
            <w:pPr>
              <w:widowControl/>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一档（10分）：应急服务预案仅描述了系统故障的排除方法，无应急响应机制。</w:t>
            </w:r>
          </w:p>
          <w:p w14:paraId="3EA95B22">
            <w:pPr>
              <w:widowControl/>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二档（15分）：应急服务预案包含应急响应机制、应急响应流程、应急响应时间，对系统日常可能出现的故障进行分析，提供有可行性的应对措施。</w:t>
            </w:r>
          </w:p>
          <w:p w14:paraId="68E53816">
            <w:pPr>
              <w:widowControl/>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三档（20分）：应急服务预案包含应急响应机制、应急响应流程、应急响应时间，对系统日常可能出现的故障问题进行分析，提供应对措施，且应对措施具体有可行性，有合理化建议和应急响应优化措施，避免故障问题再次发生。</w:t>
            </w:r>
          </w:p>
          <w:p w14:paraId="607214DB">
            <w:pPr>
              <w:spacing w:line="400" w:lineRule="exact"/>
              <w:ind w:firstLine="420" w:firstLineChars="200"/>
              <w:jc w:val="left"/>
              <w:rPr>
                <w:rFonts w:hint="eastAsia" w:ascii="宋体" w:hAnsi="宋体" w:cs="宋体"/>
                <w:b/>
                <w:color w:val="auto"/>
                <w:kern w:val="0"/>
                <w:szCs w:val="21"/>
                <w:highlight w:val="none"/>
              </w:rPr>
            </w:pPr>
            <w:r>
              <w:rPr>
                <w:rFonts w:hint="eastAsia" w:ascii="宋体" w:hAnsi="宋体" w:cs="宋体"/>
                <w:bCs/>
                <w:color w:val="auto"/>
                <w:kern w:val="0"/>
                <w:szCs w:val="21"/>
                <w:highlight w:val="none"/>
              </w:rPr>
              <w:t>未提供应急服务预案的或所提供的应急服务预案内容未达一档标准的不得分。</w:t>
            </w:r>
          </w:p>
          <w:p w14:paraId="21386B5A">
            <w:pPr>
              <w:spacing w:line="400" w:lineRule="exact"/>
              <w:ind w:firstLine="422" w:firstLineChars="20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2.3实施能力分（满分20分）</w:t>
            </w:r>
          </w:p>
          <w:p w14:paraId="6A7D67B6">
            <w:pPr>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一档（10分）：提供项目管理组织机构图和实施计划，能够列明运维服务人员名单；</w:t>
            </w:r>
          </w:p>
          <w:p w14:paraId="230BC382">
            <w:pPr>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二档（15分）：在满足一档要求的基础上，运维服务人员不少于5人，能提供有效证明文件复印件的。承诺技术人员在接到故障通知后1个小时内响应并及时处理，接到到场通知后1小时内到达现场。</w:t>
            </w:r>
          </w:p>
          <w:p w14:paraId="75B5AE85">
            <w:pPr>
              <w:widowControl/>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三档（20分）：在满足二档要求的基础上，为本项目提供重要问题解决方案和相关服务工作管理的项目经理具备中级及以上信息技术类职业资格或软件证书，能提供有效证书复印件的。承诺技术人员在接到故障通知后30分钟内响应并及时处理，接到到场通知后45分钟内到达现场。</w:t>
            </w:r>
          </w:p>
          <w:p w14:paraId="6A721E09">
            <w:pPr>
              <w:widowControl/>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未达到一档要求的不得分。</w:t>
            </w:r>
          </w:p>
          <w:p w14:paraId="4ACB1535">
            <w:pPr>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（注：以上所提供材料均要求提供相关的资质证书和加盖供应商公章）</w:t>
            </w:r>
          </w:p>
        </w:tc>
      </w:tr>
      <w:tr w14:paraId="38C3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46" w:type="dxa"/>
            <w:vAlign w:val="center"/>
          </w:tcPr>
          <w:p w14:paraId="41F8684B">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3</w:t>
            </w:r>
          </w:p>
        </w:tc>
        <w:tc>
          <w:tcPr>
            <w:tcW w:w="1131" w:type="dxa"/>
            <w:vAlign w:val="center"/>
          </w:tcPr>
          <w:p w14:paraId="00C37B92">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商务分</w:t>
            </w:r>
          </w:p>
        </w:tc>
        <w:tc>
          <w:tcPr>
            <w:tcW w:w="625" w:type="dxa"/>
            <w:vAlign w:val="center"/>
          </w:tcPr>
          <w:p w14:paraId="633A5B61">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20分</w:t>
            </w:r>
          </w:p>
        </w:tc>
        <w:tc>
          <w:tcPr>
            <w:tcW w:w="6116" w:type="dxa"/>
            <w:vAlign w:val="center"/>
          </w:tcPr>
          <w:p w14:paraId="2E2C8EC8">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3.1体系认证（满分8分）</w:t>
            </w:r>
          </w:p>
          <w:p w14:paraId="3042EE63">
            <w:pPr>
              <w:snapToGrid w:val="0"/>
              <w:spacing w:line="400" w:lineRule="exact"/>
              <w:ind w:firstLine="420" w:firstLineChars="200"/>
              <w:outlineLvl w:val="1"/>
              <w:rPr>
                <w:rFonts w:hint="eastAsia" w:ascii="宋体" w:hAnsi="宋体" w:cs="宋体"/>
                <w:bCs/>
                <w:color w:val="auto"/>
                <w:szCs w:val="21"/>
                <w:highlight w:val="none"/>
              </w:rPr>
            </w:pPr>
            <w:bookmarkStart w:id="113" w:name="_Toc4466"/>
            <w:r>
              <w:rPr>
                <w:rFonts w:hint="eastAsia" w:ascii="宋体" w:hAnsi="宋体" w:cs="宋体"/>
                <w:bCs/>
                <w:color w:val="auto"/>
                <w:kern w:val="0"/>
                <w:szCs w:val="21"/>
                <w:highlight w:val="none"/>
              </w:rPr>
              <w:t>磋商供应商具有ISO14001、ISO9001、ISO20000、</w:t>
            </w:r>
            <w:r>
              <w:rPr>
                <w:rFonts w:hint="eastAsia" w:ascii="宋体" w:hAnsi="宋体" w:cs="宋体"/>
                <w:color w:val="auto"/>
                <w:highlight w:val="none"/>
              </w:rPr>
              <w:t>ISO27001</w:t>
            </w:r>
            <w:r>
              <w:rPr>
                <w:rFonts w:hint="eastAsia" w:ascii="宋体" w:hAnsi="宋体" w:cs="宋体"/>
                <w:bCs/>
                <w:color w:val="auto"/>
                <w:kern w:val="0"/>
                <w:szCs w:val="21"/>
                <w:highlight w:val="none"/>
              </w:rPr>
              <w:t>认证证书的，每具有一项得2分，满分8分。（响应文件中提供相关证明材料，并加盖公章）。</w:t>
            </w:r>
            <w:bookmarkEnd w:id="113"/>
          </w:p>
          <w:p w14:paraId="08B9D8FE">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3.2业绩（满分12分）</w:t>
            </w:r>
          </w:p>
          <w:p w14:paraId="5CEB5815">
            <w:pPr>
              <w:snapToGrid w:val="0"/>
              <w:spacing w:line="400" w:lineRule="exact"/>
              <w:ind w:firstLine="420" w:firstLineChars="200"/>
              <w:outlineLvl w:val="1"/>
              <w:rPr>
                <w:rFonts w:hint="eastAsia" w:ascii="宋体" w:hAnsi="宋体" w:cs="宋体"/>
                <w:bCs/>
                <w:color w:val="auto"/>
                <w:szCs w:val="21"/>
                <w:highlight w:val="none"/>
              </w:rPr>
            </w:pPr>
            <w:bookmarkStart w:id="114" w:name="_Toc19062"/>
            <w:r>
              <w:rPr>
                <w:rFonts w:hint="eastAsia" w:ascii="宋体" w:hAnsi="宋体" w:cs="宋体"/>
                <w:bCs/>
                <w:color w:val="auto"/>
                <w:kern w:val="0"/>
                <w:szCs w:val="21"/>
                <w:highlight w:val="none"/>
              </w:rPr>
              <w:t>同类项目业绩：磋商供应商2022年以来具有信息化系统运维或软件平台运维或信息系统技术服务类项目案例（响应文件中</w:t>
            </w:r>
            <w:r>
              <w:rPr>
                <w:rFonts w:hint="eastAsia" w:ascii="宋体" w:hAnsi="宋体" w:cs="宋体"/>
                <w:color w:val="auto"/>
                <w:szCs w:val="21"/>
                <w:highlight w:val="none"/>
              </w:rPr>
              <w:t>提供项目合同复印件或中标（成交）通知书复印件或合同验收报告复印件，并加盖公章，否则不得分</w:t>
            </w:r>
            <w:r>
              <w:rPr>
                <w:rFonts w:hint="eastAsia" w:ascii="宋体" w:hAnsi="宋体" w:cs="宋体"/>
                <w:bCs/>
                <w:color w:val="auto"/>
                <w:kern w:val="0"/>
                <w:szCs w:val="21"/>
                <w:highlight w:val="none"/>
              </w:rPr>
              <w:t>）。每个项目得2分，满分12分。</w:t>
            </w:r>
            <w:bookmarkEnd w:id="114"/>
          </w:p>
        </w:tc>
      </w:tr>
      <w:tr w14:paraId="14A9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8" w:type="dxa"/>
            <w:gridSpan w:val="4"/>
            <w:vAlign w:val="center"/>
          </w:tcPr>
          <w:p w14:paraId="5815746A">
            <w:pPr>
              <w:pStyle w:val="28"/>
              <w:spacing w:line="360" w:lineRule="auto"/>
              <w:ind w:firstLine="562"/>
              <w:rPr>
                <w:rFonts w:cs="宋体"/>
                <w:bCs/>
                <w:color w:val="auto"/>
                <w:highlight w:val="none"/>
              </w:rPr>
            </w:pPr>
            <w:r>
              <w:rPr>
                <w:rFonts w:hint="eastAsia" w:cs="宋体"/>
                <w:b/>
                <w:bCs/>
                <w:color w:val="auto"/>
                <w:highlight w:val="none"/>
              </w:rPr>
              <w:t>总得分=1+2+3。</w:t>
            </w:r>
          </w:p>
        </w:tc>
      </w:tr>
    </w:tbl>
    <w:p w14:paraId="34F2BD2F">
      <w:pPr>
        <w:rPr>
          <w:b/>
          <w:bCs/>
          <w:color w:val="auto"/>
          <w:highlight w:val="none"/>
        </w:rPr>
      </w:pPr>
    </w:p>
    <w:p w14:paraId="0510EDF4">
      <w:pPr>
        <w:rPr>
          <w:b/>
          <w:bCs/>
          <w:color w:val="auto"/>
          <w:highlight w:val="none"/>
        </w:rPr>
      </w:pPr>
      <w:r>
        <w:rPr>
          <w:rFonts w:hint="eastAsia"/>
          <w:b/>
          <w:bCs/>
          <w:color w:val="auto"/>
          <w:highlight w:val="none"/>
        </w:rPr>
        <w:br w:type="page"/>
      </w:r>
    </w:p>
    <w:p w14:paraId="220925AD">
      <w:pPr>
        <w:outlineLvl w:val="1"/>
        <w:rPr>
          <w:b/>
          <w:bCs/>
          <w:color w:val="auto"/>
          <w:highlight w:val="none"/>
        </w:rPr>
      </w:pPr>
      <w:r>
        <w:rPr>
          <w:rFonts w:hint="eastAsia"/>
          <w:b/>
          <w:bCs/>
          <w:color w:val="auto"/>
          <w:highlight w:val="none"/>
        </w:rPr>
        <w:t>标项二：</w:t>
      </w:r>
    </w:p>
    <w:p w14:paraId="3493D8D2">
      <w:pPr>
        <w:rPr>
          <w:b/>
          <w:bCs/>
          <w:color w:val="auto"/>
          <w:highlight w:val="none"/>
        </w:rPr>
      </w:pPr>
    </w:p>
    <w:tbl>
      <w:tblPr>
        <w:tblStyle w:val="5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252"/>
        <w:gridCol w:w="692"/>
        <w:gridCol w:w="6768"/>
      </w:tblGrid>
      <w:tr w14:paraId="3C76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blHeader/>
          <w:jc w:val="center"/>
        </w:trPr>
        <w:tc>
          <w:tcPr>
            <w:tcW w:w="646" w:type="dxa"/>
            <w:vAlign w:val="center"/>
          </w:tcPr>
          <w:p w14:paraId="6F9DB985">
            <w:pPr>
              <w:adjustRightInd w:val="0"/>
              <w:spacing w:line="41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131" w:type="dxa"/>
            <w:vAlign w:val="center"/>
          </w:tcPr>
          <w:p w14:paraId="68449B44">
            <w:pPr>
              <w:adjustRightInd w:val="0"/>
              <w:spacing w:line="410" w:lineRule="exact"/>
              <w:jc w:val="center"/>
              <w:textAlignment w:val="baseline"/>
              <w:rPr>
                <w:rFonts w:hint="eastAsia" w:ascii="宋体" w:hAnsi="宋体" w:cs="宋体"/>
                <w:color w:val="auto"/>
                <w:szCs w:val="21"/>
                <w:highlight w:val="none"/>
              </w:rPr>
            </w:pPr>
            <w:r>
              <w:rPr>
                <w:rFonts w:hint="eastAsia" w:ascii="宋体" w:hAnsi="宋体" w:cs="宋体"/>
                <w:b/>
                <w:color w:val="auto"/>
                <w:szCs w:val="21"/>
                <w:highlight w:val="none"/>
              </w:rPr>
              <w:t>评审因素</w:t>
            </w:r>
          </w:p>
        </w:tc>
        <w:tc>
          <w:tcPr>
            <w:tcW w:w="625" w:type="dxa"/>
            <w:vAlign w:val="center"/>
          </w:tcPr>
          <w:p w14:paraId="55CE5146">
            <w:pPr>
              <w:adjustRightInd w:val="0"/>
              <w:spacing w:line="41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分值</w:t>
            </w:r>
          </w:p>
        </w:tc>
        <w:tc>
          <w:tcPr>
            <w:tcW w:w="6116" w:type="dxa"/>
            <w:vAlign w:val="center"/>
          </w:tcPr>
          <w:p w14:paraId="43DF0CE6">
            <w:pPr>
              <w:adjustRightInd w:val="0"/>
              <w:spacing w:line="41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评标标准</w:t>
            </w:r>
          </w:p>
        </w:tc>
      </w:tr>
      <w:tr w14:paraId="4EA0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46" w:type="dxa"/>
            <w:vAlign w:val="center"/>
          </w:tcPr>
          <w:p w14:paraId="682B4F4B">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1131" w:type="dxa"/>
            <w:vAlign w:val="center"/>
          </w:tcPr>
          <w:p w14:paraId="321F05C2">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报价</w:t>
            </w:r>
          </w:p>
        </w:tc>
        <w:tc>
          <w:tcPr>
            <w:tcW w:w="625" w:type="dxa"/>
            <w:vAlign w:val="center"/>
          </w:tcPr>
          <w:p w14:paraId="16AFF9E2">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10分</w:t>
            </w:r>
          </w:p>
        </w:tc>
        <w:tc>
          <w:tcPr>
            <w:tcW w:w="6116" w:type="dxa"/>
            <w:vAlign w:val="center"/>
          </w:tcPr>
          <w:p w14:paraId="6A3FE12C">
            <w:pPr>
              <w:pStyle w:val="28"/>
              <w:spacing w:line="420" w:lineRule="exact"/>
              <w:ind w:firstLine="210" w:firstLineChars="100"/>
              <w:rPr>
                <w:rFonts w:cs="宋体"/>
                <w:bCs/>
                <w:color w:val="auto"/>
                <w:highlight w:val="none"/>
              </w:rPr>
            </w:pPr>
            <w:r>
              <w:rPr>
                <w:rFonts w:hint="eastAsia" w:cs="宋体"/>
                <w:bCs/>
                <w:color w:val="auto"/>
                <w:highlight w:val="none"/>
              </w:rPr>
              <w:t>（1）评审价为供应商的最后报价，最终成交供应商的成交金额等于最后报价（如有修正，以确认修正后的最后报价为准）。</w:t>
            </w:r>
          </w:p>
          <w:p w14:paraId="0AB59E6B">
            <w:pPr>
              <w:pStyle w:val="28"/>
              <w:spacing w:line="420" w:lineRule="exact"/>
              <w:ind w:firstLine="210" w:firstLineChars="100"/>
              <w:rPr>
                <w:rFonts w:cs="宋体"/>
                <w:bCs/>
                <w:color w:val="auto"/>
                <w:highlight w:val="none"/>
              </w:rPr>
            </w:pPr>
            <w:r>
              <w:rPr>
                <w:rFonts w:hint="eastAsia" w:cs="宋体"/>
                <w:bCs/>
                <w:color w:val="auto"/>
                <w:highlight w:val="none"/>
              </w:rPr>
              <w:t>（2）本项目为专门面向中小企业采购的项目，参加本项目磋商的供应商必须为中小微企业，或监狱企业，或残疾人福利性单位，否则响应无效。价格评审时，参加本次项目响应的供应商不重复享受政策，其评审价=最后报价。</w:t>
            </w:r>
          </w:p>
          <w:p w14:paraId="0AA69326">
            <w:pPr>
              <w:pStyle w:val="28"/>
              <w:spacing w:line="420" w:lineRule="exact"/>
              <w:ind w:firstLine="210" w:firstLineChars="100"/>
              <w:rPr>
                <w:rFonts w:cs="宋体"/>
                <w:bCs/>
                <w:color w:val="auto"/>
                <w:highlight w:val="none"/>
              </w:rPr>
            </w:pPr>
            <w:r>
              <w:rPr>
                <w:rFonts w:hint="eastAsia" w:cs="宋体"/>
                <w:bCs/>
                <w:color w:val="auto"/>
                <w:highlight w:val="none"/>
              </w:rPr>
              <w:t>（3）以进入比较与评价环节的最低的评审价为基准价，基准价得分为10分。</w:t>
            </w:r>
          </w:p>
          <w:p w14:paraId="6EBAAA90">
            <w:pPr>
              <w:pStyle w:val="28"/>
              <w:spacing w:line="420" w:lineRule="exact"/>
              <w:ind w:firstLine="210" w:firstLineChars="100"/>
              <w:rPr>
                <w:rFonts w:cs="宋体"/>
                <w:bCs/>
                <w:color w:val="auto"/>
                <w:highlight w:val="none"/>
              </w:rPr>
            </w:pPr>
            <w:r>
              <w:rPr>
                <w:rFonts w:hint="eastAsia" w:cs="宋体"/>
                <w:bCs/>
                <w:color w:val="auto"/>
                <w:highlight w:val="none"/>
              </w:rPr>
              <w:t>（4）价格分计算公式：报价得分=（基准价/最后报价）×10分</w:t>
            </w:r>
          </w:p>
        </w:tc>
      </w:tr>
      <w:tr w14:paraId="7595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46" w:type="dxa"/>
            <w:vAlign w:val="center"/>
          </w:tcPr>
          <w:p w14:paraId="17606665">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1131" w:type="dxa"/>
            <w:vAlign w:val="center"/>
          </w:tcPr>
          <w:p w14:paraId="3129F76D">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技术方案分</w:t>
            </w:r>
          </w:p>
        </w:tc>
        <w:tc>
          <w:tcPr>
            <w:tcW w:w="625" w:type="dxa"/>
            <w:vAlign w:val="center"/>
          </w:tcPr>
          <w:p w14:paraId="45CD2DA6">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35分</w:t>
            </w:r>
          </w:p>
        </w:tc>
        <w:tc>
          <w:tcPr>
            <w:tcW w:w="6116" w:type="dxa"/>
            <w:vAlign w:val="center"/>
          </w:tcPr>
          <w:p w14:paraId="68DD7A0C">
            <w:pPr>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磋商小组根据供应商提供的技术方案独立评分，未达到一档要求的不得分</w:t>
            </w:r>
          </w:p>
          <w:p w14:paraId="0F9CBD4C">
            <w:pPr>
              <w:spacing w:line="40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一档（15分）：供应商所提供的项目实施方案应包含实施范围、核心流程、技术路径等内容，实施计划包含阶段划分、各阶段时间节点，提供保障措施，采购技术需求响应（非实质条款）有负偏离或漏项的。</w:t>
            </w:r>
          </w:p>
          <w:p w14:paraId="6DA35671">
            <w:pPr>
              <w:spacing w:line="40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二档（25分）：在满足一档的基础上，供应商针对项目制定分级应急处置预案，明确响应处置时限，分类制定标准化问题解决方案，落实台账闭环管理并定期演练优化,供应商项目经理需具备CISP或HCIE（同等）认证证书、实施服务人员不少于（含）5个人，其中具备信息安全保障人员认证、HCIP、HCNP不少于（含）3个。采购技术需求响应无负偏离或漏项的。</w:t>
            </w:r>
          </w:p>
          <w:p w14:paraId="00DDD37C">
            <w:pPr>
              <w:spacing w:line="40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三档（35分）：在满足二档的基础上，</w:t>
            </w:r>
            <w:r>
              <w:rPr>
                <w:rFonts w:hint="eastAsia" w:ascii="宋体" w:hAnsi="宋体" w:cs="宋体"/>
                <w:bCs/>
                <w:color w:val="auto"/>
                <w:kern w:val="0"/>
                <w:szCs w:val="21"/>
                <w:highlight w:val="none"/>
              </w:rPr>
              <w:t>方案具有针对性，列明交付物及验收标准，人员岗位职责、权限及内部协作机制划分清晰，实施进度清晰可控，具备完善的进度跟踪、延期预警及应急补救措施，供应商项目经理需具备CISP或</w:t>
            </w:r>
            <w:r>
              <w:rPr>
                <w:rFonts w:hint="eastAsia" w:ascii="宋体" w:hAnsi="宋体" w:cs="宋体"/>
                <w:bCs/>
                <w:color w:val="auto"/>
                <w:szCs w:val="21"/>
                <w:highlight w:val="none"/>
              </w:rPr>
              <w:t>HCIE（同等）</w:t>
            </w:r>
            <w:r>
              <w:rPr>
                <w:rFonts w:hint="eastAsia" w:ascii="宋体" w:hAnsi="宋体" w:cs="宋体"/>
                <w:bCs/>
                <w:color w:val="auto"/>
                <w:kern w:val="0"/>
                <w:szCs w:val="21"/>
                <w:highlight w:val="none"/>
              </w:rPr>
              <w:t>认证证书、实施服务人员不少于（含）8个人，其中具备信息安全保障人员认证、HCIP、HCNP不少于（含）5个。</w:t>
            </w:r>
          </w:p>
          <w:p w14:paraId="7CAD961D">
            <w:pPr>
              <w:spacing w:line="400" w:lineRule="exact"/>
              <w:ind w:firstLine="422" w:firstLineChars="200"/>
              <w:jc w:val="left"/>
              <w:rPr>
                <w:rFonts w:hint="eastAsia" w:ascii="宋体" w:hAnsi="宋体" w:cs="宋体"/>
                <w:bCs/>
                <w:color w:val="auto"/>
                <w:kern w:val="0"/>
                <w:szCs w:val="21"/>
                <w:highlight w:val="none"/>
              </w:rPr>
            </w:pPr>
            <w:r>
              <w:rPr>
                <w:rFonts w:hint="eastAsia" w:ascii="宋体" w:hAnsi="宋体" w:cs="宋体"/>
                <w:b/>
                <w:color w:val="auto"/>
                <w:szCs w:val="21"/>
                <w:highlight w:val="none"/>
              </w:rPr>
              <w:t>注：响应文件中提供拟投入项目人员的证书复印件，否则不得分。</w:t>
            </w:r>
          </w:p>
        </w:tc>
      </w:tr>
      <w:tr w14:paraId="4772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46" w:type="dxa"/>
            <w:vAlign w:val="center"/>
          </w:tcPr>
          <w:p w14:paraId="3C97CD7F">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3</w:t>
            </w:r>
          </w:p>
        </w:tc>
        <w:tc>
          <w:tcPr>
            <w:tcW w:w="1131" w:type="dxa"/>
            <w:vAlign w:val="center"/>
          </w:tcPr>
          <w:p w14:paraId="2C654586">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服务方案分</w:t>
            </w:r>
          </w:p>
        </w:tc>
        <w:tc>
          <w:tcPr>
            <w:tcW w:w="625" w:type="dxa"/>
            <w:vAlign w:val="center"/>
          </w:tcPr>
          <w:p w14:paraId="6487577B">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30分</w:t>
            </w:r>
          </w:p>
        </w:tc>
        <w:tc>
          <w:tcPr>
            <w:tcW w:w="6116" w:type="dxa"/>
            <w:vAlign w:val="center"/>
          </w:tcPr>
          <w:p w14:paraId="5F48BFE5">
            <w:pPr>
              <w:spacing w:line="400" w:lineRule="exact"/>
              <w:ind w:firstLine="420" w:firstLineChars="200"/>
              <w:outlineLvl w:val="1"/>
              <w:rPr>
                <w:rFonts w:hint="eastAsia" w:ascii="宋体" w:hAnsi="宋体" w:cs="宋体"/>
                <w:bCs/>
                <w:color w:val="auto"/>
                <w:kern w:val="0"/>
                <w:szCs w:val="21"/>
                <w:highlight w:val="none"/>
              </w:rPr>
            </w:pPr>
            <w:bookmarkStart w:id="115" w:name="_Toc27988"/>
            <w:r>
              <w:rPr>
                <w:rFonts w:hint="eastAsia" w:ascii="宋体" w:hAnsi="宋体" w:cs="宋体"/>
                <w:bCs/>
                <w:color w:val="auto"/>
                <w:kern w:val="0"/>
                <w:szCs w:val="21"/>
                <w:highlight w:val="none"/>
              </w:rPr>
              <w:t>磋商小组根据供应商提供的技术方案独立评分，未达到一档要求的不得分</w:t>
            </w:r>
          </w:p>
          <w:p w14:paraId="50B04C40">
            <w:pPr>
              <w:spacing w:line="400" w:lineRule="exact"/>
              <w:ind w:firstLine="420" w:firstLineChars="200"/>
              <w:outlineLvl w:val="1"/>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根据供应商提交的服务方案，综合评估服务体系、培训计划、故障响应、巡检等的响应程度独立评分，未达到一档要求的不得分：</w:t>
            </w:r>
            <w:bookmarkEnd w:id="115"/>
          </w:p>
          <w:p w14:paraId="7B6D9953">
            <w:pPr>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一档（10分）：服务方案有技术服务体系，有培训计划，提供了故障处理流程和维护保障流程，服务方案基本满足项目需求。</w:t>
            </w:r>
          </w:p>
          <w:p w14:paraId="2207972E">
            <w:pPr>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二档（20分）：在一档的基础上，提供了故障响应、巡检周期等方案，服务方案完全满足项目需求。</w:t>
            </w:r>
          </w:p>
          <w:p w14:paraId="30B8FAF5">
            <w:pPr>
              <w:spacing w:line="40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三档（30分）：在二档的基础上，提供了服务人员组织架构，人员分工合理，并对服务过程的重点、要点提供针对性的服务方案。</w:t>
            </w:r>
          </w:p>
        </w:tc>
      </w:tr>
      <w:tr w14:paraId="18D0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46" w:type="dxa"/>
            <w:vAlign w:val="center"/>
          </w:tcPr>
          <w:p w14:paraId="24C0C0F1">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4</w:t>
            </w:r>
          </w:p>
        </w:tc>
        <w:tc>
          <w:tcPr>
            <w:tcW w:w="1131" w:type="dxa"/>
            <w:vAlign w:val="center"/>
          </w:tcPr>
          <w:p w14:paraId="000F6A1B">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商务及业绩分</w:t>
            </w:r>
          </w:p>
        </w:tc>
        <w:tc>
          <w:tcPr>
            <w:tcW w:w="625" w:type="dxa"/>
            <w:vAlign w:val="center"/>
          </w:tcPr>
          <w:p w14:paraId="035FE2A2">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25分</w:t>
            </w:r>
          </w:p>
        </w:tc>
        <w:tc>
          <w:tcPr>
            <w:tcW w:w="6116" w:type="dxa"/>
            <w:vAlign w:val="center"/>
          </w:tcPr>
          <w:p w14:paraId="1AD899E4">
            <w:pPr>
              <w:snapToGrid w:val="0"/>
              <w:spacing w:line="400" w:lineRule="exact"/>
              <w:ind w:firstLine="420" w:firstLineChars="200"/>
              <w:outlineLvl w:val="1"/>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1.提供安全类软硬件产品供应商近3年实施案例（以合同关键页或中标（成交）通知书为依据）。每个案例得2分，同一单位不重复计分，满分10分。</w:t>
            </w:r>
          </w:p>
          <w:p w14:paraId="5514BC2D">
            <w:pPr>
              <w:snapToGrid w:val="0"/>
              <w:spacing w:line="400" w:lineRule="exact"/>
              <w:ind w:firstLine="420" w:firstLineChars="200"/>
              <w:outlineLvl w:val="1"/>
              <w:rPr>
                <w:rFonts w:hint="eastAsia" w:ascii="宋体" w:hAnsi="宋体" w:cs="宋体"/>
                <w:bCs/>
                <w:color w:val="auto"/>
                <w:kern w:val="0"/>
                <w:szCs w:val="21"/>
                <w:highlight w:val="none"/>
              </w:rPr>
            </w:pPr>
            <w:r>
              <w:rPr>
                <w:rFonts w:hint="eastAsia" w:ascii="宋体" w:hAnsi="宋体" w:cs="宋体"/>
                <w:bCs/>
                <w:color w:val="auto"/>
                <w:kern w:val="0"/>
                <w:szCs w:val="21"/>
                <w:highlight w:val="none"/>
              </w:rPr>
              <w:t xml:space="preserve"> 2.提供移动 App 安全加固产品厂商具备网络安全应急服务支撑单位证书、移动 App 安全加固产品具备主流国产操作系统适配认证、具备国家及国家认可的第三方认证机构颁发的信息安全服务类相关资质证书，每具有一项得2分，满分6分。</w:t>
            </w:r>
          </w:p>
          <w:p w14:paraId="40E3F8A1">
            <w:pPr>
              <w:snapToGrid w:val="0"/>
              <w:spacing w:line="400" w:lineRule="exact"/>
              <w:ind w:firstLine="420" w:firstLineChars="200"/>
              <w:outlineLvl w:val="1"/>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3.所响应产品具备移动应用“app安全加固”相关的软件著作权，得3分，满分3分。</w:t>
            </w:r>
          </w:p>
          <w:p w14:paraId="6DB4A78E">
            <w:pPr>
              <w:snapToGrid w:val="0"/>
              <w:spacing w:line="400" w:lineRule="exact"/>
              <w:ind w:firstLine="420" w:firstLineChars="200"/>
              <w:outlineLvl w:val="1"/>
              <w:rPr>
                <w:rFonts w:hint="eastAsia" w:ascii="宋体" w:hAnsi="宋体" w:cs="宋体"/>
                <w:bCs/>
                <w:color w:val="auto"/>
                <w:kern w:val="0"/>
                <w:szCs w:val="21"/>
                <w:highlight w:val="none"/>
              </w:rPr>
            </w:pPr>
            <w:r>
              <w:rPr>
                <w:rFonts w:hint="eastAsia" w:ascii="宋体" w:hAnsi="宋体" w:cs="宋体"/>
                <w:bCs/>
                <w:color w:val="auto"/>
                <w:kern w:val="0"/>
                <w:szCs w:val="21"/>
                <w:highlight w:val="none"/>
              </w:rPr>
              <w:t>4.供应商具备ISO9001质量管理体系认证、ISO27001信息安全管理体系认证、ISO20000信息技术服务管理体系认证，每具有一项得2分，本项满分6分。</w:t>
            </w:r>
          </w:p>
        </w:tc>
      </w:tr>
      <w:tr w14:paraId="2789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8" w:type="dxa"/>
            <w:gridSpan w:val="4"/>
            <w:vAlign w:val="center"/>
          </w:tcPr>
          <w:p w14:paraId="074EF382">
            <w:pPr>
              <w:pStyle w:val="28"/>
              <w:spacing w:line="360" w:lineRule="auto"/>
              <w:rPr>
                <w:rFonts w:cs="宋体"/>
                <w:bCs/>
                <w:color w:val="auto"/>
                <w:highlight w:val="none"/>
              </w:rPr>
            </w:pPr>
            <w:r>
              <w:rPr>
                <w:rFonts w:hint="eastAsia" w:cs="宋体"/>
                <w:b/>
                <w:bCs/>
                <w:color w:val="auto"/>
                <w:highlight w:val="none"/>
              </w:rPr>
              <w:t>总得分=1+2+3+4。</w:t>
            </w:r>
          </w:p>
        </w:tc>
      </w:tr>
    </w:tbl>
    <w:p w14:paraId="26F1D1FF">
      <w:pPr>
        <w:rPr>
          <w:b/>
          <w:bCs/>
          <w:color w:val="auto"/>
          <w:highlight w:val="none"/>
        </w:rPr>
      </w:pPr>
      <w:r>
        <w:rPr>
          <w:b/>
          <w:bCs/>
          <w:color w:val="auto"/>
          <w:highlight w:val="none"/>
        </w:rPr>
        <w:br w:type="page"/>
      </w:r>
    </w:p>
    <w:p w14:paraId="4DC9384A">
      <w:pPr>
        <w:rPr>
          <w:b/>
          <w:bCs/>
          <w:color w:val="auto"/>
          <w:highlight w:val="none"/>
        </w:rPr>
      </w:pPr>
      <w:r>
        <w:rPr>
          <w:rFonts w:hint="eastAsia"/>
          <w:b/>
          <w:bCs/>
          <w:color w:val="auto"/>
          <w:highlight w:val="none"/>
        </w:rPr>
        <w:t>标项三：</w:t>
      </w:r>
    </w:p>
    <w:tbl>
      <w:tblPr>
        <w:tblStyle w:val="53"/>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241"/>
        <w:gridCol w:w="1006"/>
        <w:gridCol w:w="6466"/>
      </w:tblGrid>
      <w:tr w14:paraId="7F3B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blHeader/>
          <w:jc w:val="center"/>
        </w:trPr>
        <w:tc>
          <w:tcPr>
            <w:tcW w:w="708" w:type="dxa"/>
            <w:vAlign w:val="center"/>
          </w:tcPr>
          <w:p w14:paraId="532DEC76">
            <w:pPr>
              <w:adjustRightInd w:val="0"/>
              <w:snapToGrid w:val="0"/>
              <w:spacing w:line="40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241" w:type="dxa"/>
            <w:vAlign w:val="center"/>
          </w:tcPr>
          <w:p w14:paraId="282DFE84">
            <w:pPr>
              <w:adjustRightInd w:val="0"/>
              <w:snapToGrid w:val="0"/>
              <w:spacing w:line="400" w:lineRule="exact"/>
              <w:jc w:val="center"/>
              <w:textAlignment w:val="baseline"/>
              <w:rPr>
                <w:rFonts w:hint="eastAsia" w:ascii="宋体" w:hAnsi="宋体" w:cs="宋体"/>
                <w:color w:val="auto"/>
                <w:szCs w:val="21"/>
                <w:highlight w:val="none"/>
              </w:rPr>
            </w:pPr>
            <w:r>
              <w:rPr>
                <w:rFonts w:hint="eastAsia" w:ascii="宋体" w:hAnsi="宋体" w:cs="宋体"/>
                <w:b/>
                <w:color w:val="auto"/>
                <w:szCs w:val="21"/>
                <w:highlight w:val="none"/>
              </w:rPr>
              <w:t>评审因素</w:t>
            </w:r>
          </w:p>
        </w:tc>
        <w:tc>
          <w:tcPr>
            <w:tcW w:w="1006" w:type="dxa"/>
            <w:vAlign w:val="center"/>
          </w:tcPr>
          <w:p w14:paraId="48DB255C">
            <w:pPr>
              <w:adjustRightInd w:val="0"/>
              <w:snapToGrid w:val="0"/>
              <w:spacing w:line="40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分值</w:t>
            </w:r>
          </w:p>
        </w:tc>
        <w:tc>
          <w:tcPr>
            <w:tcW w:w="6466" w:type="dxa"/>
            <w:vAlign w:val="center"/>
          </w:tcPr>
          <w:p w14:paraId="20D67E8F">
            <w:pPr>
              <w:adjustRightInd w:val="0"/>
              <w:snapToGrid w:val="0"/>
              <w:spacing w:line="40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评标标准</w:t>
            </w:r>
          </w:p>
        </w:tc>
      </w:tr>
      <w:tr w14:paraId="6F9F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08" w:type="dxa"/>
            <w:vAlign w:val="center"/>
          </w:tcPr>
          <w:p w14:paraId="64265E19">
            <w:pPr>
              <w:adjustRightInd w:val="0"/>
              <w:snapToGrid w:val="0"/>
              <w:spacing w:line="40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1241" w:type="dxa"/>
            <w:vAlign w:val="center"/>
          </w:tcPr>
          <w:p w14:paraId="18D36253">
            <w:pPr>
              <w:adjustRightInd w:val="0"/>
              <w:snapToGrid w:val="0"/>
              <w:spacing w:line="40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报价</w:t>
            </w:r>
          </w:p>
        </w:tc>
        <w:tc>
          <w:tcPr>
            <w:tcW w:w="1006" w:type="dxa"/>
            <w:vAlign w:val="center"/>
          </w:tcPr>
          <w:p w14:paraId="1DAF7DE0">
            <w:pPr>
              <w:adjustRightInd w:val="0"/>
              <w:snapToGrid w:val="0"/>
              <w:spacing w:line="40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10分</w:t>
            </w:r>
          </w:p>
        </w:tc>
        <w:tc>
          <w:tcPr>
            <w:tcW w:w="6466" w:type="dxa"/>
            <w:vAlign w:val="center"/>
          </w:tcPr>
          <w:p w14:paraId="646847DF">
            <w:pPr>
              <w:pStyle w:val="28"/>
              <w:snapToGrid w:val="0"/>
              <w:spacing w:line="400" w:lineRule="exact"/>
              <w:ind w:firstLine="210" w:firstLineChars="100"/>
              <w:rPr>
                <w:rFonts w:hint="eastAsia" w:hAnsi="宋体" w:cs="宋体"/>
                <w:bCs/>
                <w:color w:val="auto"/>
                <w:highlight w:val="none"/>
              </w:rPr>
            </w:pPr>
            <w:r>
              <w:rPr>
                <w:rFonts w:hint="eastAsia" w:hAnsi="宋体" w:cs="宋体"/>
                <w:bCs/>
                <w:color w:val="auto"/>
                <w:highlight w:val="none"/>
              </w:rPr>
              <w:t>（1）评审价为供应商的最后报价，最终成交供应商的成交金额等于最后报价（如有修正，以确认修正后的最后报价为准）。</w:t>
            </w:r>
          </w:p>
          <w:p w14:paraId="5FBD32D6">
            <w:pPr>
              <w:pStyle w:val="28"/>
              <w:snapToGrid w:val="0"/>
              <w:spacing w:line="400" w:lineRule="exact"/>
              <w:ind w:firstLine="210" w:firstLineChars="100"/>
              <w:rPr>
                <w:rFonts w:hint="eastAsia" w:hAnsi="宋体" w:cs="宋体"/>
                <w:bCs/>
                <w:color w:val="auto"/>
                <w:highlight w:val="none"/>
              </w:rPr>
            </w:pPr>
            <w:r>
              <w:rPr>
                <w:rFonts w:hint="eastAsia" w:hAnsi="宋体" w:cs="宋体"/>
                <w:bCs/>
                <w:color w:val="auto"/>
                <w:highlight w:val="none"/>
              </w:rPr>
              <w:t>（2）本项目为专门面向中小企业采购的项目，参加本项目磋商的供应商必须为中小微企业，或监狱企业，或残疾人福利性单位，否则响应无效。价格评审时，参加本次项目响应的供应商不重复享受政策，其评审价=最后报价。</w:t>
            </w:r>
          </w:p>
          <w:p w14:paraId="1F840D46">
            <w:pPr>
              <w:pStyle w:val="28"/>
              <w:snapToGrid w:val="0"/>
              <w:spacing w:line="400" w:lineRule="exact"/>
              <w:ind w:firstLine="210" w:firstLineChars="100"/>
              <w:rPr>
                <w:rFonts w:hint="eastAsia" w:hAnsi="宋体" w:cs="宋体"/>
                <w:bCs/>
                <w:color w:val="auto"/>
                <w:highlight w:val="none"/>
              </w:rPr>
            </w:pPr>
            <w:r>
              <w:rPr>
                <w:rFonts w:hint="eastAsia" w:hAnsi="宋体" w:cs="宋体"/>
                <w:bCs/>
                <w:color w:val="auto"/>
                <w:highlight w:val="none"/>
              </w:rPr>
              <w:t>（3）以进入比较与评价环节的最低的评审价为基准价，基准价得分为10分。</w:t>
            </w:r>
          </w:p>
          <w:p w14:paraId="10EC82BE">
            <w:pPr>
              <w:pStyle w:val="28"/>
              <w:snapToGrid w:val="0"/>
              <w:spacing w:line="400" w:lineRule="exact"/>
              <w:ind w:firstLine="210" w:firstLineChars="100"/>
              <w:rPr>
                <w:rFonts w:hint="eastAsia" w:hAnsi="宋体" w:cs="宋体"/>
                <w:bCs/>
                <w:color w:val="auto"/>
                <w:highlight w:val="none"/>
              </w:rPr>
            </w:pPr>
            <w:r>
              <w:rPr>
                <w:rFonts w:hint="eastAsia" w:hAnsi="宋体" w:cs="宋体"/>
                <w:bCs/>
                <w:color w:val="auto"/>
                <w:highlight w:val="none"/>
              </w:rPr>
              <w:t>（4）价格分计算公式：报价得分=（基准价/最后报价）×10分</w:t>
            </w:r>
          </w:p>
        </w:tc>
      </w:tr>
      <w:tr w14:paraId="5E55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08" w:type="dxa"/>
            <w:vAlign w:val="center"/>
          </w:tcPr>
          <w:p w14:paraId="055D31C8">
            <w:pPr>
              <w:adjustRightInd w:val="0"/>
              <w:snapToGrid w:val="0"/>
              <w:spacing w:line="40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1241" w:type="dxa"/>
            <w:vAlign w:val="center"/>
          </w:tcPr>
          <w:p w14:paraId="343B39BE">
            <w:pPr>
              <w:adjustRightInd w:val="0"/>
              <w:snapToGrid w:val="0"/>
              <w:spacing w:line="40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技术方案分</w:t>
            </w:r>
          </w:p>
        </w:tc>
        <w:tc>
          <w:tcPr>
            <w:tcW w:w="1006" w:type="dxa"/>
            <w:vAlign w:val="center"/>
          </w:tcPr>
          <w:p w14:paraId="20E9C7EB">
            <w:pPr>
              <w:adjustRightInd w:val="0"/>
              <w:snapToGrid w:val="0"/>
              <w:spacing w:line="40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63分</w:t>
            </w:r>
          </w:p>
        </w:tc>
        <w:tc>
          <w:tcPr>
            <w:tcW w:w="6466" w:type="dxa"/>
            <w:vAlign w:val="center"/>
          </w:tcPr>
          <w:p w14:paraId="69A8261F">
            <w:pPr>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2.1技术方案（满分19分）</w:t>
            </w:r>
          </w:p>
          <w:p w14:paraId="7B89B6B0">
            <w:pPr>
              <w:pStyle w:val="28"/>
              <w:snapToGrid w:val="0"/>
              <w:spacing w:line="400" w:lineRule="exact"/>
              <w:ind w:firstLine="420" w:firstLineChars="200"/>
              <w:rPr>
                <w:rFonts w:hint="eastAsia" w:hAnsi="宋体" w:cs="宋体"/>
                <w:bCs/>
                <w:color w:val="auto"/>
                <w:highlight w:val="none"/>
              </w:rPr>
            </w:pPr>
            <w:r>
              <w:rPr>
                <w:rFonts w:hint="eastAsia" w:hAnsi="宋体" w:cs="宋体"/>
                <w:bCs/>
                <w:color w:val="auto"/>
                <w:highlight w:val="none"/>
              </w:rPr>
              <w:t>由评委根据供应商提供的技术方案，包括①系统现状分析、②项目建设目标、③项目需求分析、④总体架构设计方案、⑤网络部署架构、⑥技术路线、⑦电子公文数据迁移方案进行独立评分。</w:t>
            </w:r>
          </w:p>
          <w:p w14:paraId="6AB0C969">
            <w:pPr>
              <w:pStyle w:val="28"/>
              <w:snapToGrid w:val="0"/>
              <w:spacing w:line="400" w:lineRule="exact"/>
              <w:ind w:firstLine="420" w:firstLineChars="200"/>
              <w:rPr>
                <w:rFonts w:hint="eastAsia" w:hAnsi="宋体" w:cs="宋体"/>
                <w:bCs/>
                <w:color w:val="auto"/>
                <w:highlight w:val="none"/>
              </w:rPr>
            </w:pPr>
            <w:r>
              <w:rPr>
                <w:rFonts w:hint="eastAsia" w:hAnsi="宋体" w:cs="宋体"/>
                <w:bCs/>
                <w:color w:val="auto"/>
                <w:highlight w:val="none"/>
              </w:rPr>
              <w:t>未达到一档要求的不得分。</w:t>
            </w:r>
          </w:p>
          <w:p w14:paraId="31F87267">
            <w:pPr>
              <w:pStyle w:val="28"/>
              <w:snapToGrid w:val="0"/>
              <w:spacing w:line="400" w:lineRule="exact"/>
              <w:ind w:firstLine="420" w:firstLineChars="200"/>
              <w:rPr>
                <w:rFonts w:hint="eastAsia" w:hAnsi="宋体" w:cs="宋体"/>
                <w:bCs/>
                <w:color w:val="auto"/>
                <w:highlight w:val="none"/>
              </w:rPr>
            </w:pPr>
            <w:r>
              <w:rPr>
                <w:rFonts w:hint="eastAsia" w:hAnsi="宋体" w:cs="宋体"/>
                <w:bCs/>
                <w:color w:val="auto"/>
                <w:highlight w:val="none"/>
              </w:rPr>
              <w:t>一档（6分）：上述7项内容仅提供5项，内容基本满足项目实施要求的。</w:t>
            </w:r>
          </w:p>
          <w:p w14:paraId="38B39E5F">
            <w:pPr>
              <w:pStyle w:val="28"/>
              <w:snapToGrid w:val="0"/>
              <w:spacing w:line="400" w:lineRule="exact"/>
              <w:ind w:firstLine="420" w:firstLineChars="200"/>
              <w:rPr>
                <w:rFonts w:hint="eastAsia" w:hAnsi="宋体" w:cs="宋体"/>
                <w:bCs/>
                <w:color w:val="auto"/>
                <w:highlight w:val="none"/>
              </w:rPr>
            </w:pPr>
            <w:r>
              <w:rPr>
                <w:rFonts w:hint="eastAsia" w:hAnsi="宋体" w:cs="宋体"/>
                <w:bCs/>
                <w:color w:val="auto"/>
                <w:highlight w:val="none"/>
              </w:rPr>
              <w:t>二档（13分）：提供上述</w:t>
            </w:r>
            <w:r>
              <w:rPr>
                <w:rFonts w:hint="eastAsia" w:hAnsi="宋体" w:cs="宋体"/>
                <w:bCs/>
                <w:color w:val="auto"/>
                <w:highlight w:val="none"/>
                <w:lang w:val="en-US" w:eastAsia="zh-CN"/>
              </w:rPr>
              <w:t>6</w:t>
            </w:r>
            <w:r>
              <w:rPr>
                <w:rFonts w:hint="eastAsia" w:hAnsi="宋体" w:cs="宋体"/>
                <w:bCs/>
                <w:color w:val="auto"/>
                <w:highlight w:val="none"/>
              </w:rPr>
              <w:t>项内容，内容符合项目实施要求的。</w:t>
            </w:r>
          </w:p>
          <w:p w14:paraId="1932CA43">
            <w:pPr>
              <w:pStyle w:val="28"/>
              <w:snapToGrid w:val="0"/>
              <w:spacing w:line="400" w:lineRule="exact"/>
              <w:ind w:firstLine="420" w:firstLineChars="200"/>
              <w:rPr>
                <w:rFonts w:hint="eastAsia" w:hAnsi="宋体" w:cs="宋体"/>
                <w:bCs/>
                <w:color w:val="auto"/>
                <w:highlight w:val="none"/>
              </w:rPr>
            </w:pPr>
            <w:r>
              <w:rPr>
                <w:rFonts w:hint="eastAsia" w:hAnsi="宋体" w:cs="宋体"/>
                <w:bCs/>
                <w:color w:val="auto"/>
                <w:highlight w:val="none"/>
              </w:rPr>
              <w:t>三档（19分）：提供上述7项内容，内容符合项目实施要求的，且补充说明本项目建设与广西党政机关综合办公平台的关系，同时提供主要功能点的用例截图证明。</w:t>
            </w:r>
          </w:p>
          <w:p w14:paraId="64146550">
            <w:pPr>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2.2项目实施方案（满分10分）</w:t>
            </w:r>
          </w:p>
          <w:p w14:paraId="7EA2DFF6">
            <w:pPr>
              <w:snapToGrid w:val="0"/>
              <w:spacing w:line="400" w:lineRule="exact"/>
              <w:ind w:firstLine="420" w:firstLineChars="200"/>
              <w:outlineLvl w:val="1"/>
              <w:rPr>
                <w:rFonts w:hint="eastAsia" w:ascii="宋体" w:hAnsi="宋体" w:cs="宋体"/>
                <w:bCs/>
                <w:color w:val="auto"/>
                <w:szCs w:val="21"/>
                <w:highlight w:val="none"/>
              </w:rPr>
            </w:pPr>
            <w:bookmarkStart w:id="116" w:name="_Toc10647"/>
            <w:r>
              <w:rPr>
                <w:rFonts w:hint="eastAsia" w:ascii="宋体" w:hAnsi="宋体" w:cs="宋体"/>
                <w:bCs/>
                <w:color w:val="auto"/>
                <w:szCs w:val="21"/>
                <w:highlight w:val="none"/>
              </w:rPr>
              <w:t>由评委根据供应商提供的项目实施管理方案，包括①实施管理方案、②实施组织方案、③质量保证方案、④系统测试方案、⑤试运行方案、⑥验收方案进行独立评分。</w:t>
            </w:r>
          </w:p>
          <w:p w14:paraId="3374712D">
            <w:pPr>
              <w:snapToGrid w:val="0"/>
              <w:spacing w:line="400" w:lineRule="exact"/>
              <w:ind w:firstLine="420" w:firstLineChars="200"/>
              <w:outlineLvl w:val="1"/>
              <w:rPr>
                <w:rFonts w:hint="eastAsia" w:ascii="宋体" w:hAnsi="宋体" w:cs="宋体"/>
                <w:bCs/>
                <w:color w:val="auto"/>
                <w:szCs w:val="21"/>
                <w:highlight w:val="none"/>
              </w:rPr>
            </w:pPr>
            <w:r>
              <w:rPr>
                <w:rFonts w:hint="eastAsia" w:ascii="宋体" w:hAnsi="宋体" w:cs="宋体"/>
                <w:bCs/>
                <w:color w:val="auto"/>
                <w:szCs w:val="21"/>
                <w:highlight w:val="none"/>
              </w:rPr>
              <w:t>未达到一档要求的不得分。</w:t>
            </w:r>
          </w:p>
          <w:p w14:paraId="6D4F923C">
            <w:pPr>
              <w:snapToGrid w:val="0"/>
              <w:spacing w:line="400" w:lineRule="exact"/>
              <w:ind w:firstLine="420" w:firstLineChars="200"/>
              <w:outlineLvl w:val="1"/>
              <w:rPr>
                <w:rFonts w:hint="eastAsia" w:ascii="宋体" w:hAnsi="宋体" w:cs="宋体"/>
                <w:bCs/>
                <w:color w:val="auto"/>
                <w:szCs w:val="21"/>
                <w:highlight w:val="none"/>
              </w:rPr>
            </w:pPr>
            <w:r>
              <w:rPr>
                <w:rFonts w:hint="eastAsia" w:ascii="宋体" w:hAnsi="宋体" w:cs="宋体"/>
                <w:bCs/>
                <w:color w:val="auto"/>
                <w:szCs w:val="21"/>
                <w:highlight w:val="none"/>
              </w:rPr>
              <w:t>一档（4分）：上述6项内容仅提供5项，内容基本满足项目实施要求的。</w:t>
            </w:r>
          </w:p>
          <w:p w14:paraId="1B54E089">
            <w:pPr>
              <w:snapToGrid w:val="0"/>
              <w:spacing w:line="400" w:lineRule="exact"/>
              <w:ind w:firstLine="420" w:firstLineChars="200"/>
              <w:outlineLvl w:val="1"/>
              <w:rPr>
                <w:rFonts w:hint="eastAsia" w:ascii="宋体" w:hAnsi="宋体" w:cs="宋体"/>
                <w:bCs/>
                <w:color w:val="auto"/>
                <w:szCs w:val="21"/>
                <w:highlight w:val="none"/>
              </w:rPr>
            </w:pPr>
            <w:r>
              <w:rPr>
                <w:rFonts w:hint="eastAsia" w:ascii="宋体" w:hAnsi="宋体" w:cs="宋体"/>
                <w:bCs/>
                <w:color w:val="auto"/>
                <w:szCs w:val="21"/>
                <w:highlight w:val="none"/>
              </w:rPr>
              <w:t>二档（7分）：提供上述6项内容，内容完全满足项目实施要求；同时有完整的项目质量管理措施介绍，且拟投入本项目服务团队不少于4人（在响应文件中提供供应商为实施团队人员缴纳响应文件递交截止之日前半年内供应商任意1个月的社保证明或劳动合同材料并加盖供应商公章）。</w:t>
            </w:r>
          </w:p>
          <w:p w14:paraId="42E560CA">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三档（10分）：提供上述6项内容，内容完全满足项目实施要求；同时有详细的进度安排，有详细的项目质量管理体系介绍、具体的项目质量管理体系建设内容，且拟投入本项目服务团队不少于6人 （在响应文件中提供供应商为实施团队人员缴纳响应文件递交截止之日前半年内供应商任意1个月的社保证明或劳动合同材料并加盖供应商公章）。</w:t>
            </w:r>
            <w:bookmarkEnd w:id="116"/>
          </w:p>
          <w:p w14:paraId="039F663C">
            <w:pPr>
              <w:snapToGrid w:val="0"/>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2.3 项目管理方案（满分8分）</w:t>
            </w:r>
          </w:p>
          <w:p w14:paraId="57E7B6B7">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由磋商小组根据供应商提供的项目管理方案包括：①项目范围管理、②项目进度控制、③项目过程管理、④项目质量控制、⑤项目配置管理、⑥项目变更控制、⑦项目风险管理进行独立评分。</w:t>
            </w:r>
          </w:p>
          <w:p w14:paraId="72DB3A20">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未达到一档要求的不得分。</w:t>
            </w:r>
          </w:p>
          <w:p w14:paraId="26223363">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一档（4分）：上述7项内容仅提供5项，内容基本符合项目实施要求的。</w:t>
            </w:r>
          </w:p>
          <w:p w14:paraId="07CC906F">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二档（6分）：上述7项内容仅提供6项，内容符合项目实施要求的。</w:t>
            </w:r>
          </w:p>
          <w:p w14:paraId="1F1F05A3">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三档（8分）：提供上述7项内容，完全符合项目实施要求的。</w:t>
            </w:r>
          </w:p>
          <w:p w14:paraId="3572A8EF">
            <w:pPr>
              <w:snapToGrid w:val="0"/>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2.4 运维服务方案（满分8分）</w:t>
            </w:r>
          </w:p>
          <w:p w14:paraId="57B0A558">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由磋商小组根据供应商提供的运维服务方案，包括：①运维服务目标、②运维服务内容、③运行维护管理制度、④运维技术团队、⑤运行维护分工、⑥运维服务流程进行独立评分。</w:t>
            </w:r>
          </w:p>
          <w:p w14:paraId="05BFD2E9">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未达到一档要求的不得分。</w:t>
            </w:r>
          </w:p>
          <w:p w14:paraId="66A9EE58">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一档（4分）：上述6项内容仅提供5项，内容基本符合项目实施要求的。</w:t>
            </w:r>
          </w:p>
          <w:p w14:paraId="795ED17E">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二档（6分）：提供上述6项内容，内容符合项目实施要求的。</w:t>
            </w:r>
          </w:p>
          <w:p w14:paraId="2B1D6A25">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三档（8分）：提供上述6项内容，完全符合项目实施要求的。同时为本项目配备专门的运维服务经理，且运维服务经理具有软考中级及以上资格证书或中级及以上职称证书。</w:t>
            </w:r>
          </w:p>
          <w:p w14:paraId="22A16D52">
            <w:pPr>
              <w:snapToGrid w:val="0"/>
              <w:spacing w:line="400" w:lineRule="exact"/>
              <w:rPr>
                <w:rFonts w:hint="eastAsia" w:ascii="宋体" w:hAnsi="宋体" w:cs="宋体"/>
                <w:color w:val="auto"/>
                <w:szCs w:val="21"/>
                <w:highlight w:val="none"/>
              </w:rPr>
            </w:pPr>
            <w:r>
              <w:rPr>
                <w:rFonts w:hint="eastAsia" w:ascii="宋体" w:hAnsi="宋体" w:cs="宋体"/>
                <w:b/>
                <w:bCs/>
                <w:color w:val="auto"/>
                <w:szCs w:val="21"/>
                <w:highlight w:val="none"/>
              </w:rPr>
              <w:t>2.5培训服务方案（满分8分）</w:t>
            </w:r>
          </w:p>
          <w:p w14:paraId="1FD72B61">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bookmarkStart w:id="117" w:name="_Toc25159"/>
            <w:r>
              <w:rPr>
                <w:rFonts w:hint="eastAsia" w:ascii="宋体" w:hAnsi="宋体" w:eastAsia="宋体" w:cs="宋体"/>
                <w:bCs/>
                <w:color w:val="auto"/>
                <w:kern w:val="2"/>
                <w:sz w:val="21"/>
                <w:szCs w:val="21"/>
                <w:highlight w:val="none"/>
              </w:rPr>
              <w:t>由磋商小组根据供应商提供的培训服务方案包括但不限于①培训服务承诺、②培训需求分析、③培训计划、④培训课程、⑤培训服务保障进行独立评分。</w:t>
            </w:r>
          </w:p>
          <w:p w14:paraId="55FEC3F0">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未达到一档要求的不得分。</w:t>
            </w:r>
          </w:p>
          <w:p w14:paraId="66091CB9">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一档（4分）：上述5项内容仅提供3项，内容符合项目实施要求的。</w:t>
            </w:r>
          </w:p>
          <w:p w14:paraId="24908215">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二档（6分）：上述5项内容仅提供4项，内容符合项目实施要求的。</w:t>
            </w:r>
          </w:p>
          <w:p w14:paraId="7DEE7B4F">
            <w:pPr>
              <w:pStyle w:val="7"/>
              <w:snapToGrid w:val="0"/>
              <w:spacing w:before="0" w:after="0" w:line="400" w:lineRule="exact"/>
              <w:ind w:firstLine="420" w:firstLineChars="20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三档（8分）：提供上述5项内容，符合项目实施要求。</w:t>
            </w:r>
            <w:bookmarkEnd w:id="117"/>
          </w:p>
          <w:p w14:paraId="4F6DEBF5">
            <w:pPr>
              <w:snapToGrid w:val="0"/>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2.6售后服务方案（满分10分）</w:t>
            </w:r>
          </w:p>
          <w:p w14:paraId="2FB8D055">
            <w:pPr>
              <w:snapToGrid w:val="0"/>
              <w:spacing w:line="400" w:lineRule="exact"/>
              <w:ind w:firstLine="420" w:firstLineChars="200"/>
              <w:outlineLvl w:val="1"/>
              <w:rPr>
                <w:rFonts w:hint="eastAsia" w:ascii="宋体" w:hAnsi="宋体" w:cs="宋体"/>
                <w:bCs/>
                <w:color w:val="auto"/>
                <w:szCs w:val="21"/>
                <w:highlight w:val="none"/>
              </w:rPr>
            </w:pPr>
            <w:bookmarkStart w:id="118" w:name="_Toc25766"/>
            <w:r>
              <w:rPr>
                <w:rFonts w:hint="eastAsia" w:ascii="宋体" w:hAnsi="宋体" w:cs="宋体"/>
                <w:bCs/>
                <w:color w:val="auto"/>
                <w:szCs w:val="21"/>
                <w:highlight w:val="none"/>
              </w:rPr>
              <w:t>由磋商小组根据供应商提供的售后服务方案包括但不限于①售后服务承诺、②售后服务流程、③故障处理、④售后服务方式、⑤响应时间、⑥服务质量保证进行独立评分。</w:t>
            </w:r>
          </w:p>
          <w:p w14:paraId="3A324FB2">
            <w:pPr>
              <w:snapToGrid w:val="0"/>
              <w:spacing w:line="400" w:lineRule="exact"/>
              <w:ind w:firstLine="420" w:firstLineChars="200"/>
              <w:outlineLvl w:val="1"/>
              <w:rPr>
                <w:rFonts w:hint="eastAsia" w:ascii="宋体" w:hAnsi="宋体" w:cs="宋体"/>
                <w:bCs/>
                <w:color w:val="auto"/>
                <w:szCs w:val="21"/>
                <w:highlight w:val="none"/>
              </w:rPr>
            </w:pPr>
            <w:r>
              <w:rPr>
                <w:rFonts w:hint="eastAsia" w:ascii="宋体" w:hAnsi="宋体" w:cs="宋体"/>
                <w:bCs/>
                <w:color w:val="auto"/>
                <w:szCs w:val="21"/>
                <w:highlight w:val="none"/>
              </w:rPr>
              <w:t>未达到一档要求的不得分。</w:t>
            </w:r>
          </w:p>
          <w:p w14:paraId="207ED07B">
            <w:pPr>
              <w:snapToGrid w:val="0"/>
              <w:spacing w:line="400" w:lineRule="exact"/>
              <w:ind w:firstLine="420" w:firstLineChars="200"/>
              <w:outlineLvl w:val="1"/>
              <w:rPr>
                <w:rFonts w:hint="eastAsia" w:ascii="宋体" w:hAnsi="宋体" w:cs="宋体"/>
                <w:bCs/>
                <w:color w:val="auto"/>
                <w:szCs w:val="21"/>
                <w:highlight w:val="none"/>
              </w:rPr>
            </w:pPr>
            <w:r>
              <w:rPr>
                <w:rFonts w:hint="eastAsia" w:ascii="宋体" w:hAnsi="宋体" w:cs="宋体"/>
                <w:bCs/>
                <w:color w:val="auto"/>
                <w:szCs w:val="21"/>
                <w:highlight w:val="none"/>
              </w:rPr>
              <w:t>一档（4分）：上述6项内容仅提供5项、内容符合项目售后服务要求的。</w:t>
            </w:r>
          </w:p>
          <w:p w14:paraId="5F2E6E3B">
            <w:pPr>
              <w:snapToGrid w:val="0"/>
              <w:spacing w:line="400" w:lineRule="exact"/>
              <w:ind w:firstLine="420" w:firstLineChars="200"/>
              <w:outlineLvl w:val="1"/>
              <w:rPr>
                <w:rFonts w:hint="eastAsia" w:ascii="宋体" w:hAnsi="宋体" w:cs="宋体"/>
                <w:bCs/>
                <w:color w:val="auto"/>
                <w:szCs w:val="21"/>
                <w:highlight w:val="none"/>
              </w:rPr>
            </w:pPr>
            <w:r>
              <w:rPr>
                <w:rFonts w:hint="eastAsia" w:ascii="宋体" w:hAnsi="宋体" w:cs="宋体"/>
                <w:bCs/>
                <w:color w:val="auto"/>
                <w:szCs w:val="21"/>
                <w:highlight w:val="none"/>
              </w:rPr>
              <w:t>二档（7分）：提供上述6项内容，且具有售后技术服务团队，团队人员配置不少于2人（在响应文件中提供供应商为售后团队人员缴纳响应文件递交截止之日前半年内供应商任意1个月的社保证明或劳动合同材料并加盖供应商公章）。</w:t>
            </w:r>
          </w:p>
          <w:p w14:paraId="2BEEB143">
            <w:pPr>
              <w:pStyle w:val="7"/>
              <w:snapToGrid w:val="0"/>
              <w:spacing w:before="0" w:after="0" w:line="40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rPr>
              <w:t>三档（10分）：提供上述6项内容，同时有明确的售后服务目标，且具有售后技术服务团队，团队人员配置不少于4人 （在响应文件中提供供应商为售后团队人员缴纳响应文件递交截止之日前半年内供应商任意1个月的社保证明或劳动合同材料并加盖供应商公章）；为确保项目涉及信息系统的良好运行，供应商需安排专职的售后技术维护团队进行系统维护，通过专门培训，让技术服务人员熟练运维，当系统出现问题时，要求技术服务人员1小时内到达现场解决问题，通过网络提供24小时远程技术支持及故障检测等服务。</w:t>
            </w:r>
            <w:bookmarkEnd w:id="118"/>
          </w:p>
        </w:tc>
      </w:tr>
      <w:tr w14:paraId="5641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08" w:type="dxa"/>
            <w:vMerge w:val="restart"/>
            <w:vAlign w:val="center"/>
          </w:tcPr>
          <w:p w14:paraId="3C24AF48">
            <w:pPr>
              <w:adjustRightInd w:val="0"/>
              <w:snapToGrid w:val="0"/>
              <w:spacing w:line="40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3</w:t>
            </w:r>
          </w:p>
        </w:tc>
        <w:tc>
          <w:tcPr>
            <w:tcW w:w="1241" w:type="dxa"/>
            <w:vMerge w:val="restart"/>
            <w:vAlign w:val="center"/>
          </w:tcPr>
          <w:p w14:paraId="50B60397">
            <w:pPr>
              <w:adjustRightInd w:val="0"/>
              <w:snapToGrid w:val="0"/>
              <w:spacing w:line="400" w:lineRule="exact"/>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商务分</w:t>
            </w:r>
          </w:p>
        </w:tc>
        <w:tc>
          <w:tcPr>
            <w:tcW w:w="1006" w:type="dxa"/>
            <w:vMerge w:val="restart"/>
            <w:vAlign w:val="center"/>
          </w:tcPr>
          <w:p w14:paraId="227A808B">
            <w:pPr>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27分</w:t>
            </w:r>
          </w:p>
        </w:tc>
        <w:tc>
          <w:tcPr>
            <w:tcW w:w="6466" w:type="dxa"/>
            <w:vAlign w:val="center"/>
          </w:tcPr>
          <w:p w14:paraId="45C0B1CD">
            <w:pPr>
              <w:snapToGrid w:val="0"/>
              <w:spacing w:line="400" w:lineRule="exact"/>
              <w:outlineLvl w:val="1"/>
              <w:rPr>
                <w:rFonts w:hint="eastAsia" w:ascii="宋体" w:hAnsi="宋体" w:cs="宋体"/>
                <w:color w:val="auto"/>
                <w:szCs w:val="21"/>
                <w:highlight w:val="none"/>
              </w:rPr>
            </w:pPr>
            <w:r>
              <w:rPr>
                <w:rFonts w:hint="eastAsia" w:ascii="宋体" w:hAnsi="宋体" w:cs="宋体"/>
                <w:b/>
                <w:color w:val="auto"/>
                <w:kern w:val="0"/>
                <w:szCs w:val="21"/>
                <w:highlight w:val="none"/>
              </w:rPr>
              <w:t>3.1资质证书（满分8分）</w:t>
            </w:r>
          </w:p>
          <w:p w14:paraId="6CD28092">
            <w:pPr>
              <w:snapToGrid w:val="0"/>
              <w:spacing w:line="400" w:lineRule="exact"/>
              <w:ind w:firstLine="420" w:firstLineChars="200"/>
              <w:outlineLvl w:val="1"/>
              <w:rPr>
                <w:rFonts w:hint="eastAsia" w:ascii="宋体" w:hAnsi="宋体" w:cs="宋体"/>
                <w:color w:val="auto"/>
                <w:szCs w:val="21"/>
                <w:highlight w:val="none"/>
              </w:rPr>
            </w:pPr>
            <w:r>
              <w:rPr>
                <w:rFonts w:hint="eastAsia" w:ascii="宋体" w:hAnsi="宋体" w:cs="宋体"/>
                <w:color w:val="auto"/>
                <w:szCs w:val="21"/>
                <w:highlight w:val="none"/>
              </w:rPr>
              <w:t>1.供应商具备IS09001（质量管理体系）、ISO27001（信息安全体系）、ISO20000（信息技术服务管理体系）和ISO27017（信息安全管理体系），每提供1个证书得0.5分，须提供有效的证书证明材料并加盖供应商公章。（满分2分）。</w:t>
            </w:r>
          </w:p>
          <w:p w14:paraId="7401C44E">
            <w:pPr>
              <w:snapToGrid w:val="0"/>
              <w:spacing w:line="400" w:lineRule="exact"/>
              <w:ind w:firstLine="420" w:firstLineChars="200"/>
              <w:outlineLvl w:val="1"/>
              <w:rPr>
                <w:rFonts w:hint="eastAsia" w:ascii="宋体" w:hAnsi="宋体" w:cs="宋体"/>
                <w:color w:val="auto"/>
                <w:szCs w:val="21"/>
                <w:highlight w:val="none"/>
              </w:rPr>
            </w:pPr>
            <w:r>
              <w:rPr>
                <w:rFonts w:hint="eastAsia" w:ascii="宋体" w:hAnsi="宋体" w:cs="宋体"/>
                <w:color w:val="auto"/>
                <w:szCs w:val="21"/>
                <w:highlight w:val="none"/>
              </w:rPr>
              <w:t>2.如供应商具备项目管理系统类、运维工单软件系统类、运维管理平台类和智能安全风险监测平台类计算机软件著作权登记证书，每具备1个得1.5分，满分6分，须提供有效的证书证明材料并加盖供应商公章，否则不得分。（满分6分）</w:t>
            </w:r>
          </w:p>
        </w:tc>
      </w:tr>
      <w:tr w14:paraId="6A67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08" w:type="dxa"/>
            <w:vMerge w:val="continue"/>
            <w:vAlign w:val="center"/>
          </w:tcPr>
          <w:p w14:paraId="27C8E2FF">
            <w:pPr>
              <w:adjustRightInd w:val="0"/>
              <w:snapToGrid w:val="0"/>
              <w:spacing w:line="400" w:lineRule="exact"/>
              <w:jc w:val="center"/>
              <w:textAlignment w:val="baseline"/>
              <w:rPr>
                <w:rFonts w:hint="eastAsia" w:ascii="宋体" w:hAnsi="宋体" w:cs="宋体"/>
                <w:b/>
                <w:color w:val="auto"/>
                <w:szCs w:val="21"/>
                <w:highlight w:val="none"/>
              </w:rPr>
            </w:pPr>
          </w:p>
        </w:tc>
        <w:tc>
          <w:tcPr>
            <w:tcW w:w="1241" w:type="dxa"/>
            <w:vMerge w:val="continue"/>
            <w:vAlign w:val="center"/>
          </w:tcPr>
          <w:p w14:paraId="4E427B3C">
            <w:pPr>
              <w:adjustRightInd w:val="0"/>
              <w:snapToGrid w:val="0"/>
              <w:spacing w:line="400" w:lineRule="exact"/>
              <w:jc w:val="center"/>
              <w:textAlignment w:val="baseline"/>
              <w:rPr>
                <w:rFonts w:hint="eastAsia" w:ascii="宋体" w:hAnsi="宋体" w:cs="宋体"/>
                <w:b/>
                <w:color w:val="auto"/>
                <w:szCs w:val="21"/>
                <w:highlight w:val="none"/>
              </w:rPr>
            </w:pPr>
          </w:p>
        </w:tc>
        <w:tc>
          <w:tcPr>
            <w:tcW w:w="1006" w:type="dxa"/>
            <w:vMerge w:val="continue"/>
            <w:vAlign w:val="center"/>
          </w:tcPr>
          <w:p w14:paraId="635311DC">
            <w:pPr>
              <w:snapToGrid w:val="0"/>
              <w:spacing w:line="400" w:lineRule="exact"/>
              <w:rPr>
                <w:rFonts w:hint="eastAsia" w:ascii="宋体" w:hAnsi="宋体" w:cs="宋体"/>
                <w:b/>
                <w:color w:val="auto"/>
                <w:kern w:val="0"/>
                <w:szCs w:val="21"/>
                <w:highlight w:val="none"/>
              </w:rPr>
            </w:pPr>
          </w:p>
        </w:tc>
        <w:tc>
          <w:tcPr>
            <w:tcW w:w="6466" w:type="dxa"/>
            <w:vAlign w:val="center"/>
          </w:tcPr>
          <w:p w14:paraId="2BB281D4">
            <w:pPr>
              <w:snapToGrid w:val="0"/>
              <w:spacing w:line="400" w:lineRule="exact"/>
              <w:rPr>
                <w:rFonts w:hint="eastAsia" w:ascii="宋体" w:hAnsi="宋体" w:cs="宋体"/>
                <w:b/>
                <w:bCs/>
                <w:color w:val="auto"/>
                <w:szCs w:val="21"/>
                <w:highlight w:val="none"/>
              </w:rPr>
            </w:pPr>
            <w:r>
              <w:rPr>
                <w:rFonts w:hint="eastAsia" w:ascii="宋体" w:hAnsi="宋体" w:cs="宋体"/>
                <w:b/>
                <w:color w:val="auto"/>
                <w:kern w:val="0"/>
                <w:szCs w:val="21"/>
                <w:highlight w:val="none"/>
              </w:rPr>
              <w:t>3.2 拟投入服务团队分（满分14分）</w:t>
            </w:r>
          </w:p>
          <w:p w14:paraId="2B9E42CD">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1.项目实施团队（满分9分）</w:t>
            </w:r>
          </w:p>
          <w:p w14:paraId="37CD2070">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供应商为本项目投入项目经理、技术负责人、研发负责人、技术人员参与本项目的实施，具体要求如下：</w:t>
            </w:r>
          </w:p>
          <w:p w14:paraId="416CF042">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(1)项目经理1名（满分3分）</w:t>
            </w:r>
          </w:p>
          <w:p w14:paraId="0D521384">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项目经理具有计算机类相关专业高级职称证书、信息系统项目管理师证书、系统规划与管理师证书、系统分析师证书，每具备一个证书得1分，满分3分。</w:t>
            </w:r>
          </w:p>
          <w:p w14:paraId="05B45B21">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(2)技术负责人1名（满分2分）</w:t>
            </w:r>
          </w:p>
          <w:p w14:paraId="02FBB081">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技术负责人具有计算机类相关专业的高级职称证书、信息系统项目管理师证书、系统分析师证书，每具备一个证书得1分，满分2分。</w:t>
            </w:r>
          </w:p>
          <w:p w14:paraId="43365924">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(3)研发负责人1名（满分2分）</w:t>
            </w:r>
          </w:p>
          <w:p w14:paraId="2185D9B0">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研发负责人具有系统架构设计师证书、信息系统项目管理师证书，每具备一个得1分，满分2分。</w:t>
            </w:r>
          </w:p>
          <w:p w14:paraId="17A732B9">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(4)供应商投入服务团队的技术人员（满分2分）</w:t>
            </w:r>
          </w:p>
          <w:p w14:paraId="76E5043D">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①具备软件评测师证书：每投入1名符合条件的人员得0.5分，该项满分0.5分；</w:t>
            </w:r>
          </w:p>
          <w:p w14:paraId="32428984">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②具备网络工程师证书：每投入1名符合条件的人员得0.5分，该项满分0.5分；</w:t>
            </w:r>
          </w:p>
          <w:p w14:paraId="0F815F66">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③具备软件设计师证书：每投入1名符合条件的人员得0.5分，该项满分0.5分；</w:t>
            </w:r>
          </w:p>
          <w:p w14:paraId="7BA9B213">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④具备数据库系统工程师证书：每投入1名符合条件的人员得0.5分，该项满分0.5分；</w:t>
            </w:r>
          </w:p>
          <w:p w14:paraId="0A123F45">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同一人只能担任项目经理、技术负责人、研发负责人、技术人员中的一个角色，不可兼任；技术人员中同一人具有多项证书的，只计入其中一项评分，不重复计分。响应文件中提供相关证书扫描件及响应文件递交截止时间前半年内任意1个月供应商为其依法缴纳的有效社保证明或劳动合同并加盖供应商公章。</w:t>
            </w:r>
          </w:p>
          <w:p w14:paraId="0FF5FB7A">
            <w:pPr>
              <w:snapToGrid w:val="0"/>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2.项目售后服务团队（满分5分）</w:t>
            </w:r>
          </w:p>
          <w:p w14:paraId="1632F56F">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供应商为本项目投入运维项目经理、运维技术负责人、运维人员参与本项目的售后服务，具体要求如下：</w:t>
            </w:r>
          </w:p>
          <w:p w14:paraId="520DA148">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(1)运维项目经理1名（满分2分）</w:t>
            </w:r>
          </w:p>
          <w:p w14:paraId="422D9026">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项目经理具有高级信息系统项目管理师证书、系统规划与管理师证书、系统分析师证书，每具备一个证书得1分，满分2分。</w:t>
            </w:r>
          </w:p>
          <w:p w14:paraId="30DB1EC8">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(2)运维技术负责人1名（满分1分）</w:t>
            </w:r>
          </w:p>
          <w:p w14:paraId="72E67660">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技术负责人具有计算机类相关专业的高级职称证书、信息系统项目管理师证书、系统分析师证书，每具备一个证书得0.5分，满分1分。</w:t>
            </w:r>
          </w:p>
          <w:p w14:paraId="13084DF6">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(3)供应商投入服务团队的技术人员（满分2分）</w:t>
            </w:r>
          </w:p>
          <w:p w14:paraId="6C310200">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①具备高级信息系统项目管理师资质证书：每投入1名符合条件的人员得0.5分，该项满分0.5分；</w:t>
            </w:r>
          </w:p>
          <w:p w14:paraId="53973C3E">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②具备网络工程师证书：每投入1名符合条件的人员得0.5分，该项满分0.5分；</w:t>
            </w:r>
          </w:p>
          <w:p w14:paraId="22B99016">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③具备软件设计师证书：每投入1名符合条件的人员得0.5分，该项满分0.5分；</w:t>
            </w:r>
          </w:p>
          <w:p w14:paraId="0FAAAFBF">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④具备CISP注册信息安全工程师证书：每投入1名符合条件的人员得0.5分，该项满分0.5分。</w:t>
            </w:r>
          </w:p>
          <w:p w14:paraId="7F463C45">
            <w:pPr>
              <w:snapToGrid w:val="0"/>
              <w:spacing w:line="400" w:lineRule="exact"/>
              <w:ind w:firstLine="420" w:firstLineChars="200"/>
              <w:outlineLvl w:val="1"/>
              <w:rPr>
                <w:rFonts w:hint="eastAsia" w:ascii="宋体" w:hAnsi="宋体" w:cs="宋体"/>
                <w:color w:val="auto"/>
                <w:szCs w:val="21"/>
                <w:highlight w:val="none"/>
              </w:rPr>
            </w:pPr>
            <w:r>
              <w:rPr>
                <w:rFonts w:hint="eastAsia" w:ascii="宋体" w:hAnsi="宋体" w:cs="宋体"/>
                <w:color w:val="auto"/>
                <w:szCs w:val="21"/>
                <w:highlight w:val="none"/>
              </w:rPr>
              <w:t>注：同一人只能担任运维项目经理、运维技术负责人、技术人员中的一个角色，不可兼任；技术人员中同一人具有多项证书的，只计入其中一项评分，不重复计分。响应文件中提供相关证书扫描件及响应文件递交截止时间前半年内任意1个月供应商为其依法缴纳的有效社保证明或劳动合同并加盖供应商公章。</w:t>
            </w:r>
          </w:p>
        </w:tc>
      </w:tr>
      <w:tr w14:paraId="5E83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08" w:type="dxa"/>
            <w:vMerge w:val="continue"/>
            <w:vAlign w:val="center"/>
          </w:tcPr>
          <w:p w14:paraId="672577E8">
            <w:pPr>
              <w:adjustRightInd w:val="0"/>
              <w:snapToGrid w:val="0"/>
              <w:spacing w:line="400" w:lineRule="exact"/>
              <w:jc w:val="center"/>
              <w:textAlignment w:val="baseline"/>
              <w:rPr>
                <w:rFonts w:hint="eastAsia" w:ascii="宋体" w:hAnsi="宋体" w:cs="宋体"/>
                <w:b/>
                <w:color w:val="auto"/>
                <w:szCs w:val="21"/>
                <w:highlight w:val="none"/>
              </w:rPr>
            </w:pPr>
          </w:p>
        </w:tc>
        <w:tc>
          <w:tcPr>
            <w:tcW w:w="1241" w:type="dxa"/>
            <w:vMerge w:val="continue"/>
            <w:vAlign w:val="center"/>
          </w:tcPr>
          <w:p w14:paraId="4A0283EA">
            <w:pPr>
              <w:adjustRightInd w:val="0"/>
              <w:snapToGrid w:val="0"/>
              <w:spacing w:line="400" w:lineRule="exact"/>
              <w:jc w:val="center"/>
              <w:textAlignment w:val="baseline"/>
              <w:rPr>
                <w:rFonts w:hint="eastAsia" w:ascii="宋体" w:hAnsi="宋体" w:cs="宋体"/>
                <w:b/>
                <w:color w:val="auto"/>
                <w:szCs w:val="21"/>
                <w:highlight w:val="none"/>
              </w:rPr>
            </w:pPr>
          </w:p>
        </w:tc>
        <w:tc>
          <w:tcPr>
            <w:tcW w:w="1006" w:type="dxa"/>
            <w:vMerge w:val="continue"/>
            <w:vAlign w:val="center"/>
          </w:tcPr>
          <w:p w14:paraId="079D982B">
            <w:pPr>
              <w:snapToGrid w:val="0"/>
              <w:spacing w:line="400" w:lineRule="exact"/>
              <w:rPr>
                <w:rFonts w:hint="eastAsia" w:ascii="宋体" w:hAnsi="宋体" w:cs="宋体"/>
                <w:b/>
                <w:color w:val="auto"/>
                <w:szCs w:val="21"/>
                <w:highlight w:val="none"/>
              </w:rPr>
            </w:pPr>
          </w:p>
        </w:tc>
        <w:tc>
          <w:tcPr>
            <w:tcW w:w="6466" w:type="dxa"/>
            <w:vAlign w:val="center"/>
          </w:tcPr>
          <w:p w14:paraId="2694E07B">
            <w:pPr>
              <w:snapToGrid w:val="0"/>
              <w:spacing w:line="400" w:lineRule="exact"/>
              <w:outlineLvl w:val="1"/>
              <w:rPr>
                <w:rFonts w:hint="eastAsia" w:ascii="宋体" w:hAnsi="宋体" w:cs="宋体"/>
                <w:b/>
                <w:color w:val="auto"/>
                <w:kern w:val="0"/>
                <w:szCs w:val="21"/>
                <w:highlight w:val="none"/>
              </w:rPr>
            </w:pPr>
            <w:r>
              <w:rPr>
                <w:rFonts w:hint="eastAsia" w:ascii="宋体" w:hAnsi="宋体" w:cs="宋体"/>
                <w:b/>
                <w:color w:val="auto"/>
                <w:kern w:val="0"/>
                <w:szCs w:val="21"/>
                <w:highlight w:val="none"/>
              </w:rPr>
              <w:t>3.3同类项目业绩（满分5分）</w:t>
            </w:r>
          </w:p>
          <w:p w14:paraId="362D8774">
            <w:pPr>
              <w:snapToGrid w:val="0"/>
              <w:spacing w:line="400" w:lineRule="exact"/>
              <w:ind w:firstLine="420" w:firstLineChars="200"/>
              <w:outlineLvl w:val="1"/>
              <w:rPr>
                <w:rFonts w:hint="eastAsia" w:ascii="宋体" w:hAnsi="宋体" w:cs="宋体"/>
                <w:bCs/>
                <w:color w:val="auto"/>
                <w:kern w:val="0"/>
                <w:szCs w:val="21"/>
                <w:highlight w:val="none"/>
              </w:rPr>
            </w:pPr>
            <w:r>
              <w:rPr>
                <w:rFonts w:hint="eastAsia" w:ascii="宋体" w:hAnsi="宋体" w:cs="宋体"/>
                <w:color w:val="auto"/>
                <w:szCs w:val="21"/>
                <w:highlight w:val="none"/>
              </w:rPr>
              <w:t>自2023年1月1日以来供应商具有党政机关政务办公平台（OA系统）相关建设、运维项目案例的，每个得1分，需提供中标（成交）通知书或合同关键页扫描件并加盖公章，否则不得分。（满分5分）</w:t>
            </w:r>
          </w:p>
        </w:tc>
      </w:tr>
      <w:tr w14:paraId="7BAD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1" w:type="dxa"/>
            <w:gridSpan w:val="4"/>
            <w:vAlign w:val="center"/>
          </w:tcPr>
          <w:p w14:paraId="37202169">
            <w:pPr>
              <w:pStyle w:val="28"/>
              <w:snapToGrid w:val="0"/>
              <w:spacing w:line="400" w:lineRule="exact"/>
              <w:rPr>
                <w:rFonts w:hint="eastAsia" w:hAnsi="宋体" w:cs="宋体"/>
                <w:bCs/>
                <w:color w:val="auto"/>
                <w:highlight w:val="none"/>
              </w:rPr>
            </w:pPr>
            <w:r>
              <w:rPr>
                <w:rFonts w:hint="eastAsia" w:hAnsi="宋体" w:cs="宋体"/>
                <w:b/>
                <w:bCs/>
                <w:color w:val="auto"/>
                <w:highlight w:val="none"/>
              </w:rPr>
              <w:t>总得分=1+2+3。</w:t>
            </w:r>
          </w:p>
        </w:tc>
      </w:tr>
    </w:tbl>
    <w:p w14:paraId="5813EFFB">
      <w:pPr>
        <w:rPr>
          <w:color w:val="auto"/>
          <w:sz w:val="32"/>
          <w:szCs w:val="32"/>
          <w:highlight w:val="none"/>
        </w:rPr>
      </w:pPr>
    </w:p>
    <w:p w14:paraId="56508EEF">
      <w:pPr>
        <w:rPr>
          <w:color w:val="auto"/>
          <w:sz w:val="32"/>
          <w:szCs w:val="32"/>
          <w:highlight w:val="none"/>
        </w:rPr>
      </w:pPr>
      <w:r>
        <w:rPr>
          <w:color w:val="auto"/>
          <w:sz w:val="32"/>
          <w:szCs w:val="32"/>
          <w:highlight w:val="none"/>
        </w:rPr>
        <w:br w:type="page"/>
      </w:r>
    </w:p>
    <w:p w14:paraId="60568443">
      <w:pPr>
        <w:pStyle w:val="28"/>
        <w:snapToGrid w:val="0"/>
        <w:spacing w:before="120" w:after="120" w:line="320" w:lineRule="exact"/>
        <w:jc w:val="center"/>
        <w:outlineLvl w:val="0"/>
        <w:rPr>
          <w:rFonts w:ascii="Times New Roman" w:hAnsi="Times New Roman" w:cs="Times New Roman"/>
          <w:color w:val="auto"/>
          <w:sz w:val="32"/>
          <w:szCs w:val="32"/>
          <w:highlight w:val="none"/>
        </w:rPr>
      </w:pPr>
      <w:bookmarkStart w:id="119" w:name="_Toc15532"/>
      <w:r>
        <w:rPr>
          <w:rFonts w:ascii="Times New Roman" w:hAnsi="Times New Roman" w:cs="Times New Roman"/>
          <w:color w:val="auto"/>
          <w:sz w:val="32"/>
          <w:szCs w:val="32"/>
          <w:highlight w:val="none"/>
        </w:rPr>
        <w:t>第五章  合同主要条款格式</w:t>
      </w:r>
      <w:bookmarkEnd w:id="119"/>
    </w:p>
    <w:p w14:paraId="721CE477">
      <w:pPr>
        <w:pStyle w:val="28"/>
        <w:snapToGrid w:val="0"/>
        <w:jc w:val="center"/>
        <w:rPr>
          <w:rFonts w:ascii="Times New Roman" w:hAnsi="Times New Roman" w:cs="Times New Roman"/>
          <w:b/>
          <w:color w:val="auto"/>
          <w:sz w:val="24"/>
          <w:szCs w:val="24"/>
          <w:highlight w:val="none"/>
        </w:rPr>
      </w:pPr>
    </w:p>
    <w:bookmarkEnd w:id="0"/>
    <w:bookmarkEnd w:id="1"/>
    <w:bookmarkEnd w:id="108"/>
    <w:bookmarkEnd w:id="109"/>
    <w:p w14:paraId="22C53632">
      <w:pPr>
        <w:snapToGrid w:val="0"/>
        <w:spacing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《广西壮族自治区政府采购合同》</w:t>
      </w:r>
    </w:p>
    <w:p w14:paraId="49B1B420">
      <w:pPr>
        <w:snapToGrid w:val="0"/>
        <w:spacing w:line="400" w:lineRule="exact"/>
        <w:jc w:val="center"/>
        <w:rPr>
          <w:rFonts w:hint="eastAsia" w:ascii="宋体" w:hAnsi="宋体" w:cs="宋体"/>
          <w:b/>
          <w:bCs/>
          <w:color w:val="auto"/>
          <w:sz w:val="32"/>
          <w:szCs w:val="32"/>
          <w:highlight w:val="none"/>
        </w:rPr>
      </w:pPr>
      <w:r>
        <w:rPr>
          <w:rFonts w:hint="eastAsia" w:ascii="宋体" w:hAnsi="宋体" w:cs="宋体"/>
          <w:b/>
          <w:color w:val="auto"/>
          <w:sz w:val="32"/>
          <w:szCs w:val="32"/>
          <w:highlight w:val="none"/>
        </w:rPr>
        <w:t>文本</w:t>
      </w:r>
    </w:p>
    <w:p w14:paraId="366C8840">
      <w:pPr>
        <w:snapToGrid w:val="0"/>
        <w:spacing w:line="400" w:lineRule="exact"/>
        <w:ind w:right="480" w:firstLine="5250" w:firstLineChars="2500"/>
        <w:rPr>
          <w:rFonts w:hint="eastAsia" w:ascii="宋体" w:hAnsi="宋体" w:cs="宋体"/>
          <w:bCs/>
          <w:color w:val="auto"/>
          <w:szCs w:val="21"/>
          <w:highlight w:val="none"/>
          <w:u w:val="single"/>
        </w:rPr>
      </w:pPr>
      <w:r>
        <w:rPr>
          <w:rFonts w:hint="eastAsia" w:ascii="宋体" w:hAnsi="宋体" w:cs="宋体"/>
          <w:bCs/>
          <w:color w:val="auto"/>
          <w:szCs w:val="21"/>
          <w:highlight w:val="none"/>
        </w:rPr>
        <w:t>合同编号：</w:t>
      </w:r>
    </w:p>
    <w:p w14:paraId="22A12E62">
      <w:pPr>
        <w:snapToGrid w:val="0"/>
        <w:spacing w:line="360" w:lineRule="exact"/>
        <w:rPr>
          <w:rFonts w:hint="eastAsia" w:ascii="宋体" w:hAnsi="宋体" w:cs="宋体"/>
          <w:color w:val="auto"/>
          <w:szCs w:val="21"/>
          <w:highlight w:val="none"/>
        </w:rPr>
      </w:pPr>
    </w:p>
    <w:p w14:paraId="3B791A9E">
      <w:pPr>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pacing w:val="-20"/>
          <w:szCs w:val="21"/>
          <w:highlight w:val="none"/>
        </w:rPr>
        <w:t>采 购 计 划 号</w:t>
      </w:r>
      <w:r>
        <w:rPr>
          <w:rFonts w:hint="eastAsia" w:ascii="宋体" w:hAnsi="宋体" w:cs="宋体"/>
          <w:color w:val="auto"/>
          <w:szCs w:val="21"/>
          <w:highlight w:val="none"/>
          <w:u w:val="single"/>
        </w:rPr>
        <w:t xml:space="preserve">             </w:t>
      </w:r>
    </w:p>
    <w:p w14:paraId="5DCA0D27">
      <w:pPr>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供 应 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pacing w:val="-20"/>
          <w:szCs w:val="21"/>
          <w:highlight w:val="none"/>
        </w:rPr>
        <w:t>招  标  编  号</w:t>
      </w:r>
      <w:r>
        <w:rPr>
          <w:rFonts w:hint="eastAsia" w:ascii="宋体" w:hAnsi="宋体" w:cs="宋体"/>
          <w:color w:val="auto"/>
          <w:szCs w:val="21"/>
          <w:highlight w:val="none"/>
          <w:u w:val="single"/>
        </w:rPr>
        <w:t xml:space="preserve">             </w:t>
      </w:r>
    </w:p>
    <w:p w14:paraId="57413C3C">
      <w:pPr>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签  订  地  点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 订 时 间</w:t>
      </w:r>
      <w:r>
        <w:rPr>
          <w:rFonts w:hint="eastAsia" w:ascii="宋体" w:hAnsi="宋体" w:cs="宋体"/>
          <w:color w:val="auto"/>
          <w:szCs w:val="21"/>
          <w:highlight w:val="none"/>
          <w:u w:val="single"/>
        </w:rPr>
        <w:t xml:space="preserve">             </w:t>
      </w:r>
    </w:p>
    <w:p w14:paraId="18396CA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53A3629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根据《中华人民共和国政府采购法》《中华人民共和国民法典》等法律、法规规定，按照磋商文件规定条款和乙方响应文件及其承诺，甲乙双方签订本合同。</w:t>
      </w:r>
    </w:p>
    <w:p w14:paraId="61E13F8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p w14:paraId="085AF8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1、项目一览表</w:t>
      </w:r>
    </w:p>
    <w:tbl>
      <w:tblPr>
        <w:tblStyle w:val="53"/>
        <w:tblW w:w="9360" w:type="dxa"/>
        <w:tblInd w:w="-4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934"/>
        <w:gridCol w:w="2675"/>
        <w:gridCol w:w="1524"/>
        <w:gridCol w:w="1300"/>
        <w:gridCol w:w="1207"/>
      </w:tblGrid>
      <w:tr w14:paraId="712A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3DC2ABE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34" w:type="dxa"/>
            <w:tcBorders>
              <w:top w:val="single" w:color="auto" w:sz="4" w:space="0"/>
              <w:left w:val="single" w:color="auto" w:sz="4" w:space="0"/>
              <w:bottom w:val="single" w:color="auto" w:sz="4" w:space="0"/>
              <w:right w:val="single" w:color="auto" w:sz="4" w:space="0"/>
            </w:tcBorders>
            <w:vAlign w:val="center"/>
          </w:tcPr>
          <w:p w14:paraId="4450402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675" w:type="dxa"/>
            <w:tcBorders>
              <w:top w:val="single" w:color="auto" w:sz="4" w:space="0"/>
              <w:left w:val="single" w:color="auto" w:sz="4" w:space="0"/>
              <w:bottom w:val="single" w:color="auto" w:sz="4" w:space="0"/>
              <w:right w:val="single" w:color="auto" w:sz="4" w:space="0"/>
            </w:tcBorders>
            <w:vAlign w:val="center"/>
          </w:tcPr>
          <w:p w14:paraId="108DFC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服务内容</w:t>
            </w:r>
          </w:p>
        </w:tc>
        <w:tc>
          <w:tcPr>
            <w:tcW w:w="1524" w:type="dxa"/>
            <w:tcBorders>
              <w:top w:val="single" w:color="auto" w:sz="4" w:space="0"/>
              <w:left w:val="single" w:color="auto" w:sz="4" w:space="0"/>
              <w:bottom w:val="single" w:color="auto" w:sz="4" w:space="0"/>
              <w:right w:val="single" w:color="auto" w:sz="4" w:space="0"/>
            </w:tcBorders>
            <w:vAlign w:val="center"/>
          </w:tcPr>
          <w:p w14:paraId="2FB56698">
            <w:pPr>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1300" w:type="dxa"/>
            <w:tcBorders>
              <w:top w:val="single" w:color="auto" w:sz="4" w:space="0"/>
              <w:left w:val="single" w:color="auto" w:sz="4" w:space="0"/>
              <w:bottom w:val="single" w:color="auto" w:sz="4" w:space="0"/>
              <w:right w:val="single" w:color="auto" w:sz="4" w:space="0"/>
            </w:tcBorders>
            <w:vAlign w:val="center"/>
          </w:tcPr>
          <w:p w14:paraId="1A86C6F2">
            <w:pPr>
              <w:jc w:val="center"/>
              <w:rPr>
                <w:rFonts w:hint="eastAsia" w:ascii="宋体" w:hAnsi="宋体" w:cs="宋体"/>
                <w:color w:val="auto"/>
                <w:szCs w:val="21"/>
                <w:highlight w:val="none"/>
              </w:rPr>
            </w:pPr>
            <w:r>
              <w:rPr>
                <w:rFonts w:hint="eastAsia" w:ascii="宋体" w:hAnsi="宋体" w:cs="宋体"/>
                <w:color w:val="auto"/>
                <w:szCs w:val="21"/>
                <w:highlight w:val="none"/>
              </w:rPr>
              <w:t>单价（元）</w:t>
            </w:r>
          </w:p>
        </w:tc>
        <w:tc>
          <w:tcPr>
            <w:tcW w:w="1207" w:type="dxa"/>
            <w:tcBorders>
              <w:top w:val="single" w:color="auto" w:sz="4" w:space="0"/>
              <w:left w:val="single" w:color="auto" w:sz="4" w:space="0"/>
              <w:bottom w:val="single" w:color="auto" w:sz="4" w:space="0"/>
              <w:right w:val="single" w:color="auto" w:sz="4" w:space="0"/>
            </w:tcBorders>
            <w:vAlign w:val="center"/>
          </w:tcPr>
          <w:p w14:paraId="3D97E92C">
            <w:pPr>
              <w:jc w:val="center"/>
              <w:rPr>
                <w:rFonts w:hint="eastAsia" w:ascii="宋体" w:hAnsi="宋体" w:cs="宋体"/>
                <w:color w:val="auto"/>
                <w:szCs w:val="21"/>
                <w:highlight w:val="none"/>
              </w:rPr>
            </w:pPr>
            <w:r>
              <w:rPr>
                <w:rFonts w:hint="eastAsia" w:ascii="宋体" w:hAnsi="宋体" w:cs="宋体"/>
                <w:color w:val="auto"/>
                <w:szCs w:val="21"/>
                <w:highlight w:val="none"/>
              </w:rPr>
              <w:t>总价（元）</w:t>
            </w:r>
          </w:p>
        </w:tc>
      </w:tr>
      <w:tr w14:paraId="0DA0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7BD7E9F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34" w:type="dxa"/>
            <w:tcBorders>
              <w:top w:val="single" w:color="auto" w:sz="4" w:space="0"/>
              <w:left w:val="single" w:color="auto" w:sz="4" w:space="0"/>
              <w:bottom w:val="single" w:color="auto" w:sz="4" w:space="0"/>
              <w:right w:val="single" w:color="auto" w:sz="4" w:space="0"/>
            </w:tcBorders>
            <w:vAlign w:val="center"/>
          </w:tcPr>
          <w:p w14:paraId="1EF47186">
            <w:pPr>
              <w:spacing w:line="400" w:lineRule="exact"/>
              <w:contextualSpacing/>
              <w:jc w:val="left"/>
              <w:rPr>
                <w:rFonts w:hint="eastAsia" w:ascii="宋体" w:hAnsi="宋体" w:cs="宋体"/>
                <w:color w:val="auto"/>
                <w:szCs w:val="21"/>
                <w:highlight w:val="none"/>
              </w:rPr>
            </w:pPr>
          </w:p>
        </w:tc>
        <w:tc>
          <w:tcPr>
            <w:tcW w:w="2675" w:type="dxa"/>
            <w:tcBorders>
              <w:top w:val="single" w:color="auto" w:sz="4" w:space="0"/>
              <w:left w:val="single" w:color="auto" w:sz="4" w:space="0"/>
              <w:bottom w:val="single" w:color="auto" w:sz="4" w:space="0"/>
              <w:right w:val="single" w:color="auto" w:sz="4" w:space="0"/>
            </w:tcBorders>
            <w:vAlign w:val="center"/>
          </w:tcPr>
          <w:p w14:paraId="7FCFA259">
            <w:pPr>
              <w:jc w:val="center"/>
              <w:rPr>
                <w:rFonts w:hint="eastAsia" w:ascii="宋体" w:hAnsi="宋体" w:cs="宋体"/>
                <w:color w:val="auto"/>
                <w:szCs w:val="21"/>
                <w:highlight w:val="none"/>
              </w:rPr>
            </w:pPr>
          </w:p>
        </w:tc>
        <w:tc>
          <w:tcPr>
            <w:tcW w:w="1524" w:type="dxa"/>
            <w:tcBorders>
              <w:top w:val="single" w:color="auto" w:sz="4" w:space="0"/>
              <w:left w:val="single" w:color="auto" w:sz="4" w:space="0"/>
              <w:bottom w:val="single" w:color="auto" w:sz="4" w:space="0"/>
              <w:right w:val="single" w:color="auto" w:sz="4" w:space="0"/>
            </w:tcBorders>
            <w:vAlign w:val="center"/>
          </w:tcPr>
          <w:p w14:paraId="154A3DEE">
            <w:pPr>
              <w:spacing w:line="360" w:lineRule="auto"/>
              <w:jc w:val="center"/>
              <w:rPr>
                <w:rFonts w:hint="eastAsia" w:ascii="宋体" w:hAnsi="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vAlign w:val="center"/>
          </w:tcPr>
          <w:p w14:paraId="79F2DA7E">
            <w:pPr>
              <w:spacing w:line="360" w:lineRule="auto"/>
              <w:jc w:val="center"/>
              <w:rPr>
                <w:rFonts w:hint="eastAsia" w:ascii="宋体" w:hAnsi="宋体" w:cs="宋体"/>
                <w:color w:val="auto"/>
                <w:szCs w:val="21"/>
                <w:highlight w:val="none"/>
              </w:rPr>
            </w:pPr>
          </w:p>
        </w:tc>
        <w:tc>
          <w:tcPr>
            <w:tcW w:w="1207" w:type="dxa"/>
            <w:tcBorders>
              <w:top w:val="single" w:color="auto" w:sz="4" w:space="0"/>
              <w:left w:val="single" w:color="auto" w:sz="4" w:space="0"/>
              <w:bottom w:val="single" w:color="auto" w:sz="4" w:space="0"/>
              <w:right w:val="single" w:color="auto" w:sz="4" w:space="0"/>
            </w:tcBorders>
            <w:vAlign w:val="center"/>
          </w:tcPr>
          <w:p w14:paraId="43008ADE">
            <w:pPr>
              <w:spacing w:line="360" w:lineRule="auto"/>
              <w:jc w:val="center"/>
              <w:rPr>
                <w:rFonts w:hint="eastAsia" w:ascii="宋体" w:hAnsi="宋体" w:cs="宋体"/>
                <w:color w:val="auto"/>
                <w:szCs w:val="21"/>
                <w:highlight w:val="none"/>
              </w:rPr>
            </w:pPr>
          </w:p>
        </w:tc>
      </w:tr>
      <w:tr w14:paraId="4541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vAlign w:val="center"/>
          </w:tcPr>
          <w:p w14:paraId="4C40DC1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详见开标一览表</w:t>
            </w:r>
          </w:p>
        </w:tc>
      </w:tr>
      <w:tr w14:paraId="75EC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vAlign w:val="center"/>
          </w:tcPr>
          <w:p w14:paraId="3250819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人民币合计金额（大写）：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bl>
    <w:p w14:paraId="734102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合计金额包括但不限于满足本次投标全部采购需求所应提供的服务，以及伴随的货物和工程（如有）的价格；包含但不限于人工、材料、交通、保险、利润、税金等所有与本项目有关的所有费用。如磋商文件对其另有规定的，从其规定。</w:t>
      </w:r>
    </w:p>
    <w:p w14:paraId="54E91A0E">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265C8BA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p>
    <w:p w14:paraId="0BA2D58A">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10DE181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318DF8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3658A7A6">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第四条　交付和验收</w:t>
      </w:r>
    </w:p>
    <w:p w14:paraId="1B9455D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394A3A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2、乙方应按响应文件的承诺向甲方提供相应的服务，并提供所服务内容的相关技术资料。</w:t>
      </w:r>
    </w:p>
    <w:p w14:paraId="466C23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3、乙方提供不符合响应文件和本合同规定的服务成果，甲方有权拒绝接受。</w:t>
      </w:r>
    </w:p>
    <w:p w14:paraId="288A33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3BEAAB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5、甲乙双方应按照《广西壮族自治区政府采购项目履约验收管理办法》、双方合同、响应文件验收。</w:t>
      </w:r>
    </w:p>
    <w:p w14:paraId="20D9ED0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6、甲方在初步验收或者最终验收过程中如发现乙方提供的服务成果不满足响应文件及本合同规定的，可暂缓向乙方付款，直到乙方及时完善并提交相应的服务成果且经甲方验收合格后，方可办理付款。</w:t>
      </w:r>
    </w:p>
    <w:p w14:paraId="2D968CD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7、甲方验收时以书面形式提出异议的，乙方应自收到甲方书面异议后五个工作日内及时予以解决，否则甲方有权不出具服务验收合格单。</w:t>
      </w:r>
    </w:p>
    <w:p w14:paraId="2C505C95">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第五条  售后服务及培训</w:t>
      </w:r>
    </w:p>
    <w:p w14:paraId="12A4067B">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1、乙方应按照国家有关法律法规和本合同所附的《售后服务承诺》要求为甲方提供相应的售后服务。</w:t>
      </w:r>
    </w:p>
    <w:p w14:paraId="69BD34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19DF53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9D18AA1">
      <w:pPr>
        <w:snapToGrid w:val="0"/>
        <w:spacing w:line="360" w:lineRule="auto"/>
        <w:ind w:firstLine="422" w:firstLineChars="200"/>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14:paraId="4DC2C670">
      <w:pPr>
        <w:snapToGrid w:val="0"/>
        <w:spacing w:line="360" w:lineRule="auto"/>
        <w:ind w:firstLine="420" w:firstLineChars="200"/>
        <w:rPr>
          <w:color w:val="auto"/>
          <w:szCs w:val="21"/>
          <w:highlight w:val="none"/>
        </w:rPr>
      </w:pPr>
      <w:r>
        <w:rPr>
          <w:rFonts w:hint="eastAsia"/>
          <w:color w:val="auto"/>
          <w:szCs w:val="21"/>
          <w:highlight w:val="none"/>
        </w:rPr>
        <w:t>标项一：签订合同后十五个工作日内支付合同金额的50%，2026年12月支付剩余合同金额的30%，验收合格后支付合同款项的20%。每次付款前，乙方开具发票给甲方。</w:t>
      </w:r>
    </w:p>
    <w:p w14:paraId="248040B5">
      <w:pPr>
        <w:pStyle w:val="7"/>
        <w:ind w:firstLine="420" w:firstLineChars="200"/>
        <w:jc w:val="left"/>
        <w:rPr>
          <w:rFonts w:ascii="Times New Roman" w:hAnsi="Times New Roman" w:eastAsia="宋体"/>
          <w:color w:val="auto"/>
          <w:kern w:val="2"/>
          <w:sz w:val="21"/>
          <w:szCs w:val="21"/>
          <w:highlight w:val="none"/>
        </w:rPr>
      </w:pPr>
      <w:r>
        <w:rPr>
          <w:rFonts w:hint="eastAsia" w:ascii="Times New Roman" w:hAnsi="Times New Roman" w:eastAsia="宋体"/>
          <w:color w:val="auto"/>
          <w:kern w:val="2"/>
          <w:sz w:val="21"/>
          <w:szCs w:val="21"/>
          <w:highlight w:val="none"/>
        </w:rPr>
        <w:t>标项二、标项三：项目签订合同后十五个工作日内支付合同金额的50%，验收合格后支付剩余合同款项的50%。每次付款前，乙方开具发票给甲方。</w:t>
      </w:r>
    </w:p>
    <w:p w14:paraId="48E00F4A">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第七条　履约保证金（收取履约保证金时填写）</w:t>
      </w:r>
    </w:p>
    <w:p w14:paraId="71A15C88">
      <w:pPr>
        <w:autoSpaceDE w:val="0"/>
        <w:autoSpaceDN w:val="0"/>
        <w:snapToGrid w:val="0"/>
        <w:spacing w:line="360" w:lineRule="auto"/>
        <w:ind w:firstLine="420" w:firstLineChars="200"/>
        <w:textAlignment w:val="bottom"/>
        <w:rPr>
          <w:rFonts w:hint="eastAsia" w:ascii="宋体" w:hAnsi="宋体" w:cs="宋体"/>
          <w:color w:val="auto"/>
          <w:szCs w:val="21"/>
          <w:highlight w:val="none"/>
        </w:rPr>
      </w:pPr>
      <w:r>
        <w:rPr>
          <w:rFonts w:hint="eastAsia" w:ascii="宋体" w:hAnsi="宋体" w:cs="宋体"/>
          <w:color w:val="auto"/>
          <w:szCs w:val="21"/>
          <w:highlight w:val="none"/>
        </w:rPr>
        <w:t>1、履约保证金金额：按合同金额的2%，即   分标：人民币（大写）       （小写）       。（注：履约保证金数额不得超过政府采购合同金额的5%，对中小企业收取的履约保证金数额不得超过政府采购合同金额的2%）</w:t>
      </w:r>
    </w:p>
    <w:p w14:paraId="14AF9216">
      <w:pPr>
        <w:autoSpaceDE w:val="0"/>
        <w:autoSpaceDN w:val="0"/>
        <w:snapToGrid w:val="0"/>
        <w:spacing w:line="360" w:lineRule="auto"/>
        <w:ind w:firstLine="420" w:firstLineChars="200"/>
        <w:textAlignment w:val="bottom"/>
        <w:rPr>
          <w:rFonts w:hint="eastAsia" w:ascii="宋体" w:hAnsi="宋体" w:cs="宋体"/>
          <w:color w:val="auto"/>
          <w:szCs w:val="21"/>
          <w:highlight w:val="none"/>
        </w:rPr>
      </w:pPr>
      <w:r>
        <w:rPr>
          <w:rFonts w:hint="eastAsia" w:ascii="宋体" w:hAnsi="宋体" w:cs="宋体"/>
          <w:color w:val="auto"/>
          <w:szCs w:val="21"/>
          <w:highlight w:val="none"/>
        </w:rPr>
        <w:t>2、履约保证金递交方式：乙方在签订合同前以银行转账、支票、汇票、本票或者金融机构、担保机构出具的保函等非现金方式向甲方提交。</w:t>
      </w:r>
    </w:p>
    <w:p w14:paraId="2BF1E3BA">
      <w:pPr>
        <w:autoSpaceDE w:val="0"/>
        <w:autoSpaceDN w:val="0"/>
        <w:snapToGrid w:val="0"/>
        <w:spacing w:line="360" w:lineRule="auto"/>
        <w:ind w:firstLine="420" w:firstLineChars="200"/>
        <w:textAlignment w:val="bottom"/>
        <w:rPr>
          <w:rFonts w:hint="eastAsia" w:ascii="宋体" w:hAnsi="宋体" w:cs="宋体"/>
          <w:color w:val="auto"/>
          <w:szCs w:val="21"/>
          <w:highlight w:val="none"/>
        </w:rPr>
      </w:pPr>
      <w:r>
        <w:rPr>
          <w:rFonts w:hint="eastAsia" w:ascii="宋体" w:hAnsi="宋体" w:cs="宋体"/>
          <w:color w:val="auto"/>
          <w:szCs w:val="21"/>
          <w:highlight w:val="none"/>
        </w:rPr>
        <w:t>3、履约保证金退付方式、时间及条件：项目服务验收合格后，由乙方向甲方财务部门提供审签完成的《政府采购项目合同验收书》（详见桂财采〔2015〕22号）及《政府采购项目履约保证金退付意见书》，甲方财务部门在收到合格材料后5个工作日内办理退还手续（不计利息）。（注：验收合格的政府采购项目，采购人应当按照合同约定的退还方式，在5个工作日内办理履约保证金退还手续。）</w:t>
      </w:r>
    </w:p>
    <w:p w14:paraId="31C62E56">
      <w:pPr>
        <w:autoSpaceDE w:val="0"/>
        <w:autoSpaceDN w:val="0"/>
        <w:snapToGrid w:val="0"/>
        <w:spacing w:line="360" w:lineRule="auto"/>
        <w:ind w:firstLine="420" w:firstLineChars="200"/>
        <w:textAlignment w:val="bottom"/>
        <w:rPr>
          <w:rFonts w:hint="eastAsia" w:ascii="宋体" w:hAnsi="宋体" w:cs="宋体"/>
          <w:color w:val="auto"/>
          <w:szCs w:val="21"/>
          <w:highlight w:val="none"/>
        </w:rPr>
      </w:pPr>
      <w:r>
        <w:rPr>
          <w:rFonts w:hint="eastAsia" w:ascii="宋体" w:hAnsi="宋体" w:cs="宋体"/>
          <w:color w:val="auto"/>
          <w:szCs w:val="21"/>
          <w:highlight w:val="none"/>
        </w:rPr>
        <w:t>4、缴纳履约保证金的指定账户：</w:t>
      </w:r>
    </w:p>
    <w:p w14:paraId="581C3A99">
      <w:pPr>
        <w:autoSpaceDE w:val="0"/>
        <w:autoSpaceDN w:val="0"/>
        <w:snapToGrid w:val="0"/>
        <w:spacing w:line="360" w:lineRule="auto"/>
        <w:ind w:firstLine="420" w:firstLineChars="200"/>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开户名称：                              </w:t>
      </w:r>
    </w:p>
    <w:p w14:paraId="108AD3BD">
      <w:pPr>
        <w:snapToGrid w:val="0"/>
        <w:spacing w:line="360" w:lineRule="auto"/>
        <w:ind w:firstLine="424" w:firstLineChars="202"/>
        <w:rPr>
          <w:rFonts w:hint="eastAsia" w:ascii="宋体" w:hAnsi="宋体" w:cs="宋体"/>
          <w:color w:val="auto"/>
          <w:highlight w:val="none"/>
        </w:rPr>
      </w:pPr>
      <w:r>
        <w:rPr>
          <w:rFonts w:hint="eastAsia" w:ascii="宋体" w:hAnsi="宋体" w:cs="宋体"/>
          <w:color w:val="auto"/>
          <w:highlight w:val="none"/>
        </w:rPr>
        <w:t>开户银行：</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6A0B2632">
      <w:pPr>
        <w:snapToGrid w:val="0"/>
        <w:spacing w:line="360" w:lineRule="auto"/>
        <w:ind w:firstLine="424" w:firstLineChars="202"/>
        <w:rPr>
          <w:rFonts w:hint="eastAsia" w:ascii="宋体" w:hAnsi="宋体" w:cs="宋体"/>
          <w:color w:val="auto"/>
          <w:szCs w:val="21"/>
          <w:highlight w:val="none"/>
        </w:rPr>
      </w:pPr>
      <w:r>
        <w:rPr>
          <w:rFonts w:hint="eastAsia" w:ascii="宋体" w:hAnsi="宋体" w:cs="宋体"/>
          <w:color w:val="auto"/>
          <w:highlight w:val="none"/>
        </w:rPr>
        <w:t>银行账号：</w:t>
      </w:r>
      <w:r>
        <w:rPr>
          <w:rFonts w:hint="eastAsia" w:ascii="宋体" w:hAnsi="宋体" w:cs="宋体"/>
          <w:color w:val="auto"/>
          <w:highlight w:val="none"/>
          <w:u w:val="single"/>
        </w:rPr>
        <w:t xml:space="preserve">                            </w:t>
      </w:r>
    </w:p>
    <w:p w14:paraId="7AEBA57E">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683ABC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18A9DB32">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0F7D703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不可抗力原因外，乙方没有按照合同规定的时间提供服务的，甲方可要求乙方支付违约金。每推迟一天按合同金额的0.5‰支付违约金，该违约金累计不超过合同金额的20%。达到20天时甲方有权单方面解除本合同，合同金额没有支付的，不再支付；已经支付的，甲方有权追回；如因此造成用方损失的，还应赔偿甲方损失。</w:t>
      </w:r>
    </w:p>
    <w:p w14:paraId="63237B8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所提供的服务成果、数量、技术参数要求（技术参数需求）等不符合磋商文件及甲方要求的，应及时整改；乙方在甲方规定期限内不能完成整改的或无正当理由拒绝整改或经整改后仍不能达到甲方要求的，甲方有权终止合同，追回已付款项，并按本合同总价的 10%计算违约金。</w:t>
      </w:r>
    </w:p>
    <w:p w14:paraId="2EEAB7D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甲方有权依据磋商文件、响应文件对乙方的服务人员进行管理或要求更换，对于甲方要求更换服务人员的，乙方应无条件及时更换；乙方拒绝更换的，甲方有权终止合同，追回已付款项，并按本合同总价的10%计算违约金。</w:t>
      </w:r>
    </w:p>
    <w:p w14:paraId="52D0C32A">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提供的服务如侵犯了第三方合法权益而引发的任何纠纷或者诉讼，均由乙方负责交涉并承担全部责任。甲方有权解除合同，合同金额没有支付的，不再支付；已经支付的，甲方有权追回，且乙方应按合同金额10%承担违约金，造成甲方损失的，还应赔偿甲方损失。</w:t>
      </w:r>
    </w:p>
    <w:p w14:paraId="4211144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5、除因甲方自身原因外，乙方操作造成甲方系统数据丢失、泄密的，应按合同金额的三倍支付违约金，违约金不足以弥补甲方损失的，还应支付赔偿甲方的全部损失。</w:t>
      </w:r>
    </w:p>
    <w:p w14:paraId="4F95A48E">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6、乙方未按本合同和响应文件中规定的服务承诺提供售后服务的，每出现一次，乙方应按本合同金额的1%向甲方支付违约金；甲方有权聘请第三方提供售后服务，因此产生的费用均由乙方承担。</w:t>
      </w:r>
    </w:p>
    <w:p w14:paraId="33A45D5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7、乙方提供的服务及其成果在服务期及售后期内，因设计缺陷或其它质量原因造成的问题，由乙方负责。</w:t>
      </w:r>
    </w:p>
    <w:p w14:paraId="187D41B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如乙方违反合同约定的信息安全及保密要求，每违反一次收取合同金额1%的违约金，累计不超过合同金额的30%，累计违约次数超过30次的，甲方有权终止合同，追回已付款项。违约金不足以弥补甲方实际损失的，还应支付赔偿金。</w:t>
      </w:r>
    </w:p>
    <w:p w14:paraId="4B9DFB0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9、甲方延期付款的，每天向乙方偿付延期款额3‰的违约金，但违约金累计不得超过延期款额5%。</w:t>
      </w:r>
    </w:p>
    <w:p w14:paraId="312777C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10、本条所称损失是指一方因另一方违约而遭受的全部经济损失（包括但不限于直接损失、间接损失及实现债权的费用，如诉讼费、律师费、差旅费、调查费、财产保全责任险保险费等）。</w:t>
      </w:r>
    </w:p>
    <w:p w14:paraId="4FC981A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11、甲方有权从未付价款、履约保证金中先行扣除乙方应支付的违约金、赔偿金，不足另补。</w:t>
      </w:r>
    </w:p>
    <w:p w14:paraId="58F13E2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74FFCB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1B541A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4A6668B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5701F6E0">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4、本合同所称不可抗力，是指本合同各方由于地震、台风、水灾、火灾、政策以及其他不能预见，并且对其发生和后果不能防止或不能避免且不可克服的客观情况。</w:t>
      </w:r>
    </w:p>
    <w:p w14:paraId="44992396">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5E5F426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0A99A1C5">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2、因履行本合同引起的或者与本合同有关的争议，甲乙双方应首先通过友好协商解决，如果协商不能解决，可向甲方所在地有管辖权人民法院提起诉讼。</w:t>
      </w:r>
    </w:p>
    <w:p w14:paraId="1D9C627A">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78135C91">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14:paraId="7255AC5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17E1AEB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2、合同执行中涉及采购资金和采购内容修改或者补充的，可签书面补充协议，作为主合同不可分割的一部分。</w:t>
      </w:r>
    </w:p>
    <w:p w14:paraId="034253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276D48D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4、送达</w:t>
      </w:r>
    </w:p>
    <w:p w14:paraId="6CD223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本合同任何通知、主张、要求、请求或其他函件联系等均采用书面形式方为有效。书面文件可面呈，也可通过本合同约定的通讯地址、联系电话、挂号信或特快专递进行递送，通过面呈方式送达的，乙方确认乙方委托代理人的签收视为乙方签收。若甲乙双方产生诉讼，本合同约定的通讯地址、电子邮箱地址即为送达地址。</w:t>
      </w:r>
    </w:p>
    <w:p w14:paraId="1308ED0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46BDE3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1783AF4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04D673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第十四条　签订本合同依据</w:t>
      </w:r>
    </w:p>
    <w:p w14:paraId="0D167E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1、中标通知书；</w:t>
      </w:r>
    </w:p>
    <w:p w14:paraId="319393B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w:t>
      </w:r>
    </w:p>
    <w:p w14:paraId="210418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5F217F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4、服务方案；</w:t>
      </w:r>
    </w:p>
    <w:p w14:paraId="44BCB9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5、响应文件中的其他相关文件。</w:t>
      </w:r>
    </w:p>
    <w:p w14:paraId="04463D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6、上述合同文件互相补充和解释。如果合同文件之间存在矛盾或者不一致之处，以上述文件的排列顺序在先者为准。</w:t>
      </w:r>
    </w:p>
    <w:p w14:paraId="75A11046">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本合同一式五份，具有同等法律效力，甲乙双方各两份（可根据需要另增加），采购代理机构存一份。</w:t>
      </w:r>
    </w:p>
    <w:p w14:paraId="3F6324E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本合同甲乙双方签字盖章后生效，自签订之日起七个工作日内，甲方应当将合同副本报同级财政部门备案。</w:t>
      </w:r>
    </w:p>
    <w:p w14:paraId="61A402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p w14:paraId="700061F5">
      <w:pPr>
        <w:spacing w:line="360" w:lineRule="auto"/>
        <w:ind w:firstLine="420" w:firstLineChars="200"/>
        <w:rPr>
          <w:rFonts w:hint="eastAsia" w:ascii="宋体" w:hAnsi="宋体" w:cs="宋体"/>
          <w:color w:val="auto"/>
          <w:szCs w:val="21"/>
          <w:highlight w:val="none"/>
        </w:rPr>
      </w:pP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28D3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14E12BD2">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甲方（章）           </w:t>
            </w:r>
          </w:p>
          <w:p w14:paraId="127A7A38">
            <w:pPr>
              <w:snapToGrid w:val="0"/>
              <w:spacing w:line="360" w:lineRule="auto"/>
              <w:rPr>
                <w:rFonts w:hint="eastAsia" w:ascii="宋体" w:hAnsi="宋体" w:cs="宋体"/>
                <w:color w:val="auto"/>
                <w:szCs w:val="21"/>
                <w:highlight w:val="none"/>
              </w:rPr>
            </w:pPr>
          </w:p>
          <w:p w14:paraId="4F39849C">
            <w:pPr>
              <w:snapToGrid w:val="0"/>
              <w:spacing w:line="360" w:lineRule="auto"/>
              <w:ind w:firstLine="945" w:firstLineChars="450"/>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c>
          <w:tcPr>
            <w:tcW w:w="4517" w:type="dxa"/>
            <w:vAlign w:val="center"/>
          </w:tcPr>
          <w:p w14:paraId="73FF9DDB">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2B8EC3C9">
            <w:pPr>
              <w:snapToGrid w:val="0"/>
              <w:spacing w:line="360" w:lineRule="auto"/>
              <w:rPr>
                <w:rFonts w:hint="eastAsia" w:ascii="宋体" w:hAnsi="宋体" w:cs="宋体"/>
                <w:color w:val="auto"/>
                <w:szCs w:val="21"/>
                <w:highlight w:val="none"/>
              </w:rPr>
            </w:pPr>
          </w:p>
          <w:p w14:paraId="6F077A7E">
            <w:pPr>
              <w:snapToGrid w:val="0"/>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r w14:paraId="1D1C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4E33D8A2">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单位地址：</w:t>
            </w:r>
          </w:p>
        </w:tc>
        <w:tc>
          <w:tcPr>
            <w:tcW w:w="4517" w:type="dxa"/>
            <w:vAlign w:val="center"/>
          </w:tcPr>
          <w:p w14:paraId="2547493B">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单位地址：</w:t>
            </w:r>
          </w:p>
        </w:tc>
      </w:tr>
      <w:tr w14:paraId="013A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31F5BCF6">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w:t>
            </w:r>
          </w:p>
        </w:tc>
        <w:tc>
          <w:tcPr>
            <w:tcW w:w="4517" w:type="dxa"/>
          </w:tcPr>
          <w:p w14:paraId="22A1EDC1">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w:t>
            </w:r>
          </w:p>
        </w:tc>
      </w:tr>
      <w:tr w14:paraId="3EEC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425C9A6E">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4517" w:type="dxa"/>
            <w:vAlign w:val="center"/>
          </w:tcPr>
          <w:p w14:paraId="2DC70489">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电话：</w:t>
            </w:r>
          </w:p>
        </w:tc>
      </w:tr>
      <w:tr w14:paraId="2F85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759A5391">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电子邮箱：</w:t>
            </w:r>
          </w:p>
        </w:tc>
        <w:tc>
          <w:tcPr>
            <w:tcW w:w="4517" w:type="dxa"/>
            <w:vAlign w:val="center"/>
          </w:tcPr>
          <w:p w14:paraId="70E3A6EC">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电子邮箱：</w:t>
            </w:r>
          </w:p>
        </w:tc>
      </w:tr>
      <w:tr w14:paraId="3F9C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12B82D41">
            <w:pPr>
              <w:snapToGrid w:val="0"/>
              <w:spacing w:line="436" w:lineRule="exact"/>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highlight w:val="none"/>
              </w:rPr>
              <w:t xml:space="preserve"> </w:t>
            </w:r>
          </w:p>
        </w:tc>
        <w:tc>
          <w:tcPr>
            <w:tcW w:w="4517" w:type="dxa"/>
            <w:vAlign w:val="center"/>
          </w:tcPr>
          <w:p w14:paraId="11F790B6">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开户银行：</w:t>
            </w:r>
          </w:p>
        </w:tc>
      </w:tr>
      <w:tr w14:paraId="37E2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60AF8AB4">
            <w:pPr>
              <w:snapToGrid w:val="0"/>
              <w:spacing w:line="436" w:lineRule="exact"/>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4517" w:type="dxa"/>
            <w:vAlign w:val="center"/>
          </w:tcPr>
          <w:p w14:paraId="1569262C">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账号：</w:t>
            </w:r>
          </w:p>
        </w:tc>
      </w:tr>
      <w:tr w14:paraId="5063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2EB6418A">
            <w:pPr>
              <w:snapToGrid w:val="0"/>
              <w:spacing w:line="436" w:lineRule="exact"/>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4517" w:type="dxa"/>
            <w:vAlign w:val="center"/>
          </w:tcPr>
          <w:p w14:paraId="7553208F">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邮政编码：</w:t>
            </w:r>
          </w:p>
        </w:tc>
      </w:tr>
    </w:tbl>
    <w:p w14:paraId="579C046F">
      <w:pPr>
        <w:rPr>
          <w:color w:val="auto"/>
          <w:highlight w:val="none"/>
        </w:rPr>
      </w:pPr>
      <w:bookmarkStart w:id="120" w:name="_Toc9529"/>
      <w:r>
        <w:rPr>
          <w:rFonts w:hint="eastAsia" w:ascii="宋体" w:hAnsi="宋体" w:cs="宋体"/>
          <w:color w:val="auto"/>
          <w:sz w:val="32"/>
          <w:szCs w:val="32"/>
          <w:highlight w:val="none"/>
        </w:rPr>
        <w:br w:type="page"/>
      </w:r>
    </w:p>
    <w:p w14:paraId="2EF36DAD">
      <w:pPr>
        <w:adjustRightInd w:val="0"/>
        <w:snapToGrid w:val="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廉 洁 合 同 </w:t>
      </w:r>
    </w:p>
    <w:p w14:paraId="5954D401">
      <w:pPr>
        <w:adjustRightInd w:val="0"/>
        <w:snapToGrid w:val="0"/>
        <w:spacing w:line="360" w:lineRule="auto"/>
        <w:jc w:val="center"/>
        <w:rPr>
          <w:rFonts w:hint="eastAsia" w:ascii="宋体" w:hAnsi="宋体" w:cs="宋体"/>
          <w:bCs/>
          <w:color w:val="auto"/>
          <w:sz w:val="36"/>
          <w:szCs w:val="36"/>
          <w:highlight w:val="none"/>
        </w:rPr>
      </w:pPr>
    </w:p>
    <w:p w14:paraId="2355F44A">
      <w:pPr>
        <w:adjustRightInd w:val="0"/>
        <w:snapToGrid w:val="0"/>
        <w:rPr>
          <w:rFonts w:hint="eastAsia" w:ascii="宋体" w:hAnsi="宋体" w:cs="宋体"/>
          <w:color w:val="auto"/>
          <w:sz w:val="24"/>
          <w:highlight w:val="none"/>
        </w:rPr>
      </w:pPr>
      <w:r>
        <w:rPr>
          <w:rFonts w:hint="eastAsia" w:ascii="宋体" w:hAnsi="宋体" w:cs="宋体"/>
          <w:color w:val="auto"/>
          <w:sz w:val="24"/>
          <w:highlight w:val="none"/>
        </w:rPr>
        <w:t>甲方：采购人</w:t>
      </w:r>
    </w:p>
    <w:p w14:paraId="297B7850">
      <w:pPr>
        <w:adjustRightInd w:val="0"/>
        <w:snapToGrid w:val="0"/>
        <w:rPr>
          <w:rFonts w:hint="eastAsia" w:ascii="宋体" w:hAnsi="宋体" w:cs="宋体"/>
          <w:color w:val="auto"/>
          <w:sz w:val="24"/>
          <w:highlight w:val="none"/>
        </w:rPr>
      </w:pPr>
      <w:r>
        <w:rPr>
          <w:rFonts w:hint="eastAsia" w:ascii="宋体" w:hAnsi="宋体" w:cs="宋体"/>
          <w:color w:val="auto"/>
          <w:sz w:val="24"/>
          <w:highlight w:val="none"/>
        </w:rPr>
        <w:t>乙方：供应商</w:t>
      </w:r>
    </w:p>
    <w:p w14:paraId="33F7F683">
      <w:pPr>
        <w:adjustRightInd w:val="0"/>
        <w:snapToGrid w:val="0"/>
        <w:rPr>
          <w:rFonts w:hint="eastAsia" w:ascii="宋体" w:hAnsi="宋体" w:cs="宋体"/>
          <w:color w:val="auto"/>
          <w:sz w:val="24"/>
          <w:highlight w:val="none"/>
        </w:rPr>
      </w:pPr>
    </w:p>
    <w:p w14:paraId="23A855F3">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为加强甲乙双方及其工作人员在采购活动中的廉洁管理工作，预防商业贿赂、不正当竞争等违法违纪行为，使甲、乙双方的业务往来充分体现廉洁、诚信的原则，甲、乙双方在协商一致的基础上签署本合同。</w:t>
      </w:r>
    </w:p>
    <w:p w14:paraId="5B6D4990">
      <w:pPr>
        <w:adjustRightInd w:val="0"/>
        <w:snapToGrid w:val="0"/>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第一条  甲、乙双方的权利和义务</w:t>
      </w:r>
    </w:p>
    <w:p w14:paraId="17D89080">
      <w:pPr>
        <w:adjustRightInd w:val="0"/>
        <w:snapToGrid w:val="0"/>
        <w:ind w:firstLine="640"/>
        <w:rPr>
          <w:rFonts w:hint="eastAsia" w:ascii="宋体" w:hAnsi="宋体" w:cs="宋体"/>
          <w:color w:val="auto"/>
          <w:sz w:val="24"/>
          <w:highlight w:val="none"/>
        </w:rPr>
      </w:pPr>
      <w:r>
        <w:rPr>
          <w:rFonts w:hint="eastAsia" w:ascii="宋体" w:hAnsi="宋体" w:cs="宋体"/>
          <w:color w:val="auto"/>
          <w:sz w:val="24"/>
          <w:highlight w:val="none"/>
        </w:rPr>
        <w:t>（一）严格遵守国家法律法规及政府采购管理、廉洁建设方面的有关规定；</w:t>
      </w:r>
    </w:p>
    <w:p w14:paraId="474A7991">
      <w:pPr>
        <w:adjustRightInd w:val="0"/>
        <w:snapToGrid w:val="0"/>
        <w:ind w:firstLine="640"/>
        <w:rPr>
          <w:rFonts w:hint="eastAsia" w:ascii="宋体" w:hAnsi="宋体" w:cs="宋体"/>
          <w:color w:val="auto"/>
          <w:sz w:val="24"/>
          <w:highlight w:val="none"/>
        </w:rPr>
      </w:pPr>
      <w:r>
        <w:rPr>
          <w:rFonts w:hint="eastAsia" w:ascii="宋体" w:hAnsi="宋体" w:cs="宋体"/>
          <w:color w:val="auto"/>
          <w:sz w:val="24"/>
          <w:highlight w:val="none"/>
        </w:rPr>
        <w:t>（二）严格履行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（采购项目名称）合同约定；</w:t>
      </w:r>
    </w:p>
    <w:p w14:paraId="5EC6122F">
      <w:pPr>
        <w:adjustRightInd w:val="0"/>
        <w:snapToGrid w:val="0"/>
        <w:ind w:firstLine="640"/>
        <w:rPr>
          <w:rFonts w:hint="eastAsia" w:ascii="宋体" w:hAnsi="宋体" w:cs="宋体"/>
          <w:color w:val="auto"/>
          <w:sz w:val="24"/>
          <w:highlight w:val="none"/>
        </w:rPr>
      </w:pPr>
      <w:r>
        <w:rPr>
          <w:rFonts w:hint="eastAsia" w:ascii="宋体" w:hAnsi="宋体" w:cs="宋体"/>
          <w:color w:val="auto"/>
          <w:sz w:val="24"/>
          <w:highlight w:val="none"/>
        </w:rPr>
        <w:t>（三）坚持公开、公正、廉洁、诚信的原则，恪守公认的商业道德和职业道德规范，不从事并抵制不廉洁、不诚信行为；</w:t>
      </w:r>
    </w:p>
    <w:p w14:paraId="01A94F23">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（四）对各自工作人员开展廉洁教育，增强相关人员廉洁自律的意识；</w:t>
      </w:r>
    </w:p>
    <w:p w14:paraId="24A999FB">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（五）发现对方在采购活动中有违反廉洁规定的行为，及时提醒对方纠正；发现对方严重违反本合同义务条款的行为，及时向对方纪检监察机关举报。</w:t>
      </w:r>
    </w:p>
    <w:p w14:paraId="0B8FE173">
      <w:pPr>
        <w:adjustRightInd w:val="0"/>
        <w:snapToGrid w:val="0"/>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第二条  甲方的义务</w:t>
      </w:r>
    </w:p>
    <w:p w14:paraId="282536C9">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（一）甲方工作人员及其配偶、子女、其他特定关系人不得索取、接受或以借用等名义占用乙方或乙方工作人员的财物；</w:t>
      </w:r>
    </w:p>
    <w:p w14:paraId="2D102991">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（二）甲方工作人员及其配偶、子女、其他特定关系人不得接受乙方提供的可能影响公正实施、审批采购项目的礼品、宴请以及旅游、健身、娱乐等活动安排； </w:t>
      </w:r>
    </w:p>
    <w:p w14:paraId="19CF1801">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（三）甲方工作人员及其配偶、子女、其他特定关系人不得接受乙方提供的礼金和各种有价证券、支付凭证；</w:t>
      </w:r>
    </w:p>
    <w:p w14:paraId="0808C75B">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（四）甲方工作人员及其配偶、子女、其他特定关系人不得要求乙方支付应由自己承担的费用或报销票据；</w:t>
      </w:r>
    </w:p>
    <w:p w14:paraId="2691B392">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（五）甲方工作人员及其配偶、子女、其他特定关系人不得接受由乙方提供的其他任何可能影响本人公正实施、审批采购项目的财物或服务；</w:t>
      </w:r>
    </w:p>
    <w:p w14:paraId="57F7E291">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六）当乙方提供第三条第（一）至（五）项所指的内容，或实施其他不廉洁、不诚信行为时，甲方工作人员及其配偶、子女及其他特定关系人应予以拒绝；对于无法拒绝的，应及时向甲方纪检监察机关报告并上缴相关财物。</w:t>
      </w:r>
    </w:p>
    <w:p w14:paraId="21C10651">
      <w:pPr>
        <w:adjustRightInd w:val="0"/>
        <w:snapToGrid w:val="0"/>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第三条  乙方的义务</w:t>
      </w:r>
    </w:p>
    <w:p w14:paraId="42050B43">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（一）不得给予或以借用等名义向甲方工作人员及其配偶、子女、其他特定关系人提供财物；</w:t>
      </w:r>
    </w:p>
    <w:p w14:paraId="2DE716A8">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（二）不得向甲方工作人员及其配偶、子女、其他特定关系人提供可能影响其公正实施、审批采购项目的礼品、宴请以及旅游、健身、娱乐等活动安排；</w:t>
      </w:r>
    </w:p>
    <w:p w14:paraId="66E90836">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（三）不得向甲方工作人员及其配偶、子女、其他特定关系人提供礼金和各种有价证券、支付凭证；</w:t>
      </w:r>
    </w:p>
    <w:p w14:paraId="10261EE3">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（四）不得为甲方工作人员及其配偶、子女、其他特定关系人支付应由其本人承担的费用或报销票据；</w:t>
      </w:r>
    </w:p>
    <w:p w14:paraId="363CCE34">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（五）不得向甲方工作人员及其配偶、子女、其他特定关系人提供其他任何可能影响其公正实施、审批采购项目的财物或服务；</w:t>
      </w:r>
    </w:p>
    <w:p w14:paraId="060CC49B">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（六）甲方工作人员及其配偶、子女、其他特定关系人主动索取和要求本条（一）至（五）项所指的内容，或实施其他不廉洁、不诚信行为时，乙方应拒绝，并有义务向甲方纪检监察机关及时举报。</w:t>
      </w:r>
    </w:p>
    <w:p w14:paraId="677C90A6">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（七）在相关案件查办时，乙方应当配合案件查办机关提供证据、作证。</w:t>
      </w:r>
    </w:p>
    <w:p w14:paraId="6FA950DB">
      <w:pPr>
        <w:adjustRightInd w:val="0"/>
        <w:snapToGrid w:val="0"/>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第四条 违约责任</w:t>
      </w:r>
    </w:p>
    <w:p w14:paraId="67E29FEF">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乙方及其工作人员有不廉洁、不诚信行为或发生拒不配合调查工作的情形，甲方有权采取警示约谈、终止或解除合同等多种处理措施，并追究乙方的违约责任；造成甲方实际经济损失的，乙方须赔偿甲方全部损失。</w:t>
      </w:r>
    </w:p>
    <w:p w14:paraId="1968E68E">
      <w:pPr>
        <w:widowControl/>
        <w:spacing w:line="360" w:lineRule="atLeast"/>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（二）乙方及其工作人员存在不廉洁、不诚信及行贿等违法违规行为的，甲方有权依规向</w:t>
      </w:r>
      <w:r>
        <w:rPr>
          <w:rStyle w:val="56"/>
          <w:rFonts w:hint="eastAsia" w:ascii="宋体" w:hAnsi="宋体" w:cs="宋体"/>
          <w:b w:val="0"/>
          <w:color w:val="auto"/>
          <w:kern w:val="0"/>
          <w:sz w:val="24"/>
          <w:highlight w:val="none"/>
          <w:lang w:bidi="ar"/>
        </w:rPr>
        <w:t>自治区纪检监管机关和财政主管部门</w:t>
      </w:r>
      <w:r>
        <w:rPr>
          <w:rFonts w:hint="eastAsia" w:ascii="宋体" w:hAnsi="宋体" w:cs="宋体"/>
          <w:color w:val="auto"/>
          <w:kern w:val="0"/>
          <w:sz w:val="24"/>
          <w:highlight w:val="none"/>
          <w:lang w:bidi="ar"/>
        </w:rPr>
        <w:t>如实报告，配合做好调查处理，配合将乙方列入存在行贿行为供应商管理名单并实施采购禁入管理。</w:t>
      </w:r>
    </w:p>
    <w:p w14:paraId="7D14BC09">
      <w:pPr>
        <w:pStyle w:val="20"/>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第五条　合同监管</w:t>
      </w:r>
    </w:p>
    <w:p w14:paraId="1F8C592E">
      <w:pPr>
        <w:adjustRightInd w:val="0"/>
        <w:snapToGrid w:val="0"/>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甲、乙双方单位纪检监察机关有权依照本合同内容的规定，对合同履约中的廉洁采购情况实施监督、受理举报和投诉，并有权向对方单位相关人员询问情况、采取措施及时制止不廉洁行为的发生，必要时可以书面提请对方纪检监察机关予以协助。 </w:t>
      </w:r>
    </w:p>
    <w:p w14:paraId="2C4E1781">
      <w:pPr>
        <w:adjustRightInd w:val="0"/>
        <w:snapToGrid w:val="0"/>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第六条</w:t>
      </w:r>
      <w:r>
        <w:rPr>
          <w:rFonts w:hint="eastAsia" w:ascii="宋体" w:hAnsi="宋体" w:cs="宋体"/>
          <w:color w:val="auto"/>
          <w:sz w:val="24"/>
          <w:highlight w:val="none"/>
        </w:rPr>
        <w:t xml:space="preserve">  本合同与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（采购项目名称）合同一同签订，一并执行。</w:t>
      </w:r>
    </w:p>
    <w:p w14:paraId="55841101">
      <w:pPr>
        <w:adjustRightInd w:val="0"/>
        <w:snapToGrid w:val="0"/>
        <w:ind w:firstLine="482" w:firstLineChars="200"/>
        <w:rPr>
          <w:rFonts w:hint="eastAsia" w:ascii="宋体" w:hAnsi="宋体" w:cs="宋体"/>
          <w:color w:val="auto"/>
          <w:sz w:val="24"/>
          <w:highlight w:val="none"/>
          <w:u w:val="single"/>
        </w:rPr>
      </w:pPr>
      <w:r>
        <w:rPr>
          <w:rFonts w:hint="eastAsia" w:ascii="宋体" w:hAnsi="宋体" w:cs="宋体"/>
          <w:b/>
          <w:bCs/>
          <w:color w:val="auto"/>
          <w:sz w:val="24"/>
          <w:highlight w:val="none"/>
        </w:rPr>
        <w:t>第七条</w:t>
      </w:r>
      <w:r>
        <w:rPr>
          <w:rFonts w:hint="eastAsia" w:ascii="宋体" w:hAnsi="宋体" w:cs="宋体"/>
          <w:color w:val="auto"/>
          <w:sz w:val="24"/>
          <w:highlight w:val="none"/>
        </w:rPr>
        <w:t xml:space="preserve"> 本合同的有效期为双方签字盖章之日其至采购项目合同履行完成时止。</w:t>
      </w:r>
    </w:p>
    <w:p w14:paraId="65B92A63">
      <w:pPr>
        <w:adjustRightInd w:val="0"/>
        <w:snapToGrid w:val="0"/>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第八条</w:t>
      </w:r>
      <w:r>
        <w:rPr>
          <w:rFonts w:hint="eastAsia" w:ascii="宋体" w:hAnsi="宋体" w:cs="宋体"/>
          <w:color w:val="auto"/>
          <w:sz w:val="24"/>
          <w:highlight w:val="none"/>
        </w:rPr>
        <w:t xml:space="preserve">  本合同一式两份，甲方、乙方各执一份。</w:t>
      </w:r>
    </w:p>
    <w:p w14:paraId="488D8BA1">
      <w:pPr>
        <w:adjustRightInd w:val="0"/>
        <w:snapToGrid w:val="0"/>
        <w:rPr>
          <w:rFonts w:hint="eastAsia" w:ascii="宋体" w:hAnsi="宋体" w:cs="宋体"/>
          <w:color w:val="auto"/>
          <w:sz w:val="24"/>
          <w:highlight w:val="none"/>
        </w:rPr>
      </w:pPr>
    </w:p>
    <w:p w14:paraId="1C9D0C7A">
      <w:pPr>
        <w:adjustRightInd w:val="0"/>
        <w:snapToGrid w:val="0"/>
        <w:rPr>
          <w:rFonts w:hint="eastAsia" w:ascii="宋体" w:hAnsi="宋体" w:cs="宋体"/>
          <w:color w:val="auto"/>
          <w:sz w:val="24"/>
          <w:highlight w:val="none"/>
        </w:rPr>
      </w:pPr>
      <w:r>
        <w:rPr>
          <w:rFonts w:hint="eastAsia" w:ascii="宋体" w:hAnsi="宋体" w:cs="宋体"/>
          <w:color w:val="auto"/>
          <w:sz w:val="24"/>
          <w:highlight w:val="none"/>
        </w:rPr>
        <w:t xml:space="preserve">甲方单位：（盖章）                 乙方单位：（盖章） </w:t>
      </w:r>
    </w:p>
    <w:p w14:paraId="5B8F0AA4">
      <w:pPr>
        <w:adjustRightInd w:val="0"/>
        <w:snapToGrid w:val="0"/>
        <w:rPr>
          <w:rFonts w:hint="eastAsia" w:ascii="宋体" w:hAnsi="宋体" w:cs="宋体"/>
          <w:color w:val="auto"/>
          <w:sz w:val="24"/>
          <w:highlight w:val="none"/>
        </w:rPr>
      </w:pPr>
      <w:r>
        <w:rPr>
          <w:rFonts w:hint="eastAsia" w:ascii="宋体" w:hAnsi="宋体" w:cs="宋体"/>
          <w:color w:val="auto"/>
          <w:sz w:val="24"/>
          <w:highlight w:val="none"/>
        </w:rPr>
        <w:t>法定代表人：                      法定代表人：</w:t>
      </w:r>
    </w:p>
    <w:p w14:paraId="531E79E4">
      <w:pPr>
        <w:adjustRightInd w:val="0"/>
        <w:snapToGrid w:val="0"/>
        <w:rPr>
          <w:rFonts w:hint="eastAsia" w:ascii="宋体" w:hAnsi="宋体" w:cs="宋体"/>
          <w:color w:val="auto"/>
          <w:sz w:val="24"/>
          <w:highlight w:val="none"/>
        </w:rPr>
      </w:pPr>
      <w:r>
        <w:rPr>
          <w:rFonts w:hint="eastAsia" w:ascii="宋体" w:hAnsi="宋体" w:cs="宋体"/>
          <w:color w:val="auto"/>
          <w:sz w:val="24"/>
          <w:highlight w:val="none"/>
        </w:rPr>
        <w:t xml:space="preserve">（或被授权委托人）：              （或被授权委托人）：        </w:t>
      </w:r>
    </w:p>
    <w:p w14:paraId="4974C295">
      <w:pPr>
        <w:adjustRightInd w:val="0"/>
        <w:snapToGrid w:val="0"/>
        <w:spacing w:before="120" w:beforeLines="50" w:after="120" w:afterLines="50"/>
        <w:rPr>
          <w:rFonts w:hint="eastAsia" w:ascii="宋体" w:hAnsi="宋体" w:cs="宋体"/>
          <w:color w:val="auto"/>
          <w:highlight w:val="none"/>
        </w:rPr>
      </w:pPr>
      <w:r>
        <w:rPr>
          <w:rFonts w:hint="eastAsia" w:ascii="宋体" w:hAnsi="宋体" w:cs="宋体"/>
          <w:color w:val="auto"/>
          <w:sz w:val="24"/>
          <w:highlight w:val="none"/>
        </w:rPr>
        <w:t>签订日期：    年  月  日 　       签订日期：    年  月  日</w:t>
      </w:r>
    </w:p>
    <w:bookmarkEnd w:id="120"/>
    <w:p w14:paraId="4E8C932E">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0129FC59">
      <w:pPr>
        <w:widowControl/>
        <w:jc w:val="center"/>
        <w:outlineLvl w:val="0"/>
        <w:rPr>
          <w:color w:val="auto"/>
          <w:sz w:val="32"/>
          <w:szCs w:val="32"/>
          <w:highlight w:val="none"/>
        </w:rPr>
      </w:pPr>
      <w:bookmarkStart w:id="121" w:name="_Toc2716"/>
      <w:r>
        <w:rPr>
          <w:color w:val="auto"/>
          <w:sz w:val="32"/>
          <w:szCs w:val="32"/>
          <w:highlight w:val="none"/>
        </w:rPr>
        <w:t>第六章  响应文件格式</w:t>
      </w:r>
      <w:bookmarkEnd w:id="121"/>
    </w:p>
    <w:p w14:paraId="42C288D8">
      <w:pPr>
        <w:rPr>
          <w:color w:val="auto"/>
          <w:sz w:val="28"/>
          <w:szCs w:val="28"/>
          <w:highlight w:val="none"/>
        </w:rPr>
      </w:pPr>
      <w:bookmarkStart w:id="122" w:name="_Toc254970697"/>
      <w:bookmarkStart w:id="123" w:name="_Toc254970556"/>
    </w:p>
    <w:bookmarkEnd w:id="122"/>
    <w:bookmarkEnd w:id="123"/>
    <w:p w14:paraId="3C08AE3F">
      <w:pPr>
        <w:rPr>
          <w:color w:val="auto"/>
          <w:sz w:val="28"/>
          <w:szCs w:val="28"/>
          <w:highlight w:val="none"/>
        </w:rPr>
      </w:pPr>
    </w:p>
    <w:p w14:paraId="34117BC8">
      <w:pPr>
        <w:spacing w:line="500" w:lineRule="exact"/>
        <w:ind w:firstLine="560" w:firstLineChars="200"/>
        <w:rPr>
          <w:rFonts w:hint="eastAsia" w:ascii="宋体" w:hAnsi="宋体"/>
          <w:color w:val="auto"/>
          <w:sz w:val="24"/>
          <w:highlight w:val="none"/>
        </w:rPr>
      </w:pPr>
      <w:bookmarkStart w:id="124" w:name="_Hlk19199063"/>
      <w:r>
        <w:rPr>
          <w:rFonts w:hint="eastAsia"/>
          <w:color w:val="auto"/>
          <w:sz w:val="28"/>
          <w:szCs w:val="28"/>
          <w:highlight w:val="none"/>
        </w:rPr>
        <w:t>注：有签字、盖章要求的应按要求</w:t>
      </w:r>
      <w:bookmarkEnd w:id="124"/>
      <w:r>
        <w:rPr>
          <w:rFonts w:hint="eastAsia"/>
          <w:color w:val="auto"/>
          <w:sz w:val="28"/>
          <w:szCs w:val="28"/>
          <w:highlight w:val="none"/>
        </w:rPr>
        <w:t>签字（签章）、盖章（签章）。</w:t>
      </w:r>
      <w:r>
        <w:rPr>
          <w:bCs/>
          <w:color w:val="auto"/>
          <w:sz w:val="24"/>
          <w:highlight w:val="none"/>
        </w:rPr>
        <w:t xml:space="preserve"> </w:t>
      </w:r>
    </w:p>
    <w:p w14:paraId="1DC679C8">
      <w:pPr>
        <w:snapToGrid w:val="0"/>
        <w:spacing w:before="120" w:beforeLines="50" w:after="50" w:line="440" w:lineRule="exact"/>
        <w:jc w:val="left"/>
        <w:outlineLvl w:val="1"/>
        <w:rPr>
          <w:b/>
          <w:color w:val="auto"/>
          <w:sz w:val="24"/>
          <w:highlight w:val="none"/>
        </w:rPr>
      </w:pPr>
      <w:r>
        <w:rPr>
          <w:color w:val="auto"/>
          <w:sz w:val="24"/>
          <w:highlight w:val="none"/>
        </w:rPr>
        <w:br w:type="page"/>
      </w:r>
      <w:r>
        <w:rPr>
          <w:rFonts w:hint="eastAsia"/>
          <w:b/>
          <w:color w:val="auto"/>
          <w:sz w:val="24"/>
          <w:highlight w:val="none"/>
        </w:rPr>
        <w:t>1</w:t>
      </w:r>
      <w:r>
        <w:rPr>
          <w:b/>
          <w:color w:val="auto"/>
          <w:sz w:val="24"/>
          <w:highlight w:val="none"/>
        </w:rPr>
        <w:t xml:space="preserve">.响应文件封面格式： </w:t>
      </w:r>
    </w:p>
    <w:p w14:paraId="623AA421">
      <w:pPr>
        <w:snapToGrid w:val="0"/>
        <w:spacing w:before="120" w:beforeLines="50" w:after="50" w:line="360" w:lineRule="exact"/>
        <w:rPr>
          <w:color w:val="auto"/>
          <w:sz w:val="24"/>
          <w:highlight w:val="none"/>
        </w:rPr>
      </w:pPr>
    </w:p>
    <w:p w14:paraId="7EB761D9">
      <w:pPr>
        <w:snapToGrid w:val="0"/>
        <w:spacing w:before="120" w:beforeLines="50" w:after="50" w:line="360" w:lineRule="exact"/>
        <w:jc w:val="center"/>
        <w:rPr>
          <w:bCs/>
          <w:color w:val="auto"/>
          <w:sz w:val="24"/>
          <w:highlight w:val="none"/>
        </w:rPr>
      </w:pPr>
    </w:p>
    <w:p w14:paraId="5C31B632">
      <w:pPr>
        <w:snapToGrid w:val="0"/>
        <w:spacing w:before="120" w:beforeLines="5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响应文件</w:t>
      </w:r>
    </w:p>
    <w:p w14:paraId="7A277972">
      <w:pPr>
        <w:snapToGrid w:val="0"/>
        <w:spacing w:before="120" w:beforeLines="50" w:after="50" w:line="360" w:lineRule="exact"/>
        <w:rPr>
          <w:bCs/>
          <w:color w:val="auto"/>
          <w:sz w:val="24"/>
          <w:highlight w:val="none"/>
        </w:rPr>
      </w:pPr>
    </w:p>
    <w:p w14:paraId="576B1016">
      <w:pPr>
        <w:snapToGrid w:val="0"/>
        <w:spacing w:before="120" w:beforeLines="50" w:after="50" w:line="360" w:lineRule="exact"/>
        <w:ind w:firstLine="720" w:firstLineChars="300"/>
        <w:rPr>
          <w:bCs/>
          <w:color w:val="auto"/>
          <w:sz w:val="24"/>
          <w:highlight w:val="none"/>
        </w:rPr>
      </w:pPr>
      <w:r>
        <w:rPr>
          <w:bCs/>
          <w:color w:val="auto"/>
          <w:sz w:val="24"/>
          <w:highlight w:val="none"/>
        </w:rPr>
        <w:t xml:space="preserve">项目名称： </w:t>
      </w:r>
    </w:p>
    <w:p w14:paraId="4154F7A1">
      <w:pP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73ACBAF2">
      <w:pPr>
        <w:snapToGrid w:val="0"/>
        <w:spacing w:before="120" w:beforeLines="50" w:after="50" w:line="44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448CBF7D">
      <w:pPr>
        <w:pStyle w:val="11"/>
        <w:snapToGrid w:val="0"/>
        <w:spacing w:before="50" w:after="50" w:line="440" w:lineRule="exact"/>
        <w:ind w:firstLine="720" w:firstLineChars="300"/>
        <w:rPr>
          <w:bCs/>
          <w:color w:val="auto"/>
          <w:sz w:val="24"/>
          <w:szCs w:val="24"/>
          <w:highlight w:val="none"/>
        </w:rPr>
      </w:pPr>
      <w:r>
        <w:rPr>
          <w:bCs/>
          <w:color w:val="auto"/>
          <w:sz w:val="24"/>
          <w:szCs w:val="24"/>
          <w:highlight w:val="none"/>
        </w:rPr>
        <w:t>响应文件名称：资格</w:t>
      </w:r>
      <w:r>
        <w:rPr>
          <w:rFonts w:hint="eastAsia"/>
          <w:bCs/>
          <w:color w:val="auto"/>
          <w:sz w:val="24"/>
          <w:szCs w:val="24"/>
          <w:highlight w:val="none"/>
        </w:rPr>
        <w:t>证明</w:t>
      </w:r>
      <w:r>
        <w:rPr>
          <w:bCs/>
          <w:color w:val="auto"/>
          <w:sz w:val="24"/>
          <w:szCs w:val="24"/>
          <w:highlight w:val="none"/>
        </w:rPr>
        <w:t>文件、商务</w:t>
      </w:r>
      <w:r>
        <w:rPr>
          <w:rFonts w:hint="eastAsia"/>
          <w:bCs/>
          <w:color w:val="auto"/>
          <w:sz w:val="24"/>
          <w:szCs w:val="24"/>
          <w:highlight w:val="none"/>
        </w:rPr>
        <w:t>技术</w:t>
      </w:r>
      <w:r>
        <w:rPr>
          <w:bCs/>
          <w:color w:val="auto"/>
          <w:sz w:val="24"/>
          <w:szCs w:val="24"/>
          <w:highlight w:val="none"/>
        </w:rPr>
        <w:t>文件、报价文件</w:t>
      </w:r>
    </w:p>
    <w:p w14:paraId="669AF5B3">
      <w:pP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61D0C551">
      <w:pP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212EA6D8">
      <w:pPr>
        <w:pStyle w:val="11"/>
        <w:snapToGrid w:val="0"/>
        <w:spacing w:before="50" w:after="50" w:line="360" w:lineRule="exact"/>
        <w:ind w:firstLine="960" w:firstLineChars="400"/>
        <w:rPr>
          <w:bCs/>
          <w:color w:val="auto"/>
          <w:sz w:val="24"/>
          <w:szCs w:val="24"/>
          <w:highlight w:val="none"/>
        </w:rPr>
      </w:pPr>
    </w:p>
    <w:p w14:paraId="15C36DF5">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3B27C13F">
      <w:pPr>
        <w:snapToGrid w:val="0"/>
        <w:spacing w:before="120" w:beforeLines="50" w:after="50" w:line="440" w:lineRule="exact"/>
        <w:jc w:val="center"/>
        <w:outlineLvl w:val="1"/>
        <w:rPr>
          <w:b/>
          <w:color w:val="auto"/>
          <w:sz w:val="28"/>
          <w:szCs w:val="28"/>
          <w:highlight w:val="none"/>
        </w:rPr>
      </w:pPr>
      <w:bookmarkStart w:id="125" w:name="_Toc254970698"/>
      <w:bookmarkStart w:id="126" w:name="_Toc254970557"/>
      <w:r>
        <w:rPr>
          <w:color w:val="auto"/>
          <w:sz w:val="24"/>
          <w:highlight w:val="none"/>
        </w:rPr>
        <w:br w:type="page"/>
      </w:r>
      <w:bookmarkEnd w:id="125"/>
      <w:bookmarkEnd w:id="126"/>
      <w:r>
        <w:rPr>
          <w:b/>
          <w:color w:val="auto"/>
          <w:sz w:val="28"/>
          <w:szCs w:val="28"/>
          <w:highlight w:val="none"/>
        </w:rPr>
        <w:t>目录</w:t>
      </w:r>
    </w:p>
    <w:p w14:paraId="7F2D5344">
      <w:pPr>
        <w:jc w:val="center"/>
        <w:rPr>
          <w:b/>
          <w:color w:val="auto"/>
          <w:sz w:val="24"/>
          <w:highlight w:val="none"/>
        </w:rPr>
      </w:pPr>
      <w:r>
        <w:rPr>
          <w:b/>
          <w:color w:val="auto"/>
          <w:sz w:val="24"/>
          <w:highlight w:val="none"/>
        </w:rPr>
        <w:t>（需有页码）</w:t>
      </w:r>
    </w:p>
    <w:p w14:paraId="08E05F8D">
      <w:pPr>
        <w:jc w:val="center"/>
        <w:outlineLvl w:val="1"/>
        <w:rPr>
          <w:bCs/>
          <w:vanish/>
          <w:color w:val="auto"/>
          <w:sz w:val="24"/>
          <w:highlight w:val="none"/>
        </w:rPr>
      </w:pPr>
      <w:r>
        <w:rPr>
          <w:color w:val="auto"/>
          <w:highlight w:val="none"/>
        </w:rPr>
        <w:br w:type="page"/>
      </w:r>
      <w:r>
        <w:rPr>
          <w:bCs/>
          <w:color w:val="auto"/>
          <w:sz w:val="24"/>
          <w:highlight w:val="none"/>
        </w:rPr>
        <w:t>第一部分 资格</w:t>
      </w:r>
      <w:r>
        <w:rPr>
          <w:rFonts w:hint="eastAsia"/>
          <w:bCs/>
          <w:color w:val="auto"/>
          <w:sz w:val="24"/>
          <w:highlight w:val="none"/>
        </w:rPr>
        <w:t>证明</w:t>
      </w:r>
      <w:r>
        <w:rPr>
          <w:bCs/>
          <w:color w:val="auto"/>
          <w:sz w:val="24"/>
          <w:highlight w:val="none"/>
        </w:rPr>
        <w:t>文件</w:t>
      </w:r>
    </w:p>
    <w:p w14:paraId="22BE63D7">
      <w:pPr>
        <w:snapToGrid w:val="0"/>
        <w:spacing w:before="50" w:after="120" w:afterLines="50" w:line="400" w:lineRule="exact"/>
        <w:jc w:val="left"/>
        <w:rPr>
          <w:b/>
          <w:color w:val="auto"/>
          <w:szCs w:val="21"/>
          <w:highlight w:val="none"/>
        </w:rPr>
      </w:pPr>
      <w:bookmarkStart w:id="127" w:name="_Hlk19199154"/>
    </w:p>
    <w:p w14:paraId="7D08EABF">
      <w:pPr>
        <w:snapToGrid w:val="0"/>
        <w:spacing w:before="50" w:after="120" w:afterLines="50" w:line="400" w:lineRule="exact"/>
        <w:jc w:val="left"/>
        <w:rPr>
          <w:b/>
          <w:color w:val="auto"/>
          <w:szCs w:val="21"/>
          <w:highlight w:val="none"/>
        </w:rPr>
      </w:pPr>
      <w:r>
        <w:rPr>
          <w:b/>
          <w:color w:val="auto"/>
          <w:szCs w:val="21"/>
          <w:highlight w:val="none"/>
        </w:rPr>
        <w:t>1．响应声明书格式：</w:t>
      </w:r>
      <w:bookmarkEnd w:id="127"/>
    </w:p>
    <w:p w14:paraId="5A2291B4">
      <w:pPr>
        <w:snapToGrid w:val="0"/>
        <w:spacing w:before="120" w:beforeLines="50" w:after="50" w:line="360" w:lineRule="exact"/>
        <w:jc w:val="center"/>
        <w:rPr>
          <w:b/>
          <w:color w:val="auto"/>
          <w:szCs w:val="21"/>
          <w:highlight w:val="none"/>
        </w:rPr>
      </w:pPr>
      <w:r>
        <w:rPr>
          <w:b/>
          <w:color w:val="auto"/>
          <w:szCs w:val="21"/>
          <w:highlight w:val="none"/>
        </w:rPr>
        <w:t>响应声明书</w:t>
      </w:r>
    </w:p>
    <w:p w14:paraId="7B3C8B04">
      <w:pPr>
        <w:snapToGrid w:val="0"/>
        <w:spacing w:before="120" w:beforeLines="50" w:after="50" w:line="360" w:lineRule="exact"/>
        <w:jc w:val="center"/>
        <w:rPr>
          <w:color w:val="auto"/>
          <w:szCs w:val="21"/>
          <w:highlight w:val="none"/>
        </w:rPr>
      </w:pPr>
    </w:p>
    <w:p w14:paraId="5CAE167B">
      <w:pPr>
        <w:snapToGrid w:val="0"/>
        <w:spacing w:before="120" w:beforeLines="50" w:after="50" w:line="360" w:lineRule="exact"/>
        <w:rPr>
          <w:color w:val="auto"/>
          <w:szCs w:val="21"/>
          <w:highlight w:val="none"/>
        </w:rPr>
      </w:pPr>
      <w:bookmarkStart w:id="128" w:name="_Hlk19199166"/>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1DA15A9B">
      <w:pPr>
        <w:snapToGrid w:val="0"/>
        <w:spacing w:before="120" w:beforeLines="50" w:after="50" w:line="360" w:lineRule="exact"/>
        <w:ind w:firstLine="630" w:firstLineChars="300"/>
        <w:rPr>
          <w:color w:val="auto"/>
          <w:szCs w:val="21"/>
          <w:highlight w:val="none"/>
        </w:rPr>
      </w:pPr>
      <w:r>
        <w:rPr>
          <w:i/>
          <w:iCs/>
          <w:color w:val="auto"/>
          <w:szCs w:val="21"/>
          <w:highlight w:val="none"/>
          <w:u w:val="single"/>
        </w:rPr>
        <w:t>（供应商名称）</w:t>
      </w:r>
      <w:r>
        <w:rPr>
          <w:color w:val="auto"/>
          <w:szCs w:val="21"/>
          <w:highlight w:val="none"/>
        </w:rPr>
        <w:t>系中华人民共和国合法企业，</w:t>
      </w:r>
      <w:r>
        <w:rPr>
          <w:rFonts w:hint="eastAsia"/>
          <w:color w:val="auto"/>
          <w:szCs w:val="21"/>
          <w:highlight w:val="none"/>
          <w:u w:val="single"/>
        </w:rPr>
        <w:t xml:space="preserve"> </w:t>
      </w:r>
      <w:r>
        <w:rPr>
          <w:i/>
          <w:iCs/>
          <w:color w:val="auto"/>
          <w:szCs w:val="21"/>
          <w:highlight w:val="none"/>
          <w:u w:val="single"/>
        </w:rPr>
        <w:t xml:space="preserve"> </w:t>
      </w:r>
      <w:r>
        <w:rPr>
          <w:rFonts w:hint="eastAsia"/>
          <w:i/>
          <w:iCs/>
          <w:color w:val="auto"/>
          <w:szCs w:val="21"/>
          <w:highlight w:val="none"/>
          <w:u w:val="single"/>
        </w:rPr>
        <w:t>（</w:t>
      </w:r>
      <w:r>
        <w:rPr>
          <w:i/>
          <w:iCs/>
          <w:color w:val="auto"/>
          <w:szCs w:val="21"/>
          <w:highlight w:val="none"/>
          <w:u w:val="single"/>
        </w:rPr>
        <w:t>经营地址</w:t>
      </w:r>
      <w:r>
        <w:rPr>
          <w:rFonts w:hint="eastAsia"/>
          <w:i/>
          <w:iCs/>
          <w:color w:val="auto"/>
          <w:szCs w:val="21"/>
          <w:highlight w:val="none"/>
          <w:u w:val="single"/>
        </w:rPr>
        <w:t xml:space="preserve">） </w:t>
      </w:r>
      <w:r>
        <w:rPr>
          <w:i/>
          <w:iCs/>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521DB1B1">
      <w:pPr>
        <w:snapToGrid w:val="0"/>
        <w:spacing w:before="120" w:beforeLines="50" w:after="50" w:line="360" w:lineRule="exact"/>
        <w:ind w:firstLine="645"/>
        <w:rPr>
          <w:color w:val="auto"/>
          <w:szCs w:val="21"/>
          <w:highlight w:val="none"/>
        </w:rPr>
      </w:pPr>
      <w:r>
        <w:rPr>
          <w:color w:val="auto"/>
          <w:szCs w:val="21"/>
          <w:highlight w:val="none"/>
        </w:rPr>
        <w:t>我</w:t>
      </w:r>
      <w:r>
        <w:rPr>
          <w:i/>
          <w:iCs/>
          <w:color w:val="auto"/>
          <w:szCs w:val="21"/>
          <w:highlight w:val="none"/>
          <w:u w:val="single"/>
        </w:rPr>
        <w:t>（姓名）</w:t>
      </w:r>
      <w:r>
        <w:rPr>
          <w:rFonts w:hint="eastAsia"/>
          <w:i/>
          <w:iCs/>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的法定代表人，我方愿意参加贵方组织的</w:t>
      </w:r>
      <w:r>
        <w:rPr>
          <w:rFonts w:hint="eastAsia"/>
          <w:i/>
          <w:iCs/>
          <w:color w:val="auto"/>
          <w:szCs w:val="21"/>
          <w:highlight w:val="none"/>
          <w:u w:val="single"/>
        </w:rPr>
        <w:t>（项目名称）</w:t>
      </w:r>
      <w:r>
        <w:rPr>
          <w:color w:val="auto"/>
          <w:szCs w:val="21"/>
          <w:highlight w:val="none"/>
        </w:rPr>
        <w:t>项目的磋商，为便于贵方公正、择优地确定成交供应商及其响应产品和服务，我方就本次磋商有关事项郑重声明如下：</w:t>
      </w:r>
    </w:p>
    <w:p w14:paraId="5836B4C8">
      <w:pPr>
        <w:snapToGrid w:val="0"/>
        <w:spacing w:before="120" w:beforeLines="50" w:line="360" w:lineRule="exact"/>
        <w:ind w:firstLine="420" w:firstLineChars="200"/>
        <w:rPr>
          <w:color w:val="auto"/>
          <w:szCs w:val="21"/>
          <w:highlight w:val="none"/>
        </w:rPr>
      </w:pPr>
      <w:r>
        <w:rPr>
          <w:color w:val="auto"/>
          <w:szCs w:val="21"/>
          <w:highlight w:val="none"/>
        </w:rPr>
        <w:t>（1）我方向贵方提交的所有响应文件、资料都是准确的和真实的。</w:t>
      </w:r>
    </w:p>
    <w:p w14:paraId="45C2428F">
      <w:pPr>
        <w:snapToGrid w:val="0"/>
        <w:spacing w:before="120" w:beforeLines="50" w:line="360" w:lineRule="exact"/>
        <w:ind w:firstLine="420" w:firstLineChars="200"/>
        <w:rPr>
          <w:color w:val="auto"/>
          <w:szCs w:val="21"/>
          <w:highlight w:val="none"/>
        </w:rPr>
      </w:pPr>
      <w:r>
        <w:rPr>
          <w:color w:val="auto"/>
          <w:szCs w:val="21"/>
          <w:highlight w:val="none"/>
        </w:rPr>
        <w:t>（2）我方不是采购人的附属机构；也不是为本项目提供整体设计、规范编制或者项目管理、监理、检测等服务的供应商或其附属机构。</w:t>
      </w:r>
    </w:p>
    <w:p w14:paraId="488042FD">
      <w:pPr>
        <w:snapToGrid w:val="0"/>
        <w:spacing w:before="120" w:beforeLines="50" w:line="360" w:lineRule="exact"/>
        <w:ind w:firstLine="420" w:firstLineChars="200"/>
        <w:rPr>
          <w:color w:val="auto"/>
          <w:szCs w:val="21"/>
          <w:highlight w:val="none"/>
        </w:rPr>
      </w:pPr>
      <w:r>
        <w:rPr>
          <w:color w:val="auto"/>
          <w:szCs w:val="21"/>
          <w:highlight w:val="none"/>
        </w:rPr>
        <w:t>（3） 我方承诺在参加本政府采购项目活动前，没有被纳入政府部门或银行认定的失信名单，我方具有良好的商业信誉。</w:t>
      </w:r>
    </w:p>
    <w:p w14:paraId="7B96B1FB">
      <w:pPr>
        <w:snapToGrid w:val="0"/>
        <w:spacing w:before="120" w:beforeLines="50" w:line="360" w:lineRule="exact"/>
        <w:ind w:firstLine="420" w:firstLineChars="200"/>
        <w:rPr>
          <w:color w:val="auto"/>
          <w:szCs w:val="21"/>
          <w:highlight w:val="none"/>
        </w:rPr>
      </w:pPr>
      <w:r>
        <w:rPr>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5F36F4B9">
      <w:pPr>
        <w:snapToGrid w:val="0"/>
        <w:spacing w:before="120" w:beforeLines="50" w:line="360" w:lineRule="exact"/>
        <w:ind w:firstLine="420" w:firstLineChars="200"/>
        <w:rPr>
          <w:color w:val="auto"/>
          <w:szCs w:val="21"/>
          <w:highlight w:val="none"/>
          <w:lang w:val="zh-CN"/>
        </w:rPr>
      </w:pPr>
      <w:r>
        <w:rPr>
          <w:color w:val="auto"/>
          <w:szCs w:val="21"/>
          <w:highlight w:val="none"/>
        </w:rPr>
        <w:t>（5）</w:t>
      </w:r>
      <w:r>
        <w:rPr>
          <w:color w:val="auto"/>
          <w:szCs w:val="21"/>
          <w:highlight w:val="none"/>
          <w:lang w:val="zh-CN"/>
        </w:rPr>
        <w:t>我方</w:t>
      </w:r>
      <w:r>
        <w:rPr>
          <w:color w:val="auto"/>
          <w:szCs w:val="21"/>
          <w:highlight w:val="none"/>
        </w:rPr>
        <w:t>承诺</w:t>
      </w:r>
      <w:r>
        <w:rPr>
          <w:color w:val="auto"/>
          <w:szCs w:val="21"/>
          <w:highlight w:val="none"/>
          <w:lang w:val="zh-CN"/>
        </w:rPr>
        <w:t>具有履行本项目合同所必需的设备和专业技术能力。</w:t>
      </w:r>
    </w:p>
    <w:p w14:paraId="5A5757DD">
      <w:pPr>
        <w:snapToGrid w:val="0"/>
        <w:spacing w:before="120" w:beforeLines="50" w:line="360" w:lineRule="exact"/>
        <w:ind w:firstLine="420" w:firstLineChars="200"/>
        <w:rPr>
          <w:color w:val="auto"/>
          <w:szCs w:val="21"/>
          <w:highlight w:val="none"/>
        </w:rPr>
      </w:pPr>
      <w:r>
        <w:rPr>
          <w:rFonts w:hint="eastAsia"/>
          <w:color w:val="auto"/>
          <w:szCs w:val="21"/>
          <w:highlight w:val="none"/>
        </w:rPr>
        <w:t>（6）我方承诺</w:t>
      </w:r>
      <w:r>
        <w:rPr>
          <w:color w:val="auto"/>
          <w:szCs w:val="21"/>
          <w:highlight w:val="none"/>
        </w:rPr>
        <w:t>未被列入失信被执行人、重大税收违法失信主体、政府采购严重违法失信行为记录名单</w:t>
      </w:r>
      <w:r>
        <w:rPr>
          <w:rFonts w:hint="eastAsia"/>
          <w:color w:val="auto"/>
          <w:szCs w:val="21"/>
          <w:highlight w:val="none"/>
        </w:rPr>
        <w:t>，如我方提供的声明不实，则接受本次响应作为响应无效的处理，</w:t>
      </w:r>
      <w:r>
        <w:rPr>
          <w:color w:val="auto"/>
          <w:szCs w:val="21"/>
          <w:highlight w:val="none"/>
        </w:rPr>
        <w:t>并根据财库〔2016〕125号《财政部关于在政府采购活动中查询及使用信用记录有关问题的通知》规定接受失信联合惩戒。</w:t>
      </w:r>
    </w:p>
    <w:p w14:paraId="63D2A062">
      <w:pPr>
        <w:snapToGrid w:val="0"/>
        <w:spacing w:before="120" w:beforeLines="50" w:line="360" w:lineRule="exact"/>
        <w:ind w:firstLine="420" w:firstLineChars="200"/>
        <w:rPr>
          <w:color w:val="auto"/>
          <w:szCs w:val="21"/>
          <w:highlight w:val="none"/>
        </w:rPr>
      </w:pPr>
      <w:r>
        <w:rPr>
          <w:rFonts w:hint="eastAsia"/>
          <w:color w:val="auto"/>
          <w:szCs w:val="21"/>
          <w:highlight w:val="none"/>
        </w:rPr>
        <w:t>（7）我方承诺成交后按</w:t>
      </w:r>
      <w:r>
        <w:rPr>
          <w:color w:val="auto"/>
          <w:szCs w:val="21"/>
          <w:highlight w:val="none"/>
        </w:rPr>
        <w:t>规定缴纳代理服务费</w:t>
      </w:r>
      <w:r>
        <w:rPr>
          <w:rFonts w:hint="eastAsia"/>
          <w:color w:val="auto"/>
          <w:szCs w:val="21"/>
          <w:highlight w:val="none"/>
        </w:rPr>
        <w:t>。如未按时缴纳，</w:t>
      </w:r>
      <w:r>
        <w:rPr>
          <w:color w:val="auto"/>
          <w:szCs w:val="21"/>
          <w:highlight w:val="none"/>
        </w:rPr>
        <w:t>贵方可</w:t>
      </w:r>
      <w:r>
        <w:rPr>
          <w:rFonts w:hint="eastAsia"/>
          <w:color w:val="auto"/>
          <w:szCs w:val="21"/>
          <w:highlight w:val="none"/>
        </w:rPr>
        <w:t>不退还</w:t>
      </w:r>
      <w:r>
        <w:rPr>
          <w:color w:val="auto"/>
          <w:szCs w:val="21"/>
          <w:highlight w:val="none"/>
        </w:rPr>
        <w:t>我</w:t>
      </w:r>
      <w:r>
        <w:rPr>
          <w:rFonts w:hint="eastAsia"/>
          <w:color w:val="auto"/>
          <w:szCs w:val="21"/>
          <w:highlight w:val="none"/>
        </w:rPr>
        <w:t>方</w:t>
      </w:r>
      <w:r>
        <w:rPr>
          <w:color w:val="auto"/>
          <w:szCs w:val="21"/>
          <w:highlight w:val="none"/>
        </w:rPr>
        <w:t>提交的</w:t>
      </w:r>
      <w:r>
        <w:rPr>
          <w:rFonts w:hint="eastAsia"/>
          <w:color w:val="auto"/>
          <w:szCs w:val="21"/>
          <w:highlight w:val="none"/>
        </w:rPr>
        <w:t>磋商</w:t>
      </w:r>
      <w:r>
        <w:rPr>
          <w:color w:val="auto"/>
          <w:szCs w:val="21"/>
          <w:highlight w:val="none"/>
        </w:rPr>
        <w:t>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p>
    <w:p w14:paraId="225FCD69">
      <w:pPr>
        <w:pStyle w:val="20"/>
        <w:ind w:firstLine="420" w:firstLineChars="200"/>
        <w:rPr>
          <w:color w:val="auto"/>
          <w:highlight w:val="none"/>
        </w:rPr>
      </w:pPr>
      <w:bookmarkStart w:id="129" w:name="_Hlk33622999"/>
      <w:r>
        <w:rPr>
          <w:rFonts w:hint="eastAsia"/>
          <w:color w:val="auto"/>
          <w:szCs w:val="21"/>
          <w:highlight w:val="none"/>
        </w:rPr>
        <w:t>（</w:t>
      </w:r>
      <w:bookmarkStart w:id="130" w:name="_Hlk33623752"/>
      <w:r>
        <w:rPr>
          <w:rFonts w:hint="eastAsia"/>
          <w:color w:val="auto"/>
          <w:szCs w:val="21"/>
          <w:highlight w:val="none"/>
        </w:rPr>
        <w:t>8）我方承诺不属于</w:t>
      </w:r>
      <w:bookmarkEnd w:id="129"/>
      <w:bookmarkEnd w:id="130"/>
      <w:r>
        <w:rPr>
          <w:rFonts w:hint="eastAsia"/>
          <w:color w:val="auto"/>
          <w:szCs w:val="21"/>
          <w:highlight w:val="none"/>
        </w:rPr>
        <w:t>联合体响应。</w:t>
      </w:r>
    </w:p>
    <w:p w14:paraId="5057E7A5">
      <w:pPr>
        <w:snapToGrid w:val="0"/>
        <w:spacing w:before="120" w:beforeLines="50" w:line="360" w:lineRule="exact"/>
        <w:ind w:firstLine="420" w:firstLineChars="200"/>
        <w:rPr>
          <w:color w:val="auto"/>
          <w:szCs w:val="21"/>
          <w:highlight w:val="none"/>
        </w:rPr>
      </w:pPr>
      <w:r>
        <w:rPr>
          <w:color w:val="auto"/>
          <w:szCs w:val="21"/>
          <w:highlight w:val="none"/>
        </w:rPr>
        <w:t>我方对以上声明负全部法律责任。如有虚假或隐瞒，我方愿意承担一切后果，并不再寻求任何旨在减轻或免除法律责任的辩解。</w:t>
      </w:r>
    </w:p>
    <w:bookmarkEnd w:id="128"/>
    <w:p w14:paraId="575E8F1D">
      <w:pPr>
        <w:snapToGrid w:val="0"/>
        <w:spacing w:before="120" w:beforeLines="50" w:line="360" w:lineRule="exact"/>
        <w:ind w:firstLine="420" w:firstLineChars="200"/>
        <w:rPr>
          <w:color w:val="auto"/>
          <w:szCs w:val="21"/>
          <w:highlight w:val="none"/>
        </w:rPr>
      </w:pPr>
    </w:p>
    <w:p w14:paraId="61A53422">
      <w:pPr>
        <w:snapToGrid w:val="0"/>
        <w:spacing w:before="120" w:beforeLines="50" w:after="50" w:line="360" w:lineRule="exact"/>
        <w:ind w:firstLine="3570" w:firstLineChars="17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19CDEC13">
      <w:pPr>
        <w:snapToGrid w:val="0"/>
        <w:spacing w:before="120" w:beforeLines="50" w:after="50" w:line="360" w:lineRule="exact"/>
        <w:ind w:firstLine="210" w:firstLineChars="100"/>
        <w:rPr>
          <w:color w:val="auto"/>
          <w:szCs w:val="21"/>
          <w:highlight w:val="none"/>
        </w:rPr>
      </w:pPr>
      <w:r>
        <w:rPr>
          <w:color w:val="auto"/>
          <w:szCs w:val="21"/>
          <w:highlight w:val="none"/>
        </w:rPr>
        <w:t xml:space="preserve">                                          年    月    日</w:t>
      </w:r>
    </w:p>
    <w:p w14:paraId="0BE641B7">
      <w:pPr>
        <w:snapToGrid w:val="0"/>
        <w:spacing w:before="120" w:beforeLines="50" w:after="50" w:line="360" w:lineRule="exact"/>
        <w:rPr>
          <w:color w:val="auto"/>
          <w:szCs w:val="21"/>
          <w:highlight w:val="none"/>
        </w:rPr>
      </w:pPr>
      <w:r>
        <w:rPr>
          <w:color w:val="auto"/>
          <w:szCs w:val="21"/>
          <w:highlight w:val="none"/>
        </w:rPr>
        <w:br w:type="page"/>
      </w:r>
      <w:r>
        <w:rPr>
          <w:rFonts w:hint="eastAsia"/>
          <w:color w:val="auto"/>
          <w:szCs w:val="21"/>
          <w:highlight w:val="none"/>
        </w:rPr>
        <w:t>2</w:t>
      </w:r>
      <w:r>
        <w:rPr>
          <w:color w:val="auto"/>
          <w:szCs w:val="21"/>
          <w:highlight w:val="none"/>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1B73AE6C">
      <w:pPr>
        <w:snapToGrid w:val="0"/>
        <w:spacing w:before="120" w:beforeLines="50" w:after="50" w:line="440" w:lineRule="exact"/>
        <w:rPr>
          <w:color w:val="auto"/>
          <w:szCs w:val="21"/>
          <w:highlight w:val="none"/>
        </w:rPr>
      </w:pPr>
    </w:p>
    <w:p w14:paraId="3FF72DC4">
      <w:pPr>
        <w:snapToGrid w:val="0"/>
        <w:spacing w:before="120" w:beforeLines="50" w:after="50" w:line="440" w:lineRule="exact"/>
        <w:rPr>
          <w:color w:val="auto"/>
          <w:szCs w:val="21"/>
          <w:highlight w:val="none"/>
        </w:rPr>
      </w:pPr>
      <w:r>
        <w:rPr>
          <w:rFonts w:hint="eastAsia"/>
          <w:color w:val="auto"/>
          <w:szCs w:val="21"/>
          <w:highlight w:val="none"/>
        </w:rPr>
        <w:t>3</w:t>
      </w:r>
      <w:r>
        <w:rPr>
          <w:color w:val="auto"/>
          <w:szCs w:val="21"/>
          <w:highlight w:val="none"/>
        </w:rPr>
        <w:t>．财务状况报告（表）复印件或银行出具的资信证明复印件。</w:t>
      </w:r>
      <w:r>
        <w:rPr>
          <w:color w:val="auto"/>
          <w:highlight w:val="none"/>
        </w:rPr>
        <w:t>对于从取得营业执照时间起到截标时间为止不足1年的供应商，只需提交</w:t>
      </w:r>
      <w:r>
        <w:rPr>
          <w:color w:val="auto"/>
          <w:szCs w:val="21"/>
          <w:highlight w:val="none"/>
        </w:rPr>
        <w:t>截标时间前一个月的财务状况报告（表）复印件。（按“评审方法及标准” “资格审查表”规定提供）。（加盖供应商</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08A38B74">
      <w:pPr>
        <w:snapToGrid w:val="0"/>
        <w:spacing w:before="50" w:after="120" w:afterLines="50" w:line="440" w:lineRule="exact"/>
        <w:jc w:val="left"/>
        <w:rPr>
          <w:color w:val="auto"/>
          <w:szCs w:val="21"/>
          <w:highlight w:val="none"/>
        </w:rPr>
      </w:pPr>
    </w:p>
    <w:p w14:paraId="05298D0D">
      <w:pPr>
        <w:snapToGrid w:val="0"/>
        <w:spacing w:before="50" w:after="120" w:afterLines="50" w:line="440" w:lineRule="exact"/>
        <w:jc w:val="left"/>
        <w:rPr>
          <w:b/>
          <w:color w:val="auto"/>
          <w:szCs w:val="21"/>
          <w:highlight w:val="none"/>
        </w:rPr>
      </w:pPr>
      <w:r>
        <w:rPr>
          <w:rFonts w:hint="eastAsia"/>
          <w:color w:val="auto"/>
          <w:szCs w:val="21"/>
          <w:highlight w:val="none"/>
        </w:rPr>
        <w:t>4</w:t>
      </w:r>
      <w:r>
        <w:rPr>
          <w:color w:val="auto"/>
          <w:szCs w:val="21"/>
          <w:highlight w:val="none"/>
        </w:rPr>
        <w:t>．</w:t>
      </w:r>
      <w:r>
        <w:rPr>
          <w:color w:val="auto"/>
          <w:highlight w:val="none"/>
        </w:rPr>
        <w:t>依法缴纳税费证明和社会保险缴纳证明材料</w:t>
      </w:r>
      <w:r>
        <w:rPr>
          <w:rFonts w:hint="eastAsia"/>
          <w:color w:val="auto"/>
          <w:highlight w:val="none"/>
        </w:rPr>
        <w:t>。</w:t>
      </w:r>
      <w:r>
        <w:rPr>
          <w:color w:val="auto"/>
          <w:highlight w:val="none"/>
        </w:rPr>
        <w:t>供应商成立不足</w:t>
      </w:r>
      <w:r>
        <w:rPr>
          <w:rFonts w:hint="eastAsia"/>
          <w:color w:val="auto"/>
          <w:highlight w:val="none"/>
        </w:rPr>
        <w:t>1个月的，无须提供</w:t>
      </w:r>
      <w:r>
        <w:rPr>
          <w:color w:val="auto"/>
          <w:highlight w:val="none"/>
        </w:rPr>
        <w:t>缴纳税费证明及社保缴费证明</w:t>
      </w:r>
      <w:r>
        <w:rPr>
          <w:rFonts w:hint="eastAsia"/>
          <w:color w:val="auto"/>
          <w:highlight w:val="none"/>
        </w:rPr>
        <w:t>。</w:t>
      </w:r>
      <w:r>
        <w:rPr>
          <w:color w:val="auto"/>
          <w:highlight w:val="none"/>
        </w:rPr>
        <w:t>依法免税或不需要缴纳社会保障资金的供应商，须提供相应文件证明其依法免税或不需要缴纳社会保障资金。</w:t>
      </w:r>
      <w:r>
        <w:rPr>
          <w:color w:val="auto"/>
          <w:szCs w:val="21"/>
          <w:highlight w:val="none"/>
        </w:rPr>
        <w:t>（按“评审方法及标准” “资格性检查表”规定提供）（加盖供应商</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2614F022">
      <w:pPr>
        <w:snapToGrid w:val="0"/>
        <w:spacing w:before="50" w:after="120" w:afterLines="50" w:line="440" w:lineRule="exact"/>
        <w:jc w:val="left"/>
        <w:rPr>
          <w:color w:val="auto"/>
          <w:highlight w:val="none"/>
        </w:rPr>
      </w:pPr>
    </w:p>
    <w:p w14:paraId="0C4D1BFA">
      <w:pPr>
        <w:snapToGrid w:val="0"/>
        <w:spacing w:before="50" w:after="120" w:afterLines="50" w:line="440" w:lineRule="exact"/>
        <w:jc w:val="left"/>
        <w:rPr>
          <w:b/>
          <w:color w:val="auto"/>
          <w:szCs w:val="21"/>
          <w:highlight w:val="none"/>
        </w:rPr>
      </w:pPr>
      <w:r>
        <w:rPr>
          <w:rFonts w:hint="eastAsia"/>
          <w:color w:val="auto"/>
          <w:szCs w:val="21"/>
          <w:highlight w:val="none"/>
        </w:rPr>
        <w:t>5</w:t>
      </w:r>
      <w:r>
        <w:rPr>
          <w:color w:val="auto"/>
          <w:szCs w:val="21"/>
          <w:highlight w:val="none"/>
        </w:rPr>
        <w:t>．具备法律、行政法规规定的其他要求的证明材料</w:t>
      </w:r>
      <w:r>
        <w:rPr>
          <w:color w:val="auto"/>
          <w:highlight w:val="none"/>
        </w:rPr>
        <w:t>（</w:t>
      </w:r>
      <w:r>
        <w:rPr>
          <w:color w:val="auto"/>
          <w:szCs w:val="21"/>
          <w:highlight w:val="none"/>
        </w:rPr>
        <w:t>按“评审方法及标准” “资格性检查表”规定提供</w:t>
      </w:r>
      <w:r>
        <w:rPr>
          <w:color w:val="auto"/>
          <w:highlight w:val="none"/>
        </w:rPr>
        <w:t>）。</w:t>
      </w:r>
      <w:r>
        <w:rPr>
          <w:rFonts w:hint="eastAsia"/>
          <w:b/>
          <w:color w:val="auto"/>
          <w:szCs w:val="21"/>
          <w:highlight w:val="none"/>
        </w:rPr>
        <w:t>（如采购文件有要求时提供）</w:t>
      </w:r>
    </w:p>
    <w:p w14:paraId="0536EE36">
      <w:pPr>
        <w:snapToGrid w:val="0"/>
        <w:spacing w:before="50" w:after="120" w:afterLines="50" w:line="440" w:lineRule="exact"/>
        <w:jc w:val="left"/>
        <w:rPr>
          <w:color w:val="auto"/>
          <w:szCs w:val="21"/>
          <w:highlight w:val="none"/>
        </w:rPr>
      </w:pPr>
    </w:p>
    <w:p w14:paraId="63367874">
      <w:pPr>
        <w:jc w:val="left"/>
        <w:rPr>
          <w:color w:val="auto"/>
          <w:szCs w:val="21"/>
          <w:highlight w:val="none"/>
        </w:rPr>
      </w:pPr>
      <w:r>
        <w:rPr>
          <w:rFonts w:hint="eastAsia"/>
          <w:color w:val="auto"/>
          <w:szCs w:val="21"/>
          <w:highlight w:val="none"/>
        </w:rPr>
        <w:br w:type="page"/>
      </w:r>
    </w:p>
    <w:p w14:paraId="275D3D6C">
      <w:pPr>
        <w:snapToGrid w:val="0"/>
        <w:spacing w:before="50" w:after="120" w:afterLines="50" w:line="440" w:lineRule="exact"/>
        <w:jc w:val="left"/>
        <w:rPr>
          <w:b/>
          <w:color w:val="auto"/>
          <w:szCs w:val="21"/>
          <w:highlight w:val="none"/>
        </w:rPr>
      </w:pPr>
      <w:r>
        <w:rPr>
          <w:rFonts w:hint="eastAsia"/>
          <w:color w:val="auto"/>
          <w:szCs w:val="21"/>
          <w:highlight w:val="none"/>
        </w:rPr>
        <w:t>6</w:t>
      </w:r>
      <w:r>
        <w:rPr>
          <w:color w:val="auto"/>
          <w:szCs w:val="21"/>
          <w:highlight w:val="none"/>
        </w:rPr>
        <w:t>．</w:t>
      </w:r>
      <w:r>
        <w:rPr>
          <w:rFonts w:hint="eastAsia"/>
          <w:color w:val="auto"/>
          <w:highlight w:val="none"/>
        </w:rPr>
        <w:t>落实政府采购政策需满足的资格要求</w:t>
      </w:r>
      <w:r>
        <w:rPr>
          <w:color w:val="auto"/>
          <w:highlight w:val="none"/>
        </w:rPr>
        <w:t>（</w:t>
      </w:r>
      <w:r>
        <w:rPr>
          <w:color w:val="auto"/>
          <w:szCs w:val="21"/>
          <w:highlight w:val="none"/>
        </w:rPr>
        <w:t>按“评审方法及标准” “资格审查表”规定提供</w:t>
      </w:r>
      <w:r>
        <w:rPr>
          <w:color w:val="auto"/>
          <w:highlight w:val="none"/>
        </w:rPr>
        <w:t>）。</w:t>
      </w:r>
      <w:r>
        <w:rPr>
          <w:rFonts w:hint="eastAsia"/>
          <w:b/>
          <w:color w:val="auto"/>
          <w:szCs w:val="21"/>
          <w:highlight w:val="none"/>
        </w:rPr>
        <w:t>（如有，请提供）</w:t>
      </w:r>
    </w:p>
    <w:p w14:paraId="5C3492F6">
      <w:pPr>
        <w:rPr>
          <w:color w:val="auto"/>
          <w:szCs w:val="21"/>
          <w:highlight w:val="none"/>
        </w:rPr>
      </w:pPr>
      <w:r>
        <w:rPr>
          <w:rFonts w:hint="eastAsia"/>
          <w:color w:val="auto"/>
          <w:szCs w:val="21"/>
          <w:highlight w:val="none"/>
        </w:rPr>
        <w:t>6.1</w:t>
      </w:r>
      <w:r>
        <w:rPr>
          <w:rFonts w:hint="eastAsia"/>
          <w:bCs/>
          <w:color w:val="auto"/>
          <w:szCs w:val="21"/>
          <w:highlight w:val="none"/>
        </w:rPr>
        <w:t>中小企业声明函</w:t>
      </w:r>
      <w:r>
        <w:rPr>
          <w:rFonts w:hint="eastAsia"/>
          <w:color w:val="auto"/>
          <w:szCs w:val="21"/>
          <w:highlight w:val="none"/>
        </w:rPr>
        <w:t>（如有，请提供）</w:t>
      </w:r>
    </w:p>
    <w:p w14:paraId="48824DFC">
      <w:pPr>
        <w:spacing w:line="360" w:lineRule="auto"/>
        <w:ind w:firstLine="3584" w:firstLineChars="1700"/>
        <w:rPr>
          <w:b/>
          <w:color w:val="auto"/>
          <w:szCs w:val="21"/>
          <w:highlight w:val="none"/>
        </w:rPr>
      </w:pPr>
    </w:p>
    <w:p w14:paraId="56BA3845">
      <w:pPr>
        <w:spacing w:line="360" w:lineRule="auto"/>
        <w:ind w:firstLine="3584" w:firstLineChars="1700"/>
        <w:rPr>
          <w:b/>
          <w:color w:val="auto"/>
          <w:szCs w:val="21"/>
          <w:highlight w:val="none"/>
        </w:rPr>
      </w:pPr>
      <w:r>
        <w:rPr>
          <w:rFonts w:hint="eastAsia"/>
          <w:b/>
          <w:color w:val="auto"/>
          <w:szCs w:val="21"/>
          <w:highlight w:val="none"/>
        </w:rPr>
        <w:t>中小企业声明函（服务）</w:t>
      </w:r>
    </w:p>
    <w:p w14:paraId="412B6776">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采购活动，服务全部由符合政策要求的中小企业承接。相关企业（含联合体中的中小企业、签订分包意向协议的中小企业） 的具体情况如下：</w:t>
      </w:r>
    </w:p>
    <w:p w14:paraId="63E1E65F">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09B796A1">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1D27D7C0">
      <w:pPr>
        <w:spacing w:line="360" w:lineRule="auto"/>
        <w:ind w:firstLine="420"/>
        <w:rPr>
          <w:bCs/>
          <w:color w:val="auto"/>
          <w:szCs w:val="21"/>
          <w:highlight w:val="none"/>
        </w:rPr>
      </w:pPr>
      <w:r>
        <w:rPr>
          <w:rFonts w:hint="eastAsia"/>
          <w:bCs/>
          <w:color w:val="auto"/>
          <w:szCs w:val="21"/>
          <w:highlight w:val="none"/>
        </w:rPr>
        <w:t>……</w:t>
      </w:r>
    </w:p>
    <w:p w14:paraId="6478ADCA">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552598C9">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0D57E4F2">
      <w:pPr>
        <w:spacing w:line="360" w:lineRule="auto"/>
        <w:ind w:firstLine="3150" w:firstLineChars="1500"/>
        <w:rPr>
          <w:bCs/>
          <w:color w:val="auto"/>
          <w:szCs w:val="21"/>
          <w:highlight w:val="none"/>
        </w:rPr>
      </w:pPr>
      <w:r>
        <w:rPr>
          <w:rFonts w:hint="eastAsia"/>
          <w:bCs/>
          <w:color w:val="auto"/>
          <w:szCs w:val="21"/>
          <w:highlight w:val="none"/>
        </w:rPr>
        <w:t xml:space="preserve">企业名称（电子签章）： </w:t>
      </w:r>
      <w:r>
        <w:rPr>
          <w:bCs/>
          <w:color w:val="auto"/>
          <w:szCs w:val="21"/>
          <w:highlight w:val="none"/>
        </w:rPr>
        <w:t xml:space="preserve"> </w:t>
      </w:r>
      <w:r>
        <w:rPr>
          <w:rFonts w:hint="eastAsia"/>
          <w:bCs/>
          <w:color w:val="auto"/>
          <w:szCs w:val="21"/>
          <w:highlight w:val="none"/>
        </w:rPr>
        <w:t>日期：</w:t>
      </w:r>
    </w:p>
    <w:p w14:paraId="6E9FC370">
      <w:pPr>
        <w:spacing w:line="360" w:lineRule="auto"/>
        <w:jc w:val="left"/>
        <w:rPr>
          <w:bCs/>
          <w:color w:val="auto"/>
          <w:szCs w:val="21"/>
          <w:highlight w:val="none"/>
        </w:rPr>
      </w:pPr>
      <w:r>
        <w:rPr>
          <w:rFonts w:hint="eastAsia"/>
          <w:bCs/>
          <w:color w:val="auto"/>
          <w:szCs w:val="21"/>
          <w:highlight w:val="none"/>
        </w:rPr>
        <w:t>注：</w:t>
      </w:r>
    </w:p>
    <w:p w14:paraId="43AE6641">
      <w:pPr>
        <w:spacing w:line="360" w:lineRule="auto"/>
        <w:jc w:val="left"/>
        <w:rPr>
          <w:bCs/>
          <w:color w:val="auto"/>
          <w:szCs w:val="21"/>
          <w:highlight w:val="none"/>
        </w:rPr>
      </w:pPr>
      <w:r>
        <w:rPr>
          <w:rFonts w:hint="eastAsia"/>
          <w:bCs/>
          <w:color w:val="auto"/>
          <w:szCs w:val="21"/>
          <w:highlight w:val="none"/>
        </w:rPr>
        <w:t>（1）标的名称按照第二章采购需求一览表中的名称填写，</w:t>
      </w:r>
      <w:r>
        <w:rPr>
          <w:color w:val="auto"/>
          <w:szCs w:val="21"/>
          <w:highlight w:val="none"/>
        </w:rPr>
        <w:t>所属行业标明“/”的</w:t>
      </w:r>
      <w:r>
        <w:rPr>
          <w:rFonts w:hint="eastAsia"/>
          <w:bCs/>
          <w:color w:val="auto"/>
          <w:szCs w:val="21"/>
          <w:highlight w:val="none"/>
        </w:rPr>
        <w:t>，无需在上表填写。</w:t>
      </w:r>
    </w:p>
    <w:p w14:paraId="18DE2A5B">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1C82D32C">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3DB38E32">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27E3EFC5">
      <w:pPr>
        <w:spacing w:line="360" w:lineRule="auto"/>
        <w:jc w:val="left"/>
        <w:rPr>
          <w:bCs/>
          <w:color w:val="auto"/>
          <w:szCs w:val="21"/>
          <w:highlight w:val="none"/>
        </w:rPr>
      </w:pPr>
      <w:r>
        <w:rPr>
          <w:rFonts w:hint="eastAsia"/>
          <w:bCs/>
          <w:color w:val="auto"/>
          <w:szCs w:val="21"/>
          <w:highlight w:val="none"/>
        </w:rPr>
        <w:t>（5）根据国际统计局《劳动工资统计报表制度》，从业人员数是指本单位工作，并取得工资或其他形式劳动报酬的人员数，是在岗职工、劳务派遣人员及其他从业人员之和。</w:t>
      </w:r>
    </w:p>
    <w:p w14:paraId="72D9A560">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3C51A03E">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559AC4D0">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0A379C24">
      <w:pPr>
        <w:snapToGrid w:val="0"/>
        <w:spacing w:before="50" w:after="120" w:afterLines="50"/>
        <w:jc w:val="left"/>
        <w:rPr>
          <w:color w:val="auto"/>
          <w:szCs w:val="21"/>
          <w:highlight w:val="none"/>
        </w:rPr>
      </w:pPr>
    </w:p>
    <w:p w14:paraId="6B2ABD0C">
      <w:pPr>
        <w:snapToGrid w:val="0"/>
        <w:spacing w:before="50" w:after="120" w:afterLines="50"/>
        <w:jc w:val="left"/>
        <w:rPr>
          <w:color w:val="auto"/>
          <w:szCs w:val="21"/>
          <w:highlight w:val="none"/>
        </w:rPr>
      </w:pPr>
      <w:r>
        <w:rPr>
          <w:rFonts w:hint="eastAsia"/>
          <w:color w:val="auto"/>
          <w:szCs w:val="21"/>
          <w:highlight w:val="none"/>
        </w:rPr>
        <w:t>6</w:t>
      </w:r>
      <w:r>
        <w:rPr>
          <w:color w:val="auto"/>
          <w:szCs w:val="21"/>
          <w:highlight w:val="none"/>
        </w:rPr>
        <w:t>.2监狱企业须提供最新一期《XX省监狱企业产品目录》或其他监狱企业证明材料。（非监狱企业无需提供）</w:t>
      </w:r>
    </w:p>
    <w:p w14:paraId="13E43860">
      <w:pPr>
        <w:snapToGrid w:val="0"/>
        <w:spacing w:before="50" w:after="120" w:afterLines="50"/>
        <w:jc w:val="left"/>
        <w:rPr>
          <w:color w:val="auto"/>
          <w:szCs w:val="21"/>
          <w:highlight w:val="none"/>
        </w:rPr>
      </w:pPr>
    </w:p>
    <w:p w14:paraId="797C5872">
      <w:pPr>
        <w:widowControl/>
        <w:jc w:val="left"/>
        <w:rPr>
          <w:color w:val="auto"/>
          <w:szCs w:val="21"/>
          <w:highlight w:val="none"/>
        </w:rPr>
      </w:pPr>
      <w:r>
        <w:rPr>
          <w:rFonts w:hint="eastAsia"/>
          <w:color w:val="auto"/>
          <w:szCs w:val="21"/>
          <w:highlight w:val="none"/>
        </w:rPr>
        <w:t>6.</w:t>
      </w:r>
      <w:r>
        <w:rPr>
          <w:color w:val="auto"/>
          <w:szCs w:val="21"/>
          <w:highlight w:val="none"/>
        </w:rPr>
        <w:t>3</w:t>
      </w:r>
      <w:r>
        <w:rPr>
          <w:color w:val="auto"/>
          <w:highlight w:val="none"/>
        </w:rPr>
        <w:t>残疾人福利性单位须提供《残疾人福利性单位声明函》，格式如下。</w:t>
      </w:r>
      <w:r>
        <w:rPr>
          <w:color w:val="auto"/>
          <w:szCs w:val="21"/>
          <w:highlight w:val="none"/>
        </w:rPr>
        <w:t>（非残疾人福利性单位无需提供）</w:t>
      </w:r>
    </w:p>
    <w:p w14:paraId="05E3E84B">
      <w:pPr>
        <w:spacing w:line="360" w:lineRule="auto"/>
        <w:jc w:val="center"/>
        <w:rPr>
          <w:b/>
          <w:color w:val="auto"/>
          <w:szCs w:val="21"/>
          <w:highlight w:val="none"/>
        </w:rPr>
      </w:pPr>
    </w:p>
    <w:p w14:paraId="1634561D">
      <w:pPr>
        <w:spacing w:line="360" w:lineRule="auto"/>
        <w:jc w:val="center"/>
        <w:rPr>
          <w:b/>
          <w:color w:val="auto"/>
          <w:szCs w:val="21"/>
          <w:highlight w:val="none"/>
        </w:rPr>
      </w:pPr>
      <w:r>
        <w:rPr>
          <w:b/>
          <w:color w:val="auto"/>
          <w:szCs w:val="21"/>
          <w:highlight w:val="none"/>
        </w:rPr>
        <w:t>残疾人福利性单位声明函</w:t>
      </w:r>
    </w:p>
    <w:p w14:paraId="5C54E5A5">
      <w:pP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4EDF9775">
      <w:pP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16062CDD">
      <w:pPr>
        <w:spacing w:line="360" w:lineRule="auto"/>
        <w:ind w:firstLine="420"/>
        <w:jc w:val="right"/>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单位名称</w:t>
      </w:r>
      <w:r>
        <w:rPr>
          <w:rFonts w:hint="eastAsia"/>
          <w:color w:val="auto"/>
          <w:szCs w:val="21"/>
          <w:highlight w:val="none"/>
        </w:rPr>
        <w:t>(电子签章</w:t>
      </w:r>
      <w:r>
        <w:rPr>
          <w:color w:val="auto"/>
          <w:szCs w:val="21"/>
          <w:highlight w:val="none"/>
        </w:rPr>
        <w:t>)</w:t>
      </w:r>
      <w:r>
        <w:rPr>
          <w:color w:val="auto"/>
          <w:spacing w:val="6"/>
          <w:szCs w:val="21"/>
          <w:highlight w:val="none"/>
        </w:rPr>
        <w:t xml:space="preserve">：          </w:t>
      </w:r>
    </w:p>
    <w:p w14:paraId="7A394983">
      <w:pPr>
        <w:snapToGrid w:val="0"/>
        <w:spacing w:before="50" w:after="120" w:afterLines="50" w:line="440" w:lineRule="exact"/>
        <w:jc w:val="left"/>
        <w:rPr>
          <w:color w:val="auto"/>
          <w:highlight w:val="none"/>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r>
        <w:rPr>
          <w:color w:val="auto"/>
          <w:szCs w:val="21"/>
          <w:highlight w:val="none"/>
        </w:rPr>
        <w:br w:type="page"/>
      </w:r>
    </w:p>
    <w:p w14:paraId="1B06E723">
      <w:pPr>
        <w:spacing w:line="360" w:lineRule="auto"/>
        <w:rPr>
          <w:color w:val="auto"/>
          <w:highlight w:val="none"/>
        </w:rPr>
      </w:pPr>
      <w:r>
        <w:rPr>
          <w:rFonts w:hint="eastAsia"/>
          <w:color w:val="auto"/>
          <w:szCs w:val="21"/>
          <w:highlight w:val="none"/>
        </w:rPr>
        <w:t>7</w:t>
      </w:r>
      <w:r>
        <w:rPr>
          <w:color w:val="auto"/>
          <w:szCs w:val="21"/>
          <w:highlight w:val="none"/>
        </w:rPr>
        <w:t>．</w:t>
      </w:r>
      <w:r>
        <w:rPr>
          <w:color w:val="auto"/>
          <w:highlight w:val="none"/>
        </w:rPr>
        <w:t>满足供应商特定资格条件的其他证明材料</w:t>
      </w:r>
      <w:r>
        <w:rPr>
          <w:color w:val="auto"/>
          <w:szCs w:val="21"/>
          <w:highlight w:val="none"/>
        </w:rPr>
        <w:t>加盖供应商</w:t>
      </w:r>
      <w:r>
        <w:rPr>
          <w:rFonts w:hint="eastAsia"/>
          <w:color w:val="auto"/>
          <w:szCs w:val="21"/>
          <w:highlight w:val="none"/>
        </w:rPr>
        <w:t>电子签章</w:t>
      </w:r>
      <w:r>
        <w:rPr>
          <w:color w:val="auto"/>
          <w:highlight w:val="none"/>
        </w:rPr>
        <w:t>（</w:t>
      </w:r>
      <w:r>
        <w:rPr>
          <w:color w:val="auto"/>
          <w:szCs w:val="21"/>
          <w:highlight w:val="none"/>
        </w:rPr>
        <w:t>按“评审方法及标准” “资格性检查表”“</w:t>
      </w:r>
      <w:r>
        <w:rPr>
          <w:color w:val="auto"/>
          <w:szCs w:val="21"/>
          <w:highlight w:val="none"/>
          <w:lang w:val="zh-CN"/>
        </w:rPr>
        <w:t xml:space="preserve"> 供应商应符合的</w:t>
      </w:r>
      <w:r>
        <w:rPr>
          <w:color w:val="auto"/>
          <w:szCs w:val="21"/>
          <w:highlight w:val="none"/>
        </w:rPr>
        <w:t>特定资格条件”规定提供</w:t>
      </w:r>
      <w:r>
        <w:rPr>
          <w:color w:val="auto"/>
          <w:highlight w:val="none"/>
        </w:rPr>
        <w:t>）。</w:t>
      </w:r>
      <w:r>
        <w:rPr>
          <w:rFonts w:hint="eastAsia"/>
          <w:b/>
          <w:color w:val="auto"/>
          <w:szCs w:val="21"/>
          <w:highlight w:val="none"/>
        </w:rPr>
        <w:t>（如采购文件有要求时提供）</w:t>
      </w:r>
    </w:p>
    <w:p w14:paraId="72DDE235">
      <w:pPr>
        <w:snapToGrid w:val="0"/>
        <w:spacing w:before="50" w:after="120" w:afterLines="50" w:line="360" w:lineRule="auto"/>
        <w:jc w:val="left"/>
        <w:rPr>
          <w:color w:val="auto"/>
          <w:szCs w:val="21"/>
          <w:highlight w:val="none"/>
        </w:rPr>
      </w:pPr>
      <w:r>
        <w:rPr>
          <w:b/>
          <w:color w:val="auto"/>
          <w:szCs w:val="21"/>
          <w:highlight w:val="none"/>
        </w:rPr>
        <w:br w:type="page"/>
      </w:r>
      <w:r>
        <w:rPr>
          <w:rFonts w:hint="eastAsia"/>
          <w:color w:val="auto"/>
          <w:szCs w:val="21"/>
          <w:highlight w:val="none"/>
        </w:rPr>
        <w:t>7</w:t>
      </w:r>
      <w:r>
        <w:rPr>
          <w:color w:val="auto"/>
          <w:szCs w:val="21"/>
          <w:highlight w:val="none"/>
        </w:rPr>
        <w:t>.1</w:t>
      </w:r>
      <w:r>
        <w:rPr>
          <w:rFonts w:hint="eastAsia"/>
          <w:color w:val="auto"/>
          <w:szCs w:val="21"/>
          <w:highlight w:val="none"/>
        </w:rPr>
        <w:t>供应商直接控股股东信息表</w:t>
      </w:r>
    </w:p>
    <w:tbl>
      <w:tblPr>
        <w:tblStyle w:val="53"/>
        <w:tblW w:w="9476" w:type="dxa"/>
        <w:tblInd w:w="125" w:type="dxa"/>
        <w:tblLayout w:type="fixed"/>
        <w:tblCellMar>
          <w:top w:w="0" w:type="dxa"/>
          <w:left w:w="0" w:type="dxa"/>
          <w:bottom w:w="0" w:type="dxa"/>
          <w:right w:w="0" w:type="dxa"/>
        </w:tblCellMar>
      </w:tblPr>
      <w:tblGrid>
        <w:gridCol w:w="828"/>
        <w:gridCol w:w="2269"/>
        <w:gridCol w:w="1239"/>
        <w:gridCol w:w="3722"/>
        <w:gridCol w:w="1418"/>
      </w:tblGrid>
      <w:tr w14:paraId="5AB993BF">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53C09CF">
            <w:pPr>
              <w:spacing w:line="360" w:lineRule="auto"/>
              <w:jc w:val="center"/>
              <w:rPr>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B511C19">
            <w:pPr>
              <w:spacing w:line="360" w:lineRule="auto"/>
              <w:jc w:val="center"/>
              <w:rPr>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1AFB303">
            <w:pPr>
              <w:spacing w:line="360" w:lineRule="auto"/>
              <w:jc w:val="center"/>
              <w:rPr>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C736251">
            <w:pPr>
              <w:spacing w:line="360" w:lineRule="auto"/>
              <w:jc w:val="center"/>
              <w:rPr>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18F8A4D">
            <w:pPr>
              <w:spacing w:line="360" w:lineRule="auto"/>
              <w:jc w:val="center"/>
              <w:rPr>
                <w:color w:val="auto"/>
                <w:szCs w:val="21"/>
                <w:highlight w:val="none"/>
              </w:rPr>
            </w:pPr>
            <w:r>
              <w:rPr>
                <w:rFonts w:hint="eastAsia"/>
                <w:color w:val="auto"/>
                <w:szCs w:val="21"/>
                <w:highlight w:val="none"/>
              </w:rPr>
              <w:t>备注</w:t>
            </w:r>
          </w:p>
        </w:tc>
      </w:tr>
      <w:tr w14:paraId="76D0962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C65F62F">
            <w:pPr>
              <w:spacing w:line="360" w:lineRule="auto"/>
              <w:jc w:val="center"/>
              <w:rPr>
                <w:color w:val="auto"/>
                <w:szCs w:val="21"/>
                <w:highlight w:val="none"/>
              </w:rPr>
            </w:pPr>
            <w:r>
              <w:rPr>
                <w:rFonts w:hint="eastAsia"/>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EA21CDA">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C399E60">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97DB825">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70E333D">
            <w:pPr>
              <w:spacing w:line="360" w:lineRule="auto"/>
              <w:jc w:val="center"/>
              <w:rPr>
                <w:color w:val="auto"/>
                <w:szCs w:val="21"/>
                <w:highlight w:val="none"/>
              </w:rPr>
            </w:pPr>
          </w:p>
        </w:tc>
      </w:tr>
      <w:tr w14:paraId="47FD93C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B1D650F">
            <w:pPr>
              <w:spacing w:line="360" w:lineRule="auto"/>
              <w:jc w:val="center"/>
              <w:rPr>
                <w:color w:val="auto"/>
                <w:szCs w:val="21"/>
                <w:highlight w:val="none"/>
              </w:rPr>
            </w:pPr>
            <w:r>
              <w:rPr>
                <w:rFonts w:hint="eastAsia"/>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1BAB2E8">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26E72E8">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23AF53E">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ADEFF86">
            <w:pPr>
              <w:spacing w:line="360" w:lineRule="auto"/>
              <w:jc w:val="center"/>
              <w:rPr>
                <w:color w:val="auto"/>
                <w:szCs w:val="21"/>
                <w:highlight w:val="none"/>
              </w:rPr>
            </w:pPr>
          </w:p>
        </w:tc>
      </w:tr>
      <w:tr w14:paraId="0EFC0F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61AC01C">
            <w:pPr>
              <w:spacing w:line="360" w:lineRule="auto"/>
              <w:jc w:val="center"/>
              <w:rPr>
                <w:color w:val="auto"/>
                <w:szCs w:val="21"/>
                <w:highlight w:val="none"/>
              </w:rPr>
            </w:pPr>
            <w:r>
              <w:rPr>
                <w:rFonts w:hint="eastAsia"/>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B48E051">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5D25DB7">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2620A9A">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63D769B">
            <w:pPr>
              <w:spacing w:line="360" w:lineRule="auto"/>
              <w:jc w:val="center"/>
              <w:rPr>
                <w:color w:val="auto"/>
                <w:szCs w:val="21"/>
                <w:highlight w:val="none"/>
              </w:rPr>
            </w:pPr>
          </w:p>
        </w:tc>
      </w:tr>
      <w:tr w14:paraId="7D4909B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6DDDB6D">
            <w:pPr>
              <w:spacing w:line="360" w:lineRule="auto"/>
              <w:jc w:val="center"/>
              <w:rPr>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837CE66">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FF5E4D0">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757DD86">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0DA2EF9">
            <w:pPr>
              <w:spacing w:line="360" w:lineRule="auto"/>
              <w:jc w:val="center"/>
              <w:rPr>
                <w:color w:val="auto"/>
                <w:szCs w:val="21"/>
                <w:highlight w:val="none"/>
              </w:rPr>
            </w:pPr>
          </w:p>
        </w:tc>
      </w:tr>
    </w:tbl>
    <w:p w14:paraId="76072DC3">
      <w:pPr>
        <w:snapToGrid w:val="0"/>
        <w:spacing w:line="360" w:lineRule="auto"/>
        <w:jc w:val="left"/>
        <w:rPr>
          <w:color w:val="auto"/>
          <w:szCs w:val="21"/>
          <w:highlight w:val="none"/>
        </w:rPr>
      </w:pPr>
      <w:r>
        <w:rPr>
          <w:rFonts w:hint="eastAsia"/>
          <w:color w:val="auto"/>
          <w:szCs w:val="21"/>
          <w:highlight w:val="none"/>
        </w:rPr>
        <w:t>注：</w:t>
      </w:r>
    </w:p>
    <w:p w14:paraId="0C738229">
      <w:pPr>
        <w:snapToGrid w:val="0"/>
        <w:spacing w:line="360" w:lineRule="auto"/>
        <w:jc w:val="left"/>
        <w:rPr>
          <w:color w:val="auto"/>
          <w:szCs w:val="21"/>
          <w:highlight w:val="none"/>
        </w:rPr>
      </w:pPr>
      <w:r>
        <w:rPr>
          <w:rFonts w:hint="eastAsia"/>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6551D29">
      <w:pPr>
        <w:snapToGrid w:val="0"/>
        <w:spacing w:line="360" w:lineRule="auto"/>
        <w:jc w:val="left"/>
        <w:rPr>
          <w:color w:val="auto"/>
          <w:szCs w:val="21"/>
          <w:highlight w:val="none"/>
        </w:rPr>
      </w:pPr>
      <w:r>
        <w:rPr>
          <w:rFonts w:hint="eastAsia"/>
          <w:color w:val="auto"/>
          <w:szCs w:val="21"/>
          <w:highlight w:val="none"/>
        </w:rPr>
        <w:t>2.本表所指的控股关系仅限于直接控股关系，不包括间接的控股关系。公司实际控制人与公司之间的关系不属于本表所指的直接控股关系。</w:t>
      </w:r>
    </w:p>
    <w:p w14:paraId="4A4C858F">
      <w:pPr>
        <w:snapToGrid w:val="0"/>
        <w:spacing w:line="360" w:lineRule="auto"/>
        <w:jc w:val="left"/>
        <w:rPr>
          <w:color w:val="auto"/>
          <w:szCs w:val="21"/>
          <w:highlight w:val="none"/>
        </w:rPr>
      </w:pPr>
      <w:r>
        <w:rPr>
          <w:rFonts w:hint="eastAsia"/>
          <w:color w:val="auto"/>
          <w:szCs w:val="21"/>
          <w:highlight w:val="none"/>
        </w:rPr>
        <w:t>3.供应商不存在直接控股股东的，则填“无”。</w:t>
      </w:r>
    </w:p>
    <w:p w14:paraId="74ACACB7">
      <w:pPr>
        <w:snapToGrid w:val="0"/>
        <w:spacing w:line="360" w:lineRule="auto"/>
        <w:jc w:val="left"/>
        <w:rPr>
          <w:color w:val="auto"/>
          <w:szCs w:val="21"/>
          <w:highlight w:val="none"/>
        </w:rPr>
      </w:pPr>
    </w:p>
    <w:p w14:paraId="1F6AECA8">
      <w:pPr>
        <w:snapToGrid w:val="0"/>
        <w:spacing w:line="360" w:lineRule="auto"/>
        <w:jc w:val="left"/>
        <w:rPr>
          <w:color w:val="auto"/>
          <w:szCs w:val="21"/>
          <w:highlight w:val="none"/>
        </w:rPr>
      </w:pPr>
    </w:p>
    <w:p w14:paraId="6405AC64">
      <w:pPr>
        <w:snapToGrid w:val="0"/>
        <w:spacing w:line="360" w:lineRule="auto"/>
        <w:jc w:val="left"/>
        <w:rPr>
          <w:color w:val="auto"/>
          <w:szCs w:val="21"/>
          <w:highlight w:val="none"/>
        </w:rPr>
      </w:pPr>
    </w:p>
    <w:p w14:paraId="48B35D7B">
      <w:pPr>
        <w:snapToGrid w:val="0"/>
        <w:spacing w:line="360" w:lineRule="auto"/>
        <w:jc w:val="left"/>
        <w:rPr>
          <w:color w:val="auto"/>
          <w:szCs w:val="21"/>
          <w:highlight w:val="none"/>
        </w:rPr>
      </w:pPr>
    </w:p>
    <w:p w14:paraId="241619C4">
      <w:pPr>
        <w:snapToGrid w:val="0"/>
        <w:spacing w:line="360" w:lineRule="auto"/>
        <w:jc w:val="left"/>
        <w:rPr>
          <w:color w:val="auto"/>
          <w:szCs w:val="21"/>
          <w:highlight w:val="none"/>
        </w:rPr>
      </w:pPr>
    </w:p>
    <w:p w14:paraId="7EE7451F">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0953BD10">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6C88B998">
      <w:pPr>
        <w:snapToGrid w:val="0"/>
        <w:jc w:val="left"/>
        <w:rPr>
          <w:color w:val="auto"/>
          <w:szCs w:val="21"/>
          <w:highlight w:val="none"/>
        </w:rPr>
      </w:pPr>
      <w:r>
        <w:rPr>
          <w:rFonts w:ascii="宋体" w:hAnsi="宋体"/>
          <w:b/>
          <w:color w:val="auto"/>
          <w:sz w:val="28"/>
          <w:szCs w:val="28"/>
          <w:highlight w:val="none"/>
        </w:rPr>
        <w:br w:type="page"/>
      </w:r>
      <w:r>
        <w:rPr>
          <w:rFonts w:hint="eastAsia"/>
          <w:color w:val="auto"/>
          <w:szCs w:val="21"/>
          <w:highlight w:val="none"/>
        </w:rPr>
        <w:t>7</w:t>
      </w:r>
      <w:r>
        <w:rPr>
          <w:color w:val="auto"/>
          <w:szCs w:val="21"/>
          <w:highlight w:val="none"/>
        </w:rPr>
        <w:t>.2</w:t>
      </w:r>
      <w:r>
        <w:rPr>
          <w:rFonts w:hint="eastAsia"/>
          <w:color w:val="auto"/>
          <w:szCs w:val="21"/>
          <w:highlight w:val="none"/>
        </w:rPr>
        <w:t>供应商直接管理关系信息表</w:t>
      </w:r>
    </w:p>
    <w:tbl>
      <w:tblPr>
        <w:tblStyle w:val="53"/>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573A3A83">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44F18E">
            <w:pPr>
              <w:spacing w:line="360" w:lineRule="auto"/>
              <w:jc w:val="center"/>
              <w:rPr>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F3BFCE">
            <w:pPr>
              <w:spacing w:line="360" w:lineRule="auto"/>
              <w:jc w:val="center"/>
              <w:rPr>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123F44">
            <w:pPr>
              <w:spacing w:line="360" w:lineRule="auto"/>
              <w:jc w:val="center"/>
              <w:rPr>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C11F03C">
            <w:pPr>
              <w:spacing w:line="360" w:lineRule="auto"/>
              <w:jc w:val="center"/>
              <w:rPr>
                <w:color w:val="auto"/>
                <w:szCs w:val="21"/>
                <w:highlight w:val="none"/>
              </w:rPr>
            </w:pPr>
            <w:r>
              <w:rPr>
                <w:rFonts w:hint="eastAsia"/>
                <w:color w:val="auto"/>
                <w:szCs w:val="21"/>
                <w:highlight w:val="none"/>
              </w:rPr>
              <w:t>备注</w:t>
            </w:r>
          </w:p>
        </w:tc>
      </w:tr>
      <w:tr w14:paraId="4084B30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E39239">
            <w:pPr>
              <w:spacing w:line="360" w:lineRule="auto"/>
              <w:jc w:val="center"/>
              <w:rPr>
                <w:color w:val="auto"/>
                <w:szCs w:val="21"/>
                <w:highlight w:val="none"/>
              </w:rPr>
            </w:pPr>
            <w:r>
              <w:rPr>
                <w:rFonts w:hint="eastAsia"/>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6D7E5C">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954764">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E0BB77">
            <w:pPr>
              <w:spacing w:line="360" w:lineRule="auto"/>
              <w:jc w:val="center"/>
              <w:rPr>
                <w:color w:val="auto"/>
                <w:szCs w:val="21"/>
                <w:highlight w:val="none"/>
              </w:rPr>
            </w:pPr>
          </w:p>
        </w:tc>
      </w:tr>
      <w:tr w14:paraId="2E4CB18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D5C600">
            <w:pPr>
              <w:spacing w:line="360" w:lineRule="auto"/>
              <w:jc w:val="center"/>
              <w:rPr>
                <w:color w:val="auto"/>
                <w:szCs w:val="21"/>
                <w:highlight w:val="none"/>
              </w:rPr>
            </w:pPr>
            <w:r>
              <w:rPr>
                <w:rFonts w:hint="eastAsia"/>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D19C464">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901AB9">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35E28B6">
            <w:pPr>
              <w:spacing w:line="360" w:lineRule="auto"/>
              <w:jc w:val="center"/>
              <w:rPr>
                <w:color w:val="auto"/>
                <w:szCs w:val="21"/>
                <w:highlight w:val="none"/>
              </w:rPr>
            </w:pPr>
          </w:p>
        </w:tc>
      </w:tr>
      <w:tr w14:paraId="1652D2D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44231F">
            <w:pPr>
              <w:spacing w:line="360" w:lineRule="auto"/>
              <w:jc w:val="center"/>
              <w:rPr>
                <w:color w:val="auto"/>
                <w:szCs w:val="21"/>
                <w:highlight w:val="none"/>
              </w:rPr>
            </w:pPr>
            <w:r>
              <w:rPr>
                <w:rFonts w:hint="eastAsia"/>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043F3F">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1FB0557">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08AFF4">
            <w:pPr>
              <w:spacing w:line="360" w:lineRule="auto"/>
              <w:jc w:val="center"/>
              <w:rPr>
                <w:color w:val="auto"/>
                <w:szCs w:val="21"/>
                <w:highlight w:val="none"/>
              </w:rPr>
            </w:pPr>
          </w:p>
        </w:tc>
      </w:tr>
      <w:tr w14:paraId="1718B67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6F92F2">
            <w:pPr>
              <w:spacing w:line="360" w:lineRule="auto"/>
              <w:jc w:val="center"/>
              <w:rPr>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6505AA">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9703A1">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732328">
            <w:pPr>
              <w:spacing w:line="360" w:lineRule="auto"/>
              <w:jc w:val="center"/>
              <w:rPr>
                <w:color w:val="auto"/>
                <w:szCs w:val="21"/>
                <w:highlight w:val="none"/>
              </w:rPr>
            </w:pPr>
          </w:p>
        </w:tc>
      </w:tr>
    </w:tbl>
    <w:p w14:paraId="2A1D7DC1">
      <w:pPr>
        <w:snapToGrid w:val="0"/>
        <w:spacing w:line="360" w:lineRule="auto"/>
        <w:jc w:val="left"/>
        <w:rPr>
          <w:color w:val="auto"/>
          <w:szCs w:val="21"/>
          <w:highlight w:val="none"/>
        </w:rPr>
      </w:pPr>
      <w:r>
        <w:rPr>
          <w:rFonts w:hint="eastAsia"/>
          <w:color w:val="auto"/>
          <w:szCs w:val="21"/>
          <w:highlight w:val="none"/>
        </w:rPr>
        <w:t>注：</w:t>
      </w:r>
    </w:p>
    <w:p w14:paraId="486E0C43">
      <w:pPr>
        <w:snapToGrid w:val="0"/>
        <w:spacing w:line="360" w:lineRule="auto"/>
        <w:ind w:firstLine="420" w:firstLineChars="200"/>
        <w:jc w:val="left"/>
        <w:rPr>
          <w:color w:val="auto"/>
          <w:szCs w:val="21"/>
          <w:highlight w:val="none"/>
        </w:rPr>
      </w:pPr>
      <w:r>
        <w:rPr>
          <w:rFonts w:hint="eastAsia"/>
          <w:color w:val="auto"/>
          <w:szCs w:val="21"/>
          <w:highlight w:val="none"/>
        </w:rPr>
        <w:t>1.管理关系：是指不具有出资持股关系的其他单位之间存在的管理与被管理关系，如一些上下级关系的事业单位和团体组织。</w:t>
      </w:r>
    </w:p>
    <w:p w14:paraId="40D93431">
      <w:pPr>
        <w:snapToGrid w:val="0"/>
        <w:spacing w:line="360" w:lineRule="auto"/>
        <w:ind w:firstLine="420" w:firstLineChars="200"/>
        <w:jc w:val="left"/>
        <w:rPr>
          <w:color w:val="auto"/>
          <w:szCs w:val="21"/>
          <w:highlight w:val="none"/>
        </w:rPr>
      </w:pPr>
      <w:r>
        <w:rPr>
          <w:rFonts w:hint="eastAsia"/>
          <w:color w:val="auto"/>
          <w:szCs w:val="21"/>
          <w:highlight w:val="none"/>
        </w:rPr>
        <w:t>2.本表所指的管理关系仅限于直接管理关系，不包括间接的管理关系。</w:t>
      </w:r>
    </w:p>
    <w:p w14:paraId="67B40B13">
      <w:pPr>
        <w:snapToGrid w:val="0"/>
        <w:spacing w:line="360" w:lineRule="auto"/>
        <w:ind w:firstLine="420" w:firstLineChars="200"/>
        <w:jc w:val="left"/>
        <w:rPr>
          <w:color w:val="auto"/>
          <w:szCs w:val="21"/>
          <w:highlight w:val="none"/>
        </w:rPr>
      </w:pPr>
      <w:r>
        <w:rPr>
          <w:rFonts w:hint="eastAsia"/>
          <w:color w:val="auto"/>
          <w:szCs w:val="21"/>
          <w:highlight w:val="none"/>
        </w:rPr>
        <w:t>3.供应商不存在直接管理关系的，则填“无”。</w:t>
      </w:r>
    </w:p>
    <w:p w14:paraId="0119B87D">
      <w:pPr>
        <w:snapToGrid w:val="0"/>
        <w:spacing w:line="360" w:lineRule="auto"/>
        <w:jc w:val="left"/>
        <w:rPr>
          <w:color w:val="auto"/>
          <w:szCs w:val="21"/>
          <w:highlight w:val="none"/>
        </w:rPr>
      </w:pPr>
    </w:p>
    <w:p w14:paraId="52C74C0E">
      <w:pPr>
        <w:snapToGrid w:val="0"/>
        <w:spacing w:line="360" w:lineRule="auto"/>
        <w:jc w:val="left"/>
        <w:rPr>
          <w:color w:val="auto"/>
          <w:szCs w:val="21"/>
          <w:highlight w:val="none"/>
        </w:rPr>
      </w:pPr>
    </w:p>
    <w:p w14:paraId="42BD9B37">
      <w:pPr>
        <w:snapToGrid w:val="0"/>
        <w:spacing w:line="360" w:lineRule="auto"/>
        <w:jc w:val="left"/>
        <w:rPr>
          <w:color w:val="auto"/>
          <w:szCs w:val="21"/>
          <w:highlight w:val="none"/>
        </w:rPr>
      </w:pPr>
    </w:p>
    <w:p w14:paraId="7EF86205">
      <w:pPr>
        <w:snapToGrid w:val="0"/>
        <w:spacing w:line="360" w:lineRule="auto"/>
        <w:jc w:val="left"/>
        <w:rPr>
          <w:color w:val="auto"/>
          <w:szCs w:val="21"/>
          <w:highlight w:val="none"/>
        </w:rPr>
      </w:pPr>
    </w:p>
    <w:p w14:paraId="19D5603E">
      <w:pPr>
        <w:snapToGrid w:val="0"/>
        <w:spacing w:line="360" w:lineRule="auto"/>
        <w:jc w:val="left"/>
        <w:rPr>
          <w:color w:val="auto"/>
          <w:szCs w:val="21"/>
          <w:highlight w:val="none"/>
        </w:rPr>
      </w:pPr>
    </w:p>
    <w:p w14:paraId="29D9D8E8">
      <w:pPr>
        <w:snapToGrid w:val="0"/>
        <w:spacing w:line="360" w:lineRule="auto"/>
        <w:jc w:val="left"/>
        <w:rPr>
          <w:color w:val="auto"/>
          <w:szCs w:val="21"/>
          <w:highlight w:val="none"/>
        </w:rPr>
      </w:pPr>
    </w:p>
    <w:p w14:paraId="25630078">
      <w:pPr>
        <w:snapToGrid w:val="0"/>
        <w:spacing w:line="360" w:lineRule="auto"/>
        <w:jc w:val="left"/>
        <w:rPr>
          <w:color w:val="auto"/>
          <w:szCs w:val="21"/>
          <w:highlight w:val="none"/>
        </w:rPr>
      </w:pPr>
    </w:p>
    <w:p w14:paraId="6215BA4F">
      <w:pPr>
        <w:snapToGrid w:val="0"/>
        <w:spacing w:line="360" w:lineRule="auto"/>
        <w:jc w:val="left"/>
        <w:rPr>
          <w:color w:val="auto"/>
          <w:szCs w:val="21"/>
          <w:highlight w:val="none"/>
        </w:rPr>
      </w:pPr>
    </w:p>
    <w:p w14:paraId="769943CF">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70CB579A">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43ECB571">
      <w:pPr>
        <w:pStyle w:val="28"/>
        <w:tabs>
          <w:tab w:val="left" w:pos="2127"/>
        </w:tabs>
        <w:spacing w:line="340" w:lineRule="exact"/>
        <w:rPr>
          <w:rFonts w:ascii="Times New Roman" w:hAnsi="Times New Roman" w:cs="Times New Roman"/>
          <w:color w:val="auto"/>
          <w:highlight w:val="none"/>
        </w:rPr>
      </w:pPr>
    </w:p>
    <w:p w14:paraId="6AF98BB0">
      <w:pPr>
        <w:snapToGrid w:val="0"/>
        <w:spacing w:before="50" w:after="120" w:afterLines="50" w:line="440" w:lineRule="exact"/>
        <w:jc w:val="left"/>
        <w:rPr>
          <w:b/>
          <w:color w:val="auto"/>
          <w:szCs w:val="21"/>
          <w:highlight w:val="none"/>
        </w:rPr>
      </w:pPr>
      <w:r>
        <w:rPr>
          <w:color w:val="auto"/>
          <w:highlight w:val="none"/>
        </w:rPr>
        <w:br w:type="page"/>
      </w:r>
      <w:r>
        <w:rPr>
          <w:rFonts w:hint="eastAsia"/>
          <w:color w:val="auto"/>
          <w:szCs w:val="21"/>
          <w:highlight w:val="none"/>
        </w:rPr>
        <w:t>8</w:t>
      </w:r>
      <w:r>
        <w:rPr>
          <w:color w:val="auto"/>
          <w:szCs w:val="21"/>
          <w:highlight w:val="none"/>
        </w:rPr>
        <w:t>．</w:t>
      </w:r>
      <w:r>
        <w:rPr>
          <w:rFonts w:hint="eastAsia"/>
          <w:color w:val="auto"/>
          <w:szCs w:val="21"/>
          <w:highlight w:val="none"/>
        </w:rPr>
        <w:t>磋商</w:t>
      </w:r>
      <w:r>
        <w:rPr>
          <w:color w:val="auto"/>
          <w:szCs w:val="21"/>
          <w:highlight w:val="none"/>
        </w:rPr>
        <w:t>保证金缴纳证明</w:t>
      </w:r>
      <w:r>
        <w:rPr>
          <w:rFonts w:hint="eastAsia"/>
          <w:color w:val="auto"/>
          <w:szCs w:val="21"/>
          <w:highlight w:val="none"/>
        </w:rPr>
        <w:t>。</w:t>
      </w:r>
      <w:r>
        <w:rPr>
          <w:rFonts w:hint="eastAsia"/>
          <w:b/>
          <w:color w:val="auto"/>
          <w:szCs w:val="21"/>
          <w:highlight w:val="none"/>
        </w:rPr>
        <w:t>（如采购文件有要求时提供）</w:t>
      </w:r>
    </w:p>
    <w:p w14:paraId="0270BE66">
      <w:pPr>
        <w:snapToGrid w:val="0"/>
        <w:spacing w:before="50" w:after="120" w:afterLines="50" w:line="440" w:lineRule="exact"/>
        <w:jc w:val="left"/>
        <w:rPr>
          <w:color w:val="auto"/>
          <w:highlight w:val="none"/>
        </w:rPr>
      </w:pPr>
      <w:r>
        <w:rPr>
          <w:rFonts w:hint="eastAsia"/>
          <w:color w:val="auto"/>
          <w:highlight w:val="none"/>
        </w:rPr>
        <w:t>（1）以转账、电汇形式缴纳的，提供转账、电汇凭证扫描件或复印件（网银可提供截图）</w:t>
      </w:r>
      <w:r>
        <w:rPr>
          <w:color w:val="auto"/>
          <w:highlight w:val="none"/>
        </w:rPr>
        <w:t>加盖</w:t>
      </w:r>
      <w:r>
        <w:rPr>
          <w:color w:val="auto"/>
          <w:szCs w:val="21"/>
          <w:highlight w:val="none"/>
        </w:rPr>
        <w:t>供应商</w:t>
      </w:r>
      <w:r>
        <w:rPr>
          <w:rFonts w:hint="eastAsia"/>
          <w:color w:val="auto"/>
          <w:szCs w:val="21"/>
          <w:highlight w:val="none"/>
        </w:rPr>
        <w:t>电子签章</w:t>
      </w:r>
      <w:r>
        <w:rPr>
          <w:rFonts w:hint="eastAsia"/>
          <w:color w:val="auto"/>
          <w:highlight w:val="none"/>
        </w:rPr>
        <w:t>；</w:t>
      </w:r>
    </w:p>
    <w:p w14:paraId="3A45126A">
      <w:pPr>
        <w:snapToGrid w:val="0"/>
        <w:spacing w:before="50" w:after="120" w:afterLines="50" w:line="440" w:lineRule="exact"/>
        <w:jc w:val="left"/>
        <w:rPr>
          <w:color w:val="auto"/>
          <w:highlight w:val="none"/>
        </w:rPr>
      </w:pPr>
      <w:r>
        <w:rPr>
          <w:rFonts w:hint="eastAsia"/>
          <w:color w:val="auto"/>
          <w:highlight w:val="none"/>
        </w:rPr>
        <w:t>（2）以支票、汇票、本票或金融机构、担保机构出具的保函等非现金形式缴纳的，提供原件扫描件或复印件并加盖供应商电子签章。响应保函参考如下格式开具：</w:t>
      </w:r>
    </w:p>
    <w:p w14:paraId="06E051AB">
      <w:pPr>
        <w:spacing w:line="360" w:lineRule="auto"/>
        <w:jc w:val="center"/>
        <w:rPr>
          <w:b/>
          <w:bCs/>
          <w:color w:val="auto"/>
          <w:sz w:val="28"/>
          <w:szCs w:val="36"/>
          <w:highlight w:val="none"/>
        </w:rPr>
      </w:pPr>
    </w:p>
    <w:p w14:paraId="66A9B97A">
      <w:pPr>
        <w:spacing w:line="360" w:lineRule="auto"/>
        <w:jc w:val="center"/>
        <w:rPr>
          <w:b/>
          <w:bCs/>
          <w:color w:val="auto"/>
          <w:sz w:val="28"/>
          <w:szCs w:val="36"/>
          <w:highlight w:val="none"/>
        </w:rPr>
      </w:pPr>
      <w:r>
        <w:rPr>
          <w:rFonts w:hint="eastAsia"/>
          <w:b/>
          <w:bCs/>
          <w:color w:val="auto"/>
          <w:sz w:val="28"/>
          <w:szCs w:val="36"/>
          <w:highlight w:val="none"/>
        </w:rPr>
        <w:t>响应保函参考格式</w:t>
      </w:r>
    </w:p>
    <w:p w14:paraId="183D6B8B">
      <w:pPr>
        <w:snapToGrid w:val="0"/>
        <w:spacing w:before="50" w:after="120" w:afterLines="50"/>
        <w:jc w:val="left"/>
        <w:rPr>
          <w:color w:val="auto"/>
          <w:highlight w:val="none"/>
        </w:rPr>
      </w:pPr>
      <w:r>
        <w:rPr>
          <w:rFonts w:hint="eastAsia"/>
          <w:color w:val="auto"/>
          <w:highlight w:val="none"/>
        </w:rPr>
        <w:t xml:space="preserve">编号：           </w:t>
      </w:r>
    </w:p>
    <w:p w14:paraId="07536E65">
      <w:pPr>
        <w:snapToGrid w:val="0"/>
        <w:spacing w:before="50" w:after="120" w:afterLines="50"/>
        <w:jc w:val="left"/>
        <w:rPr>
          <w:color w:val="auto"/>
          <w:highlight w:val="none"/>
        </w:rPr>
      </w:pPr>
      <w:r>
        <w:rPr>
          <w:rFonts w:hint="eastAsia"/>
          <w:color w:val="auto"/>
          <w:highlight w:val="none"/>
        </w:rPr>
        <w:t>申请人：</w:t>
      </w:r>
    </w:p>
    <w:p w14:paraId="26BEC354">
      <w:pPr>
        <w:snapToGrid w:val="0"/>
        <w:spacing w:before="50" w:after="120" w:afterLines="50"/>
        <w:jc w:val="left"/>
        <w:rPr>
          <w:color w:val="auto"/>
          <w:highlight w:val="none"/>
        </w:rPr>
      </w:pPr>
      <w:r>
        <w:rPr>
          <w:rFonts w:hint="eastAsia"/>
          <w:color w:val="auto"/>
          <w:highlight w:val="none"/>
        </w:rPr>
        <w:t>地址：</w:t>
      </w:r>
    </w:p>
    <w:p w14:paraId="7F582E8D">
      <w:pPr>
        <w:snapToGrid w:val="0"/>
        <w:spacing w:before="50" w:after="120" w:afterLines="50"/>
        <w:jc w:val="left"/>
        <w:rPr>
          <w:color w:val="auto"/>
          <w:highlight w:val="none"/>
        </w:rPr>
      </w:pPr>
      <w:r>
        <w:rPr>
          <w:rFonts w:hint="eastAsia"/>
          <w:color w:val="auto"/>
          <w:highlight w:val="none"/>
        </w:rPr>
        <w:t xml:space="preserve">受益人：广西机电设备招标有限公司 </w:t>
      </w:r>
    </w:p>
    <w:p w14:paraId="74FECA89">
      <w:pPr>
        <w:snapToGrid w:val="0"/>
        <w:spacing w:before="50" w:after="120" w:afterLines="50"/>
        <w:jc w:val="left"/>
        <w:rPr>
          <w:color w:val="auto"/>
          <w:highlight w:val="none"/>
        </w:rPr>
      </w:pPr>
      <w:r>
        <w:rPr>
          <w:rFonts w:hint="eastAsia"/>
          <w:color w:val="auto"/>
          <w:highlight w:val="none"/>
        </w:rPr>
        <w:t>地址：</w:t>
      </w:r>
    </w:p>
    <w:p w14:paraId="6DACD896">
      <w:pPr>
        <w:snapToGrid w:val="0"/>
        <w:spacing w:before="50" w:after="120" w:afterLines="50"/>
        <w:jc w:val="left"/>
        <w:rPr>
          <w:color w:val="auto"/>
          <w:highlight w:val="none"/>
        </w:rPr>
      </w:pPr>
      <w:r>
        <w:rPr>
          <w:rFonts w:hint="eastAsia"/>
          <w:color w:val="auto"/>
          <w:highlight w:val="none"/>
        </w:rPr>
        <w:t>开立人：</w:t>
      </w:r>
    </w:p>
    <w:p w14:paraId="1AFDE536">
      <w:pPr>
        <w:snapToGrid w:val="0"/>
        <w:spacing w:before="50" w:after="120" w:afterLines="50"/>
        <w:jc w:val="left"/>
        <w:rPr>
          <w:color w:val="auto"/>
          <w:highlight w:val="none"/>
        </w:rPr>
      </w:pPr>
      <w:r>
        <w:rPr>
          <w:rFonts w:hint="eastAsia"/>
          <w:color w:val="auto"/>
          <w:highlight w:val="none"/>
        </w:rPr>
        <w:t>地址：</w:t>
      </w:r>
    </w:p>
    <w:p w14:paraId="194EFFB1">
      <w:pPr>
        <w:snapToGrid w:val="0"/>
        <w:spacing w:before="50" w:after="120" w:afterLines="50" w:line="440" w:lineRule="exact"/>
        <w:jc w:val="left"/>
        <w:rPr>
          <w:color w:val="auto"/>
          <w:highlight w:val="none"/>
        </w:rPr>
      </w:pPr>
    </w:p>
    <w:p w14:paraId="06B3F030">
      <w:pPr>
        <w:snapToGrid w:val="0"/>
        <w:spacing w:before="50" w:after="120" w:afterLines="50" w:line="276" w:lineRule="auto"/>
        <w:jc w:val="left"/>
        <w:rPr>
          <w:color w:val="auto"/>
          <w:highlight w:val="none"/>
        </w:rPr>
      </w:pPr>
      <w:r>
        <w:rPr>
          <w:rFonts w:hint="eastAsia"/>
          <w:color w:val="auto"/>
          <w:highlight w:val="none"/>
        </w:rPr>
        <w:t>致：广西机电设备招标有限公司</w:t>
      </w:r>
    </w:p>
    <w:p w14:paraId="40120E78">
      <w:pPr>
        <w:snapToGrid w:val="0"/>
        <w:spacing w:before="50" w:after="120" w:afterLines="50" w:line="276" w:lineRule="auto"/>
        <w:ind w:firstLine="420" w:firstLineChars="200"/>
        <w:jc w:val="left"/>
        <w:rPr>
          <w:color w:val="auto"/>
          <w:highlight w:val="none"/>
        </w:rPr>
      </w:pPr>
      <w:r>
        <w:rPr>
          <w:rFonts w:hint="eastAsia"/>
          <w:color w:val="auto"/>
          <w:highlight w:val="none"/>
        </w:rPr>
        <w:t>我方（即“开立人”）已获得通知，本保函申请人（即“供应商”）已响应贵方于</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 xml:space="preserve"> 日就 </w:t>
      </w:r>
      <w:r>
        <w:rPr>
          <w:rFonts w:hint="eastAsia"/>
          <w:color w:val="auto"/>
          <w:highlight w:val="none"/>
          <w:u w:val="single"/>
        </w:rPr>
        <w:t xml:space="preserve">                                          </w:t>
      </w:r>
      <w:r>
        <w:rPr>
          <w:rFonts w:hint="eastAsia"/>
          <w:color w:val="auto"/>
          <w:highlight w:val="none"/>
        </w:rPr>
        <w:t>（以下简称“本项目”）发出的招标文件，并已向采购代理机构（即“受益人”）提交了投标文件。</w:t>
      </w:r>
    </w:p>
    <w:p w14:paraId="0FC1F1CE">
      <w:pPr>
        <w:snapToGrid w:val="0"/>
        <w:spacing w:before="50" w:after="120" w:afterLines="50" w:line="276" w:lineRule="auto"/>
        <w:ind w:firstLine="420" w:firstLineChars="200"/>
        <w:jc w:val="left"/>
        <w:rPr>
          <w:color w:val="auto"/>
          <w:highlight w:val="none"/>
        </w:rPr>
      </w:pPr>
      <w:r>
        <w:rPr>
          <w:rFonts w:hint="eastAsia"/>
          <w:color w:val="auto"/>
          <w:highlight w:val="none"/>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Pr>
          <w:rFonts w:hint="eastAsia"/>
          <w:color w:val="auto"/>
          <w:highlight w:val="none"/>
          <w:u w:val="single"/>
        </w:rPr>
        <w:t xml:space="preserve">                            </w:t>
      </w:r>
      <w:r>
        <w:rPr>
          <w:rFonts w:hint="eastAsia"/>
          <w:color w:val="auto"/>
          <w:highlight w:val="none"/>
        </w:rPr>
        <w:t>元（¥</w:t>
      </w:r>
      <w:r>
        <w:rPr>
          <w:rFonts w:hint="eastAsia"/>
          <w:color w:val="auto"/>
          <w:highlight w:val="none"/>
          <w:u w:val="single"/>
        </w:rPr>
        <w:t xml:space="preserve">                         </w:t>
      </w:r>
      <w:r>
        <w:rPr>
          <w:rFonts w:hint="eastAsia"/>
          <w:color w:val="auto"/>
          <w:highlight w:val="none"/>
        </w:rPr>
        <w:t>）。</w:t>
      </w:r>
    </w:p>
    <w:p w14:paraId="1E662801">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二、我方在供应商发生以下情形时承担保证担保责任： </w:t>
      </w:r>
    </w:p>
    <w:p w14:paraId="501982BB">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（1）投标人在开标后和投标有效期满之前撤销投标文件的； </w:t>
      </w:r>
    </w:p>
    <w:p w14:paraId="7DB92E00">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（2）投标人在收到中标通知书后，不能或拒绝按招标文件规定的时间内与采购人签订合同； </w:t>
      </w:r>
    </w:p>
    <w:p w14:paraId="4426AFAF">
      <w:pPr>
        <w:snapToGrid w:val="0"/>
        <w:spacing w:before="50" w:after="120" w:afterLines="50" w:line="276" w:lineRule="auto"/>
        <w:ind w:firstLine="420" w:firstLineChars="200"/>
        <w:jc w:val="left"/>
        <w:rPr>
          <w:color w:val="auto"/>
          <w:highlight w:val="none"/>
        </w:rPr>
      </w:pPr>
      <w:r>
        <w:rPr>
          <w:rFonts w:hint="eastAsia"/>
          <w:color w:val="auto"/>
          <w:highlight w:val="none"/>
        </w:rPr>
        <w:t>（3）投标人在与采购人签订合同后，未在规定的时间内提交符合招标文件要求的履约担保；</w:t>
      </w:r>
    </w:p>
    <w:p w14:paraId="1B2EA5D1">
      <w:pPr>
        <w:snapToGrid w:val="0"/>
        <w:spacing w:before="50" w:after="120" w:afterLines="50" w:line="276" w:lineRule="auto"/>
        <w:ind w:firstLine="420" w:firstLineChars="200"/>
        <w:jc w:val="left"/>
        <w:rPr>
          <w:color w:val="auto"/>
          <w:highlight w:val="none"/>
        </w:rPr>
      </w:pPr>
      <w:r>
        <w:rPr>
          <w:rFonts w:hint="eastAsia"/>
          <w:color w:val="auto"/>
          <w:highlight w:val="none"/>
        </w:rPr>
        <w:t>（4）投标人在中标通知书发出之日起5个工作日内，未缴纳本项目代理服务费的；</w:t>
      </w:r>
    </w:p>
    <w:p w14:paraId="679C0336">
      <w:pPr>
        <w:snapToGrid w:val="0"/>
        <w:spacing w:before="50" w:after="120" w:afterLines="50" w:line="276" w:lineRule="auto"/>
        <w:ind w:firstLine="420" w:firstLineChars="200"/>
        <w:jc w:val="left"/>
        <w:rPr>
          <w:color w:val="auto"/>
          <w:highlight w:val="none"/>
        </w:rPr>
      </w:pPr>
      <w:r>
        <w:rPr>
          <w:rFonts w:hint="eastAsia"/>
          <w:color w:val="auto"/>
          <w:highlight w:val="none"/>
        </w:rPr>
        <w:t>（5）投标人违反招标文件规定的其他情形。</w:t>
      </w:r>
    </w:p>
    <w:p w14:paraId="673428F9">
      <w:pPr>
        <w:snapToGrid w:val="0"/>
        <w:spacing w:before="50" w:after="120" w:afterLines="50" w:line="276" w:lineRule="auto"/>
        <w:ind w:firstLine="210" w:firstLineChars="100"/>
        <w:jc w:val="left"/>
        <w:rPr>
          <w:color w:val="auto"/>
          <w:highlight w:val="none"/>
        </w:rPr>
      </w:pPr>
      <w:r>
        <w:rPr>
          <w:rFonts w:hint="eastAsia"/>
          <w:color w:val="auto"/>
          <w:highlight w:val="none"/>
        </w:rPr>
        <w:t xml:space="preserve">    三、本保函为不可撤销、不可转让的见索即付独立保函。本保函有效期自开立之日起至投标有效期届满之日后的</w:t>
      </w:r>
      <w:r>
        <w:rPr>
          <w:rFonts w:hint="eastAsia"/>
          <w:color w:val="auto"/>
          <w:highlight w:val="none"/>
          <w:u w:val="single"/>
        </w:rPr>
        <w:t xml:space="preserve">  28  </w:t>
      </w:r>
      <w:r>
        <w:rPr>
          <w:rFonts w:hint="eastAsia"/>
          <w:color w:val="auto"/>
          <w:highlight w:val="none"/>
        </w:rPr>
        <w:t>日。投标有效期延长的，本保函有效期相应顺延。</w:t>
      </w:r>
    </w:p>
    <w:p w14:paraId="5714CA0C">
      <w:pPr>
        <w:snapToGrid w:val="0"/>
        <w:spacing w:before="50" w:after="120" w:afterLines="50" w:line="276" w:lineRule="auto"/>
        <w:ind w:firstLine="420" w:firstLineChars="200"/>
        <w:jc w:val="left"/>
        <w:rPr>
          <w:color w:val="auto"/>
          <w:highlight w:val="none"/>
        </w:rPr>
      </w:pPr>
      <w:r>
        <w:rPr>
          <w:rFonts w:hint="eastAsia"/>
          <w:color w:val="auto"/>
          <w:highlight w:val="none"/>
        </w:rPr>
        <w:t>四、我方承诺，在收到受益人发来的书面付款通知后的</w:t>
      </w:r>
      <w:r>
        <w:rPr>
          <w:rFonts w:hint="eastAsia"/>
          <w:color w:val="auto"/>
          <w:highlight w:val="none"/>
          <w:u w:val="single"/>
        </w:rPr>
        <w:t xml:space="preserve">   5    </w:t>
      </w:r>
      <w:r>
        <w:rPr>
          <w:rFonts w:hint="eastAsia"/>
          <w:color w:val="auto"/>
          <w:highlight w:val="none"/>
        </w:rPr>
        <w:t>日内无条件支付，前述书面付款通知即为付款要求之单据，且应满足以下要求：</w:t>
      </w:r>
    </w:p>
    <w:p w14:paraId="53981649">
      <w:pPr>
        <w:snapToGrid w:val="0"/>
        <w:spacing w:before="50" w:after="120" w:afterLines="50" w:line="276" w:lineRule="auto"/>
        <w:ind w:firstLine="420" w:firstLineChars="200"/>
        <w:jc w:val="left"/>
        <w:rPr>
          <w:color w:val="auto"/>
          <w:highlight w:val="none"/>
        </w:rPr>
      </w:pPr>
      <w:r>
        <w:rPr>
          <w:rFonts w:hint="eastAsia"/>
          <w:color w:val="auto"/>
          <w:highlight w:val="none"/>
        </w:rPr>
        <w:t>（1）付款通知到达的日期在本保函的有效期内；</w:t>
      </w:r>
    </w:p>
    <w:p w14:paraId="0C9BC5E4">
      <w:pPr>
        <w:snapToGrid w:val="0"/>
        <w:spacing w:before="50" w:after="120" w:afterLines="50" w:line="276" w:lineRule="auto"/>
        <w:ind w:firstLine="420" w:firstLineChars="200"/>
        <w:jc w:val="left"/>
        <w:rPr>
          <w:color w:val="auto"/>
          <w:highlight w:val="none"/>
        </w:rPr>
      </w:pPr>
      <w:r>
        <w:rPr>
          <w:rFonts w:hint="eastAsia"/>
          <w:color w:val="auto"/>
          <w:highlight w:val="none"/>
        </w:rPr>
        <w:t>（2）载明要求支付的金额；</w:t>
      </w:r>
    </w:p>
    <w:p w14:paraId="4F03675C">
      <w:pPr>
        <w:snapToGrid w:val="0"/>
        <w:spacing w:before="50" w:after="120" w:afterLines="50" w:line="276" w:lineRule="auto"/>
        <w:ind w:firstLine="420" w:firstLineChars="200"/>
        <w:jc w:val="left"/>
        <w:rPr>
          <w:color w:val="auto"/>
          <w:highlight w:val="none"/>
        </w:rPr>
      </w:pPr>
      <w:r>
        <w:rPr>
          <w:rFonts w:hint="eastAsia"/>
          <w:color w:val="auto"/>
          <w:highlight w:val="none"/>
        </w:rPr>
        <w:t>（3）载明申请人违反采购文件规定的义务内容和具体条款；</w:t>
      </w:r>
    </w:p>
    <w:p w14:paraId="50A122B7">
      <w:pPr>
        <w:snapToGrid w:val="0"/>
        <w:spacing w:before="50" w:after="120" w:afterLines="50" w:line="276" w:lineRule="auto"/>
        <w:ind w:firstLine="420" w:firstLineChars="200"/>
        <w:jc w:val="left"/>
        <w:rPr>
          <w:color w:val="auto"/>
          <w:highlight w:val="none"/>
        </w:rPr>
      </w:pPr>
      <w:r>
        <w:rPr>
          <w:rFonts w:hint="eastAsia"/>
          <w:color w:val="auto"/>
          <w:highlight w:val="none"/>
        </w:rPr>
        <w:t>（4）声明不存在采购文件规定或我国法律规定免除申请人或我方支付责任的情形；</w:t>
      </w:r>
    </w:p>
    <w:p w14:paraId="50BDAEB4">
      <w:pPr>
        <w:snapToGrid w:val="0"/>
        <w:spacing w:before="50" w:after="120" w:afterLines="50" w:line="276" w:lineRule="auto"/>
        <w:ind w:firstLine="420" w:firstLineChars="200"/>
        <w:jc w:val="left"/>
        <w:rPr>
          <w:color w:val="auto"/>
          <w:highlight w:val="none"/>
        </w:rPr>
      </w:pPr>
      <w:r>
        <w:rPr>
          <w:rFonts w:hint="eastAsia"/>
          <w:color w:val="auto"/>
          <w:highlight w:val="none"/>
        </w:rPr>
        <w:t>（5）书面付款通知应在本保函有效期内到达的地址是：</w:t>
      </w:r>
      <w:r>
        <w:rPr>
          <w:rFonts w:hint="eastAsia"/>
          <w:color w:val="auto"/>
          <w:highlight w:val="none"/>
          <w:u w:val="single"/>
        </w:rPr>
        <w:t xml:space="preserve">                                     </w:t>
      </w:r>
      <w:r>
        <w:rPr>
          <w:rFonts w:hint="eastAsia"/>
          <w:color w:val="auto"/>
          <w:highlight w:val="none"/>
        </w:rPr>
        <w:t>。</w:t>
      </w:r>
    </w:p>
    <w:p w14:paraId="17E422A2">
      <w:pPr>
        <w:snapToGrid w:val="0"/>
        <w:spacing w:before="50" w:after="120" w:afterLines="50" w:line="276" w:lineRule="auto"/>
        <w:jc w:val="left"/>
        <w:rPr>
          <w:color w:val="auto"/>
          <w:highlight w:val="none"/>
        </w:rPr>
      </w:pPr>
      <w:r>
        <w:rPr>
          <w:rFonts w:hint="eastAsia"/>
          <w:color w:val="auto"/>
          <w:highlight w:val="none"/>
        </w:rPr>
        <w:t xml:space="preserve">        受益人发出的书面付款通知应由其为鉴明受益人法定代表人（负责人）或授权代理人签字并加盖公章。</w:t>
      </w:r>
    </w:p>
    <w:p w14:paraId="26116244">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五、本保函项下的权利不得转让，不得设定担保。贵方未经我方书面同意转让本保函或其项下任何权利，对我方不发生法律效力。 </w:t>
      </w:r>
    </w:p>
    <w:p w14:paraId="03F39423">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六、本保函项下的基础交易不成立、不生效、无效、被撤销、被解除，不影响本保函的独立有效。 </w:t>
      </w:r>
    </w:p>
    <w:p w14:paraId="3286B67E">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7513C6F4">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八、本保函适用的法律为中华人民共和国法律，争议裁判管辖地为中华人民共和国。 </w:t>
      </w:r>
    </w:p>
    <w:p w14:paraId="12C46DEA">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九、本保函自我方法定代表人或授权代表签字并加盖公章之日起生效。 </w:t>
      </w:r>
    </w:p>
    <w:p w14:paraId="14B95372">
      <w:pPr>
        <w:snapToGrid w:val="0"/>
        <w:spacing w:before="50" w:after="120" w:afterLines="50" w:line="276" w:lineRule="auto"/>
        <w:jc w:val="left"/>
        <w:rPr>
          <w:color w:val="auto"/>
          <w:highlight w:val="none"/>
        </w:rPr>
      </w:pPr>
    </w:p>
    <w:p w14:paraId="24C3010D">
      <w:pPr>
        <w:snapToGrid w:val="0"/>
        <w:spacing w:before="50" w:after="120" w:afterLines="50" w:line="276" w:lineRule="auto"/>
        <w:jc w:val="left"/>
        <w:rPr>
          <w:color w:val="auto"/>
          <w:highlight w:val="none"/>
        </w:rPr>
      </w:pPr>
      <w:r>
        <w:rPr>
          <w:rFonts w:hint="eastAsia"/>
          <w:color w:val="auto"/>
          <w:highlight w:val="none"/>
        </w:rPr>
        <w:t xml:space="preserve">开 立 人：                                                  （公章） </w:t>
      </w:r>
    </w:p>
    <w:p w14:paraId="680C11E2">
      <w:pPr>
        <w:snapToGrid w:val="0"/>
        <w:spacing w:before="50" w:after="120" w:afterLines="50" w:line="276" w:lineRule="auto"/>
        <w:jc w:val="left"/>
        <w:rPr>
          <w:color w:val="auto"/>
          <w:highlight w:val="none"/>
        </w:rPr>
      </w:pPr>
      <w:r>
        <w:rPr>
          <w:rFonts w:hint="eastAsia"/>
          <w:color w:val="auto"/>
          <w:highlight w:val="none"/>
        </w:rPr>
        <w:t xml:space="preserve">法定代表人（或授权代表） ：               （签字） </w:t>
      </w:r>
    </w:p>
    <w:p w14:paraId="3216F3DA">
      <w:pPr>
        <w:snapToGrid w:val="0"/>
        <w:spacing w:before="50" w:after="120" w:afterLines="50" w:line="276" w:lineRule="auto"/>
        <w:jc w:val="left"/>
        <w:rPr>
          <w:color w:val="auto"/>
          <w:highlight w:val="none"/>
        </w:rPr>
      </w:pPr>
      <w:r>
        <w:rPr>
          <w:rFonts w:hint="eastAsia"/>
          <w:color w:val="auto"/>
          <w:highlight w:val="none"/>
        </w:rPr>
        <w:t xml:space="preserve">地    址：                                       </w:t>
      </w:r>
    </w:p>
    <w:p w14:paraId="3595C97D">
      <w:pPr>
        <w:snapToGrid w:val="0"/>
        <w:spacing w:before="50" w:after="120" w:afterLines="50" w:line="276" w:lineRule="auto"/>
        <w:jc w:val="left"/>
        <w:rPr>
          <w:color w:val="auto"/>
          <w:highlight w:val="none"/>
        </w:rPr>
      </w:pPr>
      <w:r>
        <w:rPr>
          <w:rFonts w:hint="eastAsia"/>
          <w:color w:val="auto"/>
          <w:highlight w:val="none"/>
        </w:rPr>
        <w:t xml:space="preserve">邮政编码：                 </w:t>
      </w:r>
    </w:p>
    <w:p w14:paraId="4E5F8B57">
      <w:pPr>
        <w:snapToGrid w:val="0"/>
        <w:spacing w:before="50" w:after="120" w:afterLines="50" w:line="276" w:lineRule="auto"/>
        <w:jc w:val="left"/>
        <w:rPr>
          <w:color w:val="auto"/>
          <w:highlight w:val="none"/>
        </w:rPr>
      </w:pPr>
      <w:r>
        <w:rPr>
          <w:rFonts w:hint="eastAsia"/>
          <w:color w:val="auto"/>
          <w:highlight w:val="none"/>
        </w:rPr>
        <w:t xml:space="preserve">电    话：                 </w:t>
      </w:r>
    </w:p>
    <w:p w14:paraId="427154A8">
      <w:pPr>
        <w:snapToGrid w:val="0"/>
        <w:spacing w:before="50" w:after="120" w:afterLines="50" w:line="276" w:lineRule="auto"/>
        <w:jc w:val="left"/>
        <w:rPr>
          <w:color w:val="auto"/>
          <w:highlight w:val="none"/>
        </w:rPr>
      </w:pPr>
      <w:r>
        <w:rPr>
          <w:rFonts w:hint="eastAsia"/>
          <w:color w:val="auto"/>
          <w:highlight w:val="none"/>
        </w:rPr>
        <w:t xml:space="preserve">传    真：                 </w:t>
      </w:r>
    </w:p>
    <w:p w14:paraId="10C998E3">
      <w:pPr>
        <w:snapToGrid w:val="0"/>
        <w:spacing w:before="50" w:after="120" w:afterLines="50" w:line="276" w:lineRule="auto"/>
        <w:jc w:val="left"/>
        <w:rPr>
          <w:color w:val="auto"/>
          <w:highlight w:val="none"/>
        </w:rPr>
      </w:pPr>
      <w:r>
        <w:rPr>
          <w:rFonts w:hint="eastAsia"/>
          <w:color w:val="auto"/>
          <w:highlight w:val="none"/>
        </w:rPr>
        <w:t>开立时间：      年       月        日</w:t>
      </w:r>
    </w:p>
    <w:p w14:paraId="20FAE680">
      <w:pPr>
        <w:snapToGrid w:val="0"/>
        <w:spacing w:before="50" w:after="120" w:afterLines="50" w:line="440" w:lineRule="exact"/>
        <w:jc w:val="left"/>
        <w:rPr>
          <w:color w:val="auto"/>
          <w:highlight w:val="none"/>
        </w:rPr>
      </w:pPr>
      <w:r>
        <w:rPr>
          <w:color w:val="auto"/>
          <w:highlight w:val="none"/>
        </w:rPr>
        <w:br w:type="page"/>
      </w:r>
      <w:r>
        <w:rPr>
          <w:rFonts w:hint="eastAsia"/>
          <w:color w:val="auto"/>
          <w:szCs w:val="21"/>
          <w:highlight w:val="none"/>
        </w:rPr>
        <w:t>9</w:t>
      </w:r>
      <w:r>
        <w:rPr>
          <w:color w:val="auto"/>
          <w:szCs w:val="21"/>
          <w:highlight w:val="none"/>
        </w:rPr>
        <w:t>．</w:t>
      </w:r>
      <w:r>
        <w:rPr>
          <w:rFonts w:hint="eastAsia"/>
          <w:color w:val="auto"/>
          <w:szCs w:val="21"/>
          <w:highlight w:val="none"/>
        </w:rPr>
        <w:t>联合体竞标协议书（如有）</w:t>
      </w:r>
      <w:r>
        <w:rPr>
          <w:color w:val="auto"/>
          <w:szCs w:val="21"/>
          <w:highlight w:val="none"/>
        </w:rPr>
        <w:t>。</w:t>
      </w:r>
    </w:p>
    <w:p w14:paraId="54699284">
      <w:pPr>
        <w:spacing w:line="276" w:lineRule="auto"/>
        <w:rPr>
          <w:color w:val="auto"/>
          <w:szCs w:val="21"/>
          <w:highlight w:val="none"/>
        </w:rPr>
      </w:pPr>
    </w:p>
    <w:p w14:paraId="7126BFDF">
      <w:pPr>
        <w:pStyle w:val="11"/>
        <w:overflowPunct w:val="0"/>
        <w:spacing w:line="520" w:lineRule="exact"/>
        <w:ind w:firstLine="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联合体竞标协议书</w:t>
      </w:r>
    </w:p>
    <w:p w14:paraId="769BB9C1">
      <w:pPr>
        <w:pStyle w:val="11"/>
        <w:overflowPunct w:val="0"/>
        <w:spacing w:line="360" w:lineRule="auto"/>
        <w:ind w:firstLine="0"/>
        <w:rPr>
          <w:rFonts w:hint="eastAsia" w:ascii="宋体" w:hAnsi="宋体"/>
          <w:color w:val="auto"/>
          <w:sz w:val="24"/>
          <w:szCs w:val="24"/>
          <w:highlight w:val="none"/>
        </w:rPr>
      </w:pPr>
    </w:p>
    <w:p w14:paraId="4F32291C">
      <w:pPr>
        <w:pStyle w:val="11"/>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（所有成员单位名称）自愿组成（联合体名称）联合体，共同参加（项目名称）采购项目竞标。现就联合体竞标事宜订立如下协议。</w:t>
      </w:r>
    </w:p>
    <w:p w14:paraId="525FE4B9">
      <w:pPr>
        <w:pStyle w:val="11"/>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1.</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rPr>
        <w:t>（某成员单位名称）为（联合体名称）牵头人。</w:t>
      </w:r>
    </w:p>
    <w:p w14:paraId="43D666F9">
      <w:pPr>
        <w:pStyle w:val="11"/>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2.联合体各成员授权牵头人代表联合体参加竞标活动，签署文件及对文件的盖章，提交和接收相关的资料、信息及指示，进行合同磋商活动，负责合同实施阶段的组织和协调工作，以及处理与本竞分标目有关的一切事宜。</w:t>
      </w:r>
    </w:p>
    <w:p w14:paraId="1339292A">
      <w:pPr>
        <w:pStyle w:val="11"/>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12ECE768">
      <w:pPr>
        <w:pStyle w:val="11"/>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4.联合体各成员单位内部的职责分工如下：。</w:t>
      </w:r>
    </w:p>
    <w:p w14:paraId="25764EA2">
      <w:pPr>
        <w:pStyle w:val="11"/>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5.本</w:t>
      </w:r>
      <w:r>
        <w:rPr>
          <w:rFonts w:hint="eastAsia" w:ascii="宋体" w:hAnsi="宋体" w:cs="仿宋_GB2312"/>
          <w:color w:val="auto"/>
          <w:spacing w:val="-6"/>
          <w:sz w:val="24"/>
          <w:szCs w:val="24"/>
          <w:highlight w:val="none"/>
        </w:rPr>
        <w:t>协议书自所有成员单位法定代表人（单位负责人）或者其委托代理人签字或者盖单位章之日起生效，合同履行完毕后自动失效。</w:t>
      </w:r>
    </w:p>
    <w:p w14:paraId="46B36C20">
      <w:pPr>
        <w:pStyle w:val="11"/>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6.本协议书一式</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rPr>
        <w:t>份，联合体成员和采购人各执一份。</w:t>
      </w:r>
    </w:p>
    <w:p w14:paraId="6C47E835">
      <w:pPr>
        <w:pStyle w:val="11"/>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注：本协议书应附法定代表人身份证明书；有委托代理的，应附授权委托书（格式自拟）。</w:t>
      </w:r>
    </w:p>
    <w:p w14:paraId="1DA41844">
      <w:pPr>
        <w:pStyle w:val="11"/>
        <w:overflowPunct w:val="0"/>
        <w:spacing w:line="360" w:lineRule="auto"/>
        <w:ind w:firstLineChars="175"/>
        <w:contextualSpacing/>
        <w:rPr>
          <w:rFonts w:hint="eastAsia" w:ascii="宋体" w:hAnsi="宋体" w:cs="仿宋_GB2312"/>
          <w:color w:val="auto"/>
          <w:sz w:val="24"/>
          <w:szCs w:val="24"/>
          <w:highlight w:val="none"/>
        </w:rPr>
      </w:pPr>
    </w:p>
    <w:p w14:paraId="3B43A878">
      <w:pPr>
        <w:pStyle w:val="11"/>
        <w:overflowPunct w:val="0"/>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联合体牵头人名称（电子签章）：</w:t>
      </w:r>
    </w:p>
    <w:p w14:paraId="2DA2CD2D">
      <w:pPr>
        <w:pStyle w:val="11"/>
        <w:overflowPunct w:val="0"/>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59A5F90F">
      <w:pPr>
        <w:pStyle w:val="11"/>
        <w:overflowPunct w:val="0"/>
        <w:spacing w:line="360" w:lineRule="auto"/>
        <w:ind w:firstLine="0"/>
        <w:contextualSpacing/>
        <w:rPr>
          <w:rFonts w:hint="eastAsia" w:ascii="宋体" w:hAnsi="宋体" w:cs="仿宋_GB2312"/>
          <w:color w:val="auto"/>
          <w:sz w:val="24"/>
          <w:szCs w:val="24"/>
          <w:highlight w:val="none"/>
        </w:rPr>
      </w:pPr>
    </w:p>
    <w:p w14:paraId="4F5099C0">
      <w:pPr>
        <w:pStyle w:val="11"/>
        <w:overflowPunct w:val="0"/>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62274AC4">
      <w:pPr>
        <w:pStyle w:val="11"/>
        <w:overflowPunct w:val="0"/>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186C3040">
      <w:pPr>
        <w:pStyle w:val="11"/>
        <w:overflowPunct w:val="0"/>
        <w:spacing w:line="360" w:lineRule="auto"/>
        <w:ind w:firstLine="0"/>
        <w:contextualSpacing/>
        <w:rPr>
          <w:rFonts w:hint="eastAsia" w:ascii="宋体" w:hAnsi="宋体" w:cs="仿宋_GB2312"/>
          <w:color w:val="auto"/>
          <w:sz w:val="24"/>
          <w:szCs w:val="24"/>
          <w:highlight w:val="none"/>
        </w:rPr>
      </w:pPr>
    </w:p>
    <w:p w14:paraId="0983C213">
      <w:pPr>
        <w:pStyle w:val="11"/>
        <w:overflowPunct w:val="0"/>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1EB8F692">
      <w:pPr>
        <w:pStyle w:val="11"/>
        <w:overflowPunct w:val="0"/>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38D80433">
      <w:pPr>
        <w:pStyle w:val="11"/>
        <w:overflowPunct w:val="0"/>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w:t>
      </w:r>
    </w:p>
    <w:p w14:paraId="5225E51A">
      <w:pPr>
        <w:spacing w:line="360" w:lineRule="auto"/>
        <w:ind w:right="480" w:firstLine="240" w:firstLineChars="100"/>
        <w:contextualSpacing/>
        <w:jc w:val="center"/>
        <w:rPr>
          <w:rFonts w:hint="eastAsia" w:ascii="宋体" w:hAnsi="宋体" w:cs="仿宋_GB2312"/>
          <w:color w:val="auto"/>
          <w:sz w:val="24"/>
          <w:highlight w:val="none"/>
        </w:rPr>
      </w:pPr>
    </w:p>
    <w:p w14:paraId="12D308B7">
      <w:pPr>
        <w:spacing w:line="360" w:lineRule="auto"/>
        <w:ind w:right="480" w:firstLine="240" w:firstLineChars="100"/>
        <w:contextualSpacing/>
        <w:jc w:val="center"/>
        <w:rPr>
          <w:rFonts w:hint="eastAsia" w:ascii="宋体" w:hAnsi="宋体"/>
          <w:b/>
          <w:bCs/>
          <w:color w:val="auto"/>
          <w:sz w:val="32"/>
          <w:szCs w:val="32"/>
          <w:highlight w:val="none"/>
        </w:rPr>
      </w:pPr>
      <w:r>
        <w:rPr>
          <w:rFonts w:hint="eastAsia" w:ascii="宋体" w:hAnsi="宋体" w:cs="仿宋_GB2312"/>
          <w:color w:val="auto"/>
          <w:sz w:val="24"/>
          <w:highlight w:val="none"/>
        </w:rPr>
        <w:t xml:space="preserve">                                                年  </w:t>
      </w:r>
      <w:r>
        <w:rPr>
          <w:rFonts w:hint="eastAsia" w:ascii="宋体" w:hAnsi="宋体" w:cs="仿宋_GB2312"/>
          <w:color w:val="auto"/>
          <w:sz w:val="24"/>
          <w:highlight w:val="none"/>
        </w:rPr>
        <w:tab/>
      </w:r>
      <w:r>
        <w:rPr>
          <w:rFonts w:hint="eastAsia" w:ascii="宋体" w:hAnsi="宋体" w:cs="仿宋_GB2312"/>
          <w:color w:val="auto"/>
          <w:sz w:val="24"/>
          <w:highlight w:val="none"/>
        </w:rPr>
        <w:t xml:space="preserve">月  </w:t>
      </w:r>
      <w:r>
        <w:rPr>
          <w:rFonts w:hint="eastAsia" w:ascii="宋体" w:hAnsi="宋体" w:cs="仿宋_GB2312"/>
          <w:color w:val="auto"/>
          <w:sz w:val="24"/>
          <w:highlight w:val="none"/>
        </w:rPr>
        <w:tab/>
      </w:r>
      <w:r>
        <w:rPr>
          <w:rFonts w:hint="eastAsia" w:ascii="宋体" w:hAnsi="宋体" w:cs="仿宋_GB2312"/>
          <w:color w:val="auto"/>
          <w:sz w:val="24"/>
          <w:highlight w:val="none"/>
        </w:rPr>
        <w:t>日</w:t>
      </w:r>
    </w:p>
    <w:p w14:paraId="45020808">
      <w:pPr>
        <w:pStyle w:val="11"/>
        <w:overflowPunct w:val="0"/>
        <w:ind w:firstLine="0"/>
        <w:rPr>
          <w:color w:val="auto"/>
          <w:highlight w:val="none"/>
        </w:rPr>
      </w:pPr>
    </w:p>
    <w:p w14:paraId="79FAF38B">
      <w:pPr>
        <w:snapToGrid w:val="0"/>
        <w:spacing w:before="50" w:after="120" w:afterLines="50" w:line="400" w:lineRule="exact"/>
        <w:jc w:val="left"/>
        <w:rPr>
          <w:bCs/>
          <w:color w:val="auto"/>
          <w:sz w:val="24"/>
          <w:highlight w:val="none"/>
        </w:rPr>
      </w:pPr>
      <w:r>
        <w:rPr>
          <w:rFonts w:hint="eastAsia"/>
          <w:color w:val="auto"/>
          <w:szCs w:val="21"/>
          <w:highlight w:val="none"/>
        </w:rPr>
        <w:t>10.</w:t>
      </w:r>
      <w:r>
        <w:rPr>
          <w:color w:val="auto"/>
          <w:szCs w:val="21"/>
          <w:highlight w:val="none"/>
        </w:rPr>
        <w:t>供应商认为应当要提交的资格证明材料</w:t>
      </w:r>
    </w:p>
    <w:p w14:paraId="2B5E1721">
      <w:pPr>
        <w:snapToGrid w:val="0"/>
        <w:spacing w:before="120" w:beforeLines="50" w:after="50" w:line="440" w:lineRule="exact"/>
        <w:jc w:val="center"/>
        <w:outlineLvl w:val="1"/>
        <w:rPr>
          <w:bCs/>
          <w:color w:val="auto"/>
          <w:sz w:val="24"/>
          <w:highlight w:val="none"/>
        </w:rPr>
      </w:pPr>
      <w:r>
        <w:rPr>
          <w:color w:val="auto"/>
          <w:highlight w:val="none"/>
        </w:rPr>
        <w:br w:type="page"/>
      </w:r>
      <w:r>
        <w:rPr>
          <w:bCs/>
          <w:color w:val="auto"/>
          <w:sz w:val="24"/>
          <w:highlight w:val="none"/>
        </w:rPr>
        <w:t>第二部分 商务</w:t>
      </w:r>
      <w:r>
        <w:rPr>
          <w:rFonts w:hint="eastAsia"/>
          <w:bCs/>
          <w:color w:val="auto"/>
          <w:sz w:val="24"/>
          <w:highlight w:val="none"/>
        </w:rPr>
        <w:t>技术</w:t>
      </w:r>
      <w:r>
        <w:rPr>
          <w:bCs/>
          <w:color w:val="auto"/>
          <w:sz w:val="24"/>
          <w:highlight w:val="none"/>
        </w:rPr>
        <w:t>文件</w:t>
      </w:r>
    </w:p>
    <w:p w14:paraId="53AA1BBD">
      <w:pPr>
        <w:snapToGrid w:val="0"/>
        <w:spacing w:before="120" w:beforeLines="50" w:after="50" w:line="360" w:lineRule="exact"/>
        <w:rPr>
          <w:b/>
          <w:color w:val="auto"/>
          <w:szCs w:val="21"/>
          <w:highlight w:val="none"/>
        </w:rPr>
      </w:pPr>
      <w:bookmarkStart w:id="131" w:name="_Hlk19199735"/>
      <w:r>
        <w:rPr>
          <w:rFonts w:hint="eastAsia"/>
          <w:b/>
          <w:color w:val="auto"/>
          <w:szCs w:val="21"/>
          <w:highlight w:val="none"/>
        </w:rPr>
        <w:t>1</w:t>
      </w:r>
      <w:r>
        <w:rPr>
          <w:b/>
          <w:color w:val="auto"/>
          <w:szCs w:val="21"/>
          <w:highlight w:val="none"/>
        </w:rPr>
        <w:t>．</w:t>
      </w:r>
      <w:r>
        <w:rPr>
          <w:color w:val="auto"/>
          <w:szCs w:val="21"/>
          <w:highlight w:val="none"/>
        </w:rPr>
        <w:t>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时提供）</w:t>
      </w:r>
      <w:r>
        <w:rPr>
          <w:b/>
          <w:color w:val="auto"/>
          <w:szCs w:val="21"/>
          <w:highlight w:val="none"/>
        </w:rPr>
        <w:t>：</w:t>
      </w:r>
    </w:p>
    <w:bookmarkEnd w:id="131"/>
    <w:p w14:paraId="3FF6F7D4">
      <w:pPr>
        <w:jc w:val="center"/>
        <w:rPr>
          <w:color w:val="auto"/>
          <w:highlight w:val="none"/>
        </w:rPr>
      </w:pPr>
      <w:bookmarkStart w:id="132" w:name="_Toc455309222"/>
      <w:bookmarkStart w:id="133" w:name="_Toc462320613"/>
      <w:bookmarkStart w:id="134" w:name="_Toc462223472"/>
    </w:p>
    <w:bookmarkEnd w:id="132"/>
    <w:bookmarkEnd w:id="133"/>
    <w:bookmarkEnd w:id="134"/>
    <w:p w14:paraId="008E5583">
      <w:pPr>
        <w:snapToGrid w:val="0"/>
        <w:spacing w:before="120" w:beforeLines="50" w:after="50" w:line="440" w:lineRule="exact"/>
        <w:jc w:val="center"/>
        <w:rPr>
          <w:b/>
          <w:color w:val="auto"/>
          <w:szCs w:val="21"/>
          <w:highlight w:val="none"/>
        </w:rPr>
      </w:pPr>
      <w:r>
        <w:rPr>
          <w:b/>
          <w:color w:val="auto"/>
          <w:szCs w:val="21"/>
          <w:highlight w:val="none"/>
        </w:rPr>
        <w:t>法定代表人身份证明</w:t>
      </w:r>
    </w:p>
    <w:p w14:paraId="6F733FBB">
      <w:pPr>
        <w:spacing w:line="360" w:lineRule="auto"/>
        <w:rPr>
          <w:color w:val="auto"/>
          <w:highlight w:val="none"/>
        </w:rPr>
      </w:pPr>
    </w:p>
    <w:p w14:paraId="3360CB2B">
      <w:pPr>
        <w:spacing w:line="360" w:lineRule="auto"/>
        <w:rPr>
          <w:color w:val="auto"/>
          <w:highlight w:val="none"/>
        </w:rPr>
      </w:pPr>
    </w:p>
    <w:p w14:paraId="235EF4BC">
      <w:pPr>
        <w:spacing w:line="540" w:lineRule="exact"/>
        <w:rPr>
          <w:color w:val="auto"/>
          <w:szCs w:val="21"/>
          <w:highlight w:val="none"/>
        </w:rPr>
      </w:pPr>
      <w:r>
        <w:rPr>
          <w:color w:val="auto"/>
          <w:szCs w:val="21"/>
          <w:highlight w:val="none"/>
        </w:rPr>
        <w:t>供应商名称：</w:t>
      </w:r>
      <w:r>
        <w:rPr>
          <w:color w:val="auto"/>
          <w:szCs w:val="21"/>
          <w:highlight w:val="none"/>
          <w:u w:val="single"/>
        </w:rPr>
        <w:t xml:space="preserve">                                         </w:t>
      </w:r>
    </w:p>
    <w:p w14:paraId="0CDF880C">
      <w:pPr>
        <w:spacing w:line="540" w:lineRule="exact"/>
        <w:rPr>
          <w:color w:val="auto"/>
          <w:szCs w:val="21"/>
          <w:highlight w:val="none"/>
        </w:rPr>
      </w:pPr>
      <w:r>
        <w:rPr>
          <w:color w:val="auto"/>
          <w:szCs w:val="21"/>
          <w:highlight w:val="none"/>
        </w:rPr>
        <w:t>单位性质：</w:t>
      </w:r>
      <w:r>
        <w:rPr>
          <w:color w:val="auto"/>
          <w:szCs w:val="21"/>
          <w:highlight w:val="none"/>
          <w:u w:val="single"/>
        </w:rPr>
        <w:t xml:space="preserve">                                           </w:t>
      </w:r>
    </w:p>
    <w:p w14:paraId="7672ED3A">
      <w:pPr>
        <w:spacing w:line="540" w:lineRule="exact"/>
        <w:rPr>
          <w:color w:val="auto"/>
          <w:szCs w:val="21"/>
          <w:highlight w:val="none"/>
        </w:rPr>
      </w:pPr>
      <w:r>
        <w:rPr>
          <w:color w:val="auto"/>
          <w:szCs w:val="21"/>
          <w:highlight w:val="none"/>
        </w:rPr>
        <w:t>地址：</w:t>
      </w:r>
      <w:r>
        <w:rPr>
          <w:color w:val="auto"/>
          <w:szCs w:val="21"/>
          <w:highlight w:val="none"/>
          <w:u w:val="single"/>
        </w:rPr>
        <w:t xml:space="preserve">                                               </w:t>
      </w:r>
    </w:p>
    <w:p w14:paraId="3203C51B">
      <w:pPr>
        <w:spacing w:line="540" w:lineRule="exact"/>
        <w:rPr>
          <w:color w:val="auto"/>
          <w:szCs w:val="21"/>
          <w:highlight w:val="none"/>
          <w:u w:val="single"/>
        </w:rPr>
      </w:pPr>
      <w:r>
        <w:rPr>
          <w:color w:val="auto"/>
          <w:szCs w:val="21"/>
          <w:highlight w:val="none"/>
        </w:rPr>
        <w:t>成立时间：</w:t>
      </w:r>
      <w:r>
        <w:rPr>
          <w:color w:val="auto"/>
          <w:szCs w:val="21"/>
          <w:highlight w:val="none"/>
          <w:u w:val="single"/>
        </w:rPr>
        <w:t xml:space="preserve">          年        月        日</w:t>
      </w:r>
    </w:p>
    <w:p w14:paraId="55AD5A2D">
      <w:pPr>
        <w:spacing w:line="5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7669411E">
      <w:pPr>
        <w:spacing w:line="5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；性别：</w:t>
      </w:r>
      <w:r>
        <w:rPr>
          <w:color w:val="auto"/>
          <w:szCs w:val="21"/>
          <w:highlight w:val="none"/>
          <w:u w:val="single"/>
        </w:rPr>
        <w:t xml:space="preserve">              </w:t>
      </w:r>
      <w:r>
        <w:rPr>
          <w:color w:val="auto"/>
          <w:szCs w:val="21"/>
          <w:highlight w:val="none"/>
        </w:rPr>
        <w:t xml:space="preserve">        </w:t>
      </w:r>
    </w:p>
    <w:p w14:paraId="3EF414C2">
      <w:pPr>
        <w:spacing w:line="540" w:lineRule="exact"/>
        <w:rPr>
          <w:color w:val="auto"/>
          <w:szCs w:val="21"/>
          <w:highlight w:val="none"/>
        </w:rPr>
      </w:pPr>
      <w:r>
        <w:rPr>
          <w:color w:val="auto"/>
          <w:szCs w:val="21"/>
          <w:highlight w:val="none"/>
        </w:rPr>
        <w:t>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r>
        <w:rPr>
          <w:color w:val="auto"/>
          <w:szCs w:val="21"/>
          <w:highlight w:val="none"/>
        </w:rPr>
        <w:t>；身份证：</w:t>
      </w:r>
      <w:r>
        <w:rPr>
          <w:color w:val="auto"/>
          <w:szCs w:val="21"/>
          <w:highlight w:val="none"/>
          <w:u w:val="single"/>
        </w:rPr>
        <w:t xml:space="preserve">                                      </w:t>
      </w:r>
    </w:p>
    <w:p w14:paraId="34CD2FDE">
      <w:pPr>
        <w:spacing w:line="540" w:lineRule="exact"/>
        <w:rPr>
          <w:color w:val="auto"/>
          <w:szCs w:val="21"/>
          <w:highlight w:val="none"/>
        </w:rPr>
      </w:pPr>
      <w:r>
        <w:rPr>
          <w:color w:val="auto"/>
          <w:szCs w:val="21"/>
          <w:highlight w:val="none"/>
        </w:rPr>
        <w:t>系</w:t>
      </w:r>
      <w:r>
        <w:rPr>
          <w:color w:val="auto"/>
          <w:szCs w:val="21"/>
          <w:highlight w:val="none"/>
          <w:u w:val="single"/>
        </w:rPr>
        <w:t xml:space="preserve">                                      （ 供应商名称）</w:t>
      </w:r>
      <w:r>
        <w:rPr>
          <w:color w:val="auto"/>
          <w:szCs w:val="21"/>
          <w:highlight w:val="none"/>
        </w:rPr>
        <w:t>的法定代表人。</w:t>
      </w:r>
    </w:p>
    <w:p w14:paraId="3EB225E0">
      <w:pPr>
        <w:spacing w:line="540" w:lineRule="exact"/>
        <w:rPr>
          <w:color w:val="auto"/>
          <w:szCs w:val="21"/>
          <w:highlight w:val="none"/>
        </w:rPr>
      </w:pPr>
    </w:p>
    <w:p w14:paraId="5363CE20">
      <w:pPr>
        <w:spacing w:line="540" w:lineRule="exact"/>
        <w:ind w:firstLine="420" w:firstLineChars="200"/>
        <w:rPr>
          <w:color w:val="auto"/>
          <w:szCs w:val="21"/>
          <w:highlight w:val="none"/>
        </w:rPr>
      </w:pPr>
      <w:r>
        <w:rPr>
          <w:color w:val="auto"/>
          <w:szCs w:val="21"/>
          <w:highlight w:val="none"/>
        </w:rPr>
        <w:t>特此证明。</w:t>
      </w:r>
    </w:p>
    <w:p w14:paraId="36E793F7">
      <w:pPr>
        <w:spacing w:line="540" w:lineRule="exact"/>
        <w:rPr>
          <w:color w:val="auto"/>
          <w:szCs w:val="21"/>
          <w:highlight w:val="none"/>
        </w:rPr>
      </w:pPr>
    </w:p>
    <w:p w14:paraId="6D244B9C">
      <w:pPr>
        <w:spacing w:line="360" w:lineRule="auto"/>
        <w:ind w:firstLine="4830" w:firstLineChars="23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24759A8E">
      <w:pPr>
        <w:spacing w:line="360" w:lineRule="auto"/>
        <w:rPr>
          <w:color w:val="auto"/>
          <w:szCs w:val="21"/>
          <w:highlight w:val="none"/>
        </w:rPr>
      </w:pPr>
      <w:r>
        <w:rPr>
          <w:color w:val="auto"/>
          <w:szCs w:val="21"/>
          <w:highlight w:val="none"/>
        </w:rPr>
        <w:t xml:space="preserve">                                                   年       月       日 </w:t>
      </w:r>
    </w:p>
    <w:p w14:paraId="4EB70F3A">
      <w:pPr>
        <w:spacing w:line="540" w:lineRule="exact"/>
        <w:rPr>
          <w:color w:val="auto"/>
          <w:szCs w:val="21"/>
          <w:highlight w:val="none"/>
        </w:rPr>
      </w:pPr>
    </w:p>
    <w:p w14:paraId="5FD01583">
      <w:pPr>
        <w:spacing w:line="360" w:lineRule="auto"/>
        <w:rPr>
          <w:color w:val="auto"/>
          <w:szCs w:val="21"/>
          <w:highlight w:val="none"/>
        </w:rPr>
      </w:pPr>
      <w:bookmarkStart w:id="135" w:name="_Hlk19199756"/>
      <w:r>
        <w:rPr>
          <w:color w:val="auto"/>
          <w:szCs w:val="21"/>
          <w:highlight w:val="none"/>
        </w:rPr>
        <w:t>附件：法定代表人身份证复印件</w:t>
      </w:r>
    </w:p>
    <w:p w14:paraId="4CD61C94">
      <w:pPr>
        <w:spacing w:line="360" w:lineRule="auto"/>
        <w:rPr>
          <w:color w:val="auto"/>
          <w:szCs w:val="21"/>
          <w:highlight w:val="none"/>
        </w:rPr>
      </w:pPr>
    </w:p>
    <w:bookmarkEnd w:id="135"/>
    <w:p w14:paraId="4D133960">
      <w:pPr>
        <w:snapToGrid w:val="0"/>
        <w:spacing w:before="120" w:beforeLines="50" w:after="50" w:line="360" w:lineRule="exact"/>
        <w:jc w:val="left"/>
        <w:rPr>
          <w:color w:val="auto"/>
          <w:highlight w:val="none"/>
        </w:rPr>
      </w:pPr>
      <w:r>
        <w:rPr>
          <w:b/>
          <w:color w:val="auto"/>
          <w:szCs w:val="21"/>
          <w:highlight w:val="none"/>
        </w:rPr>
        <w:br w:type="page"/>
      </w:r>
      <w:bookmarkStart w:id="136" w:name="_Hlk19199766"/>
      <w:r>
        <w:rPr>
          <w:rFonts w:hint="eastAsia"/>
          <w:b/>
          <w:color w:val="auto"/>
          <w:szCs w:val="21"/>
          <w:highlight w:val="none"/>
        </w:rPr>
        <w:t>1</w:t>
      </w:r>
      <w:r>
        <w:rPr>
          <w:b/>
          <w:color w:val="auto"/>
          <w:szCs w:val="21"/>
          <w:highlight w:val="none"/>
        </w:rPr>
        <w:t>．</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bookmarkEnd w:id="136"/>
    <w:p w14:paraId="758CE905">
      <w:pPr>
        <w:snapToGrid w:val="0"/>
        <w:spacing w:before="120" w:beforeLines="50" w:after="50" w:line="360" w:lineRule="exact"/>
        <w:jc w:val="center"/>
        <w:rPr>
          <w:b/>
          <w:color w:val="auto"/>
          <w:szCs w:val="21"/>
          <w:highlight w:val="none"/>
        </w:rPr>
      </w:pPr>
      <w:r>
        <w:rPr>
          <w:b/>
          <w:color w:val="auto"/>
          <w:szCs w:val="21"/>
          <w:highlight w:val="none"/>
        </w:rPr>
        <w:t>法定代表人授权委托书</w:t>
      </w:r>
    </w:p>
    <w:p w14:paraId="39D45A28">
      <w:pPr>
        <w:snapToGrid w:val="0"/>
        <w:spacing w:before="120" w:beforeLines="50" w:after="50" w:line="440" w:lineRule="exact"/>
        <w:rPr>
          <w:b/>
          <w:bCs/>
          <w:color w:val="auto"/>
          <w:szCs w:val="21"/>
          <w:highlight w:val="none"/>
        </w:rPr>
      </w:pPr>
      <w:r>
        <w:rPr>
          <w:bCs/>
          <w:color w:val="auto"/>
          <w:szCs w:val="21"/>
          <w:highlight w:val="none"/>
        </w:rPr>
        <w:t>致：</w:t>
      </w:r>
      <w:r>
        <w:rPr>
          <w:i/>
          <w:iCs/>
          <w:color w:val="auto"/>
          <w:szCs w:val="21"/>
          <w:highlight w:val="none"/>
          <w:u w:val="single"/>
        </w:rPr>
        <w:t>（采购人名称）</w:t>
      </w:r>
    </w:p>
    <w:p w14:paraId="22937564">
      <w:pPr>
        <w:snapToGrid w:val="0"/>
        <w:spacing w:before="120" w:beforeLines="50" w:after="50" w:line="440" w:lineRule="exact"/>
        <w:ind w:firstLine="420" w:firstLineChars="200"/>
        <w:rPr>
          <w:color w:val="auto"/>
          <w:szCs w:val="21"/>
          <w:highlight w:val="none"/>
        </w:rPr>
      </w:pPr>
      <w:r>
        <w:rPr>
          <w:color w:val="auto"/>
          <w:szCs w:val="21"/>
          <w:highlight w:val="none"/>
        </w:rPr>
        <w:t>我</w:t>
      </w:r>
      <w:r>
        <w:rPr>
          <w:rFonts w:hint="eastAsia"/>
          <w:color w:val="auto"/>
          <w:szCs w:val="21"/>
          <w:highlight w:val="none"/>
        </w:rPr>
        <w:t xml:space="preserve"> </w:t>
      </w:r>
      <w:r>
        <w:rPr>
          <w:i/>
          <w:iCs/>
          <w:color w:val="auto"/>
          <w:szCs w:val="21"/>
          <w:highlight w:val="none"/>
          <w:u w:val="single"/>
        </w:rPr>
        <w:t>（姓名）</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的法定代表人，现授权委托本单位在职职工</w:t>
      </w:r>
      <w:r>
        <w:rPr>
          <w:i/>
          <w:iCs/>
          <w:color w:val="auto"/>
          <w:szCs w:val="21"/>
          <w:highlight w:val="none"/>
          <w:u w:val="single"/>
        </w:rPr>
        <w:t>（姓名）</w:t>
      </w:r>
      <w:r>
        <w:rPr>
          <w:color w:val="auto"/>
          <w:szCs w:val="21"/>
          <w:highlight w:val="none"/>
        </w:rPr>
        <w:t>以我方的名义参加</w:t>
      </w:r>
      <w:r>
        <w:rPr>
          <w:rFonts w:hint="eastAsia"/>
          <w:i/>
          <w:iCs/>
          <w:color w:val="auto"/>
          <w:szCs w:val="21"/>
          <w:highlight w:val="none"/>
          <w:u w:val="single"/>
        </w:rPr>
        <w:t>（项目名称 ）</w:t>
      </w:r>
      <w:r>
        <w:rPr>
          <w:color w:val="auto"/>
          <w:szCs w:val="21"/>
          <w:highlight w:val="none"/>
        </w:rPr>
        <w:t>项目的磋商活动，并代表我方全权办理针对上述项目的磋商、截标、评审、签约等具体事务和签署相关文件。</w:t>
      </w:r>
    </w:p>
    <w:p w14:paraId="0E0B5466">
      <w:pPr>
        <w:snapToGrid w:val="0"/>
        <w:spacing w:before="120" w:beforeLines="50" w:after="50" w:line="440" w:lineRule="exact"/>
        <w:rPr>
          <w:color w:val="auto"/>
          <w:szCs w:val="21"/>
          <w:highlight w:val="none"/>
        </w:rPr>
      </w:pPr>
      <w:r>
        <w:rPr>
          <w:color w:val="auto"/>
          <w:szCs w:val="21"/>
          <w:highlight w:val="none"/>
        </w:rPr>
        <w:t xml:space="preserve">    我方对被授权人的签名事项负全部责任。</w:t>
      </w:r>
    </w:p>
    <w:p w14:paraId="63B18313">
      <w:pPr>
        <w:snapToGrid w:val="0"/>
        <w:spacing w:before="120" w:beforeLines="5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2BFE6EAF">
      <w:pPr>
        <w:snapToGrid w:val="0"/>
        <w:spacing w:before="120" w:beforeLines="50" w:after="50" w:line="440" w:lineRule="exact"/>
        <w:ind w:firstLine="480"/>
        <w:rPr>
          <w:color w:val="auto"/>
          <w:szCs w:val="21"/>
          <w:highlight w:val="none"/>
        </w:rPr>
      </w:pPr>
      <w:r>
        <w:rPr>
          <w:color w:val="auto"/>
          <w:szCs w:val="21"/>
          <w:highlight w:val="none"/>
        </w:rPr>
        <w:t>被授权人无转委托权，特此委托。</w:t>
      </w:r>
    </w:p>
    <w:p w14:paraId="5AE8EFF0">
      <w:pPr>
        <w:snapToGrid w:val="0"/>
        <w:spacing w:before="120" w:beforeLines="50" w:after="50" w:line="440" w:lineRule="exact"/>
        <w:rPr>
          <w:color w:val="auto"/>
          <w:szCs w:val="21"/>
          <w:highlight w:val="none"/>
          <w:u w:val="single"/>
        </w:rPr>
      </w:pPr>
      <w:r>
        <w:rPr>
          <w:color w:val="auto"/>
          <w:szCs w:val="21"/>
          <w:highlight w:val="none"/>
        </w:rPr>
        <w:t>被授权人签名或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r>
        <w:rPr>
          <w:color w:val="auto"/>
          <w:szCs w:val="21"/>
          <w:highlight w:val="none"/>
        </w:rPr>
        <w:t xml:space="preserve">                     法定代表人签名或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p>
    <w:p w14:paraId="3549A527">
      <w:pPr>
        <w:snapToGrid w:val="0"/>
        <w:spacing w:before="120" w:beforeLines="50" w:after="50" w:line="440" w:lineRule="exact"/>
        <w:rPr>
          <w:color w:val="auto"/>
          <w:szCs w:val="21"/>
          <w:highlight w:val="none"/>
        </w:rPr>
      </w:pPr>
      <w:r>
        <w:rPr>
          <w:color w:val="auto"/>
          <w:szCs w:val="21"/>
          <w:highlight w:val="none"/>
        </w:rPr>
        <w:t>职务：</w:t>
      </w:r>
      <w:r>
        <w:rPr>
          <w:color w:val="auto"/>
          <w:szCs w:val="21"/>
          <w:highlight w:val="none"/>
          <w:u w:val="single"/>
        </w:rPr>
        <w:t xml:space="preserve">           </w:t>
      </w:r>
      <w:r>
        <w:rPr>
          <w:color w:val="auto"/>
          <w:szCs w:val="21"/>
          <w:highlight w:val="none"/>
        </w:rPr>
        <w:t xml:space="preserve"> </w:t>
      </w:r>
    </w:p>
    <w:p w14:paraId="65519046">
      <w:pPr>
        <w:snapToGrid w:val="0"/>
        <w:spacing w:before="120" w:beforeLines="50" w:after="50" w:line="440" w:lineRule="exact"/>
        <w:rPr>
          <w:color w:val="auto"/>
          <w:szCs w:val="21"/>
          <w:highlight w:val="none"/>
        </w:rPr>
      </w:pPr>
      <w:r>
        <w:rPr>
          <w:color w:val="auto"/>
          <w:szCs w:val="21"/>
          <w:highlight w:val="none"/>
        </w:rPr>
        <w:t>被授权人身份证号码：</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p>
    <w:p w14:paraId="0518B5BC">
      <w:pPr>
        <w:snapToGrid w:val="0"/>
        <w:spacing w:before="120" w:beforeLines="50" w:after="50" w:line="440" w:lineRule="exact"/>
        <w:rPr>
          <w:color w:val="auto"/>
          <w:szCs w:val="21"/>
          <w:highlight w:val="none"/>
        </w:rPr>
      </w:pPr>
      <w:r>
        <w:rPr>
          <w:rFonts w:hint="eastAsia"/>
          <w:color w:val="auto"/>
          <w:szCs w:val="21"/>
          <w:highlight w:val="none"/>
        </w:rPr>
        <w:t>被授权人手机号码及邮箱</w:t>
      </w:r>
      <w:r>
        <w:rPr>
          <w:color w:val="auto"/>
          <w:szCs w:val="21"/>
          <w:highlight w:val="none"/>
        </w:rPr>
        <w:t>：</w:t>
      </w:r>
      <w:r>
        <w:rPr>
          <w:color w:val="auto"/>
          <w:szCs w:val="21"/>
          <w:highlight w:val="none"/>
          <w:u w:val="single"/>
        </w:rPr>
        <w:t xml:space="preserve">                   </w:t>
      </w:r>
      <w:r>
        <w:rPr>
          <w:color w:val="auto"/>
          <w:szCs w:val="21"/>
          <w:highlight w:val="none"/>
        </w:rPr>
        <w:t xml:space="preserve">            授权人身份证号码：</w:t>
      </w:r>
      <w:r>
        <w:rPr>
          <w:color w:val="auto"/>
          <w:szCs w:val="21"/>
          <w:highlight w:val="none"/>
          <w:u w:val="single"/>
        </w:rPr>
        <w:t xml:space="preserve">                 </w:t>
      </w:r>
    </w:p>
    <w:p w14:paraId="20009AC8">
      <w:pPr>
        <w:snapToGrid w:val="0"/>
        <w:spacing w:before="120" w:beforeLines="50" w:after="50" w:line="440" w:lineRule="exact"/>
        <w:rPr>
          <w:color w:val="auto"/>
          <w:szCs w:val="21"/>
          <w:highlight w:val="none"/>
        </w:rPr>
      </w:pPr>
      <w:r>
        <w:rPr>
          <w:color w:val="auto"/>
          <w:szCs w:val="21"/>
          <w:highlight w:val="none"/>
        </w:rPr>
        <w:t xml:space="preserve">                                </w:t>
      </w:r>
    </w:p>
    <w:p w14:paraId="523EA7F2">
      <w:pPr>
        <w:snapToGrid w:val="0"/>
        <w:spacing w:before="120" w:beforeLines="50" w:after="50" w:line="440" w:lineRule="exact"/>
        <w:ind w:firstLine="5670" w:firstLineChars="27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48BDDF15">
      <w:pPr>
        <w:snapToGrid w:val="0"/>
        <w:spacing w:before="120" w:beforeLines="50" w:after="50" w:line="440" w:lineRule="exact"/>
        <w:jc w:val="center"/>
        <w:rPr>
          <w:color w:val="auto"/>
          <w:szCs w:val="21"/>
          <w:highlight w:val="none"/>
        </w:rPr>
      </w:pPr>
      <w:r>
        <w:rPr>
          <w:color w:val="auto"/>
          <w:szCs w:val="21"/>
          <w:highlight w:val="none"/>
        </w:rPr>
        <w:t xml:space="preserve">                                        年    月    日</w:t>
      </w:r>
    </w:p>
    <w:p w14:paraId="3723FF3F">
      <w:pPr>
        <w:spacing w:line="360" w:lineRule="auto"/>
        <w:rPr>
          <w:color w:val="auto"/>
          <w:szCs w:val="21"/>
          <w:highlight w:val="none"/>
        </w:rPr>
      </w:pPr>
      <w:r>
        <w:rPr>
          <w:color w:val="auto"/>
          <w:szCs w:val="21"/>
          <w:highlight w:val="none"/>
        </w:rPr>
        <w:t>附件：法定代表人身份证复印件及授权代表身份证复印件</w:t>
      </w:r>
    </w:p>
    <w:p w14:paraId="7B03ECD3">
      <w:pPr>
        <w:jc w:val="center"/>
        <w:rPr>
          <w:bCs/>
          <w:color w:val="auto"/>
          <w:sz w:val="24"/>
          <w:highlight w:val="none"/>
        </w:rPr>
      </w:pPr>
      <w:r>
        <w:rPr>
          <w:color w:val="auto"/>
          <w:highlight w:val="none"/>
        </w:rPr>
        <w:br w:type="page"/>
      </w:r>
      <w:r>
        <w:rPr>
          <w:color w:val="auto"/>
          <w:highlight w:val="none"/>
        </w:rPr>
        <w:t>（本商务文件供应商可自行编写，也可参照下述提纲编写）</w:t>
      </w:r>
    </w:p>
    <w:p w14:paraId="60A14BCB">
      <w:pPr>
        <w:snapToGrid w:val="0"/>
        <w:spacing w:before="50" w:after="120" w:afterLines="50"/>
        <w:jc w:val="left"/>
        <w:rPr>
          <w:color w:val="auto"/>
          <w:szCs w:val="21"/>
          <w:highlight w:val="none"/>
        </w:rPr>
      </w:pPr>
    </w:p>
    <w:p w14:paraId="26E58F60">
      <w:pPr>
        <w:rPr>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》技术</w:t>
      </w:r>
      <w:r>
        <w:rPr>
          <w:color w:val="auto"/>
          <w:szCs w:val="21"/>
          <w:highlight w:val="none"/>
        </w:rPr>
        <w:t>要求的</w:t>
      </w:r>
      <w:r>
        <w:rPr>
          <w:rFonts w:hint="eastAsia"/>
          <w:color w:val="auto"/>
          <w:szCs w:val="21"/>
          <w:highlight w:val="none"/>
        </w:rPr>
        <w:t>响应表</w:t>
      </w:r>
      <w:r>
        <w:rPr>
          <w:color w:val="auto"/>
          <w:szCs w:val="21"/>
          <w:highlight w:val="none"/>
        </w:rPr>
        <w:t>：</w:t>
      </w:r>
    </w:p>
    <w:tbl>
      <w:tblPr>
        <w:tblStyle w:val="53"/>
        <w:tblW w:w="88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5AAF7E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4FBA2D8A">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3471F4E7">
            <w:pPr>
              <w:snapToGrid w:val="0"/>
              <w:spacing w:before="120" w:beforeLines="50"/>
              <w:jc w:val="center"/>
              <w:rPr>
                <w:color w:val="auto"/>
                <w:szCs w:val="21"/>
                <w:highlight w:val="none"/>
              </w:rPr>
            </w:pPr>
            <w:r>
              <w:rPr>
                <w:rFonts w:hint="eastAsia"/>
                <w:color w:val="auto"/>
                <w:szCs w:val="21"/>
                <w:highlight w:val="none"/>
              </w:rPr>
              <w:t>采购文件</w:t>
            </w:r>
            <w:r>
              <w:rPr>
                <w:color w:val="auto"/>
                <w:szCs w:val="21"/>
                <w:highlight w:val="none"/>
              </w:rPr>
              <w:t>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12CD1FBB">
            <w:pPr>
              <w:snapToGrid w:val="0"/>
              <w:spacing w:before="120" w:beforeLines="50"/>
              <w:jc w:val="center"/>
              <w:rPr>
                <w:color w:val="auto"/>
                <w:szCs w:val="21"/>
                <w:highlight w:val="none"/>
              </w:rPr>
            </w:pPr>
            <w:r>
              <w:rPr>
                <w:rFonts w:hint="eastAsia"/>
                <w:color w:val="auto"/>
                <w:szCs w:val="21"/>
                <w:highlight w:val="none"/>
              </w:rPr>
              <w:t>响应</w:t>
            </w:r>
            <w:r>
              <w:rPr>
                <w:color w:val="auto"/>
                <w:szCs w:val="21"/>
                <w:highlight w:val="none"/>
              </w:rPr>
              <w:t>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62470C4B">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2D931F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1990F123">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687F9CA3">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02A8F9A7">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277E2661">
            <w:pPr>
              <w:snapToGrid w:val="0"/>
              <w:spacing w:before="120" w:beforeLines="50"/>
              <w:jc w:val="center"/>
              <w:rPr>
                <w:color w:val="auto"/>
                <w:szCs w:val="21"/>
                <w:highlight w:val="none"/>
              </w:rPr>
            </w:pPr>
          </w:p>
        </w:tc>
      </w:tr>
      <w:tr w14:paraId="3C3B0E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002293B9">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4989DFE5">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495F3D2B">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65BA6ED7">
            <w:pPr>
              <w:snapToGrid w:val="0"/>
              <w:spacing w:before="120" w:beforeLines="50"/>
              <w:jc w:val="center"/>
              <w:rPr>
                <w:color w:val="auto"/>
                <w:szCs w:val="21"/>
                <w:highlight w:val="none"/>
              </w:rPr>
            </w:pPr>
          </w:p>
        </w:tc>
      </w:tr>
      <w:tr w14:paraId="13E1F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09E15B9">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0BB432B3">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1B09C45D">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60BED443">
            <w:pPr>
              <w:snapToGrid w:val="0"/>
              <w:spacing w:before="120" w:beforeLines="50"/>
              <w:jc w:val="center"/>
              <w:rPr>
                <w:color w:val="auto"/>
                <w:szCs w:val="21"/>
                <w:highlight w:val="none"/>
              </w:rPr>
            </w:pPr>
          </w:p>
        </w:tc>
      </w:tr>
      <w:tr w14:paraId="2BED7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5F947BDA">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5E603FCC">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2D7C5AA3">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16ADFDC7">
            <w:pPr>
              <w:snapToGrid w:val="0"/>
              <w:spacing w:before="120" w:beforeLines="50"/>
              <w:jc w:val="center"/>
              <w:rPr>
                <w:color w:val="auto"/>
                <w:szCs w:val="21"/>
                <w:highlight w:val="none"/>
              </w:rPr>
            </w:pPr>
          </w:p>
        </w:tc>
      </w:tr>
    </w:tbl>
    <w:p w14:paraId="50127DFA">
      <w:pPr>
        <w:rPr>
          <w:color w:val="auto"/>
          <w:szCs w:val="21"/>
          <w:highlight w:val="none"/>
        </w:rPr>
      </w:pPr>
    </w:p>
    <w:p w14:paraId="7077C5A5">
      <w:pPr>
        <w:pStyle w:val="28"/>
        <w:tabs>
          <w:tab w:val="left" w:pos="2127"/>
        </w:tabs>
        <w:spacing w:line="340" w:lineRule="exact"/>
        <w:jc w:val="left"/>
        <w:rPr>
          <w:rFonts w:ascii="Times New Roman" w:hAnsi="Times New Roman" w:cs="Times New Roman"/>
          <w:color w:val="auto"/>
          <w:highlight w:val="none"/>
        </w:rPr>
      </w:pPr>
      <w:r>
        <w:rPr>
          <w:color w:val="auto"/>
          <w:highlight w:val="none"/>
        </w:rPr>
        <w:t>注：（1）</w:t>
      </w:r>
      <w:r>
        <w:rPr>
          <w:rFonts w:ascii="Times New Roman" w:hAnsi="Times New Roman" w:cs="Times New Roman"/>
          <w:color w:val="auto"/>
          <w:highlight w:val="none"/>
        </w:rPr>
        <w:t>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3DE64560">
      <w:pP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《采购需求》中的总体要求无需响应。</w:t>
      </w:r>
    </w:p>
    <w:p w14:paraId="46004639">
      <w:pPr>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1392C417">
      <w:pPr>
        <w:rPr>
          <w:color w:val="auto"/>
          <w:highlight w:val="none"/>
        </w:rPr>
      </w:pPr>
      <w:r>
        <w:rPr>
          <w:color w:val="auto"/>
          <w:highlight w:val="none"/>
        </w:rPr>
        <w:t>（4）本表可扩展。</w:t>
      </w:r>
    </w:p>
    <w:p w14:paraId="00794F7F">
      <w:pPr>
        <w:rPr>
          <w:color w:val="auto"/>
          <w:szCs w:val="21"/>
          <w:highlight w:val="none"/>
        </w:rPr>
      </w:pPr>
    </w:p>
    <w:p w14:paraId="48EB63E6">
      <w:pPr>
        <w:rPr>
          <w:color w:val="auto"/>
          <w:spacing w:val="20"/>
          <w:szCs w:val="21"/>
          <w:highlight w:val="none"/>
          <w:u w:val="single"/>
        </w:rPr>
      </w:pPr>
    </w:p>
    <w:p w14:paraId="09644135">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6626343E">
      <w:pPr>
        <w:rPr>
          <w:color w:val="auto"/>
          <w:spacing w:val="20"/>
          <w:szCs w:val="21"/>
          <w:highlight w:val="none"/>
          <w:u w:val="single"/>
        </w:rPr>
      </w:pPr>
    </w:p>
    <w:p w14:paraId="62AF0BE2">
      <w:pPr>
        <w:rPr>
          <w:color w:val="auto"/>
          <w:spacing w:val="20"/>
          <w:szCs w:val="21"/>
          <w:highlight w:val="none"/>
          <w:u w:val="single"/>
        </w:rPr>
      </w:pPr>
    </w:p>
    <w:p w14:paraId="7067C360">
      <w:pPr>
        <w:rPr>
          <w:color w:val="auto"/>
          <w:szCs w:val="21"/>
          <w:highlight w:val="none"/>
        </w:rPr>
      </w:pPr>
    </w:p>
    <w:p w14:paraId="57BF37C1">
      <w:pPr>
        <w:snapToGrid w:val="0"/>
        <w:spacing w:before="50" w:after="120" w:afterLines="50"/>
        <w:jc w:val="left"/>
        <w:rPr>
          <w:color w:val="auto"/>
          <w:szCs w:val="21"/>
          <w:highlight w:val="none"/>
        </w:rPr>
      </w:pPr>
    </w:p>
    <w:p w14:paraId="5DCAC6F2">
      <w:pPr>
        <w:snapToGrid w:val="0"/>
        <w:spacing w:before="50" w:after="120" w:afterLines="50"/>
        <w:jc w:val="left"/>
        <w:rPr>
          <w:color w:val="auto"/>
          <w:szCs w:val="21"/>
          <w:highlight w:val="none"/>
        </w:rPr>
      </w:pPr>
      <w:r>
        <w:rPr>
          <w:color w:val="auto"/>
          <w:szCs w:val="21"/>
          <w:highlight w:val="none"/>
        </w:rPr>
        <w:t>2．</w:t>
      </w:r>
      <w:r>
        <w:rPr>
          <w:rFonts w:hint="eastAsia"/>
          <w:color w:val="auto"/>
          <w:szCs w:val="21"/>
          <w:highlight w:val="none"/>
        </w:rPr>
        <w:t>方案（根据本项目第二章“采购需求”及第四章“评审方法及标准”相关内容进行编写，格式自拟。）</w:t>
      </w:r>
    </w:p>
    <w:p w14:paraId="473F17F7">
      <w:pPr>
        <w:snapToGrid w:val="0"/>
        <w:spacing w:before="50" w:after="120" w:afterLines="50"/>
        <w:jc w:val="left"/>
        <w:rPr>
          <w:color w:val="auto"/>
          <w:szCs w:val="21"/>
          <w:highlight w:val="none"/>
        </w:rPr>
      </w:pPr>
    </w:p>
    <w:p w14:paraId="5A8747B4">
      <w:pPr>
        <w:snapToGrid w:val="0"/>
        <w:spacing w:before="50" w:after="120" w:afterLines="50"/>
        <w:jc w:val="left"/>
        <w:rPr>
          <w:color w:val="auto"/>
          <w:szCs w:val="21"/>
          <w:highlight w:val="none"/>
        </w:rPr>
      </w:pPr>
      <w:r>
        <w:rPr>
          <w:color w:val="auto"/>
          <w:szCs w:val="21"/>
          <w:highlight w:val="none"/>
        </w:rPr>
        <w:t>3．</w:t>
      </w:r>
      <w:r>
        <w:rPr>
          <w:rFonts w:hint="eastAsia"/>
          <w:color w:val="auto"/>
          <w:szCs w:val="21"/>
          <w:highlight w:val="none"/>
        </w:rPr>
        <w:t>售后</w:t>
      </w:r>
      <w:r>
        <w:rPr>
          <w:color w:val="auto"/>
          <w:szCs w:val="21"/>
          <w:highlight w:val="none"/>
        </w:rPr>
        <w:t>服务方案（</w:t>
      </w:r>
      <w:r>
        <w:rPr>
          <w:rFonts w:hint="eastAsia"/>
          <w:color w:val="auto"/>
          <w:szCs w:val="21"/>
          <w:highlight w:val="none"/>
        </w:rPr>
        <w:t>根据本项目第二章“采购需求”及第四章“评审方法及标准”相关内容进行编写，格式自拟。</w:t>
      </w:r>
      <w:r>
        <w:rPr>
          <w:color w:val="auto"/>
          <w:szCs w:val="21"/>
          <w:highlight w:val="none"/>
        </w:rPr>
        <w:t>）</w:t>
      </w:r>
    </w:p>
    <w:p w14:paraId="12D6B097">
      <w:pPr>
        <w:snapToGrid w:val="0"/>
        <w:spacing w:before="50" w:after="120" w:afterLines="50"/>
        <w:jc w:val="left"/>
        <w:rPr>
          <w:color w:val="auto"/>
          <w:szCs w:val="21"/>
          <w:highlight w:val="none"/>
        </w:rPr>
      </w:pPr>
    </w:p>
    <w:p w14:paraId="51414F6B">
      <w:pPr>
        <w:snapToGrid w:val="0"/>
        <w:spacing w:before="50" w:after="120" w:afterLines="50"/>
        <w:jc w:val="left"/>
        <w:rPr>
          <w:color w:val="auto"/>
          <w:szCs w:val="21"/>
          <w:highlight w:val="none"/>
        </w:rPr>
      </w:pPr>
    </w:p>
    <w:p w14:paraId="5190AF69">
      <w:pPr>
        <w:snapToGrid w:val="0"/>
        <w:spacing w:before="50" w:after="120" w:afterLines="50"/>
        <w:jc w:val="left"/>
        <w:rPr>
          <w:color w:val="auto"/>
          <w:szCs w:val="21"/>
          <w:highlight w:val="none"/>
        </w:rPr>
      </w:pPr>
      <w:r>
        <w:rPr>
          <w:color w:val="auto"/>
          <w:szCs w:val="21"/>
          <w:highlight w:val="none"/>
        </w:rPr>
        <w:t>4．项目拟投入服务团队人员结构表（包括但不限于学历、证书情况、职称、年龄等）</w:t>
      </w:r>
    </w:p>
    <w:p w14:paraId="36A62C6E">
      <w:pPr>
        <w:snapToGrid w:val="0"/>
        <w:spacing w:before="120" w:beforeLines="50" w:after="50" w:line="400" w:lineRule="exact"/>
        <w:jc w:val="center"/>
        <w:rPr>
          <w:color w:val="auto"/>
          <w:szCs w:val="21"/>
          <w:highlight w:val="none"/>
        </w:rPr>
      </w:pPr>
      <w:r>
        <w:rPr>
          <w:color w:val="auto"/>
          <w:szCs w:val="21"/>
          <w:highlight w:val="none"/>
        </w:rPr>
        <w:t>项目拟投入服务团队人员（含项目负责人）一览表</w:t>
      </w:r>
    </w:p>
    <w:tbl>
      <w:tblPr>
        <w:tblStyle w:val="53"/>
        <w:tblW w:w="91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730860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20035746">
            <w:pPr>
              <w:snapToGrid w:val="0"/>
              <w:spacing w:before="120" w:beforeLines="50" w:after="50"/>
              <w:jc w:val="center"/>
              <w:rPr>
                <w:color w:val="auto"/>
                <w:szCs w:val="21"/>
                <w:highlight w:val="none"/>
              </w:rPr>
            </w:pPr>
            <w:r>
              <w:rPr>
                <w:color w:val="auto"/>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3B37CDB4">
            <w:pPr>
              <w:snapToGrid w:val="0"/>
              <w:spacing w:before="120" w:beforeLines="50" w:after="50"/>
              <w:jc w:val="center"/>
              <w:rPr>
                <w:color w:val="auto"/>
                <w:szCs w:val="21"/>
                <w:highlight w:val="none"/>
              </w:rPr>
            </w:pPr>
            <w:r>
              <w:rPr>
                <w:color w:val="auto"/>
                <w:szCs w:val="21"/>
                <w:highlight w:val="none"/>
              </w:rPr>
              <w:t>职务</w:t>
            </w:r>
          </w:p>
        </w:tc>
        <w:tc>
          <w:tcPr>
            <w:tcW w:w="1440" w:type="dxa"/>
            <w:tcBorders>
              <w:top w:val="single" w:color="auto" w:sz="4" w:space="0"/>
              <w:left w:val="single" w:color="auto" w:sz="4" w:space="0"/>
              <w:bottom w:val="single" w:color="auto" w:sz="4" w:space="0"/>
              <w:right w:val="single" w:color="auto" w:sz="4" w:space="0"/>
            </w:tcBorders>
            <w:vAlign w:val="center"/>
          </w:tcPr>
          <w:p w14:paraId="66DB51D9">
            <w:pPr>
              <w:snapToGrid w:val="0"/>
              <w:spacing w:before="120" w:beforeLines="50" w:after="50"/>
              <w:jc w:val="center"/>
              <w:rPr>
                <w:color w:val="auto"/>
                <w:szCs w:val="21"/>
                <w:highlight w:val="none"/>
              </w:rPr>
            </w:pPr>
            <w:r>
              <w:rPr>
                <w:color w:val="auto"/>
                <w:szCs w:val="21"/>
                <w:highlight w:val="none"/>
              </w:rPr>
              <w:t>分配岗位</w:t>
            </w:r>
          </w:p>
        </w:tc>
        <w:tc>
          <w:tcPr>
            <w:tcW w:w="1516" w:type="dxa"/>
            <w:tcBorders>
              <w:top w:val="single" w:color="auto" w:sz="4" w:space="0"/>
              <w:left w:val="single" w:color="auto" w:sz="4" w:space="0"/>
              <w:bottom w:val="single" w:color="auto" w:sz="4" w:space="0"/>
              <w:right w:val="single" w:color="auto" w:sz="4" w:space="0"/>
            </w:tcBorders>
            <w:vAlign w:val="center"/>
          </w:tcPr>
          <w:p w14:paraId="06DFDB69">
            <w:pPr>
              <w:snapToGrid w:val="0"/>
              <w:spacing w:before="120" w:beforeLines="50" w:after="50"/>
              <w:jc w:val="center"/>
              <w:rPr>
                <w:color w:val="auto"/>
                <w:szCs w:val="21"/>
                <w:highlight w:val="none"/>
              </w:rPr>
            </w:pPr>
            <w:r>
              <w:rPr>
                <w:color w:val="auto"/>
                <w:szCs w:val="21"/>
                <w:highlight w:val="none"/>
              </w:rPr>
              <w:t>持证情况</w:t>
            </w:r>
          </w:p>
        </w:tc>
        <w:tc>
          <w:tcPr>
            <w:tcW w:w="1620" w:type="dxa"/>
            <w:tcBorders>
              <w:top w:val="single" w:color="auto" w:sz="4" w:space="0"/>
              <w:left w:val="single" w:color="auto" w:sz="4" w:space="0"/>
              <w:bottom w:val="single" w:color="auto" w:sz="4" w:space="0"/>
              <w:right w:val="single" w:color="auto" w:sz="4" w:space="0"/>
            </w:tcBorders>
            <w:vAlign w:val="center"/>
          </w:tcPr>
          <w:p w14:paraId="54F0FBFF">
            <w:pPr>
              <w:snapToGrid w:val="0"/>
              <w:spacing w:before="120" w:beforeLines="50" w:after="50"/>
              <w:jc w:val="center"/>
              <w:rPr>
                <w:color w:val="auto"/>
                <w:szCs w:val="21"/>
                <w:highlight w:val="none"/>
              </w:rPr>
            </w:pPr>
            <w:r>
              <w:rPr>
                <w:color w:val="auto"/>
                <w:szCs w:val="21"/>
                <w:highlight w:val="none"/>
              </w:rPr>
              <w:t>年龄</w:t>
            </w:r>
          </w:p>
        </w:tc>
        <w:tc>
          <w:tcPr>
            <w:tcW w:w="1980" w:type="dxa"/>
            <w:tcBorders>
              <w:top w:val="single" w:color="auto" w:sz="4" w:space="0"/>
              <w:left w:val="single" w:color="auto" w:sz="4" w:space="0"/>
              <w:bottom w:val="single" w:color="auto" w:sz="4" w:space="0"/>
              <w:right w:val="single" w:color="auto" w:sz="4" w:space="0"/>
            </w:tcBorders>
            <w:vAlign w:val="center"/>
          </w:tcPr>
          <w:p w14:paraId="3C004FF6">
            <w:pPr>
              <w:snapToGrid w:val="0"/>
              <w:spacing w:before="120" w:beforeLines="50" w:after="50"/>
              <w:jc w:val="center"/>
              <w:rPr>
                <w:bCs/>
                <w:color w:val="auto"/>
                <w:szCs w:val="21"/>
                <w:highlight w:val="none"/>
              </w:rPr>
            </w:pPr>
            <w:r>
              <w:rPr>
                <w:bCs/>
                <w:color w:val="auto"/>
                <w:szCs w:val="21"/>
                <w:highlight w:val="none"/>
              </w:rPr>
              <w:t>劳动合同编号</w:t>
            </w:r>
          </w:p>
        </w:tc>
      </w:tr>
      <w:tr w14:paraId="6F675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236C759C">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12E8B5AB">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048E2C5A">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tcPr>
          <w:p w14:paraId="5D483A42">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36EFCD58">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28A57ADE">
            <w:pPr>
              <w:snapToGrid w:val="0"/>
              <w:spacing w:before="120" w:beforeLines="50" w:after="50"/>
              <w:rPr>
                <w:color w:val="auto"/>
                <w:szCs w:val="21"/>
                <w:highlight w:val="none"/>
              </w:rPr>
            </w:pPr>
          </w:p>
        </w:tc>
      </w:tr>
      <w:tr w14:paraId="680A84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6BA43BFD">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169E4C3A">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51DF1586">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tcPr>
          <w:p w14:paraId="7649A851">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02CB282F">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46D1572F">
            <w:pPr>
              <w:snapToGrid w:val="0"/>
              <w:spacing w:before="120" w:beforeLines="50" w:after="50"/>
              <w:rPr>
                <w:color w:val="auto"/>
                <w:szCs w:val="21"/>
                <w:highlight w:val="none"/>
              </w:rPr>
            </w:pPr>
          </w:p>
        </w:tc>
      </w:tr>
    </w:tbl>
    <w:p w14:paraId="767DF54F">
      <w:pPr>
        <w:snapToGrid w:val="0"/>
        <w:spacing w:before="50" w:after="120" w:afterLines="50" w:line="440" w:lineRule="exact"/>
        <w:jc w:val="left"/>
        <w:rPr>
          <w:color w:val="auto"/>
          <w:szCs w:val="21"/>
          <w:highlight w:val="none"/>
        </w:rPr>
      </w:pPr>
      <w:r>
        <w:rPr>
          <w:color w:val="auto"/>
          <w:szCs w:val="21"/>
          <w:highlight w:val="none"/>
        </w:rPr>
        <w:t>注：在填写时，如本表格不适合供应商的实际情况，可根据本表格式自行划表填写。</w:t>
      </w:r>
    </w:p>
    <w:p w14:paraId="5938C9AA">
      <w:pPr>
        <w:snapToGrid w:val="0"/>
        <w:spacing w:before="50" w:after="50" w:line="440" w:lineRule="exact"/>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729D633C">
      <w:pPr>
        <w:rPr>
          <w:color w:val="auto"/>
          <w:spacing w:val="20"/>
          <w:szCs w:val="21"/>
          <w:highlight w:val="none"/>
          <w:u w:val="single"/>
        </w:rPr>
      </w:pPr>
    </w:p>
    <w:p w14:paraId="1AF4E4E4">
      <w:pPr>
        <w:rPr>
          <w:color w:val="auto"/>
          <w:szCs w:val="21"/>
          <w:highlight w:val="none"/>
        </w:rPr>
      </w:pPr>
    </w:p>
    <w:p w14:paraId="3FFDCE7A">
      <w:pPr>
        <w:rPr>
          <w:color w:val="auto"/>
          <w:szCs w:val="21"/>
          <w:highlight w:val="none"/>
        </w:rPr>
      </w:pPr>
    </w:p>
    <w:p w14:paraId="06E6FB63">
      <w:pPr>
        <w:snapToGrid w:val="0"/>
        <w:spacing w:before="50" w:after="120" w:afterLines="50"/>
        <w:jc w:val="left"/>
        <w:rPr>
          <w:color w:val="auto"/>
          <w:szCs w:val="21"/>
          <w:highlight w:val="none"/>
        </w:rPr>
      </w:pPr>
      <w:r>
        <w:rPr>
          <w:color w:val="auto"/>
          <w:szCs w:val="21"/>
          <w:highlight w:val="none"/>
        </w:rPr>
        <w:t>5．</w:t>
      </w:r>
      <w:r>
        <w:rPr>
          <w:rFonts w:hint="eastAsia"/>
          <w:color w:val="auto"/>
          <w:szCs w:val="21"/>
          <w:highlight w:val="none"/>
        </w:rPr>
        <w:t>项目实施人员配置情况</w:t>
      </w:r>
      <w:r>
        <w:rPr>
          <w:color w:val="auto"/>
          <w:szCs w:val="21"/>
          <w:highlight w:val="none"/>
        </w:rPr>
        <w:t>。</w:t>
      </w:r>
    </w:p>
    <w:p w14:paraId="0223A7ED">
      <w:pPr>
        <w:rPr>
          <w:color w:val="auto"/>
          <w:szCs w:val="21"/>
          <w:highlight w:val="none"/>
        </w:rPr>
      </w:pPr>
      <w:r>
        <w:rPr>
          <w:rFonts w:hint="eastAsia"/>
          <w:color w:val="auto"/>
          <w:szCs w:val="21"/>
          <w:highlight w:val="none"/>
        </w:rPr>
        <w:t>6</w:t>
      </w:r>
      <w:r>
        <w:rPr>
          <w:color w:val="auto"/>
          <w:szCs w:val="21"/>
          <w:highlight w:val="none"/>
        </w:rPr>
        <w:t>．供应商需要说明的其他文件和说明。</w:t>
      </w:r>
    </w:p>
    <w:p w14:paraId="2CEDDFE1">
      <w:pPr>
        <w:snapToGrid w:val="0"/>
        <w:spacing w:before="50" w:after="120" w:afterLines="50" w:line="440" w:lineRule="exact"/>
        <w:rPr>
          <w:color w:val="auto"/>
          <w:highlight w:val="none"/>
        </w:rPr>
      </w:pPr>
      <w:r>
        <w:rPr>
          <w:color w:val="auto"/>
          <w:highlight w:val="none"/>
        </w:rPr>
        <w:br w:type="page"/>
      </w:r>
      <w:r>
        <w:rPr>
          <w:rFonts w:hint="eastAsia"/>
          <w:color w:val="auto"/>
          <w:szCs w:val="21"/>
          <w:highlight w:val="none"/>
        </w:rPr>
        <w:t>7</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w:t>
      </w:r>
      <w:r>
        <w:rPr>
          <w:color w:val="auto"/>
          <w:szCs w:val="21"/>
          <w:highlight w:val="none"/>
        </w:rPr>
        <w:t>商务要求的</w:t>
      </w:r>
      <w:r>
        <w:rPr>
          <w:rFonts w:hint="eastAsia"/>
          <w:color w:val="auto"/>
          <w:szCs w:val="21"/>
          <w:highlight w:val="none"/>
        </w:rPr>
        <w:t>响应表</w:t>
      </w:r>
      <w:r>
        <w:rPr>
          <w:color w:val="auto"/>
          <w:szCs w:val="21"/>
          <w:highlight w:val="none"/>
        </w:rPr>
        <w:t>：</w:t>
      </w:r>
    </w:p>
    <w:tbl>
      <w:tblPr>
        <w:tblStyle w:val="53"/>
        <w:tblW w:w="88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410770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3CB277BC">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25A82C3C">
            <w:pPr>
              <w:snapToGrid w:val="0"/>
              <w:spacing w:before="120" w:beforeLines="50"/>
              <w:jc w:val="center"/>
              <w:rPr>
                <w:color w:val="auto"/>
                <w:szCs w:val="21"/>
                <w:highlight w:val="none"/>
              </w:rPr>
            </w:pPr>
            <w:r>
              <w:rPr>
                <w:color w:val="auto"/>
                <w:szCs w:val="21"/>
                <w:highlight w:val="none"/>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3FB5B178">
            <w:pPr>
              <w:snapToGrid w:val="0"/>
              <w:spacing w:before="120" w:beforeLines="50"/>
              <w:jc w:val="center"/>
              <w:rPr>
                <w:color w:val="auto"/>
                <w:szCs w:val="21"/>
                <w:highlight w:val="none"/>
              </w:rPr>
            </w:pPr>
            <w:r>
              <w:rPr>
                <w:color w:val="auto"/>
                <w:szCs w:val="21"/>
                <w:highlight w:val="none"/>
              </w:rPr>
              <w:t>响应文件响应内容（</w:t>
            </w:r>
            <w:r>
              <w:rPr>
                <w:rFonts w:hint="eastAsia"/>
                <w:color w:val="auto"/>
                <w:szCs w:val="21"/>
                <w:highlight w:val="none"/>
              </w:rPr>
              <w:t>可</w:t>
            </w:r>
            <w:r>
              <w:rPr>
                <w:color w:val="auto"/>
                <w:szCs w:val="21"/>
                <w:highlight w:val="none"/>
              </w:rPr>
              <w:t>注明所在页码）</w:t>
            </w:r>
          </w:p>
        </w:tc>
        <w:tc>
          <w:tcPr>
            <w:tcW w:w="1082" w:type="dxa"/>
            <w:tcBorders>
              <w:top w:val="single" w:color="auto" w:sz="4" w:space="0"/>
              <w:left w:val="single" w:color="auto" w:sz="4" w:space="0"/>
              <w:bottom w:val="single" w:color="auto" w:sz="4" w:space="0"/>
              <w:right w:val="single" w:color="auto" w:sz="4" w:space="0"/>
            </w:tcBorders>
            <w:vAlign w:val="center"/>
          </w:tcPr>
          <w:p w14:paraId="386620DC">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68BDD1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557BD952">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0B4D0B83">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25BF6992">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3B41DCBB">
            <w:pPr>
              <w:snapToGrid w:val="0"/>
              <w:spacing w:before="120" w:beforeLines="50"/>
              <w:jc w:val="center"/>
              <w:rPr>
                <w:color w:val="auto"/>
                <w:szCs w:val="21"/>
                <w:highlight w:val="none"/>
              </w:rPr>
            </w:pPr>
          </w:p>
        </w:tc>
      </w:tr>
      <w:tr w14:paraId="65A90E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55281220">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7D4C3A7A">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706C46E4">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04E87A50">
            <w:pPr>
              <w:snapToGrid w:val="0"/>
              <w:spacing w:before="120" w:beforeLines="50"/>
              <w:jc w:val="center"/>
              <w:rPr>
                <w:color w:val="auto"/>
                <w:szCs w:val="21"/>
                <w:highlight w:val="none"/>
              </w:rPr>
            </w:pPr>
          </w:p>
        </w:tc>
      </w:tr>
    </w:tbl>
    <w:p w14:paraId="21A4E4DB">
      <w:pPr>
        <w:pStyle w:val="28"/>
        <w:tabs>
          <w:tab w:val="left" w:pos="2127"/>
        </w:tabs>
        <w:spacing w:line="340" w:lineRule="exact"/>
        <w:ind w:firstLine="420" w:firstLineChars="200"/>
        <w:jc w:val="left"/>
        <w:rPr>
          <w:rFonts w:ascii="Times New Roman" w:hAnsi="Times New Roman" w:cs="Times New Roman"/>
          <w:color w:val="auto"/>
          <w:highlight w:val="none"/>
        </w:rPr>
      </w:pPr>
      <w:bookmarkStart w:id="137" w:name="_Hlk48144603"/>
      <w:r>
        <w:rPr>
          <w:rFonts w:ascii="Times New Roman" w:hAnsi="Times New Roman" w:cs="Times New Roman"/>
          <w:color w:val="auto"/>
          <w:highlight w:val="none"/>
        </w:rPr>
        <w:t>注：</w:t>
      </w:r>
      <w:bookmarkStart w:id="138" w:name="_Hlk19049081"/>
      <w:r>
        <w:rPr>
          <w:rFonts w:ascii="Times New Roman" w:hAnsi="Times New Roman" w:cs="Times New Roman"/>
          <w:color w:val="auto"/>
          <w:highlight w:val="none"/>
        </w:rPr>
        <w:t>（1）本表应对采购文件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中所列商务要求进行响应，并根据响应情况在“偏离说明”栏填写正偏离或负偏离及原因，完全符合的填写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4DEC6F83">
      <w:pPr>
        <w:pStyle w:val="28"/>
        <w:tabs>
          <w:tab w:val="left" w:pos="2127"/>
        </w:tabs>
        <w:spacing w:line="34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027ED926">
      <w:pPr>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bookmarkEnd w:id="138"/>
    <w:p w14:paraId="575D3123">
      <w:pPr>
        <w:pStyle w:val="28"/>
        <w:tabs>
          <w:tab w:val="left" w:pos="2127"/>
        </w:tabs>
        <w:spacing w:line="340" w:lineRule="exact"/>
        <w:ind w:firstLine="420" w:firstLineChars="20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p>
    <w:bookmarkEnd w:id="137"/>
    <w:p w14:paraId="2D32FD9C">
      <w:pPr>
        <w:snapToGrid w:val="0"/>
        <w:spacing w:before="50" w:after="120" w:afterLines="5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183817C0">
      <w:pPr>
        <w:snapToGrid w:val="0"/>
        <w:spacing w:before="50" w:after="120" w:afterLines="50" w:line="440" w:lineRule="exact"/>
        <w:jc w:val="left"/>
        <w:rPr>
          <w:color w:val="auto"/>
          <w:spacing w:val="20"/>
          <w:szCs w:val="21"/>
          <w:highlight w:val="none"/>
          <w:u w:val="single"/>
        </w:rPr>
      </w:pPr>
    </w:p>
    <w:p w14:paraId="3AF3DE91">
      <w:pPr>
        <w:pStyle w:val="28"/>
        <w:tabs>
          <w:tab w:val="left" w:pos="2127"/>
        </w:tabs>
        <w:spacing w:line="340" w:lineRule="exact"/>
        <w:ind w:firstLine="420" w:firstLineChars="200"/>
        <w:jc w:val="left"/>
        <w:rPr>
          <w:rFonts w:ascii="Times New Roman" w:hAnsi="Times New Roman" w:cs="Times New Roman"/>
          <w:color w:val="auto"/>
          <w:highlight w:val="none"/>
        </w:rPr>
      </w:pPr>
    </w:p>
    <w:p w14:paraId="0E301554">
      <w:pPr>
        <w:snapToGrid w:val="0"/>
        <w:spacing w:before="50" w:after="120" w:afterLines="50" w:line="440" w:lineRule="exact"/>
        <w:jc w:val="left"/>
        <w:rPr>
          <w:color w:val="auto"/>
          <w:szCs w:val="21"/>
          <w:highlight w:val="none"/>
        </w:rPr>
      </w:pPr>
    </w:p>
    <w:p w14:paraId="65AEECB6">
      <w:pPr>
        <w:snapToGrid w:val="0"/>
        <w:spacing w:before="50" w:after="120" w:afterLines="50"/>
        <w:jc w:val="left"/>
        <w:rPr>
          <w:color w:val="auto"/>
          <w:szCs w:val="21"/>
          <w:highlight w:val="none"/>
        </w:rPr>
      </w:pPr>
      <w:r>
        <w:rPr>
          <w:rFonts w:hint="eastAsia"/>
          <w:color w:val="auto"/>
          <w:szCs w:val="21"/>
          <w:highlight w:val="none"/>
        </w:rPr>
        <w:t>8</w:t>
      </w:r>
      <w:r>
        <w:rPr>
          <w:color w:val="auto"/>
          <w:szCs w:val="21"/>
          <w:highlight w:val="none"/>
        </w:rPr>
        <w:t>．供应商认为需提供的其他材料（根据采购文件编写）</w:t>
      </w:r>
    </w:p>
    <w:p w14:paraId="02BC00FA">
      <w:pPr>
        <w:rPr>
          <w:color w:val="auto"/>
          <w:szCs w:val="21"/>
          <w:highlight w:val="none"/>
        </w:rPr>
      </w:pPr>
      <w:r>
        <w:rPr>
          <w:color w:val="auto"/>
          <w:szCs w:val="21"/>
          <w:highlight w:val="none"/>
        </w:rPr>
        <w:br w:type="page"/>
      </w:r>
    </w:p>
    <w:p w14:paraId="017E17CB">
      <w:pPr>
        <w:snapToGrid w:val="0"/>
        <w:spacing w:before="50" w:after="120" w:afterLines="50"/>
        <w:jc w:val="left"/>
        <w:rPr>
          <w:b/>
          <w:color w:val="auto"/>
          <w:szCs w:val="21"/>
          <w:highlight w:val="none"/>
        </w:rPr>
      </w:pPr>
      <w:r>
        <w:rPr>
          <w:rFonts w:hint="eastAsia"/>
          <w:color w:val="auto"/>
          <w:szCs w:val="21"/>
          <w:highlight w:val="none"/>
        </w:rPr>
        <w:t>9</w:t>
      </w:r>
      <w:r>
        <w:rPr>
          <w:color w:val="auto"/>
          <w:szCs w:val="21"/>
          <w:highlight w:val="none"/>
        </w:rPr>
        <w:t>．近年供应商类似成功案例的业绩证明</w:t>
      </w:r>
    </w:p>
    <w:p w14:paraId="5D63773A">
      <w:pPr>
        <w:snapToGrid w:val="0"/>
        <w:spacing w:before="50" w:after="120" w:afterLines="50"/>
        <w:jc w:val="center"/>
        <w:rPr>
          <w:color w:val="auto"/>
          <w:szCs w:val="21"/>
          <w:highlight w:val="none"/>
        </w:rPr>
      </w:pPr>
      <w:r>
        <w:rPr>
          <w:b/>
          <w:color w:val="auto"/>
          <w:szCs w:val="21"/>
          <w:highlight w:val="none"/>
        </w:rPr>
        <w:t>类似成功案例业绩一览表</w:t>
      </w:r>
    </w:p>
    <w:tbl>
      <w:tblPr>
        <w:tblStyle w:val="53"/>
        <w:tblW w:w="886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0"/>
        <w:gridCol w:w="1255"/>
        <w:gridCol w:w="1455"/>
        <w:gridCol w:w="2359"/>
        <w:gridCol w:w="1241"/>
        <w:gridCol w:w="846"/>
        <w:gridCol w:w="927"/>
      </w:tblGrid>
      <w:tr w14:paraId="5297C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1" w:hRule="atLeast"/>
        </w:trPr>
        <w:tc>
          <w:tcPr>
            <w:tcW w:w="780" w:type="dxa"/>
            <w:tcBorders>
              <w:top w:val="single" w:color="auto" w:sz="4" w:space="0"/>
              <w:left w:val="single" w:color="auto" w:sz="4" w:space="0"/>
              <w:right w:val="single" w:color="auto" w:sz="4" w:space="0"/>
            </w:tcBorders>
          </w:tcPr>
          <w:p w14:paraId="4BE1CA8C">
            <w:pPr>
              <w:snapToGrid w:val="0"/>
              <w:spacing w:line="240" w:lineRule="exact"/>
              <w:jc w:val="center"/>
              <w:rPr>
                <w:color w:val="auto"/>
                <w:szCs w:val="21"/>
                <w:highlight w:val="none"/>
              </w:rPr>
            </w:pPr>
          </w:p>
          <w:p w14:paraId="30244BD4">
            <w:pPr>
              <w:snapToGrid w:val="0"/>
              <w:spacing w:line="240" w:lineRule="exact"/>
              <w:jc w:val="center"/>
              <w:rPr>
                <w:color w:val="auto"/>
                <w:szCs w:val="21"/>
                <w:highlight w:val="none"/>
              </w:rPr>
            </w:pPr>
          </w:p>
          <w:p w14:paraId="7B7DDE3A">
            <w:pPr>
              <w:snapToGrid w:val="0"/>
              <w:spacing w:line="240" w:lineRule="exact"/>
              <w:jc w:val="center"/>
              <w:rPr>
                <w:color w:val="auto"/>
                <w:szCs w:val="21"/>
                <w:highlight w:val="none"/>
              </w:rPr>
            </w:pPr>
            <w:r>
              <w:rPr>
                <w:rFonts w:hint="eastAsia"/>
                <w:color w:val="auto"/>
                <w:szCs w:val="21"/>
                <w:highlight w:val="none"/>
              </w:rPr>
              <w:t>序号</w:t>
            </w:r>
          </w:p>
        </w:tc>
        <w:tc>
          <w:tcPr>
            <w:tcW w:w="1255" w:type="dxa"/>
            <w:tcBorders>
              <w:top w:val="single" w:color="auto" w:sz="4" w:space="0"/>
              <w:left w:val="single" w:color="auto" w:sz="4" w:space="0"/>
              <w:bottom w:val="single" w:color="auto" w:sz="4" w:space="0"/>
              <w:right w:val="single" w:color="auto" w:sz="4" w:space="0"/>
            </w:tcBorders>
            <w:vAlign w:val="center"/>
          </w:tcPr>
          <w:p w14:paraId="26C34B96">
            <w:pPr>
              <w:snapToGrid w:val="0"/>
              <w:spacing w:line="240" w:lineRule="exact"/>
              <w:jc w:val="center"/>
              <w:rPr>
                <w:color w:val="auto"/>
                <w:szCs w:val="21"/>
                <w:highlight w:val="none"/>
              </w:rPr>
            </w:pPr>
            <w:r>
              <w:rPr>
                <w:color w:val="auto"/>
                <w:szCs w:val="21"/>
                <w:highlight w:val="none"/>
              </w:rPr>
              <w:t>采购单位名称</w:t>
            </w:r>
          </w:p>
        </w:tc>
        <w:tc>
          <w:tcPr>
            <w:tcW w:w="1455" w:type="dxa"/>
            <w:tcBorders>
              <w:top w:val="single" w:color="auto" w:sz="4" w:space="0"/>
              <w:left w:val="single" w:color="auto" w:sz="4" w:space="0"/>
              <w:bottom w:val="single" w:color="auto" w:sz="4" w:space="0"/>
              <w:right w:val="single" w:color="auto" w:sz="4" w:space="0"/>
            </w:tcBorders>
            <w:vAlign w:val="center"/>
          </w:tcPr>
          <w:p w14:paraId="2D377E5A">
            <w:pPr>
              <w:snapToGrid w:val="0"/>
              <w:spacing w:line="240" w:lineRule="exact"/>
              <w:jc w:val="center"/>
              <w:rPr>
                <w:color w:val="auto"/>
                <w:szCs w:val="21"/>
                <w:highlight w:val="none"/>
              </w:rPr>
            </w:pPr>
            <w:r>
              <w:rPr>
                <w:color w:val="auto"/>
                <w:szCs w:val="21"/>
                <w:highlight w:val="none"/>
              </w:rPr>
              <w:t>项目名称或服务内容</w:t>
            </w:r>
          </w:p>
        </w:tc>
        <w:tc>
          <w:tcPr>
            <w:tcW w:w="2359" w:type="dxa"/>
            <w:tcBorders>
              <w:top w:val="single" w:color="auto" w:sz="4" w:space="0"/>
              <w:left w:val="single" w:color="auto" w:sz="4" w:space="0"/>
              <w:bottom w:val="single" w:color="auto" w:sz="4" w:space="0"/>
              <w:right w:val="single" w:color="auto" w:sz="4" w:space="0"/>
            </w:tcBorders>
            <w:vAlign w:val="center"/>
          </w:tcPr>
          <w:p w14:paraId="44F719C3">
            <w:pPr>
              <w:snapToGrid w:val="0"/>
              <w:spacing w:line="240" w:lineRule="exact"/>
              <w:jc w:val="center"/>
              <w:rPr>
                <w:color w:val="auto"/>
                <w:szCs w:val="21"/>
                <w:highlight w:val="none"/>
              </w:rPr>
            </w:pPr>
            <w:r>
              <w:rPr>
                <w:color w:val="auto"/>
                <w:szCs w:val="21"/>
                <w:highlight w:val="none"/>
              </w:rPr>
              <w:t>服务</w:t>
            </w:r>
          </w:p>
          <w:p w14:paraId="56A42A3A">
            <w:pPr>
              <w:snapToGrid w:val="0"/>
              <w:spacing w:line="240" w:lineRule="exact"/>
              <w:jc w:val="center"/>
              <w:rPr>
                <w:color w:val="auto"/>
                <w:szCs w:val="21"/>
                <w:highlight w:val="none"/>
              </w:rPr>
            </w:pPr>
            <w:r>
              <w:rPr>
                <w:color w:val="auto"/>
                <w:szCs w:val="21"/>
                <w:highlight w:val="none"/>
              </w:rPr>
              <w:t>数量或年限</w:t>
            </w:r>
          </w:p>
        </w:tc>
        <w:tc>
          <w:tcPr>
            <w:tcW w:w="1241" w:type="dxa"/>
            <w:tcBorders>
              <w:top w:val="single" w:color="auto" w:sz="4" w:space="0"/>
              <w:left w:val="single" w:color="auto" w:sz="4" w:space="0"/>
              <w:bottom w:val="single" w:color="auto" w:sz="4" w:space="0"/>
              <w:right w:val="single" w:color="auto" w:sz="4" w:space="0"/>
            </w:tcBorders>
            <w:vAlign w:val="center"/>
          </w:tcPr>
          <w:p w14:paraId="72F4CB7C">
            <w:pPr>
              <w:snapToGrid w:val="0"/>
              <w:spacing w:line="240" w:lineRule="exact"/>
              <w:jc w:val="center"/>
              <w:rPr>
                <w:color w:val="auto"/>
                <w:szCs w:val="21"/>
                <w:highlight w:val="none"/>
              </w:rPr>
            </w:pPr>
            <w:r>
              <w:rPr>
                <w:color w:val="auto"/>
                <w:szCs w:val="21"/>
                <w:highlight w:val="none"/>
              </w:rPr>
              <w:t>单价</w:t>
            </w:r>
            <w:r>
              <w:rPr>
                <w:rFonts w:hint="eastAsia"/>
                <w:color w:val="auto"/>
                <w:szCs w:val="21"/>
                <w:highlight w:val="none"/>
              </w:rPr>
              <w:t>（元）</w:t>
            </w:r>
          </w:p>
        </w:tc>
        <w:tc>
          <w:tcPr>
            <w:tcW w:w="846" w:type="dxa"/>
            <w:tcBorders>
              <w:top w:val="single" w:color="auto" w:sz="4" w:space="0"/>
              <w:left w:val="single" w:color="auto" w:sz="4" w:space="0"/>
              <w:bottom w:val="single" w:color="auto" w:sz="4" w:space="0"/>
              <w:right w:val="single" w:color="auto" w:sz="4" w:space="0"/>
            </w:tcBorders>
            <w:vAlign w:val="center"/>
          </w:tcPr>
          <w:p w14:paraId="342F3AC6">
            <w:pPr>
              <w:snapToGrid w:val="0"/>
              <w:spacing w:line="240" w:lineRule="exact"/>
              <w:jc w:val="center"/>
              <w:rPr>
                <w:color w:val="auto"/>
                <w:szCs w:val="21"/>
                <w:highlight w:val="none"/>
              </w:rPr>
            </w:pPr>
            <w:r>
              <w:rPr>
                <w:color w:val="auto"/>
                <w:szCs w:val="21"/>
                <w:highlight w:val="none"/>
              </w:rPr>
              <w:t>合同</w:t>
            </w:r>
            <w:r>
              <w:rPr>
                <w:rFonts w:hint="eastAsia"/>
                <w:color w:val="auto"/>
                <w:szCs w:val="21"/>
                <w:highlight w:val="none"/>
              </w:rPr>
              <w:t>总价</w:t>
            </w:r>
          </w:p>
          <w:p w14:paraId="12EE98F8">
            <w:pPr>
              <w:snapToGrid w:val="0"/>
              <w:spacing w:line="240" w:lineRule="exact"/>
              <w:jc w:val="center"/>
              <w:rPr>
                <w:color w:val="auto"/>
                <w:szCs w:val="21"/>
                <w:highlight w:val="none"/>
              </w:rPr>
            </w:pPr>
            <w:r>
              <w:rPr>
                <w:color w:val="auto"/>
                <w:szCs w:val="21"/>
                <w:highlight w:val="none"/>
              </w:rPr>
              <w:t>（元）</w:t>
            </w:r>
          </w:p>
        </w:tc>
        <w:tc>
          <w:tcPr>
            <w:tcW w:w="927" w:type="dxa"/>
            <w:tcBorders>
              <w:top w:val="single" w:color="auto" w:sz="4" w:space="0"/>
              <w:left w:val="single" w:color="auto" w:sz="4" w:space="0"/>
              <w:bottom w:val="single" w:color="auto" w:sz="4" w:space="0"/>
              <w:right w:val="single" w:color="auto" w:sz="4" w:space="0"/>
            </w:tcBorders>
            <w:vAlign w:val="center"/>
          </w:tcPr>
          <w:p w14:paraId="666F302B">
            <w:pPr>
              <w:jc w:val="center"/>
              <w:rPr>
                <w:color w:val="auto"/>
                <w:szCs w:val="21"/>
                <w:highlight w:val="none"/>
              </w:rPr>
            </w:pPr>
            <w:r>
              <w:rPr>
                <w:color w:val="auto"/>
                <w:szCs w:val="21"/>
                <w:highlight w:val="none"/>
              </w:rPr>
              <w:t>采购单位联系人及联系电话</w:t>
            </w:r>
          </w:p>
        </w:tc>
      </w:tr>
      <w:tr w14:paraId="7DBD19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80" w:type="dxa"/>
            <w:tcBorders>
              <w:top w:val="single" w:color="auto" w:sz="4" w:space="0"/>
              <w:left w:val="single" w:color="auto" w:sz="4" w:space="0"/>
              <w:bottom w:val="single" w:color="auto" w:sz="4" w:space="0"/>
              <w:right w:val="single" w:color="auto" w:sz="4" w:space="0"/>
            </w:tcBorders>
          </w:tcPr>
          <w:p w14:paraId="238C1DB2">
            <w:pPr>
              <w:snapToGrid w:val="0"/>
              <w:spacing w:line="240" w:lineRule="exact"/>
              <w:jc w:val="left"/>
              <w:rPr>
                <w:color w:val="auto"/>
                <w:szCs w:val="21"/>
                <w:highlight w:val="none"/>
              </w:rPr>
            </w:pPr>
          </w:p>
        </w:tc>
        <w:tc>
          <w:tcPr>
            <w:tcW w:w="1255" w:type="dxa"/>
            <w:tcBorders>
              <w:top w:val="single" w:color="auto" w:sz="4" w:space="0"/>
              <w:left w:val="single" w:color="auto" w:sz="4" w:space="0"/>
              <w:bottom w:val="single" w:color="auto" w:sz="4" w:space="0"/>
              <w:right w:val="single" w:color="auto" w:sz="4" w:space="0"/>
            </w:tcBorders>
          </w:tcPr>
          <w:p w14:paraId="515BEF6F">
            <w:pPr>
              <w:snapToGrid w:val="0"/>
              <w:spacing w:line="240" w:lineRule="exact"/>
              <w:jc w:val="left"/>
              <w:rPr>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tcPr>
          <w:p w14:paraId="4EFD50E3">
            <w:pPr>
              <w:snapToGrid w:val="0"/>
              <w:spacing w:line="240" w:lineRule="exact"/>
              <w:jc w:val="left"/>
              <w:rPr>
                <w:color w:val="auto"/>
                <w:szCs w:val="21"/>
                <w:highlight w:val="none"/>
              </w:rPr>
            </w:pPr>
          </w:p>
        </w:tc>
        <w:tc>
          <w:tcPr>
            <w:tcW w:w="2359" w:type="dxa"/>
            <w:tcBorders>
              <w:top w:val="single" w:color="auto" w:sz="4" w:space="0"/>
              <w:left w:val="single" w:color="auto" w:sz="4" w:space="0"/>
              <w:bottom w:val="single" w:color="auto" w:sz="4" w:space="0"/>
              <w:right w:val="single" w:color="auto" w:sz="4" w:space="0"/>
            </w:tcBorders>
          </w:tcPr>
          <w:p w14:paraId="6714ECF4">
            <w:pPr>
              <w:snapToGrid w:val="0"/>
              <w:spacing w:line="240" w:lineRule="exact"/>
              <w:jc w:val="left"/>
              <w:rPr>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tcPr>
          <w:p w14:paraId="28D33A56">
            <w:pPr>
              <w:snapToGrid w:val="0"/>
              <w:spacing w:line="240" w:lineRule="exact"/>
              <w:jc w:val="left"/>
              <w:rPr>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tcPr>
          <w:p w14:paraId="4A71CC15">
            <w:pPr>
              <w:snapToGrid w:val="0"/>
              <w:spacing w:line="240" w:lineRule="exact"/>
              <w:jc w:val="left"/>
              <w:rPr>
                <w:color w:val="auto"/>
                <w:szCs w:val="21"/>
                <w:highlight w:val="none"/>
              </w:rPr>
            </w:pPr>
          </w:p>
        </w:tc>
        <w:tc>
          <w:tcPr>
            <w:tcW w:w="927" w:type="dxa"/>
            <w:tcBorders>
              <w:top w:val="single" w:color="auto" w:sz="4" w:space="0"/>
              <w:left w:val="single" w:color="auto" w:sz="4" w:space="0"/>
              <w:bottom w:val="single" w:color="auto" w:sz="4" w:space="0"/>
              <w:right w:val="single" w:color="auto" w:sz="4" w:space="0"/>
            </w:tcBorders>
          </w:tcPr>
          <w:p w14:paraId="0AAF2F7A">
            <w:pPr>
              <w:snapToGrid w:val="0"/>
              <w:spacing w:line="240" w:lineRule="exact"/>
              <w:jc w:val="left"/>
              <w:rPr>
                <w:color w:val="auto"/>
                <w:szCs w:val="21"/>
                <w:highlight w:val="none"/>
              </w:rPr>
            </w:pPr>
          </w:p>
        </w:tc>
      </w:tr>
      <w:tr w14:paraId="445441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780" w:type="dxa"/>
            <w:tcBorders>
              <w:top w:val="single" w:color="auto" w:sz="4" w:space="0"/>
              <w:left w:val="single" w:color="auto" w:sz="4" w:space="0"/>
              <w:bottom w:val="single" w:color="auto" w:sz="4" w:space="0"/>
              <w:right w:val="single" w:color="auto" w:sz="4" w:space="0"/>
            </w:tcBorders>
          </w:tcPr>
          <w:p w14:paraId="5A9126E6">
            <w:pPr>
              <w:snapToGrid w:val="0"/>
              <w:spacing w:before="50" w:after="120" w:afterLines="50" w:line="400" w:lineRule="exact"/>
              <w:jc w:val="left"/>
              <w:rPr>
                <w:color w:val="auto"/>
                <w:szCs w:val="21"/>
                <w:highlight w:val="none"/>
              </w:rPr>
            </w:pPr>
          </w:p>
        </w:tc>
        <w:tc>
          <w:tcPr>
            <w:tcW w:w="1255" w:type="dxa"/>
            <w:tcBorders>
              <w:top w:val="single" w:color="auto" w:sz="4" w:space="0"/>
              <w:left w:val="single" w:color="auto" w:sz="4" w:space="0"/>
              <w:bottom w:val="single" w:color="auto" w:sz="4" w:space="0"/>
              <w:right w:val="single" w:color="auto" w:sz="4" w:space="0"/>
            </w:tcBorders>
          </w:tcPr>
          <w:p w14:paraId="0D8E2B16">
            <w:pPr>
              <w:snapToGrid w:val="0"/>
              <w:spacing w:before="50" w:after="120" w:afterLines="50" w:line="400" w:lineRule="exact"/>
              <w:jc w:val="left"/>
              <w:rPr>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tcPr>
          <w:p w14:paraId="2217A331">
            <w:pPr>
              <w:snapToGrid w:val="0"/>
              <w:spacing w:before="50" w:after="120" w:afterLines="50" w:line="400" w:lineRule="exact"/>
              <w:jc w:val="left"/>
              <w:rPr>
                <w:color w:val="auto"/>
                <w:szCs w:val="21"/>
                <w:highlight w:val="none"/>
              </w:rPr>
            </w:pPr>
          </w:p>
        </w:tc>
        <w:tc>
          <w:tcPr>
            <w:tcW w:w="2359" w:type="dxa"/>
            <w:tcBorders>
              <w:top w:val="single" w:color="auto" w:sz="4" w:space="0"/>
              <w:left w:val="single" w:color="auto" w:sz="4" w:space="0"/>
              <w:bottom w:val="single" w:color="auto" w:sz="4" w:space="0"/>
              <w:right w:val="single" w:color="auto" w:sz="4" w:space="0"/>
            </w:tcBorders>
          </w:tcPr>
          <w:p w14:paraId="7FDC4B1D">
            <w:pPr>
              <w:snapToGrid w:val="0"/>
              <w:spacing w:before="50" w:after="120" w:afterLines="50" w:line="400" w:lineRule="exact"/>
              <w:jc w:val="left"/>
              <w:rPr>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tcPr>
          <w:p w14:paraId="413AA034">
            <w:pPr>
              <w:snapToGrid w:val="0"/>
              <w:spacing w:before="50" w:after="120" w:afterLines="50" w:line="400" w:lineRule="exact"/>
              <w:jc w:val="left"/>
              <w:rPr>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tcPr>
          <w:p w14:paraId="0120D0B9">
            <w:pPr>
              <w:snapToGrid w:val="0"/>
              <w:spacing w:before="50" w:after="120" w:afterLines="50" w:line="400" w:lineRule="exact"/>
              <w:jc w:val="left"/>
              <w:rPr>
                <w:color w:val="auto"/>
                <w:szCs w:val="21"/>
                <w:highlight w:val="none"/>
              </w:rPr>
            </w:pPr>
          </w:p>
        </w:tc>
        <w:tc>
          <w:tcPr>
            <w:tcW w:w="927" w:type="dxa"/>
            <w:tcBorders>
              <w:top w:val="single" w:color="auto" w:sz="4" w:space="0"/>
              <w:left w:val="single" w:color="auto" w:sz="4" w:space="0"/>
              <w:bottom w:val="single" w:color="auto" w:sz="4" w:space="0"/>
              <w:right w:val="single" w:color="auto" w:sz="4" w:space="0"/>
            </w:tcBorders>
          </w:tcPr>
          <w:p w14:paraId="62F3F6E9">
            <w:pPr>
              <w:snapToGrid w:val="0"/>
              <w:spacing w:before="50" w:after="120" w:afterLines="50" w:line="400" w:lineRule="exact"/>
              <w:jc w:val="left"/>
              <w:rPr>
                <w:color w:val="auto"/>
                <w:szCs w:val="21"/>
                <w:highlight w:val="none"/>
              </w:rPr>
            </w:pPr>
          </w:p>
        </w:tc>
      </w:tr>
      <w:tr w14:paraId="464F76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780" w:type="dxa"/>
            <w:tcBorders>
              <w:top w:val="single" w:color="auto" w:sz="4" w:space="0"/>
              <w:left w:val="single" w:color="auto" w:sz="4" w:space="0"/>
              <w:bottom w:val="single" w:color="auto" w:sz="4" w:space="0"/>
              <w:right w:val="single" w:color="auto" w:sz="4" w:space="0"/>
            </w:tcBorders>
          </w:tcPr>
          <w:p w14:paraId="6F565728">
            <w:pPr>
              <w:snapToGrid w:val="0"/>
              <w:spacing w:before="50" w:after="120" w:afterLines="50" w:line="400" w:lineRule="exact"/>
              <w:jc w:val="left"/>
              <w:rPr>
                <w:color w:val="auto"/>
                <w:szCs w:val="21"/>
                <w:highlight w:val="none"/>
              </w:rPr>
            </w:pPr>
          </w:p>
        </w:tc>
        <w:tc>
          <w:tcPr>
            <w:tcW w:w="1255" w:type="dxa"/>
            <w:tcBorders>
              <w:top w:val="single" w:color="auto" w:sz="4" w:space="0"/>
              <w:left w:val="single" w:color="auto" w:sz="4" w:space="0"/>
              <w:bottom w:val="single" w:color="auto" w:sz="4" w:space="0"/>
              <w:right w:val="single" w:color="auto" w:sz="4" w:space="0"/>
            </w:tcBorders>
          </w:tcPr>
          <w:p w14:paraId="5E5A8F9E">
            <w:pPr>
              <w:snapToGrid w:val="0"/>
              <w:spacing w:before="50" w:after="120" w:afterLines="50" w:line="400" w:lineRule="exact"/>
              <w:jc w:val="left"/>
              <w:rPr>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tcPr>
          <w:p w14:paraId="5344846D">
            <w:pPr>
              <w:snapToGrid w:val="0"/>
              <w:spacing w:before="50" w:after="120" w:afterLines="50" w:line="400" w:lineRule="exact"/>
              <w:jc w:val="left"/>
              <w:rPr>
                <w:color w:val="auto"/>
                <w:szCs w:val="21"/>
                <w:highlight w:val="none"/>
              </w:rPr>
            </w:pPr>
          </w:p>
        </w:tc>
        <w:tc>
          <w:tcPr>
            <w:tcW w:w="2359" w:type="dxa"/>
            <w:tcBorders>
              <w:top w:val="single" w:color="auto" w:sz="4" w:space="0"/>
              <w:left w:val="single" w:color="auto" w:sz="4" w:space="0"/>
              <w:bottom w:val="single" w:color="auto" w:sz="4" w:space="0"/>
              <w:right w:val="single" w:color="auto" w:sz="4" w:space="0"/>
            </w:tcBorders>
          </w:tcPr>
          <w:p w14:paraId="0699363F">
            <w:pPr>
              <w:snapToGrid w:val="0"/>
              <w:spacing w:before="50" w:after="120" w:afterLines="50" w:line="400" w:lineRule="exact"/>
              <w:jc w:val="left"/>
              <w:rPr>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tcPr>
          <w:p w14:paraId="3EC2D0E6">
            <w:pPr>
              <w:snapToGrid w:val="0"/>
              <w:spacing w:before="50" w:after="120" w:afterLines="50" w:line="400" w:lineRule="exact"/>
              <w:jc w:val="left"/>
              <w:rPr>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tcPr>
          <w:p w14:paraId="52D4E25E">
            <w:pPr>
              <w:snapToGrid w:val="0"/>
              <w:spacing w:before="50" w:after="120" w:afterLines="50" w:line="400" w:lineRule="exact"/>
              <w:jc w:val="left"/>
              <w:rPr>
                <w:color w:val="auto"/>
                <w:szCs w:val="21"/>
                <w:highlight w:val="none"/>
              </w:rPr>
            </w:pPr>
          </w:p>
        </w:tc>
        <w:tc>
          <w:tcPr>
            <w:tcW w:w="927" w:type="dxa"/>
            <w:tcBorders>
              <w:top w:val="single" w:color="auto" w:sz="4" w:space="0"/>
              <w:left w:val="single" w:color="auto" w:sz="4" w:space="0"/>
              <w:bottom w:val="single" w:color="auto" w:sz="4" w:space="0"/>
              <w:right w:val="single" w:color="auto" w:sz="4" w:space="0"/>
            </w:tcBorders>
          </w:tcPr>
          <w:p w14:paraId="4BFD0FAE">
            <w:pPr>
              <w:snapToGrid w:val="0"/>
              <w:spacing w:before="50" w:after="120" w:afterLines="50" w:line="400" w:lineRule="exact"/>
              <w:jc w:val="left"/>
              <w:rPr>
                <w:color w:val="auto"/>
                <w:szCs w:val="21"/>
                <w:highlight w:val="none"/>
              </w:rPr>
            </w:pPr>
          </w:p>
        </w:tc>
      </w:tr>
      <w:tr w14:paraId="6C7A21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780" w:type="dxa"/>
            <w:tcBorders>
              <w:top w:val="single" w:color="auto" w:sz="4" w:space="0"/>
              <w:left w:val="single" w:color="auto" w:sz="4" w:space="0"/>
              <w:bottom w:val="single" w:color="auto" w:sz="4" w:space="0"/>
              <w:right w:val="single" w:color="auto" w:sz="4" w:space="0"/>
            </w:tcBorders>
          </w:tcPr>
          <w:p w14:paraId="718B9D35">
            <w:pPr>
              <w:snapToGrid w:val="0"/>
              <w:spacing w:before="50" w:after="120" w:afterLines="50" w:line="400" w:lineRule="exact"/>
              <w:jc w:val="left"/>
              <w:rPr>
                <w:color w:val="auto"/>
                <w:szCs w:val="21"/>
                <w:highlight w:val="none"/>
              </w:rPr>
            </w:pPr>
          </w:p>
        </w:tc>
        <w:tc>
          <w:tcPr>
            <w:tcW w:w="1255" w:type="dxa"/>
            <w:tcBorders>
              <w:top w:val="single" w:color="auto" w:sz="4" w:space="0"/>
              <w:left w:val="single" w:color="auto" w:sz="4" w:space="0"/>
              <w:bottom w:val="single" w:color="auto" w:sz="4" w:space="0"/>
              <w:right w:val="single" w:color="auto" w:sz="4" w:space="0"/>
            </w:tcBorders>
          </w:tcPr>
          <w:p w14:paraId="141AE4F4">
            <w:pPr>
              <w:snapToGrid w:val="0"/>
              <w:spacing w:before="50" w:after="120" w:afterLines="50" w:line="400" w:lineRule="exact"/>
              <w:jc w:val="left"/>
              <w:rPr>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tcPr>
          <w:p w14:paraId="66CE314A">
            <w:pPr>
              <w:snapToGrid w:val="0"/>
              <w:spacing w:before="50" w:after="120" w:afterLines="50" w:line="400" w:lineRule="exact"/>
              <w:jc w:val="left"/>
              <w:rPr>
                <w:color w:val="auto"/>
                <w:szCs w:val="21"/>
                <w:highlight w:val="none"/>
              </w:rPr>
            </w:pPr>
          </w:p>
        </w:tc>
        <w:tc>
          <w:tcPr>
            <w:tcW w:w="2359" w:type="dxa"/>
            <w:tcBorders>
              <w:top w:val="single" w:color="auto" w:sz="4" w:space="0"/>
              <w:left w:val="single" w:color="auto" w:sz="4" w:space="0"/>
              <w:bottom w:val="single" w:color="auto" w:sz="4" w:space="0"/>
              <w:right w:val="single" w:color="auto" w:sz="4" w:space="0"/>
            </w:tcBorders>
          </w:tcPr>
          <w:p w14:paraId="0F45DD1F">
            <w:pPr>
              <w:snapToGrid w:val="0"/>
              <w:spacing w:before="50" w:after="120" w:afterLines="50" w:line="400" w:lineRule="exact"/>
              <w:jc w:val="left"/>
              <w:rPr>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tcPr>
          <w:p w14:paraId="06409DB2">
            <w:pPr>
              <w:snapToGrid w:val="0"/>
              <w:spacing w:before="50" w:after="120" w:afterLines="50" w:line="400" w:lineRule="exact"/>
              <w:jc w:val="left"/>
              <w:rPr>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tcPr>
          <w:p w14:paraId="77EE6850">
            <w:pPr>
              <w:snapToGrid w:val="0"/>
              <w:spacing w:before="50" w:after="120" w:afterLines="50" w:line="400" w:lineRule="exact"/>
              <w:jc w:val="left"/>
              <w:rPr>
                <w:color w:val="auto"/>
                <w:szCs w:val="21"/>
                <w:highlight w:val="none"/>
              </w:rPr>
            </w:pPr>
          </w:p>
        </w:tc>
        <w:tc>
          <w:tcPr>
            <w:tcW w:w="927" w:type="dxa"/>
            <w:tcBorders>
              <w:top w:val="single" w:color="auto" w:sz="4" w:space="0"/>
              <w:left w:val="single" w:color="auto" w:sz="4" w:space="0"/>
              <w:bottom w:val="single" w:color="auto" w:sz="4" w:space="0"/>
              <w:right w:val="single" w:color="auto" w:sz="4" w:space="0"/>
            </w:tcBorders>
          </w:tcPr>
          <w:p w14:paraId="1024BD2D">
            <w:pPr>
              <w:snapToGrid w:val="0"/>
              <w:spacing w:before="50" w:after="120" w:afterLines="50" w:line="400" w:lineRule="exact"/>
              <w:jc w:val="left"/>
              <w:rPr>
                <w:color w:val="auto"/>
                <w:szCs w:val="21"/>
                <w:highlight w:val="none"/>
              </w:rPr>
            </w:pPr>
          </w:p>
        </w:tc>
      </w:tr>
      <w:tr w14:paraId="68F0B6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780" w:type="dxa"/>
            <w:tcBorders>
              <w:top w:val="single" w:color="auto" w:sz="4" w:space="0"/>
              <w:left w:val="single" w:color="auto" w:sz="4" w:space="0"/>
              <w:bottom w:val="single" w:color="auto" w:sz="4" w:space="0"/>
              <w:right w:val="single" w:color="auto" w:sz="4" w:space="0"/>
            </w:tcBorders>
          </w:tcPr>
          <w:p w14:paraId="2460D6F2">
            <w:pPr>
              <w:snapToGrid w:val="0"/>
              <w:spacing w:before="50" w:after="120" w:afterLines="50" w:line="400" w:lineRule="exact"/>
              <w:jc w:val="left"/>
              <w:rPr>
                <w:color w:val="auto"/>
                <w:szCs w:val="21"/>
                <w:highlight w:val="none"/>
              </w:rPr>
            </w:pPr>
          </w:p>
        </w:tc>
        <w:tc>
          <w:tcPr>
            <w:tcW w:w="1255" w:type="dxa"/>
            <w:tcBorders>
              <w:top w:val="single" w:color="auto" w:sz="4" w:space="0"/>
              <w:left w:val="single" w:color="auto" w:sz="4" w:space="0"/>
              <w:bottom w:val="single" w:color="auto" w:sz="4" w:space="0"/>
              <w:right w:val="single" w:color="auto" w:sz="4" w:space="0"/>
            </w:tcBorders>
          </w:tcPr>
          <w:p w14:paraId="3222CA12">
            <w:pPr>
              <w:snapToGrid w:val="0"/>
              <w:spacing w:before="50" w:after="120" w:afterLines="50" w:line="400" w:lineRule="exact"/>
              <w:jc w:val="left"/>
              <w:rPr>
                <w:color w:val="auto"/>
                <w:szCs w:val="21"/>
                <w:highlight w:val="none"/>
              </w:rPr>
            </w:pPr>
          </w:p>
        </w:tc>
        <w:tc>
          <w:tcPr>
            <w:tcW w:w="1455" w:type="dxa"/>
            <w:tcBorders>
              <w:top w:val="single" w:color="auto" w:sz="4" w:space="0"/>
              <w:left w:val="single" w:color="auto" w:sz="4" w:space="0"/>
              <w:bottom w:val="single" w:color="auto" w:sz="4" w:space="0"/>
              <w:right w:val="single" w:color="auto" w:sz="4" w:space="0"/>
            </w:tcBorders>
          </w:tcPr>
          <w:p w14:paraId="7BAEEB4D">
            <w:pPr>
              <w:snapToGrid w:val="0"/>
              <w:spacing w:before="50" w:after="120" w:afterLines="50" w:line="400" w:lineRule="exact"/>
              <w:jc w:val="left"/>
              <w:rPr>
                <w:color w:val="auto"/>
                <w:szCs w:val="21"/>
                <w:highlight w:val="none"/>
              </w:rPr>
            </w:pPr>
          </w:p>
        </w:tc>
        <w:tc>
          <w:tcPr>
            <w:tcW w:w="2359" w:type="dxa"/>
            <w:tcBorders>
              <w:top w:val="single" w:color="auto" w:sz="4" w:space="0"/>
              <w:left w:val="single" w:color="auto" w:sz="4" w:space="0"/>
              <w:bottom w:val="single" w:color="auto" w:sz="4" w:space="0"/>
              <w:right w:val="single" w:color="auto" w:sz="4" w:space="0"/>
            </w:tcBorders>
          </w:tcPr>
          <w:p w14:paraId="0085F637">
            <w:pPr>
              <w:snapToGrid w:val="0"/>
              <w:spacing w:before="50" w:after="120" w:afterLines="50" w:line="400" w:lineRule="exact"/>
              <w:jc w:val="left"/>
              <w:rPr>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tcPr>
          <w:p w14:paraId="2E435E98">
            <w:pPr>
              <w:snapToGrid w:val="0"/>
              <w:spacing w:before="50" w:after="120" w:afterLines="50" w:line="400" w:lineRule="exact"/>
              <w:jc w:val="left"/>
              <w:rPr>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tcPr>
          <w:p w14:paraId="6990B30D">
            <w:pPr>
              <w:snapToGrid w:val="0"/>
              <w:spacing w:before="50" w:after="120" w:afterLines="50" w:line="400" w:lineRule="exact"/>
              <w:jc w:val="left"/>
              <w:rPr>
                <w:color w:val="auto"/>
                <w:szCs w:val="21"/>
                <w:highlight w:val="none"/>
              </w:rPr>
            </w:pPr>
          </w:p>
        </w:tc>
        <w:tc>
          <w:tcPr>
            <w:tcW w:w="927" w:type="dxa"/>
            <w:tcBorders>
              <w:top w:val="single" w:color="auto" w:sz="4" w:space="0"/>
              <w:left w:val="single" w:color="auto" w:sz="4" w:space="0"/>
              <w:bottom w:val="single" w:color="auto" w:sz="4" w:space="0"/>
              <w:right w:val="single" w:color="auto" w:sz="4" w:space="0"/>
            </w:tcBorders>
          </w:tcPr>
          <w:p w14:paraId="6F31EA26">
            <w:pPr>
              <w:snapToGrid w:val="0"/>
              <w:spacing w:before="50" w:after="120" w:afterLines="50" w:line="400" w:lineRule="exact"/>
              <w:jc w:val="left"/>
              <w:rPr>
                <w:color w:val="auto"/>
                <w:szCs w:val="21"/>
                <w:highlight w:val="none"/>
              </w:rPr>
            </w:pPr>
          </w:p>
        </w:tc>
      </w:tr>
    </w:tbl>
    <w:p w14:paraId="75841F0E">
      <w:pPr>
        <w:pStyle w:val="18"/>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w:t>
      </w:r>
    </w:p>
    <w:p w14:paraId="68A8473B">
      <w:pPr>
        <w:pStyle w:val="18"/>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（1）</w:t>
      </w:r>
      <w:r>
        <w:rPr>
          <w:rFonts w:ascii="Times New Roman" w:hAnsi="Times New Roman" w:eastAsia="宋体" w:cs="Times New Roman"/>
          <w:color w:val="auto"/>
          <w:sz w:val="21"/>
          <w:szCs w:val="21"/>
          <w:highlight w:val="none"/>
        </w:rPr>
        <w:t>未附</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的业绩无效</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见第四章《评审方法及标准》规定</w:t>
      </w:r>
      <w:r>
        <w:rPr>
          <w:rFonts w:hint="eastAsia" w:ascii="Times New Roman" w:hAnsi="Times New Roman" w:eastAsia="宋体" w:cs="Times New Roman"/>
          <w:color w:val="auto"/>
          <w:sz w:val="21"/>
          <w:szCs w:val="21"/>
          <w:highlight w:val="none"/>
        </w:rPr>
        <w:t>。</w:t>
      </w:r>
    </w:p>
    <w:p w14:paraId="1AC1990C">
      <w:pPr>
        <w:pStyle w:val="18"/>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（2）</w:t>
      </w:r>
      <w:r>
        <w:rPr>
          <w:rFonts w:ascii="Times New Roman" w:hAnsi="Times New Roman" w:eastAsia="宋体" w:cs="Times New Roman"/>
          <w:color w:val="auto"/>
          <w:sz w:val="21"/>
          <w:szCs w:val="21"/>
          <w:highlight w:val="none"/>
        </w:rPr>
        <w:t>类似项目的定义见第四章《评审方法及标准》规定。</w:t>
      </w:r>
    </w:p>
    <w:p w14:paraId="10192972">
      <w:pPr>
        <w:rPr>
          <w:color w:val="auto"/>
          <w:highlight w:val="none"/>
        </w:rPr>
      </w:pPr>
      <w:r>
        <w:rPr>
          <w:color w:val="auto"/>
          <w:szCs w:val="21"/>
          <w:highlight w:val="none"/>
        </w:rPr>
        <w:t>（3）</w:t>
      </w:r>
      <w:r>
        <w:rPr>
          <w:color w:val="auto"/>
          <w:highlight w:val="none"/>
        </w:rPr>
        <w:t>本表可拓展</w:t>
      </w:r>
    </w:p>
    <w:p w14:paraId="3057A3DA">
      <w:pPr>
        <w:snapToGrid w:val="0"/>
        <w:spacing w:before="50"/>
        <w:jc w:val="left"/>
        <w:rPr>
          <w:color w:val="auto"/>
          <w:szCs w:val="21"/>
          <w:highlight w:val="none"/>
        </w:rPr>
      </w:pPr>
    </w:p>
    <w:p w14:paraId="32168F80">
      <w:pPr>
        <w:snapToGrid w:val="0"/>
        <w:spacing w:before="50"/>
        <w:jc w:val="left"/>
        <w:rPr>
          <w:color w:val="auto"/>
          <w:szCs w:val="21"/>
          <w:highlight w:val="none"/>
        </w:rPr>
        <w:sectPr>
          <w:headerReference r:id="rId16" w:type="default"/>
          <w:footerReference r:id="rId17" w:type="default"/>
          <w:pgSz w:w="11906" w:h="16838"/>
          <w:pgMar w:top="1418" w:right="1418" w:bottom="1418" w:left="1274" w:header="851" w:footer="992" w:gutter="0"/>
          <w:cols w:space="720" w:num="1"/>
          <w:docGrid w:linePitch="312" w:charSpace="0"/>
        </w:sect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r>
        <w:rPr>
          <w:color w:val="auto"/>
          <w:szCs w:val="21"/>
          <w:highlight w:val="none"/>
        </w:rPr>
        <w:t xml:space="preserve">                                          年    月   </w:t>
      </w:r>
    </w:p>
    <w:p w14:paraId="7E4DFB8A">
      <w:pPr>
        <w:snapToGrid w:val="0"/>
        <w:spacing w:before="50" w:after="120" w:afterLines="50"/>
        <w:jc w:val="left"/>
        <w:rPr>
          <w:color w:val="auto"/>
          <w:szCs w:val="21"/>
          <w:highlight w:val="none"/>
        </w:rPr>
      </w:pPr>
      <w:bookmarkStart w:id="139" w:name="_Hlk93046716"/>
      <w:bookmarkStart w:id="140" w:name="_Hlk19110561"/>
      <w:r>
        <w:rPr>
          <w:rFonts w:hint="eastAsia"/>
          <w:color w:val="auto"/>
          <w:szCs w:val="21"/>
          <w:highlight w:val="none"/>
        </w:rPr>
        <w:t>10</w:t>
      </w:r>
      <w:r>
        <w:rPr>
          <w:color w:val="auto"/>
          <w:szCs w:val="21"/>
          <w:highlight w:val="none"/>
        </w:rPr>
        <w:t>.</w:t>
      </w:r>
      <w:r>
        <w:rPr>
          <w:rFonts w:hint="eastAsia"/>
          <w:color w:val="auto"/>
          <w:highlight w:val="none"/>
        </w:rPr>
        <w:t xml:space="preserve"> </w:t>
      </w:r>
      <w:r>
        <w:rPr>
          <w:rFonts w:hint="eastAsia"/>
          <w:color w:val="auto"/>
          <w:szCs w:val="21"/>
          <w:highlight w:val="none"/>
        </w:rPr>
        <w:t>无串标行为承诺函</w:t>
      </w:r>
    </w:p>
    <w:p w14:paraId="10B7C5E3">
      <w:pPr>
        <w:snapToGrid w:val="0"/>
        <w:spacing w:before="50" w:after="120" w:afterLines="50"/>
        <w:jc w:val="center"/>
        <w:rPr>
          <w:color w:val="auto"/>
          <w:szCs w:val="21"/>
          <w:highlight w:val="none"/>
        </w:rPr>
      </w:pPr>
    </w:p>
    <w:p w14:paraId="752F468A">
      <w:pPr>
        <w:snapToGrid w:val="0"/>
        <w:spacing w:before="50" w:after="120" w:afterLines="50"/>
        <w:jc w:val="center"/>
        <w:rPr>
          <w:color w:val="auto"/>
          <w:szCs w:val="21"/>
          <w:highlight w:val="none"/>
        </w:rPr>
      </w:pPr>
      <w:r>
        <w:rPr>
          <w:rFonts w:hint="eastAsia"/>
          <w:color w:val="auto"/>
          <w:szCs w:val="21"/>
          <w:highlight w:val="none"/>
        </w:rPr>
        <w:t>供应商参加本项目无围标串标行为的承诺函</w:t>
      </w:r>
    </w:p>
    <w:p w14:paraId="31B21B5D">
      <w:pPr>
        <w:snapToGrid w:val="0"/>
        <w:spacing w:before="50" w:after="120" w:afterLines="50"/>
        <w:jc w:val="left"/>
        <w:rPr>
          <w:color w:val="auto"/>
          <w:szCs w:val="21"/>
          <w:highlight w:val="none"/>
        </w:rPr>
      </w:pPr>
    </w:p>
    <w:p w14:paraId="18D082BF">
      <w:pPr>
        <w:snapToGrid w:val="0"/>
        <w:spacing w:before="50" w:after="120" w:afterLines="50"/>
        <w:jc w:val="left"/>
        <w:rPr>
          <w:color w:val="auto"/>
          <w:szCs w:val="21"/>
          <w:highlight w:val="none"/>
        </w:rPr>
      </w:pPr>
      <w:r>
        <w:rPr>
          <w:rFonts w:hint="eastAsia"/>
          <w:color w:val="auto"/>
          <w:szCs w:val="21"/>
          <w:highlight w:val="none"/>
        </w:rPr>
        <w:t>一、我方承诺无下列相互串通投标的情形：</w:t>
      </w:r>
    </w:p>
    <w:p w14:paraId="1234A990">
      <w:pPr>
        <w:snapToGrid w:val="0"/>
        <w:spacing w:before="50" w:after="120" w:afterLines="50"/>
        <w:jc w:val="left"/>
        <w:rPr>
          <w:color w:val="auto"/>
          <w:szCs w:val="21"/>
          <w:highlight w:val="none"/>
        </w:rPr>
      </w:pPr>
      <w:r>
        <w:rPr>
          <w:rFonts w:hint="eastAsia"/>
          <w:color w:val="auto"/>
          <w:szCs w:val="21"/>
          <w:highlight w:val="none"/>
        </w:rPr>
        <w:t>1.不同供应商的响应文件由同一单位或者个人编制；或者不同供应商报名的IP地址一致的；</w:t>
      </w:r>
    </w:p>
    <w:p w14:paraId="0959BA6E">
      <w:pPr>
        <w:snapToGrid w:val="0"/>
        <w:spacing w:before="50" w:after="120" w:afterLines="50"/>
        <w:jc w:val="left"/>
        <w:rPr>
          <w:color w:val="auto"/>
          <w:szCs w:val="21"/>
          <w:highlight w:val="none"/>
        </w:rPr>
      </w:pPr>
      <w:r>
        <w:rPr>
          <w:rFonts w:hint="eastAsia"/>
          <w:color w:val="auto"/>
          <w:szCs w:val="21"/>
          <w:highlight w:val="none"/>
        </w:rPr>
        <w:t>2.不同供应商委托同一单位或者个人办理投标事宜；</w:t>
      </w:r>
    </w:p>
    <w:p w14:paraId="5251BB84">
      <w:pPr>
        <w:snapToGrid w:val="0"/>
        <w:spacing w:before="50" w:after="120" w:afterLines="50"/>
        <w:jc w:val="left"/>
        <w:rPr>
          <w:color w:val="auto"/>
          <w:szCs w:val="21"/>
          <w:highlight w:val="none"/>
        </w:rPr>
      </w:pPr>
      <w:r>
        <w:rPr>
          <w:rFonts w:hint="eastAsia"/>
          <w:color w:val="auto"/>
          <w:szCs w:val="21"/>
          <w:highlight w:val="none"/>
        </w:rPr>
        <w:t>3.不同的供应商的响应文件载明的项目管理员为同一个人；</w:t>
      </w:r>
    </w:p>
    <w:p w14:paraId="2493A194">
      <w:pPr>
        <w:snapToGrid w:val="0"/>
        <w:spacing w:before="50" w:after="120" w:afterLines="50"/>
        <w:jc w:val="left"/>
        <w:rPr>
          <w:color w:val="auto"/>
          <w:szCs w:val="21"/>
          <w:highlight w:val="none"/>
        </w:rPr>
      </w:pPr>
      <w:r>
        <w:rPr>
          <w:rFonts w:hint="eastAsia"/>
          <w:color w:val="auto"/>
          <w:szCs w:val="21"/>
          <w:highlight w:val="none"/>
        </w:rPr>
        <w:t>4.不同供应商的响应文件异常一致或者投标报价呈规律性差异；</w:t>
      </w:r>
    </w:p>
    <w:p w14:paraId="4EAA7073">
      <w:pPr>
        <w:snapToGrid w:val="0"/>
        <w:spacing w:before="50" w:after="120" w:afterLines="50"/>
        <w:jc w:val="left"/>
        <w:rPr>
          <w:color w:val="auto"/>
          <w:szCs w:val="21"/>
          <w:highlight w:val="none"/>
        </w:rPr>
      </w:pPr>
      <w:r>
        <w:rPr>
          <w:rFonts w:hint="eastAsia"/>
          <w:color w:val="auto"/>
          <w:szCs w:val="21"/>
          <w:highlight w:val="none"/>
        </w:rPr>
        <w:t>5.不同供应商的响应文件相互混装；</w:t>
      </w:r>
    </w:p>
    <w:p w14:paraId="7BA8C2C4">
      <w:pPr>
        <w:snapToGrid w:val="0"/>
        <w:spacing w:before="50" w:after="120" w:afterLines="50"/>
        <w:jc w:val="left"/>
        <w:rPr>
          <w:color w:val="auto"/>
          <w:szCs w:val="21"/>
          <w:highlight w:val="none"/>
        </w:rPr>
      </w:pPr>
      <w:r>
        <w:rPr>
          <w:rFonts w:hint="eastAsia"/>
          <w:color w:val="auto"/>
          <w:szCs w:val="21"/>
          <w:highlight w:val="none"/>
        </w:rPr>
        <w:t>6.不同供应商的磋商保证金从同一单位或者个人账户转出。</w:t>
      </w:r>
    </w:p>
    <w:p w14:paraId="1444D4FD">
      <w:pPr>
        <w:snapToGrid w:val="0"/>
        <w:spacing w:before="50" w:after="120" w:afterLines="50"/>
        <w:jc w:val="left"/>
        <w:rPr>
          <w:color w:val="auto"/>
          <w:szCs w:val="21"/>
          <w:highlight w:val="none"/>
        </w:rPr>
      </w:pPr>
      <w:r>
        <w:rPr>
          <w:rFonts w:hint="eastAsia"/>
          <w:color w:val="auto"/>
          <w:szCs w:val="21"/>
          <w:highlight w:val="none"/>
        </w:rPr>
        <w:t>二、我方承诺无下列恶意串通的情形：</w:t>
      </w:r>
    </w:p>
    <w:p w14:paraId="2FABA416">
      <w:pPr>
        <w:snapToGrid w:val="0"/>
        <w:spacing w:before="50" w:after="120" w:afterLines="50"/>
        <w:jc w:val="left"/>
        <w:rPr>
          <w:color w:val="auto"/>
          <w:szCs w:val="21"/>
          <w:highlight w:val="none"/>
        </w:rPr>
      </w:pPr>
      <w:r>
        <w:rPr>
          <w:rFonts w:hint="eastAsia"/>
          <w:color w:val="auto"/>
          <w:szCs w:val="21"/>
          <w:highlight w:val="none"/>
        </w:rPr>
        <w:t>1.供应商直接或者间接从采购人或者采购代理机构处获得其他供应商的相关信息并修改其响应文件或者响应文件；</w:t>
      </w:r>
    </w:p>
    <w:p w14:paraId="66C29FFB">
      <w:pPr>
        <w:snapToGrid w:val="0"/>
        <w:spacing w:before="50" w:after="120" w:afterLines="50"/>
        <w:jc w:val="left"/>
        <w:rPr>
          <w:color w:val="auto"/>
          <w:szCs w:val="21"/>
          <w:highlight w:val="none"/>
        </w:rPr>
      </w:pPr>
      <w:r>
        <w:rPr>
          <w:rFonts w:hint="eastAsia"/>
          <w:color w:val="auto"/>
          <w:szCs w:val="21"/>
          <w:highlight w:val="none"/>
        </w:rPr>
        <w:t>2.供应商按照采购人或者采购代理机构的授意撤换、修改响应文件或者响应文件；</w:t>
      </w:r>
    </w:p>
    <w:p w14:paraId="53803EAB">
      <w:pPr>
        <w:snapToGrid w:val="0"/>
        <w:spacing w:before="50" w:after="120" w:afterLines="50"/>
        <w:jc w:val="left"/>
        <w:rPr>
          <w:color w:val="auto"/>
          <w:szCs w:val="21"/>
          <w:highlight w:val="none"/>
        </w:rPr>
      </w:pPr>
      <w:r>
        <w:rPr>
          <w:rFonts w:hint="eastAsia"/>
          <w:color w:val="auto"/>
          <w:szCs w:val="21"/>
          <w:highlight w:val="none"/>
        </w:rPr>
        <w:t>3.供应商之间协商报价、技术方案等响应文件或者响应文件的实质性内容；</w:t>
      </w:r>
    </w:p>
    <w:p w14:paraId="79F101D5">
      <w:pPr>
        <w:snapToGrid w:val="0"/>
        <w:spacing w:before="50" w:after="120" w:afterLines="50"/>
        <w:jc w:val="left"/>
        <w:rPr>
          <w:color w:val="auto"/>
          <w:szCs w:val="21"/>
          <w:highlight w:val="none"/>
        </w:rPr>
      </w:pPr>
      <w:r>
        <w:rPr>
          <w:rFonts w:hint="eastAsia"/>
          <w:color w:val="auto"/>
          <w:szCs w:val="21"/>
          <w:highlight w:val="none"/>
        </w:rPr>
        <w:t>4.属于同一集团、协会、商会等组织成员的供应商按照该组织要求协同参加政府采购活动；</w:t>
      </w:r>
    </w:p>
    <w:p w14:paraId="2DE02ECF">
      <w:pPr>
        <w:snapToGrid w:val="0"/>
        <w:spacing w:before="50" w:after="120" w:afterLines="50"/>
        <w:jc w:val="left"/>
        <w:rPr>
          <w:color w:val="auto"/>
          <w:szCs w:val="21"/>
          <w:highlight w:val="none"/>
        </w:rPr>
      </w:pPr>
      <w:r>
        <w:rPr>
          <w:rFonts w:hint="eastAsia"/>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0C707A5E">
      <w:pPr>
        <w:snapToGrid w:val="0"/>
        <w:spacing w:before="50" w:after="120" w:afterLines="50"/>
        <w:jc w:val="left"/>
        <w:rPr>
          <w:color w:val="auto"/>
          <w:szCs w:val="21"/>
          <w:highlight w:val="none"/>
        </w:rPr>
      </w:pPr>
      <w:r>
        <w:rPr>
          <w:rFonts w:hint="eastAsia"/>
          <w:color w:val="auto"/>
          <w:szCs w:val="21"/>
          <w:highlight w:val="none"/>
        </w:rPr>
        <w:t>6.供应商之间商定部分供应商放弃参加政府采购活动或者放弃中标；</w:t>
      </w:r>
    </w:p>
    <w:p w14:paraId="52132058">
      <w:pPr>
        <w:snapToGrid w:val="0"/>
        <w:spacing w:before="50" w:after="120" w:afterLines="50"/>
        <w:jc w:val="left"/>
        <w:rPr>
          <w:color w:val="auto"/>
          <w:szCs w:val="21"/>
          <w:highlight w:val="none"/>
        </w:rPr>
      </w:pPr>
      <w:r>
        <w:rPr>
          <w:rFonts w:hint="eastAsia"/>
          <w:color w:val="auto"/>
          <w:szCs w:val="21"/>
          <w:highlight w:val="none"/>
        </w:rPr>
        <w:t>7.供应商与采购人或者采购代理机构之间、供应商相互之间，为谋求特定供应商中标或者排斥其他供应商的其他串通行为。</w:t>
      </w:r>
    </w:p>
    <w:p w14:paraId="42CCB2A6">
      <w:pPr>
        <w:snapToGrid w:val="0"/>
        <w:spacing w:before="50" w:after="120" w:afterLines="5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41EE6C9C">
      <w:pPr>
        <w:snapToGrid w:val="0"/>
        <w:spacing w:before="50" w:after="120" w:afterLines="50"/>
        <w:jc w:val="center"/>
        <w:rPr>
          <w:color w:val="auto"/>
          <w:szCs w:val="21"/>
          <w:highlight w:val="none"/>
        </w:rPr>
      </w:pPr>
      <w:r>
        <w:rPr>
          <w:rFonts w:hint="eastAsia"/>
          <w:color w:val="auto"/>
          <w:szCs w:val="21"/>
          <w:highlight w:val="none"/>
        </w:rPr>
        <w:t xml:space="preserve"> </w:t>
      </w:r>
      <w:r>
        <w:rPr>
          <w:color w:val="auto"/>
          <w:szCs w:val="21"/>
          <w:highlight w:val="none"/>
        </w:rPr>
        <w:t xml:space="preserve"> </w:t>
      </w:r>
    </w:p>
    <w:p w14:paraId="72C9827F">
      <w:pPr>
        <w:snapToGrid w:val="0"/>
        <w:spacing w:before="50" w:after="120" w:afterLines="50"/>
        <w:jc w:val="center"/>
        <w:rPr>
          <w:color w:val="auto"/>
          <w:szCs w:val="21"/>
          <w:highlight w:val="none"/>
        </w:rPr>
      </w:pPr>
    </w:p>
    <w:p w14:paraId="37A03C92">
      <w:pPr>
        <w:snapToGrid w:val="0"/>
        <w:spacing w:before="50" w:after="120" w:afterLines="50"/>
        <w:jc w:val="center"/>
        <w:rPr>
          <w:color w:val="auto"/>
          <w:szCs w:val="21"/>
          <w:highlight w:val="none"/>
        </w:rPr>
      </w:pPr>
    </w:p>
    <w:p w14:paraId="19407F63">
      <w:pPr>
        <w:snapToGrid w:val="0"/>
        <w:spacing w:before="50" w:after="120" w:afterLines="5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5A63C457">
      <w:pPr>
        <w:snapToGrid w:val="0"/>
        <w:spacing w:before="50" w:after="120" w:afterLines="50"/>
        <w:jc w:val="center"/>
        <w:rPr>
          <w:color w:val="auto"/>
          <w:szCs w:val="21"/>
          <w:highlight w:val="none"/>
        </w:rPr>
      </w:pPr>
      <w:r>
        <w:rPr>
          <w:rFonts w:hint="eastAsia"/>
          <w:color w:val="auto"/>
          <w:szCs w:val="21"/>
          <w:highlight w:val="none"/>
        </w:rPr>
        <w:t>日期：  年  月   日</w:t>
      </w:r>
    </w:p>
    <w:p w14:paraId="40703378">
      <w:pPr>
        <w:snapToGrid w:val="0"/>
        <w:spacing w:before="50" w:after="120" w:afterLines="50"/>
        <w:jc w:val="left"/>
        <w:rPr>
          <w:color w:val="auto"/>
          <w:szCs w:val="21"/>
          <w:highlight w:val="none"/>
        </w:rPr>
      </w:pPr>
      <w:r>
        <w:rPr>
          <w:color w:val="auto"/>
          <w:szCs w:val="21"/>
          <w:highlight w:val="none"/>
        </w:rPr>
        <w:br w:type="page"/>
      </w:r>
      <w:bookmarkEnd w:id="139"/>
      <w:r>
        <w:rPr>
          <w:color w:val="auto"/>
          <w:szCs w:val="21"/>
          <w:highlight w:val="none"/>
        </w:rPr>
        <w:t>1</w:t>
      </w:r>
      <w:r>
        <w:rPr>
          <w:rFonts w:hint="eastAsia"/>
          <w:color w:val="auto"/>
          <w:szCs w:val="21"/>
          <w:highlight w:val="none"/>
        </w:rPr>
        <w:t>1</w:t>
      </w:r>
      <w:r>
        <w:rPr>
          <w:color w:val="auto"/>
          <w:szCs w:val="21"/>
          <w:highlight w:val="none"/>
        </w:rPr>
        <w:t>．代理服务费承诺书</w:t>
      </w:r>
      <w:bookmarkEnd w:id="140"/>
    </w:p>
    <w:p w14:paraId="2B7351B8">
      <w:pPr>
        <w:spacing w:line="360" w:lineRule="exact"/>
        <w:rPr>
          <w:color w:val="auto"/>
          <w:szCs w:val="21"/>
          <w:highlight w:val="none"/>
        </w:rPr>
      </w:pPr>
      <w:bookmarkStart w:id="141" w:name="_Hlk19110490"/>
      <w:r>
        <w:rPr>
          <w:color w:val="auto"/>
          <w:szCs w:val="21"/>
          <w:highlight w:val="none"/>
        </w:rPr>
        <w:t>致：广西机电设备招标有限公司</w:t>
      </w:r>
    </w:p>
    <w:p w14:paraId="0212D27E">
      <w:pPr>
        <w:spacing w:line="360" w:lineRule="exact"/>
        <w:ind w:firstLine="420" w:firstLineChars="200"/>
        <w:rPr>
          <w:color w:val="auto"/>
          <w:szCs w:val="21"/>
          <w:highlight w:val="none"/>
        </w:rPr>
      </w:pPr>
      <w:r>
        <w:rPr>
          <w:color w:val="auto"/>
          <w:szCs w:val="21"/>
          <w:highlight w:val="none"/>
        </w:rPr>
        <w:t>我单位参加了贵方组织的磋商项目编号为</w:t>
      </w:r>
      <w:r>
        <w:rPr>
          <w:b/>
          <w:color w:val="auto"/>
          <w:szCs w:val="21"/>
          <w:highlight w:val="none"/>
        </w:rPr>
        <w:t>（</w:t>
      </w:r>
      <w:r>
        <w:rPr>
          <w:color w:val="auto"/>
          <w:szCs w:val="21"/>
          <w:highlight w:val="none"/>
          <w:u w:val="single"/>
        </w:rPr>
        <w:t xml:space="preserve">                    )</w:t>
      </w:r>
      <w:r>
        <w:rPr>
          <w:color w:val="auto"/>
          <w:szCs w:val="21"/>
          <w:highlight w:val="none"/>
        </w:rPr>
        <w:t>的响应，并递交了磋商保证金</w:t>
      </w:r>
      <w:r>
        <w:rPr>
          <w:color w:val="auto"/>
          <w:szCs w:val="21"/>
          <w:highlight w:val="none"/>
          <w:u w:val="single"/>
        </w:rPr>
        <w:t xml:space="preserve">                  </w:t>
      </w:r>
      <w:r>
        <w:rPr>
          <w:color w:val="auto"/>
          <w:szCs w:val="21"/>
          <w:highlight w:val="none"/>
        </w:rPr>
        <w:t>（</w:t>
      </w:r>
      <w:r>
        <w:rPr>
          <w:color w:val="auto"/>
          <w:kern w:val="0"/>
          <w:szCs w:val="21"/>
          <w:highlight w:val="none"/>
        </w:rPr>
        <w:t>¥</w:t>
      </w:r>
      <w:r>
        <w:rPr>
          <w:color w:val="auto"/>
          <w:szCs w:val="21"/>
          <w:highlight w:val="none"/>
          <w:u w:val="single"/>
        </w:rPr>
        <w:t xml:space="preserve">       </w:t>
      </w:r>
      <w:r>
        <w:rPr>
          <w:color w:val="auto"/>
          <w:szCs w:val="21"/>
          <w:highlight w:val="none"/>
        </w:rPr>
        <w:t>），在此我方说明如下：</w:t>
      </w:r>
    </w:p>
    <w:p w14:paraId="2721ECAA">
      <w:pPr>
        <w:spacing w:line="360" w:lineRule="exact"/>
        <w:ind w:firstLine="420" w:firstLineChars="200"/>
        <w:rPr>
          <w:color w:val="auto"/>
          <w:szCs w:val="21"/>
          <w:highlight w:val="none"/>
        </w:rPr>
      </w:pPr>
      <w:r>
        <w:rPr>
          <w:color w:val="auto"/>
          <w:szCs w:val="21"/>
          <w:highlight w:val="none"/>
        </w:rPr>
        <w:t>1．我方承诺，若我单位</w:t>
      </w:r>
      <w:r>
        <w:rPr>
          <w:rFonts w:hint="eastAsia"/>
          <w:color w:val="auto"/>
          <w:szCs w:val="21"/>
          <w:highlight w:val="none"/>
        </w:rPr>
        <w:t>成交</w:t>
      </w:r>
      <w:r>
        <w:rPr>
          <w:color w:val="auto"/>
          <w:szCs w:val="21"/>
          <w:highlight w:val="none"/>
        </w:rPr>
        <w:t>，保证在领取</w:t>
      </w:r>
      <w:r>
        <w:rPr>
          <w:rFonts w:hint="eastAsia"/>
          <w:color w:val="auto"/>
          <w:szCs w:val="21"/>
          <w:highlight w:val="none"/>
        </w:rPr>
        <w:t>成交</w:t>
      </w:r>
      <w:r>
        <w:rPr>
          <w:color w:val="auto"/>
          <w:szCs w:val="21"/>
          <w:highlight w:val="none"/>
        </w:rPr>
        <w:t>通知书之前，按本项目</w:t>
      </w:r>
      <w:r>
        <w:rPr>
          <w:rFonts w:hint="eastAsia"/>
          <w:color w:val="auto"/>
          <w:szCs w:val="21"/>
          <w:highlight w:val="none"/>
        </w:rPr>
        <w:t>采购文件</w:t>
      </w:r>
      <w:r>
        <w:rPr>
          <w:color w:val="auto"/>
          <w:szCs w:val="21"/>
          <w:highlight w:val="none"/>
        </w:rPr>
        <w:t>的规定标准向贵单位支付代理服务费。如我单位未按规定缴纳代理服务费，贵方可</w:t>
      </w:r>
      <w:r>
        <w:rPr>
          <w:rFonts w:hint="eastAsia"/>
          <w:color w:val="auto"/>
          <w:szCs w:val="21"/>
          <w:highlight w:val="none"/>
        </w:rPr>
        <w:t>不退还</w:t>
      </w:r>
      <w:r>
        <w:rPr>
          <w:color w:val="auto"/>
          <w:szCs w:val="21"/>
          <w:highlight w:val="none"/>
        </w:rPr>
        <w:t>我单位提交的</w:t>
      </w:r>
      <w:r>
        <w:rPr>
          <w:rFonts w:hint="eastAsia"/>
          <w:color w:val="auto"/>
          <w:szCs w:val="21"/>
          <w:highlight w:val="none"/>
        </w:rPr>
        <w:t>磋商</w:t>
      </w:r>
      <w:r>
        <w:rPr>
          <w:color w:val="auto"/>
          <w:szCs w:val="21"/>
          <w:highlight w:val="none"/>
        </w:rPr>
        <w:t>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r>
        <w:rPr>
          <w:color w:val="auto"/>
          <w:szCs w:val="21"/>
          <w:highlight w:val="none"/>
        </w:rPr>
        <w:t>，余款按下列账户退回。</w:t>
      </w:r>
    </w:p>
    <w:bookmarkEnd w:id="141"/>
    <w:p w14:paraId="5B80F4C6">
      <w:pPr>
        <w:spacing w:line="360" w:lineRule="exact"/>
        <w:ind w:firstLine="420" w:firstLineChars="200"/>
        <w:rPr>
          <w:color w:val="auto"/>
          <w:szCs w:val="21"/>
          <w:highlight w:val="none"/>
        </w:rPr>
      </w:pPr>
      <w:r>
        <w:rPr>
          <w:color w:val="auto"/>
          <w:szCs w:val="21"/>
          <w:highlight w:val="none"/>
        </w:rPr>
        <w:t>我公司选择第</w:t>
      </w:r>
      <w:r>
        <w:rPr>
          <w:color w:val="auto"/>
          <w:szCs w:val="21"/>
          <w:highlight w:val="none"/>
          <w:u w:val="single"/>
        </w:rPr>
        <w:t xml:space="preserve">     </w:t>
      </w:r>
      <w:r>
        <w:rPr>
          <w:color w:val="auto"/>
          <w:szCs w:val="21"/>
          <w:highlight w:val="none"/>
        </w:rPr>
        <w:t>种方式缴纳代理服务费。</w:t>
      </w:r>
    </w:p>
    <w:p w14:paraId="7D3B378D">
      <w:pPr>
        <w:spacing w:line="360" w:lineRule="exact"/>
        <w:ind w:firstLine="420" w:firstLineChars="200"/>
        <w:rPr>
          <w:color w:val="auto"/>
          <w:szCs w:val="21"/>
          <w:highlight w:val="none"/>
        </w:rPr>
      </w:pPr>
      <w:r>
        <w:rPr>
          <w:color w:val="auto"/>
          <w:szCs w:val="21"/>
          <w:highlight w:val="none"/>
        </w:rPr>
        <w:t>第一种方式：一次性足额缴纳代理服务费。</w:t>
      </w:r>
    </w:p>
    <w:p w14:paraId="63CF2471">
      <w:pPr>
        <w:spacing w:line="360" w:lineRule="exact"/>
        <w:ind w:firstLine="420" w:firstLineChars="200"/>
        <w:rPr>
          <w:color w:val="auto"/>
          <w:szCs w:val="21"/>
          <w:highlight w:val="none"/>
        </w:rPr>
      </w:pPr>
      <w:r>
        <w:rPr>
          <w:color w:val="auto"/>
          <w:szCs w:val="21"/>
          <w:highlight w:val="none"/>
        </w:rPr>
        <w:t>第二种方式：从</w:t>
      </w:r>
      <w:r>
        <w:rPr>
          <w:rFonts w:hint="eastAsia"/>
          <w:color w:val="auto"/>
          <w:szCs w:val="21"/>
          <w:highlight w:val="none"/>
        </w:rPr>
        <w:t>磋商</w:t>
      </w:r>
      <w:r>
        <w:rPr>
          <w:color w:val="auto"/>
          <w:szCs w:val="21"/>
          <w:highlight w:val="none"/>
        </w:rPr>
        <w:t>保证金中抵扣代理服务费，不足部分补交。</w:t>
      </w:r>
    </w:p>
    <w:p w14:paraId="1CB5E595">
      <w:pPr>
        <w:spacing w:line="360" w:lineRule="exact"/>
        <w:ind w:firstLine="420" w:firstLineChars="200"/>
        <w:rPr>
          <w:color w:val="auto"/>
          <w:szCs w:val="21"/>
          <w:highlight w:val="none"/>
        </w:rPr>
      </w:pPr>
      <w:r>
        <w:rPr>
          <w:color w:val="auto"/>
          <w:szCs w:val="21"/>
          <w:highlight w:val="none"/>
        </w:rPr>
        <w:t>2．如我单位磋商保证金无法原路返回，请按下表账户信息无息退还。</w:t>
      </w:r>
    </w:p>
    <w:tbl>
      <w:tblPr>
        <w:tblStyle w:val="53"/>
        <w:tblW w:w="8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38CD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09355980">
            <w:pPr>
              <w:spacing w:line="360" w:lineRule="exact"/>
              <w:jc w:val="center"/>
              <w:rPr>
                <w:color w:val="auto"/>
                <w:szCs w:val="21"/>
                <w:highlight w:val="none"/>
              </w:rPr>
            </w:pPr>
            <w:r>
              <w:rPr>
                <w:color w:val="auto"/>
                <w:szCs w:val="21"/>
                <w:highlight w:val="none"/>
              </w:rPr>
              <w:t>收款户名</w:t>
            </w:r>
          </w:p>
        </w:tc>
        <w:tc>
          <w:tcPr>
            <w:tcW w:w="5431" w:type="dxa"/>
            <w:vAlign w:val="center"/>
          </w:tcPr>
          <w:p w14:paraId="5EB74B34">
            <w:pPr>
              <w:spacing w:line="360" w:lineRule="exact"/>
              <w:jc w:val="center"/>
              <w:rPr>
                <w:color w:val="auto"/>
                <w:szCs w:val="21"/>
                <w:highlight w:val="none"/>
              </w:rPr>
            </w:pPr>
          </w:p>
        </w:tc>
      </w:tr>
      <w:tr w14:paraId="74E9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2C0EF7A5">
            <w:pPr>
              <w:spacing w:line="360" w:lineRule="exact"/>
              <w:jc w:val="center"/>
              <w:rPr>
                <w:color w:val="auto"/>
                <w:szCs w:val="21"/>
                <w:highlight w:val="none"/>
              </w:rPr>
            </w:pPr>
            <w:r>
              <w:rPr>
                <w:color w:val="auto"/>
                <w:szCs w:val="21"/>
                <w:highlight w:val="none"/>
              </w:rPr>
              <w:t>账    号</w:t>
            </w:r>
          </w:p>
        </w:tc>
        <w:tc>
          <w:tcPr>
            <w:tcW w:w="5431" w:type="dxa"/>
            <w:vAlign w:val="center"/>
          </w:tcPr>
          <w:p w14:paraId="553F353B">
            <w:pPr>
              <w:spacing w:line="360" w:lineRule="exact"/>
              <w:jc w:val="center"/>
              <w:rPr>
                <w:color w:val="auto"/>
                <w:szCs w:val="21"/>
                <w:highlight w:val="none"/>
              </w:rPr>
            </w:pPr>
          </w:p>
        </w:tc>
      </w:tr>
      <w:tr w14:paraId="5A77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4D200330">
            <w:pPr>
              <w:spacing w:line="360" w:lineRule="exact"/>
              <w:jc w:val="center"/>
              <w:rPr>
                <w:color w:val="auto"/>
                <w:szCs w:val="21"/>
                <w:highlight w:val="none"/>
              </w:rPr>
            </w:pPr>
            <w:r>
              <w:rPr>
                <w:color w:val="auto"/>
                <w:szCs w:val="21"/>
                <w:highlight w:val="none"/>
              </w:rPr>
              <w:t>开户银行</w:t>
            </w:r>
          </w:p>
        </w:tc>
        <w:tc>
          <w:tcPr>
            <w:tcW w:w="5431" w:type="dxa"/>
            <w:vAlign w:val="center"/>
          </w:tcPr>
          <w:p w14:paraId="6027305D">
            <w:pPr>
              <w:spacing w:line="360" w:lineRule="exact"/>
              <w:jc w:val="center"/>
              <w:rPr>
                <w:color w:val="auto"/>
                <w:szCs w:val="21"/>
                <w:highlight w:val="none"/>
              </w:rPr>
            </w:pPr>
          </w:p>
        </w:tc>
      </w:tr>
      <w:tr w14:paraId="5190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2A8BA511">
            <w:pPr>
              <w:spacing w:line="360" w:lineRule="exact"/>
              <w:jc w:val="center"/>
              <w:rPr>
                <w:color w:val="auto"/>
                <w:szCs w:val="21"/>
                <w:highlight w:val="none"/>
              </w:rPr>
            </w:pPr>
            <w:r>
              <w:rPr>
                <w:color w:val="auto"/>
                <w:szCs w:val="21"/>
                <w:highlight w:val="none"/>
              </w:rPr>
              <w:t>银行行号</w:t>
            </w:r>
          </w:p>
        </w:tc>
        <w:tc>
          <w:tcPr>
            <w:tcW w:w="5431" w:type="dxa"/>
            <w:vAlign w:val="center"/>
          </w:tcPr>
          <w:p w14:paraId="4A48451B">
            <w:pPr>
              <w:spacing w:line="360" w:lineRule="exact"/>
              <w:jc w:val="center"/>
              <w:rPr>
                <w:color w:val="auto"/>
                <w:szCs w:val="21"/>
                <w:highlight w:val="none"/>
              </w:rPr>
            </w:pPr>
          </w:p>
        </w:tc>
      </w:tr>
    </w:tbl>
    <w:p w14:paraId="1D1DF726">
      <w:pPr>
        <w:spacing w:line="360" w:lineRule="exact"/>
        <w:ind w:firstLine="420" w:firstLineChars="200"/>
        <w:rPr>
          <w:color w:val="auto"/>
          <w:szCs w:val="21"/>
          <w:highlight w:val="none"/>
        </w:rPr>
      </w:pPr>
      <w:r>
        <w:rPr>
          <w:color w:val="auto"/>
          <w:szCs w:val="21"/>
          <w:highlight w:val="none"/>
        </w:rPr>
        <w:t>3．如果我单位未遵守有关采购文件关于磋商保证金的规定，贵方可以没收我单位磋商保证金。</w:t>
      </w:r>
    </w:p>
    <w:p w14:paraId="219F2E38">
      <w:pPr>
        <w:spacing w:line="360" w:lineRule="exact"/>
        <w:ind w:firstLine="420" w:firstLineChars="200"/>
        <w:rPr>
          <w:color w:val="auto"/>
          <w:szCs w:val="21"/>
          <w:highlight w:val="none"/>
        </w:rPr>
      </w:pPr>
      <w:r>
        <w:rPr>
          <w:color w:val="auto"/>
          <w:szCs w:val="21"/>
          <w:highlight w:val="none"/>
        </w:rPr>
        <w:t>4. 我单位选择第</w:t>
      </w:r>
      <w:r>
        <w:rPr>
          <w:color w:val="auto"/>
          <w:szCs w:val="21"/>
          <w:highlight w:val="none"/>
          <w:u w:val="single"/>
        </w:rPr>
        <w:t xml:space="preserve">     </w:t>
      </w:r>
      <w:r>
        <w:rPr>
          <w:color w:val="auto"/>
          <w:szCs w:val="21"/>
          <w:highlight w:val="none"/>
        </w:rPr>
        <w:t>种方式作为代理服务费开票类型：</w:t>
      </w:r>
    </w:p>
    <w:p w14:paraId="72BCE3C5">
      <w:pPr>
        <w:spacing w:line="360" w:lineRule="exact"/>
        <w:ind w:firstLine="420" w:firstLineChars="200"/>
        <w:rPr>
          <w:color w:val="auto"/>
          <w:szCs w:val="21"/>
          <w:highlight w:val="none"/>
        </w:rPr>
      </w:pPr>
      <w:r>
        <w:rPr>
          <w:color w:val="auto"/>
          <w:szCs w:val="21"/>
          <w:highlight w:val="none"/>
        </w:rPr>
        <w:t>第一种方式：开具收据。</w:t>
      </w:r>
    </w:p>
    <w:p w14:paraId="537AFD11">
      <w:pPr>
        <w:spacing w:line="360" w:lineRule="exact"/>
        <w:ind w:firstLine="420" w:firstLineChars="200"/>
        <w:rPr>
          <w:color w:val="auto"/>
          <w:szCs w:val="21"/>
          <w:highlight w:val="none"/>
        </w:rPr>
      </w:pPr>
      <w:r>
        <w:rPr>
          <w:color w:val="auto"/>
          <w:szCs w:val="21"/>
          <w:highlight w:val="none"/>
        </w:rPr>
        <w:t>第二种方式：开具增值税普通发票。 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w:t>
      </w:r>
    </w:p>
    <w:p w14:paraId="304B62CC">
      <w:pPr>
        <w:spacing w:line="360" w:lineRule="exact"/>
        <w:ind w:firstLine="420" w:firstLineChars="200"/>
        <w:rPr>
          <w:color w:val="auto"/>
          <w:szCs w:val="21"/>
          <w:highlight w:val="none"/>
        </w:rPr>
      </w:pPr>
      <w:r>
        <w:rPr>
          <w:color w:val="auto"/>
          <w:szCs w:val="21"/>
          <w:highlight w:val="none"/>
        </w:rPr>
        <w:t>第三种方式：开具增值税专用发票，开票信息如下：1.公司名称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；3.税局登记地址</w:t>
      </w:r>
      <w:r>
        <w:rPr>
          <w:color w:val="auto"/>
          <w:szCs w:val="21"/>
          <w:highlight w:val="none"/>
          <w:u w:val="single"/>
        </w:rPr>
        <w:t xml:space="preserve">                     </w:t>
      </w:r>
      <w:r>
        <w:rPr>
          <w:color w:val="auto"/>
          <w:szCs w:val="21"/>
          <w:highlight w:val="none"/>
        </w:rPr>
        <w:t>；4.税局登记电话</w:t>
      </w:r>
      <w:r>
        <w:rPr>
          <w:color w:val="auto"/>
          <w:szCs w:val="21"/>
          <w:highlight w:val="none"/>
          <w:u w:val="single"/>
        </w:rPr>
        <w:t xml:space="preserve">             </w:t>
      </w:r>
      <w:r>
        <w:rPr>
          <w:color w:val="auto"/>
          <w:szCs w:val="21"/>
          <w:highlight w:val="none"/>
        </w:rPr>
        <w:t>；5.开户银行</w:t>
      </w:r>
      <w:r>
        <w:rPr>
          <w:color w:val="auto"/>
          <w:szCs w:val="21"/>
          <w:highlight w:val="none"/>
          <w:u w:val="single"/>
        </w:rPr>
        <w:t xml:space="preserve">                 </w:t>
      </w:r>
      <w:r>
        <w:rPr>
          <w:color w:val="auto"/>
          <w:szCs w:val="21"/>
          <w:highlight w:val="none"/>
        </w:rPr>
        <w:t>；6.银行账户</w:t>
      </w:r>
      <w:r>
        <w:rPr>
          <w:color w:val="auto"/>
          <w:szCs w:val="21"/>
          <w:highlight w:val="none"/>
          <w:u w:val="single"/>
        </w:rPr>
        <w:t xml:space="preserve">                         </w:t>
      </w:r>
      <w:r>
        <w:rPr>
          <w:color w:val="auto"/>
          <w:szCs w:val="21"/>
          <w:highlight w:val="none"/>
        </w:rPr>
        <w:t>。</w:t>
      </w:r>
    </w:p>
    <w:p w14:paraId="5719FBFB">
      <w:pPr>
        <w:spacing w:before="120" w:beforeLines="50" w:line="360" w:lineRule="auto"/>
        <w:jc w:val="left"/>
        <w:rPr>
          <w:color w:val="auto"/>
          <w:szCs w:val="21"/>
          <w:highlight w:val="none"/>
        </w:rPr>
      </w:pPr>
    </w:p>
    <w:p w14:paraId="1AE4BE27">
      <w:pPr>
        <w:spacing w:before="120" w:beforeLines="50" w:line="360" w:lineRule="auto"/>
        <w:jc w:val="left"/>
        <w:rPr>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545F9C35">
      <w:pPr>
        <w:spacing w:before="120" w:beforeLines="50" w:line="360" w:lineRule="auto"/>
        <w:jc w:val="left"/>
        <w:rPr>
          <w:color w:val="auto"/>
          <w:szCs w:val="21"/>
          <w:highlight w:val="none"/>
        </w:rPr>
      </w:pPr>
      <w:r>
        <w:rPr>
          <w:color w:val="auto"/>
          <w:szCs w:val="21"/>
          <w:highlight w:val="none"/>
        </w:rPr>
        <w:t>供应商地址：</w:t>
      </w:r>
      <w:r>
        <w:rPr>
          <w:color w:val="auto"/>
          <w:szCs w:val="21"/>
          <w:highlight w:val="none"/>
          <w:u w:val="single"/>
        </w:rPr>
        <w:t xml:space="preserve">                                     </w:t>
      </w:r>
    </w:p>
    <w:p w14:paraId="72F88660">
      <w:pPr>
        <w:spacing w:before="120" w:beforeLines="50" w:line="360" w:lineRule="auto"/>
        <w:jc w:val="left"/>
        <w:rPr>
          <w:color w:val="auto"/>
          <w:szCs w:val="21"/>
          <w:highlight w:val="none"/>
          <w:u w:val="single"/>
        </w:rPr>
      </w:pPr>
    </w:p>
    <w:p w14:paraId="43480B02">
      <w:pPr>
        <w:wordWrap w:val="0"/>
        <w:spacing w:before="120" w:beforeLines="50" w:line="360" w:lineRule="auto"/>
        <w:jc w:val="right"/>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3DDB2890">
      <w:pPr>
        <w:spacing w:before="120" w:beforeLines="50"/>
        <w:rPr>
          <w:color w:val="auto"/>
          <w:szCs w:val="21"/>
          <w:highlight w:val="none"/>
        </w:rPr>
      </w:pPr>
      <w:r>
        <w:rPr>
          <w:color w:val="auto"/>
          <w:szCs w:val="21"/>
          <w:highlight w:val="none"/>
        </w:rPr>
        <w:t>说明：</w:t>
      </w:r>
    </w:p>
    <w:p w14:paraId="1BAFF82D">
      <w:pPr>
        <w:spacing w:line="340" w:lineRule="exact"/>
        <w:ind w:firstLine="420" w:firstLineChars="200"/>
        <w:rPr>
          <w:color w:val="auto"/>
          <w:szCs w:val="21"/>
          <w:highlight w:val="none"/>
        </w:rPr>
      </w:pPr>
      <w:r>
        <w:rPr>
          <w:color w:val="auto"/>
          <w:szCs w:val="21"/>
          <w:highlight w:val="none"/>
        </w:rPr>
        <w:t>（1）为保障资金安全，上述账户不能为私人账户。</w:t>
      </w:r>
    </w:p>
    <w:p w14:paraId="48D0A459">
      <w:pPr>
        <w:spacing w:line="340" w:lineRule="exact"/>
        <w:ind w:firstLine="420" w:firstLineChars="200"/>
        <w:rPr>
          <w:color w:val="auto"/>
          <w:szCs w:val="21"/>
          <w:highlight w:val="none"/>
        </w:rPr>
      </w:pPr>
      <w:r>
        <w:rPr>
          <w:color w:val="auto"/>
          <w:szCs w:val="21"/>
          <w:highlight w:val="none"/>
        </w:rPr>
        <w:t>（2）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073DC78C">
      <w:pPr>
        <w:spacing w:line="340" w:lineRule="exact"/>
        <w:ind w:firstLine="420" w:firstLineChars="200"/>
        <w:rPr>
          <w:color w:val="auto"/>
          <w:szCs w:val="21"/>
          <w:highlight w:val="none"/>
        </w:rPr>
      </w:pPr>
      <w:r>
        <w:rPr>
          <w:color w:val="auto"/>
          <w:szCs w:val="21"/>
          <w:highlight w:val="none"/>
        </w:rPr>
        <w:t>（3）如供应商未及时收到退回款项，请与广西机电设备招标有限公司财务部联系。广西机电设备招标有限公司财务部联系方式：联系人：吴茜；电话：0771-2821398；传真：0771-2843545。</w:t>
      </w:r>
    </w:p>
    <w:p w14:paraId="681CF7D6">
      <w:pPr>
        <w:snapToGrid w:val="0"/>
        <w:spacing w:before="120" w:beforeLines="50" w:after="50" w:line="440" w:lineRule="exact"/>
        <w:jc w:val="center"/>
        <w:outlineLvl w:val="1"/>
        <w:rPr>
          <w:bCs/>
          <w:color w:val="auto"/>
          <w:sz w:val="24"/>
          <w:highlight w:val="none"/>
        </w:rPr>
      </w:pPr>
      <w:r>
        <w:rPr>
          <w:color w:val="auto"/>
          <w:szCs w:val="21"/>
          <w:highlight w:val="none"/>
        </w:rPr>
        <w:br w:type="page"/>
      </w:r>
      <w:r>
        <w:rPr>
          <w:bCs/>
          <w:color w:val="auto"/>
          <w:sz w:val="24"/>
          <w:highlight w:val="none"/>
        </w:rPr>
        <w:t>第</w:t>
      </w:r>
      <w:r>
        <w:rPr>
          <w:rFonts w:hint="eastAsia"/>
          <w:bCs/>
          <w:color w:val="auto"/>
          <w:sz w:val="24"/>
          <w:highlight w:val="none"/>
        </w:rPr>
        <w:t>三</w:t>
      </w:r>
      <w:r>
        <w:rPr>
          <w:bCs/>
          <w:color w:val="auto"/>
          <w:sz w:val="24"/>
          <w:highlight w:val="none"/>
        </w:rPr>
        <w:t>部分 报价文件</w:t>
      </w:r>
    </w:p>
    <w:p w14:paraId="3A5CAC80">
      <w:pPr>
        <w:jc w:val="center"/>
        <w:rPr>
          <w:b/>
          <w:bCs/>
          <w:color w:val="auto"/>
          <w:szCs w:val="21"/>
          <w:highlight w:val="none"/>
        </w:rPr>
      </w:pPr>
    </w:p>
    <w:p w14:paraId="10528996">
      <w:pPr>
        <w:rPr>
          <w:b/>
          <w:color w:val="auto"/>
          <w:szCs w:val="21"/>
          <w:highlight w:val="none"/>
        </w:rPr>
      </w:pPr>
      <w:r>
        <w:rPr>
          <w:b/>
          <w:color w:val="auto"/>
          <w:szCs w:val="21"/>
          <w:highlight w:val="none"/>
        </w:rPr>
        <w:t>1．响应函格式：</w:t>
      </w:r>
    </w:p>
    <w:p w14:paraId="49750639">
      <w:pPr>
        <w:rPr>
          <w:b/>
          <w:color w:val="auto"/>
          <w:szCs w:val="21"/>
          <w:highlight w:val="none"/>
        </w:rPr>
      </w:pPr>
    </w:p>
    <w:p w14:paraId="297CA488">
      <w:pPr>
        <w:jc w:val="center"/>
        <w:rPr>
          <w:b/>
          <w:color w:val="auto"/>
          <w:szCs w:val="21"/>
          <w:highlight w:val="none"/>
        </w:rPr>
      </w:pPr>
      <w:r>
        <w:rPr>
          <w:b/>
          <w:color w:val="auto"/>
          <w:szCs w:val="21"/>
          <w:highlight w:val="none"/>
        </w:rPr>
        <w:t>响 应 函</w:t>
      </w:r>
    </w:p>
    <w:p w14:paraId="2DC0B77F">
      <w:pPr>
        <w:rPr>
          <w:b/>
          <w:color w:val="auto"/>
          <w:szCs w:val="21"/>
          <w:highlight w:val="none"/>
        </w:rPr>
      </w:pPr>
    </w:p>
    <w:p w14:paraId="554C3E8E">
      <w:pPr>
        <w:spacing w:line="360" w:lineRule="auto"/>
        <w:rPr>
          <w:color w:val="auto"/>
          <w:szCs w:val="21"/>
          <w:highlight w:val="none"/>
        </w:rPr>
      </w:pPr>
      <w:bookmarkStart w:id="142" w:name="_Hlk19110643"/>
      <w:r>
        <w:rPr>
          <w:color w:val="auto"/>
          <w:szCs w:val="21"/>
          <w:highlight w:val="none"/>
        </w:rPr>
        <w:t>致：_</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i/>
          <w:iCs/>
          <w:color w:val="auto"/>
          <w:szCs w:val="21"/>
          <w:highlight w:val="none"/>
        </w:rPr>
        <w:t>_</w:t>
      </w:r>
    </w:p>
    <w:p w14:paraId="6908A8FF">
      <w:pPr>
        <w:spacing w:line="360" w:lineRule="auto"/>
        <w:ind w:firstLine="420" w:firstLineChars="200"/>
        <w:rPr>
          <w:color w:val="auto"/>
          <w:szCs w:val="21"/>
          <w:highlight w:val="none"/>
        </w:rPr>
      </w:pPr>
      <w:r>
        <w:rPr>
          <w:color w:val="auto"/>
          <w:szCs w:val="21"/>
          <w:highlight w:val="none"/>
        </w:rPr>
        <w:t>我方已仔细研究了</w:t>
      </w:r>
      <w:r>
        <w:rPr>
          <w:rFonts w:hint="eastAsia"/>
          <w:i/>
          <w:iCs/>
          <w:color w:val="auto"/>
          <w:szCs w:val="21"/>
          <w:highlight w:val="none"/>
          <w:u w:val="single"/>
        </w:rPr>
        <w:t>（项目名称）</w:t>
      </w:r>
      <w:r>
        <w:rPr>
          <w:color w:val="auto"/>
          <w:szCs w:val="21"/>
          <w:highlight w:val="none"/>
        </w:rPr>
        <w:t>的</w:t>
      </w:r>
      <w:r>
        <w:rPr>
          <w:rFonts w:hint="eastAsia"/>
          <w:color w:val="auto"/>
          <w:szCs w:val="21"/>
          <w:highlight w:val="none"/>
        </w:rPr>
        <w:t>采购文件</w:t>
      </w:r>
      <w:r>
        <w:rPr>
          <w:color w:val="auto"/>
          <w:szCs w:val="21"/>
          <w:highlight w:val="none"/>
        </w:rPr>
        <w:t>的全部内容</w:t>
      </w:r>
      <w:r>
        <w:rPr>
          <w:rFonts w:hint="eastAsia"/>
          <w:color w:val="auto"/>
          <w:szCs w:val="21"/>
          <w:highlight w:val="none"/>
        </w:rPr>
        <w:t>，</w:t>
      </w:r>
      <w:r>
        <w:rPr>
          <w:color w:val="auto"/>
          <w:szCs w:val="21"/>
          <w:highlight w:val="none"/>
        </w:rPr>
        <w:t>签字代表</w:t>
      </w:r>
      <w:r>
        <w:rPr>
          <w:rFonts w:hint="eastAsia"/>
          <w:i/>
          <w:iCs/>
          <w:color w:val="auto"/>
          <w:szCs w:val="21"/>
          <w:highlight w:val="none"/>
          <w:u w:val="single"/>
        </w:rPr>
        <w:t>（授权代表姓名）</w:t>
      </w:r>
      <w:r>
        <w:rPr>
          <w:color w:val="auto"/>
          <w:szCs w:val="21"/>
          <w:highlight w:val="none"/>
        </w:rPr>
        <w:t>经正式授权并代表供应商</w:t>
      </w:r>
      <w:r>
        <w:rPr>
          <w:color w:val="auto"/>
          <w:szCs w:val="21"/>
          <w:highlight w:val="none"/>
          <w:u w:val="single"/>
        </w:rPr>
        <w:t xml:space="preserve"> </w:t>
      </w:r>
      <w:r>
        <w:rPr>
          <w:i/>
          <w:iCs/>
          <w:color w:val="auto"/>
          <w:szCs w:val="21"/>
          <w:highlight w:val="none"/>
          <w:u w:val="single"/>
        </w:rPr>
        <w:t>（供应商名称）</w:t>
      </w:r>
      <w:r>
        <w:rPr>
          <w:rFonts w:hint="eastAsia"/>
          <w:i/>
          <w:iCs/>
          <w:color w:val="auto"/>
          <w:szCs w:val="21"/>
          <w:highlight w:val="none"/>
          <w:u w:val="single"/>
        </w:rPr>
        <w:t xml:space="preserve"> </w:t>
      </w:r>
      <w:r>
        <w:rPr>
          <w:color w:val="auto"/>
          <w:szCs w:val="21"/>
          <w:highlight w:val="none"/>
        </w:rPr>
        <w:t>提交响应文件。</w:t>
      </w:r>
    </w:p>
    <w:bookmarkEnd w:id="142"/>
    <w:p w14:paraId="0C482F8F">
      <w:pPr>
        <w:spacing w:line="360" w:lineRule="auto"/>
        <w:ind w:firstLine="420" w:firstLineChars="200"/>
        <w:rPr>
          <w:color w:val="auto"/>
          <w:szCs w:val="21"/>
          <w:highlight w:val="none"/>
        </w:rPr>
      </w:pPr>
      <w:r>
        <w:rPr>
          <w:color w:val="auto"/>
          <w:szCs w:val="21"/>
          <w:highlight w:val="none"/>
        </w:rPr>
        <w:t>据此函，签字代表宣布同意如下：</w:t>
      </w:r>
    </w:p>
    <w:p w14:paraId="48552A29">
      <w:pPr>
        <w:spacing w:line="360" w:lineRule="auto"/>
        <w:rPr>
          <w:color w:val="auto"/>
          <w:szCs w:val="21"/>
          <w:highlight w:val="none"/>
        </w:rPr>
      </w:pPr>
      <w:r>
        <w:rPr>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063F3CFE">
      <w:pPr>
        <w:spacing w:line="360" w:lineRule="auto"/>
        <w:rPr>
          <w:color w:val="auto"/>
          <w:szCs w:val="21"/>
          <w:highlight w:val="none"/>
        </w:rPr>
      </w:pPr>
      <w:r>
        <w:rPr>
          <w:color w:val="auto"/>
          <w:szCs w:val="21"/>
          <w:highlight w:val="none"/>
        </w:rPr>
        <w:t>（2）供应商在响应之前已经与贵方进行了充分的沟通，完全理解并接受采购文件的各项规定和要求，对采购文件的合理性、合法性不再有异议。</w:t>
      </w:r>
    </w:p>
    <w:p w14:paraId="4313846F">
      <w:pPr>
        <w:spacing w:line="360" w:lineRule="auto"/>
        <w:rPr>
          <w:color w:val="auto"/>
          <w:szCs w:val="21"/>
          <w:highlight w:val="none"/>
        </w:rPr>
      </w:pPr>
      <w:r>
        <w:rPr>
          <w:rFonts w:hint="eastAsia"/>
          <w:color w:val="auto"/>
          <w:szCs w:val="21"/>
          <w:highlight w:val="none"/>
        </w:rPr>
        <w:t>（3）我方承诺本响应有效期为第三章供应商须知规定的期限。</w:t>
      </w:r>
    </w:p>
    <w:p w14:paraId="5ECC7DF3">
      <w:pPr>
        <w:spacing w:line="360" w:lineRule="auto"/>
        <w:rPr>
          <w:color w:val="auto"/>
          <w:szCs w:val="21"/>
          <w:highlight w:val="none"/>
        </w:rPr>
      </w:pPr>
      <w:r>
        <w:rPr>
          <w:color w:val="auto"/>
          <w:szCs w:val="21"/>
          <w:highlight w:val="none"/>
        </w:rPr>
        <w:t>（4）如成交，本响应文件至本项目合同履行完毕止均保持有效，本供应商将按“采购文件”及政府采购法律、法规的规定履行合同责任和义务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6608B522">
      <w:pPr>
        <w:spacing w:line="360" w:lineRule="auto"/>
        <w:rPr>
          <w:color w:val="auto"/>
          <w:szCs w:val="21"/>
          <w:highlight w:val="none"/>
        </w:rPr>
      </w:pPr>
      <w:r>
        <w:rPr>
          <w:color w:val="auto"/>
          <w:szCs w:val="21"/>
          <w:highlight w:val="none"/>
        </w:rPr>
        <w:t>（5）供应商同意按照贵方要求提供与响应有关的一切数据或资料。</w:t>
      </w:r>
    </w:p>
    <w:p w14:paraId="7719BBBB">
      <w:pPr>
        <w:spacing w:line="360" w:lineRule="auto"/>
        <w:rPr>
          <w:color w:val="auto"/>
          <w:szCs w:val="21"/>
          <w:highlight w:val="none"/>
        </w:rPr>
      </w:pPr>
      <w:r>
        <w:rPr>
          <w:color w:val="auto"/>
          <w:szCs w:val="21"/>
          <w:highlight w:val="none"/>
        </w:rPr>
        <w:t>（</w:t>
      </w:r>
      <w:r>
        <w:rPr>
          <w:rFonts w:hint="eastAsia"/>
          <w:color w:val="auto"/>
          <w:szCs w:val="21"/>
          <w:highlight w:val="none"/>
        </w:rPr>
        <w:t>6</w:t>
      </w:r>
      <w:r>
        <w:rPr>
          <w:color w:val="auto"/>
          <w:szCs w:val="21"/>
          <w:highlight w:val="none"/>
        </w:rPr>
        <w:t>）与本项目有关的一切正式往来信函请寄：</w:t>
      </w:r>
    </w:p>
    <w:p w14:paraId="3143E1BB">
      <w:pPr>
        <w:spacing w:line="360" w:lineRule="auto"/>
        <w:rPr>
          <w:color w:val="auto"/>
          <w:szCs w:val="21"/>
          <w:highlight w:val="none"/>
        </w:rPr>
      </w:pPr>
      <w:r>
        <w:rPr>
          <w:color w:val="auto"/>
          <w:szCs w:val="21"/>
          <w:highlight w:val="none"/>
        </w:rPr>
        <w:t>地址：</w:t>
      </w:r>
      <w:r>
        <w:rPr>
          <w:color w:val="auto"/>
          <w:szCs w:val="21"/>
          <w:highlight w:val="none"/>
          <w:u w:val="single"/>
        </w:rPr>
        <w:t xml:space="preserve">                      </w:t>
      </w:r>
      <w:r>
        <w:rPr>
          <w:color w:val="auto"/>
          <w:szCs w:val="21"/>
          <w:highlight w:val="none"/>
        </w:rPr>
        <w:t>邮编：</w:t>
      </w:r>
      <w:r>
        <w:rPr>
          <w:color w:val="auto"/>
          <w:szCs w:val="21"/>
          <w:highlight w:val="none"/>
          <w:u w:val="single"/>
        </w:rPr>
        <w:t xml:space="preserve">         </w:t>
      </w:r>
      <w:r>
        <w:rPr>
          <w:color w:val="auto"/>
          <w:szCs w:val="21"/>
          <w:highlight w:val="none"/>
        </w:rPr>
        <w:t xml:space="preserve">  电话：</w:t>
      </w:r>
      <w:r>
        <w:rPr>
          <w:color w:val="auto"/>
          <w:szCs w:val="21"/>
          <w:highlight w:val="none"/>
          <w:u w:val="single"/>
        </w:rPr>
        <w:t xml:space="preserve">            </w:t>
      </w:r>
    </w:p>
    <w:p w14:paraId="143792E3">
      <w:pPr>
        <w:spacing w:line="360" w:lineRule="auto"/>
        <w:rPr>
          <w:color w:val="auto"/>
          <w:szCs w:val="21"/>
          <w:highlight w:val="none"/>
        </w:rPr>
      </w:pPr>
      <w:r>
        <w:rPr>
          <w:color w:val="auto"/>
          <w:szCs w:val="21"/>
          <w:highlight w:val="none"/>
        </w:rPr>
        <w:t>传真：</w:t>
      </w:r>
      <w:r>
        <w:rPr>
          <w:color w:val="auto"/>
          <w:szCs w:val="21"/>
          <w:highlight w:val="none"/>
          <w:u w:val="single"/>
        </w:rPr>
        <w:t xml:space="preserve">           </w:t>
      </w:r>
      <w:r>
        <w:rPr>
          <w:color w:val="auto"/>
          <w:szCs w:val="21"/>
          <w:highlight w:val="none"/>
        </w:rPr>
        <w:t xml:space="preserve"> </w:t>
      </w:r>
    </w:p>
    <w:p w14:paraId="330ABAAC">
      <w:pPr>
        <w:spacing w:line="360" w:lineRule="auto"/>
        <w:rPr>
          <w:color w:val="auto"/>
          <w:szCs w:val="21"/>
          <w:highlight w:val="none"/>
        </w:rPr>
      </w:pPr>
      <w:r>
        <w:rPr>
          <w:color w:val="auto"/>
          <w:szCs w:val="21"/>
          <w:highlight w:val="none"/>
        </w:rPr>
        <w:t>供应商代表姓名</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r>
        <w:rPr>
          <w:rFonts w:hint="eastAsia"/>
          <w:color w:val="auto"/>
          <w:szCs w:val="21"/>
          <w:highlight w:val="none"/>
        </w:rPr>
        <w:t>邮箱：</w:t>
      </w:r>
      <w:r>
        <w:rPr>
          <w:rFonts w:hint="eastAsia"/>
          <w:color w:val="auto"/>
          <w:szCs w:val="21"/>
          <w:highlight w:val="none"/>
          <w:u w:val="single"/>
        </w:rPr>
        <w:t xml:space="preserve"> </w:t>
      </w:r>
      <w:r>
        <w:rPr>
          <w:color w:val="auto"/>
          <w:szCs w:val="21"/>
          <w:highlight w:val="none"/>
          <w:u w:val="single"/>
        </w:rPr>
        <w:t xml:space="preserve">             </w:t>
      </w:r>
    </w:p>
    <w:p w14:paraId="3DA838C5">
      <w:pPr>
        <w:spacing w:line="360" w:lineRule="auto"/>
        <w:rPr>
          <w:color w:val="auto"/>
          <w:szCs w:val="21"/>
          <w:highlight w:val="none"/>
        </w:rPr>
      </w:pPr>
    </w:p>
    <w:p w14:paraId="7996A0B3">
      <w:pPr>
        <w:spacing w:line="360" w:lineRule="auto"/>
        <w:rPr>
          <w:color w:val="auto"/>
          <w:szCs w:val="21"/>
          <w:highlight w:val="none"/>
        </w:rPr>
      </w:pPr>
    </w:p>
    <w:p w14:paraId="229FE9A4">
      <w:pPr>
        <w:spacing w:line="360" w:lineRule="auto"/>
        <w:rPr>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6BD300BB">
      <w:pPr>
        <w:spacing w:line="360" w:lineRule="auto"/>
        <w:rPr>
          <w:color w:val="auto"/>
          <w:szCs w:val="21"/>
          <w:highlight w:val="none"/>
        </w:rPr>
      </w:pPr>
    </w:p>
    <w:p w14:paraId="18D00311">
      <w:pPr>
        <w:spacing w:line="360" w:lineRule="auto"/>
        <w:rPr>
          <w:color w:val="auto"/>
          <w:szCs w:val="21"/>
          <w:highlight w:val="none"/>
        </w:rPr>
      </w:pPr>
    </w:p>
    <w:p w14:paraId="7F1263D6">
      <w:pPr>
        <w:spacing w:line="360" w:lineRule="auto"/>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7F8CFF93">
      <w:pPr>
        <w:rPr>
          <w:b/>
          <w:color w:val="auto"/>
          <w:szCs w:val="21"/>
          <w:highlight w:val="none"/>
        </w:rPr>
      </w:pPr>
      <w:r>
        <w:rPr>
          <w:b/>
          <w:color w:val="auto"/>
          <w:szCs w:val="21"/>
          <w:highlight w:val="none"/>
        </w:rPr>
        <w:br w:type="page"/>
      </w:r>
      <w:r>
        <w:rPr>
          <w:b/>
          <w:color w:val="auto"/>
          <w:szCs w:val="21"/>
          <w:highlight w:val="none"/>
        </w:rPr>
        <w:t>2．响应报价明细表格式：</w:t>
      </w:r>
    </w:p>
    <w:p w14:paraId="5F35ADE6">
      <w:pPr>
        <w:jc w:val="center"/>
        <w:rPr>
          <w:b/>
          <w:color w:val="auto"/>
          <w:szCs w:val="21"/>
          <w:highlight w:val="none"/>
        </w:rPr>
      </w:pPr>
      <w:r>
        <w:rPr>
          <w:b/>
          <w:color w:val="auto"/>
          <w:szCs w:val="21"/>
          <w:highlight w:val="none"/>
        </w:rPr>
        <w:t>响应报价明细表</w:t>
      </w:r>
    </w:p>
    <w:p w14:paraId="295D485E">
      <w:pPr>
        <w:ind w:firstLine="2415" w:firstLineChars="1150"/>
        <w:rPr>
          <w:color w:val="auto"/>
          <w:szCs w:val="21"/>
          <w:highlight w:val="none"/>
        </w:rPr>
      </w:pPr>
      <w:r>
        <w:rPr>
          <w:color w:val="auto"/>
          <w:szCs w:val="21"/>
          <w:highlight w:val="none"/>
        </w:rPr>
        <w:t xml:space="preserve">                            金额单位：人民币（元）</w:t>
      </w:r>
    </w:p>
    <w:tbl>
      <w:tblPr>
        <w:tblStyle w:val="53"/>
        <w:tblW w:w="1021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8"/>
        <w:gridCol w:w="1783"/>
        <w:gridCol w:w="1189"/>
        <w:gridCol w:w="1783"/>
        <w:gridCol w:w="1387"/>
        <w:gridCol w:w="1585"/>
        <w:gridCol w:w="1585"/>
      </w:tblGrid>
      <w:tr w14:paraId="57ADE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vAlign w:val="center"/>
          </w:tcPr>
          <w:p w14:paraId="7AAE02A1">
            <w:pPr>
              <w:jc w:val="center"/>
              <w:rPr>
                <w:color w:val="auto"/>
                <w:spacing w:val="20"/>
                <w:szCs w:val="21"/>
                <w:highlight w:val="none"/>
              </w:rPr>
            </w:pPr>
            <w:r>
              <w:rPr>
                <w:color w:val="auto"/>
                <w:szCs w:val="21"/>
                <w:highlight w:val="none"/>
              </w:rPr>
              <w:t>序号</w:t>
            </w:r>
          </w:p>
        </w:tc>
        <w:tc>
          <w:tcPr>
            <w:tcW w:w="1783" w:type="dxa"/>
            <w:tcBorders>
              <w:top w:val="single" w:color="auto" w:sz="4" w:space="0"/>
              <w:left w:val="single" w:color="auto" w:sz="4" w:space="0"/>
              <w:bottom w:val="single" w:color="auto" w:sz="4" w:space="0"/>
              <w:right w:val="single" w:color="auto" w:sz="4" w:space="0"/>
            </w:tcBorders>
            <w:vAlign w:val="center"/>
          </w:tcPr>
          <w:p w14:paraId="00A7DB72">
            <w:pPr>
              <w:jc w:val="center"/>
              <w:rPr>
                <w:color w:val="auto"/>
                <w:szCs w:val="21"/>
                <w:highlight w:val="none"/>
              </w:rPr>
            </w:pPr>
            <w:r>
              <w:rPr>
                <w:color w:val="auto"/>
                <w:szCs w:val="21"/>
                <w:highlight w:val="none"/>
              </w:rPr>
              <w:t>服务名称</w:t>
            </w:r>
          </w:p>
        </w:tc>
        <w:tc>
          <w:tcPr>
            <w:tcW w:w="1189" w:type="dxa"/>
            <w:tcBorders>
              <w:top w:val="single" w:color="auto" w:sz="4" w:space="0"/>
              <w:left w:val="single" w:color="auto" w:sz="4" w:space="0"/>
              <w:bottom w:val="single" w:color="auto" w:sz="4" w:space="0"/>
              <w:right w:val="single" w:color="auto" w:sz="4" w:space="0"/>
            </w:tcBorders>
            <w:vAlign w:val="center"/>
          </w:tcPr>
          <w:p w14:paraId="429A48C1">
            <w:pPr>
              <w:jc w:val="center"/>
              <w:rPr>
                <w:color w:val="auto"/>
                <w:szCs w:val="21"/>
                <w:highlight w:val="none"/>
              </w:rPr>
            </w:pPr>
            <w:r>
              <w:rPr>
                <w:rFonts w:hint="eastAsia"/>
                <w:color w:val="auto"/>
                <w:szCs w:val="21"/>
                <w:highlight w:val="none"/>
              </w:rPr>
              <w:t>数量</w:t>
            </w:r>
          </w:p>
        </w:tc>
        <w:tc>
          <w:tcPr>
            <w:tcW w:w="1783" w:type="dxa"/>
            <w:tcBorders>
              <w:top w:val="single" w:color="auto" w:sz="4" w:space="0"/>
              <w:left w:val="single" w:color="auto" w:sz="4" w:space="0"/>
              <w:bottom w:val="single" w:color="auto" w:sz="4" w:space="0"/>
              <w:right w:val="single" w:color="auto" w:sz="4" w:space="0"/>
            </w:tcBorders>
            <w:vAlign w:val="center"/>
          </w:tcPr>
          <w:p w14:paraId="33E5F1A0">
            <w:pPr>
              <w:jc w:val="center"/>
              <w:rPr>
                <w:color w:val="auto"/>
                <w:szCs w:val="21"/>
                <w:highlight w:val="none"/>
              </w:rPr>
            </w:pPr>
            <w:r>
              <w:rPr>
                <w:rFonts w:hint="eastAsia"/>
                <w:color w:val="auto"/>
                <w:szCs w:val="21"/>
                <w:highlight w:val="none"/>
              </w:rPr>
              <w:t>单位</w:t>
            </w:r>
          </w:p>
        </w:tc>
        <w:tc>
          <w:tcPr>
            <w:tcW w:w="1387" w:type="dxa"/>
            <w:tcBorders>
              <w:top w:val="single" w:color="auto" w:sz="4" w:space="0"/>
              <w:left w:val="single" w:color="auto" w:sz="4" w:space="0"/>
              <w:bottom w:val="single" w:color="auto" w:sz="4" w:space="0"/>
              <w:right w:val="single" w:color="auto" w:sz="4" w:space="0"/>
            </w:tcBorders>
            <w:vAlign w:val="center"/>
          </w:tcPr>
          <w:p w14:paraId="17736071">
            <w:pPr>
              <w:jc w:val="center"/>
              <w:rPr>
                <w:color w:val="auto"/>
                <w:szCs w:val="21"/>
                <w:highlight w:val="none"/>
              </w:rPr>
            </w:pPr>
            <w:r>
              <w:rPr>
                <w:color w:val="auto"/>
                <w:szCs w:val="21"/>
                <w:highlight w:val="none"/>
              </w:rPr>
              <w:t>单价</w:t>
            </w:r>
          </w:p>
        </w:tc>
        <w:tc>
          <w:tcPr>
            <w:tcW w:w="1585" w:type="dxa"/>
            <w:tcBorders>
              <w:top w:val="single" w:color="auto" w:sz="4" w:space="0"/>
              <w:left w:val="single" w:color="auto" w:sz="4" w:space="0"/>
              <w:bottom w:val="single" w:color="auto" w:sz="4" w:space="0"/>
              <w:right w:val="single" w:color="auto" w:sz="4" w:space="0"/>
            </w:tcBorders>
            <w:vAlign w:val="center"/>
          </w:tcPr>
          <w:p w14:paraId="4047964F">
            <w:pPr>
              <w:jc w:val="center"/>
              <w:rPr>
                <w:color w:val="auto"/>
                <w:szCs w:val="21"/>
                <w:highlight w:val="none"/>
              </w:rPr>
            </w:pPr>
            <w:r>
              <w:rPr>
                <w:rFonts w:hint="eastAsia"/>
                <w:color w:val="auto"/>
                <w:szCs w:val="21"/>
                <w:highlight w:val="none"/>
              </w:rPr>
              <w:t>合计</w:t>
            </w:r>
          </w:p>
        </w:tc>
        <w:tc>
          <w:tcPr>
            <w:tcW w:w="1585" w:type="dxa"/>
            <w:tcBorders>
              <w:top w:val="single" w:color="auto" w:sz="4" w:space="0"/>
              <w:left w:val="single" w:color="auto" w:sz="4" w:space="0"/>
              <w:bottom w:val="single" w:color="auto" w:sz="4" w:space="0"/>
              <w:right w:val="single" w:color="auto" w:sz="4" w:space="0"/>
            </w:tcBorders>
            <w:vAlign w:val="center"/>
          </w:tcPr>
          <w:p w14:paraId="155E2493">
            <w:pPr>
              <w:jc w:val="center"/>
              <w:rPr>
                <w:color w:val="auto"/>
                <w:szCs w:val="21"/>
                <w:highlight w:val="none"/>
              </w:rPr>
            </w:pPr>
            <w:r>
              <w:rPr>
                <w:rFonts w:hint="eastAsia"/>
                <w:color w:val="auto"/>
                <w:szCs w:val="21"/>
                <w:highlight w:val="none"/>
              </w:rPr>
              <w:t>备注</w:t>
            </w:r>
          </w:p>
        </w:tc>
      </w:tr>
      <w:tr w14:paraId="163E51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vAlign w:val="center"/>
          </w:tcPr>
          <w:p w14:paraId="4583F5C4">
            <w:pPr>
              <w:jc w:val="center"/>
              <w:rPr>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vAlign w:val="center"/>
          </w:tcPr>
          <w:p w14:paraId="72784953">
            <w:pPr>
              <w:jc w:val="center"/>
              <w:rPr>
                <w:color w:val="auto"/>
                <w:spacing w:val="20"/>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0BA1EF4A">
            <w:pPr>
              <w:jc w:val="center"/>
              <w:rPr>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vAlign w:val="center"/>
          </w:tcPr>
          <w:p w14:paraId="5E65A05B">
            <w:pPr>
              <w:jc w:val="center"/>
              <w:rPr>
                <w:color w:val="auto"/>
                <w:spacing w:val="20"/>
                <w:szCs w:val="21"/>
                <w:highlight w:val="none"/>
              </w:rPr>
            </w:pPr>
          </w:p>
        </w:tc>
        <w:tc>
          <w:tcPr>
            <w:tcW w:w="1387" w:type="dxa"/>
            <w:tcBorders>
              <w:top w:val="single" w:color="auto" w:sz="4" w:space="0"/>
              <w:left w:val="single" w:color="auto" w:sz="4" w:space="0"/>
              <w:bottom w:val="single" w:color="auto" w:sz="4" w:space="0"/>
              <w:right w:val="single" w:color="auto" w:sz="4" w:space="0"/>
            </w:tcBorders>
            <w:vAlign w:val="center"/>
          </w:tcPr>
          <w:p w14:paraId="7BC59EEB">
            <w:pPr>
              <w:jc w:val="center"/>
              <w:rPr>
                <w:color w:val="auto"/>
                <w:spacing w:val="20"/>
                <w:szCs w:val="21"/>
                <w:highlight w:val="none"/>
              </w:rPr>
            </w:pPr>
          </w:p>
        </w:tc>
        <w:tc>
          <w:tcPr>
            <w:tcW w:w="1585" w:type="dxa"/>
            <w:tcBorders>
              <w:top w:val="single" w:color="auto" w:sz="4" w:space="0"/>
              <w:left w:val="single" w:color="auto" w:sz="4" w:space="0"/>
              <w:bottom w:val="single" w:color="auto" w:sz="4" w:space="0"/>
              <w:right w:val="single" w:color="auto" w:sz="4" w:space="0"/>
            </w:tcBorders>
            <w:vAlign w:val="center"/>
          </w:tcPr>
          <w:p w14:paraId="676E91BC">
            <w:pPr>
              <w:jc w:val="center"/>
              <w:rPr>
                <w:color w:val="auto"/>
                <w:spacing w:val="20"/>
                <w:szCs w:val="21"/>
                <w:highlight w:val="none"/>
              </w:rPr>
            </w:pPr>
          </w:p>
        </w:tc>
        <w:tc>
          <w:tcPr>
            <w:tcW w:w="1585" w:type="dxa"/>
            <w:tcBorders>
              <w:top w:val="single" w:color="auto" w:sz="4" w:space="0"/>
              <w:left w:val="single" w:color="auto" w:sz="4" w:space="0"/>
              <w:bottom w:val="single" w:color="auto" w:sz="4" w:space="0"/>
              <w:right w:val="single" w:color="auto" w:sz="4" w:space="0"/>
            </w:tcBorders>
            <w:vAlign w:val="center"/>
          </w:tcPr>
          <w:p w14:paraId="17D9B696">
            <w:pPr>
              <w:jc w:val="center"/>
              <w:rPr>
                <w:color w:val="auto"/>
                <w:spacing w:val="20"/>
                <w:szCs w:val="21"/>
                <w:highlight w:val="none"/>
              </w:rPr>
            </w:pPr>
          </w:p>
        </w:tc>
      </w:tr>
      <w:tr w14:paraId="5E1A42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vAlign w:val="center"/>
          </w:tcPr>
          <w:p w14:paraId="6FC71152">
            <w:pPr>
              <w:jc w:val="center"/>
              <w:rPr>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vAlign w:val="center"/>
          </w:tcPr>
          <w:p w14:paraId="42F07C9C">
            <w:pPr>
              <w:jc w:val="center"/>
              <w:rPr>
                <w:color w:val="auto"/>
                <w:spacing w:val="20"/>
                <w:szCs w:val="21"/>
                <w:highlight w:val="none"/>
              </w:rPr>
            </w:pPr>
          </w:p>
        </w:tc>
        <w:tc>
          <w:tcPr>
            <w:tcW w:w="1189" w:type="dxa"/>
            <w:tcBorders>
              <w:top w:val="single" w:color="auto" w:sz="4" w:space="0"/>
              <w:left w:val="single" w:color="auto" w:sz="4" w:space="0"/>
              <w:bottom w:val="single" w:color="auto" w:sz="4" w:space="0"/>
              <w:right w:val="single" w:color="auto" w:sz="4" w:space="0"/>
            </w:tcBorders>
            <w:vAlign w:val="center"/>
          </w:tcPr>
          <w:p w14:paraId="1EE95666">
            <w:pPr>
              <w:jc w:val="center"/>
              <w:rPr>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vAlign w:val="center"/>
          </w:tcPr>
          <w:p w14:paraId="78A445D7">
            <w:pPr>
              <w:jc w:val="center"/>
              <w:rPr>
                <w:color w:val="auto"/>
                <w:spacing w:val="20"/>
                <w:szCs w:val="21"/>
                <w:highlight w:val="none"/>
              </w:rPr>
            </w:pPr>
          </w:p>
        </w:tc>
        <w:tc>
          <w:tcPr>
            <w:tcW w:w="1387" w:type="dxa"/>
            <w:tcBorders>
              <w:top w:val="single" w:color="auto" w:sz="4" w:space="0"/>
              <w:left w:val="single" w:color="auto" w:sz="4" w:space="0"/>
              <w:bottom w:val="single" w:color="auto" w:sz="4" w:space="0"/>
              <w:right w:val="single" w:color="auto" w:sz="4" w:space="0"/>
            </w:tcBorders>
            <w:vAlign w:val="center"/>
          </w:tcPr>
          <w:p w14:paraId="5118518D">
            <w:pPr>
              <w:jc w:val="center"/>
              <w:rPr>
                <w:color w:val="auto"/>
                <w:spacing w:val="20"/>
                <w:szCs w:val="21"/>
                <w:highlight w:val="none"/>
              </w:rPr>
            </w:pPr>
          </w:p>
        </w:tc>
        <w:tc>
          <w:tcPr>
            <w:tcW w:w="1585" w:type="dxa"/>
            <w:tcBorders>
              <w:top w:val="single" w:color="auto" w:sz="4" w:space="0"/>
              <w:left w:val="single" w:color="auto" w:sz="4" w:space="0"/>
              <w:bottom w:val="single" w:color="auto" w:sz="4" w:space="0"/>
              <w:right w:val="single" w:color="auto" w:sz="4" w:space="0"/>
            </w:tcBorders>
            <w:vAlign w:val="center"/>
          </w:tcPr>
          <w:p w14:paraId="2CFD5F39">
            <w:pPr>
              <w:jc w:val="center"/>
              <w:rPr>
                <w:color w:val="auto"/>
                <w:spacing w:val="20"/>
                <w:szCs w:val="21"/>
                <w:highlight w:val="none"/>
              </w:rPr>
            </w:pPr>
          </w:p>
        </w:tc>
        <w:tc>
          <w:tcPr>
            <w:tcW w:w="1585" w:type="dxa"/>
            <w:tcBorders>
              <w:top w:val="single" w:color="auto" w:sz="4" w:space="0"/>
              <w:left w:val="single" w:color="auto" w:sz="4" w:space="0"/>
              <w:bottom w:val="single" w:color="auto" w:sz="4" w:space="0"/>
              <w:right w:val="single" w:color="auto" w:sz="4" w:space="0"/>
            </w:tcBorders>
            <w:vAlign w:val="center"/>
          </w:tcPr>
          <w:p w14:paraId="0F3ACEC0">
            <w:pPr>
              <w:jc w:val="center"/>
              <w:rPr>
                <w:color w:val="auto"/>
                <w:spacing w:val="20"/>
                <w:szCs w:val="21"/>
                <w:highlight w:val="none"/>
              </w:rPr>
            </w:pPr>
          </w:p>
        </w:tc>
      </w:tr>
      <w:tr w14:paraId="022F22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vAlign w:val="center"/>
          </w:tcPr>
          <w:p w14:paraId="306FCBFD">
            <w:pPr>
              <w:jc w:val="center"/>
              <w:rPr>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vAlign w:val="center"/>
          </w:tcPr>
          <w:p w14:paraId="4BF16E38">
            <w:pPr>
              <w:jc w:val="center"/>
              <w:rPr>
                <w:color w:val="auto"/>
                <w:spacing w:val="20"/>
                <w:szCs w:val="21"/>
                <w:highlight w:val="none"/>
              </w:rPr>
            </w:pPr>
            <w:r>
              <w:rPr>
                <w:color w:val="auto"/>
                <w:spacing w:val="20"/>
                <w:szCs w:val="21"/>
                <w:highlight w:val="none"/>
              </w:rPr>
              <w:t>……</w:t>
            </w:r>
          </w:p>
        </w:tc>
        <w:tc>
          <w:tcPr>
            <w:tcW w:w="1189" w:type="dxa"/>
            <w:tcBorders>
              <w:top w:val="single" w:color="auto" w:sz="4" w:space="0"/>
              <w:left w:val="single" w:color="auto" w:sz="4" w:space="0"/>
              <w:bottom w:val="single" w:color="auto" w:sz="4" w:space="0"/>
              <w:right w:val="single" w:color="auto" w:sz="4" w:space="0"/>
            </w:tcBorders>
            <w:vAlign w:val="center"/>
          </w:tcPr>
          <w:p w14:paraId="081E34DC">
            <w:pPr>
              <w:jc w:val="center"/>
              <w:rPr>
                <w:color w:val="auto"/>
                <w:spacing w:val="20"/>
                <w:szCs w:val="21"/>
                <w:highlight w:val="none"/>
              </w:rPr>
            </w:pPr>
          </w:p>
        </w:tc>
        <w:tc>
          <w:tcPr>
            <w:tcW w:w="1783" w:type="dxa"/>
            <w:tcBorders>
              <w:top w:val="single" w:color="auto" w:sz="4" w:space="0"/>
              <w:left w:val="single" w:color="auto" w:sz="4" w:space="0"/>
              <w:bottom w:val="single" w:color="auto" w:sz="4" w:space="0"/>
              <w:right w:val="single" w:color="auto" w:sz="4" w:space="0"/>
            </w:tcBorders>
            <w:vAlign w:val="center"/>
          </w:tcPr>
          <w:p w14:paraId="09DE9F96">
            <w:pPr>
              <w:jc w:val="center"/>
              <w:rPr>
                <w:color w:val="auto"/>
                <w:spacing w:val="20"/>
                <w:szCs w:val="21"/>
                <w:highlight w:val="none"/>
              </w:rPr>
            </w:pPr>
          </w:p>
        </w:tc>
        <w:tc>
          <w:tcPr>
            <w:tcW w:w="1387" w:type="dxa"/>
            <w:tcBorders>
              <w:top w:val="single" w:color="auto" w:sz="4" w:space="0"/>
              <w:left w:val="single" w:color="auto" w:sz="4" w:space="0"/>
              <w:bottom w:val="single" w:color="auto" w:sz="4" w:space="0"/>
              <w:right w:val="single" w:color="auto" w:sz="4" w:space="0"/>
            </w:tcBorders>
            <w:vAlign w:val="center"/>
          </w:tcPr>
          <w:p w14:paraId="3C9CF1CB">
            <w:pPr>
              <w:jc w:val="center"/>
              <w:rPr>
                <w:color w:val="auto"/>
                <w:spacing w:val="20"/>
                <w:szCs w:val="21"/>
                <w:highlight w:val="none"/>
              </w:rPr>
            </w:pPr>
          </w:p>
        </w:tc>
        <w:tc>
          <w:tcPr>
            <w:tcW w:w="1585" w:type="dxa"/>
            <w:tcBorders>
              <w:top w:val="single" w:color="auto" w:sz="4" w:space="0"/>
              <w:left w:val="single" w:color="auto" w:sz="4" w:space="0"/>
              <w:bottom w:val="single" w:color="auto" w:sz="4" w:space="0"/>
              <w:right w:val="single" w:color="auto" w:sz="4" w:space="0"/>
            </w:tcBorders>
            <w:vAlign w:val="center"/>
          </w:tcPr>
          <w:p w14:paraId="6BF4CA57">
            <w:pPr>
              <w:jc w:val="center"/>
              <w:rPr>
                <w:color w:val="auto"/>
                <w:spacing w:val="20"/>
                <w:szCs w:val="21"/>
                <w:highlight w:val="none"/>
              </w:rPr>
            </w:pPr>
          </w:p>
        </w:tc>
        <w:tc>
          <w:tcPr>
            <w:tcW w:w="1585" w:type="dxa"/>
            <w:tcBorders>
              <w:top w:val="single" w:color="auto" w:sz="4" w:space="0"/>
              <w:left w:val="single" w:color="auto" w:sz="4" w:space="0"/>
              <w:bottom w:val="single" w:color="auto" w:sz="4" w:space="0"/>
              <w:right w:val="single" w:color="auto" w:sz="4" w:space="0"/>
            </w:tcBorders>
            <w:vAlign w:val="center"/>
          </w:tcPr>
          <w:p w14:paraId="29036464">
            <w:pPr>
              <w:jc w:val="center"/>
              <w:rPr>
                <w:color w:val="auto"/>
                <w:spacing w:val="20"/>
                <w:szCs w:val="21"/>
                <w:highlight w:val="none"/>
              </w:rPr>
            </w:pPr>
          </w:p>
        </w:tc>
      </w:tr>
    </w:tbl>
    <w:p w14:paraId="65521239">
      <w:pPr>
        <w:rPr>
          <w:color w:val="auto"/>
          <w:spacing w:val="20"/>
          <w:szCs w:val="21"/>
          <w:highlight w:val="none"/>
          <w:u w:val="single"/>
        </w:rPr>
      </w:pPr>
    </w:p>
    <w:p w14:paraId="18920A93">
      <w:pPr>
        <w:spacing w:line="360" w:lineRule="auto"/>
        <w:rPr>
          <w:color w:val="auto"/>
          <w:spacing w:val="20"/>
          <w:szCs w:val="21"/>
          <w:highlight w:val="none"/>
        </w:rPr>
      </w:pPr>
    </w:p>
    <w:p w14:paraId="35AC692B">
      <w:pPr>
        <w:pStyle w:val="20"/>
        <w:rPr>
          <w:color w:val="auto"/>
          <w:highlight w:val="none"/>
        </w:rPr>
      </w:pPr>
      <w:r>
        <w:rPr>
          <w:color w:val="auto"/>
          <w:szCs w:val="21"/>
          <w:highlight w:val="none"/>
        </w:rPr>
        <w:t>注：</w:t>
      </w:r>
      <w:r>
        <w:rPr>
          <w:rFonts w:hint="eastAsia"/>
          <w:color w:val="auto"/>
          <w:szCs w:val="21"/>
          <w:highlight w:val="none"/>
        </w:rPr>
        <w:t>本表如</w:t>
      </w:r>
      <w:r>
        <w:rPr>
          <w:rFonts w:hint="eastAsia"/>
          <w:color w:val="auto"/>
          <w:highlight w:val="none"/>
        </w:rPr>
        <w:t>与广西政府采购云平台不一致的，以广西政府采购云平台为准。</w:t>
      </w:r>
    </w:p>
    <w:p w14:paraId="324B6034">
      <w:pPr>
        <w:jc w:val="left"/>
        <w:rPr>
          <w:color w:val="auto"/>
          <w:szCs w:val="21"/>
          <w:highlight w:val="none"/>
        </w:rPr>
      </w:pPr>
    </w:p>
    <w:p w14:paraId="10B66C9B">
      <w:pPr>
        <w:spacing w:line="360" w:lineRule="auto"/>
        <w:rPr>
          <w:color w:val="auto"/>
          <w:spacing w:val="20"/>
          <w:szCs w:val="21"/>
          <w:highlight w:val="none"/>
        </w:rPr>
      </w:pPr>
    </w:p>
    <w:p w14:paraId="41713540">
      <w:pPr>
        <w:spacing w:line="360" w:lineRule="auto"/>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2F14A1E8">
      <w:pPr>
        <w:spacing w:line="360" w:lineRule="auto"/>
        <w:rPr>
          <w:color w:val="auto"/>
          <w:spacing w:val="20"/>
          <w:szCs w:val="21"/>
          <w:highlight w:val="none"/>
          <w:u w:val="single"/>
        </w:rPr>
      </w:pPr>
      <w:r>
        <w:rPr>
          <w:color w:val="auto"/>
          <w:szCs w:val="21"/>
          <w:highlight w:val="none"/>
        </w:rPr>
        <w:t>日  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459409F6">
      <w:pPr>
        <w:jc w:val="left"/>
        <w:rPr>
          <w:color w:val="auto"/>
          <w:szCs w:val="21"/>
          <w:highlight w:val="none"/>
        </w:rPr>
      </w:pPr>
      <w:r>
        <w:rPr>
          <w:color w:val="auto"/>
          <w:szCs w:val="21"/>
          <w:highlight w:val="none"/>
        </w:rPr>
        <w:br w:type="page"/>
      </w:r>
    </w:p>
    <w:p w14:paraId="2B05FB6E">
      <w:pPr>
        <w:snapToGrid w:val="0"/>
        <w:spacing w:before="50" w:after="120" w:afterLines="50"/>
        <w:jc w:val="left"/>
        <w:outlineLvl w:val="1"/>
        <w:rPr>
          <w:color w:val="auto"/>
          <w:szCs w:val="21"/>
          <w:highlight w:val="none"/>
        </w:rPr>
      </w:pPr>
      <w:bookmarkStart w:id="143" w:name="_Hlk65852042"/>
      <w:r>
        <w:rPr>
          <w:rFonts w:hint="eastAsia"/>
          <w:color w:val="auto"/>
          <w:szCs w:val="21"/>
          <w:highlight w:val="none"/>
        </w:rPr>
        <w:t>3.开标一览表</w:t>
      </w:r>
    </w:p>
    <w:p w14:paraId="1F8B857A">
      <w:pPr>
        <w:widowControl/>
        <w:jc w:val="left"/>
        <w:rPr>
          <w:color w:val="auto"/>
          <w:szCs w:val="21"/>
          <w:highlight w:val="none"/>
        </w:rPr>
      </w:pPr>
    </w:p>
    <w:p w14:paraId="468C5CFB">
      <w:pPr>
        <w:widowControl/>
        <w:jc w:val="left"/>
        <w:rPr>
          <w:color w:val="auto"/>
          <w:szCs w:val="21"/>
          <w:highlight w:val="none"/>
        </w:rPr>
      </w:pPr>
    </w:p>
    <w:p w14:paraId="11D7E3DA">
      <w:pPr>
        <w:widowControl/>
        <w:jc w:val="left"/>
        <w:rPr>
          <w:color w:val="auto"/>
          <w:szCs w:val="21"/>
          <w:highlight w:val="none"/>
        </w:rPr>
      </w:pPr>
    </w:p>
    <w:p w14:paraId="224CCD6E">
      <w:pPr>
        <w:rPr>
          <w:b/>
          <w:color w:val="auto"/>
          <w:szCs w:val="21"/>
          <w:highlight w:val="none"/>
        </w:rPr>
      </w:pPr>
    </w:p>
    <w:p w14:paraId="7771C761">
      <w:pPr>
        <w:rPr>
          <w:b/>
          <w:color w:val="auto"/>
          <w:szCs w:val="21"/>
          <w:highlight w:val="none"/>
        </w:rPr>
      </w:pPr>
    </w:p>
    <w:p w14:paraId="62FACCF2">
      <w:pPr>
        <w:rPr>
          <w:b/>
          <w:color w:val="auto"/>
          <w:szCs w:val="21"/>
          <w:highlight w:val="none"/>
        </w:rPr>
      </w:pPr>
      <w:r>
        <w:rPr>
          <w:rFonts w:hint="eastAsia"/>
          <w:b/>
          <w:color w:val="auto"/>
          <w:szCs w:val="21"/>
          <w:highlight w:val="none"/>
        </w:rPr>
        <w:t>格式详见广西政府采购云平台，且仅在广西政府采购云平台填写即可。</w:t>
      </w:r>
    </w:p>
    <w:p w14:paraId="4A9551BB">
      <w:pPr>
        <w:widowControl/>
        <w:jc w:val="left"/>
        <w:rPr>
          <w:color w:val="auto"/>
          <w:szCs w:val="21"/>
          <w:highlight w:val="none"/>
        </w:rPr>
      </w:pPr>
    </w:p>
    <w:bookmarkEnd w:id="143"/>
    <w:p w14:paraId="5D6D4966">
      <w:pPr>
        <w:spacing w:line="360" w:lineRule="auto"/>
        <w:ind w:firstLine="420"/>
        <w:rPr>
          <w:color w:val="auto"/>
          <w:szCs w:val="21"/>
          <w:highlight w:val="none"/>
        </w:rPr>
      </w:pPr>
    </w:p>
    <w:p w14:paraId="44A5BF6C">
      <w:pPr>
        <w:snapToGrid w:val="0"/>
        <w:spacing w:before="120" w:beforeLines="50" w:after="50" w:line="440" w:lineRule="exact"/>
        <w:jc w:val="left"/>
        <w:outlineLvl w:val="1"/>
        <w:rPr>
          <w:bCs/>
          <w:color w:val="auto"/>
          <w:sz w:val="24"/>
          <w:highlight w:val="none"/>
        </w:rPr>
      </w:pPr>
      <w:r>
        <w:rPr>
          <w:bCs/>
          <w:color w:val="auto"/>
          <w:sz w:val="24"/>
          <w:highlight w:val="none"/>
        </w:rPr>
        <w:t xml:space="preserve"> </w:t>
      </w:r>
    </w:p>
    <w:p w14:paraId="25AD6542">
      <w:pPr>
        <w:rPr>
          <w:color w:val="auto"/>
          <w:highlight w:val="none"/>
        </w:rPr>
      </w:pPr>
    </w:p>
    <w:sectPr>
      <w:headerReference r:id="rId18" w:type="default"/>
      <w:pgSz w:w="11906" w:h="16838"/>
      <w:pgMar w:top="1418" w:right="1133" w:bottom="1246"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A33D054-2877-4C48-A32F-ED4A2D8A44FC}"/>
  </w:font>
  <w:font w:name="黑体">
    <w:panose1 w:val="02010609060101010101"/>
    <w:charset w:val="86"/>
    <w:family w:val="auto"/>
    <w:pitch w:val="default"/>
    <w:sig w:usb0="800002BF" w:usb1="38CF7CFA" w:usb2="00000016" w:usb3="00000000" w:csb0="00040001" w:csb1="00000000"/>
    <w:embedRegular r:id="rId2" w:fontKey="{4DF52CEC-3B7E-4E13-AE2C-D946702D8B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48A41A5F-E85C-42B1-9B86-6AC2F0624DD9}"/>
  </w:font>
  <w:font w:name="Verdana">
    <w:panose1 w:val="020B0604030504040204"/>
    <w:charset w:val="00"/>
    <w:family w:val="swiss"/>
    <w:pitch w:val="default"/>
    <w:sig w:usb0="A00006FF" w:usb1="4000205B" w:usb2="00000010" w:usb3="00000000" w:csb0="2000019F" w:csb1="00000000"/>
  </w:font>
  <w:font w:name="_x000B__x000C_">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embedRegular r:id="rId4" w:fontKey="{7A23EC43-115F-4F6D-8E08-E673B1CBD334}"/>
  </w:font>
  <w:font w:name="方正小标宋简体">
    <w:panose1 w:val="02000000000000000000"/>
    <w:charset w:val="86"/>
    <w:family w:val="script"/>
    <w:pitch w:val="default"/>
    <w:sig w:usb0="00000001" w:usb1="08000000" w:usb2="00000000" w:usb3="00000000" w:csb0="00040000" w:csb1="00000000"/>
    <w:embedRegular r:id="rId5" w:fontKey="{9ABFC5C3-8DA9-4478-A9CA-9DB88AE730B7}"/>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A2ED9">
    <w:pPr>
      <w:pStyle w:val="3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81334">
    <w:pPr>
      <w:pStyle w:val="33"/>
      <w:framePr w:wrap="around" w:vAnchor="text" w:hAnchor="margin" w:xAlign="center" w:y="1"/>
      <w:rPr>
        <w:rStyle w:val="57"/>
      </w:rPr>
    </w:pPr>
    <w:r>
      <w:fldChar w:fldCharType="begin"/>
    </w:r>
    <w:r>
      <w:rPr>
        <w:rStyle w:val="57"/>
      </w:rPr>
      <w:instrText xml:space="preserve">PAGE  </w:instrText>
    </w:r>
    <w:r>
      <w:fldChar w:fldCharType="end"/>
    </w:r>
  </w:p>
  <w:p w14:paraId="18857A8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A7248">
    <w:pPr>
      <w:pStyle w:val="33"/>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CCA8A">
    <w:pPr>
      <w:pStyle w:val="33"/>
      <w:framePr w:wrap="around" w:vAnchor="text" w:hAnchor="margin" w:xAlign="center" w:y="1"/>
      <w:rPr>
        <w:rStyle w:val="57"/>
      </w:rPr>
    </w:pPr>
    <w:r>
      <w:fldChar w:fldCharType="begin"/>
    </w:r>
    <w:r>
      <w:rPr>
        <w:rStyle w:val="57"/>
      </w:rPr>
      <w:instrText xml:space="preserve">PAGE  </w:instrText>
    </w:r>
    <w:r>
      <w:fldChar w:fldCharType="separate"/>
    </w:r>
    <w:r>
      <w:rPr>
        <w:rStyle w:val="57"/>
      </w:rPr>
      <w:t>55</w:t>
    </w:r>
    <w:r>
      <w:fldChar w:fldCharType="end"/>
    </w:r>
  </w:p>
  <w:p w14:paraId="5C12D1C5">
    <w:pPr>
      <w:pStyle w:val="33"/>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901BE">
    <w:pPr>
      <w:pStyle w:val="33"/>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66DB4">
    <w:pPr>
      <w:pStyle w:val="33"/>
      <w:jc w:val="center"/>
    </w:pPr>
    <w:r>
      <w:fldChar w:fldCharType="begin"/>
    </w:r>
    <w:r>
      <w:instrText xml:space="preserve">PAGE   \* MERGEFORMAT</w:instrText>
    </w:r>
    <w:r>
      <w:fldChar w:fldCharType="separate"/>
    </w:r>
    <w:r>
      <w:rPr>
        <w:lang w:val="zh-CN"/>
      </w:rPr>
      <w:t>27</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A6675">
    <w:pPr>
      <w:pStyle w:val="33"/>
      <w:framePr w:wrap="around" w:vAnchor="text" w:hAnchor="margin" w:xAlign="center" w:y="1"/>
      <w:rPr>
        <w:rStyle w:val="57"/>
      </w:rPr>
    </w:pPr>
    <w:r>
      <w:fldChar w:fldCharType="begin"/>
    </w:r>
    <w:r>
      <w:rPr>
        <w:rStyle w:val="57"/>
      </w:rPr>
      <w:instrText xml:space="preserve">PAGE  </w:instrText>
    </w:r>
    <w:r>
      <w:fldChar w:fldCharType="separate"/>
    </w:r>
    <w:r>
      <w:rPr>
        <w:rStyle w:val="57"/>
      </w:rPr>
      <w:t>76</w:t>
    </w:r>
    <w:r>
      <w:fldChar w:fldCharType="end"/>
    </w:r>
  </w:p>
  <w:p w14:paraId="5A997417">
    <w:pPr>
      <w:pStyle w:val="33"/>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22080">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E25C7">
    <w:pPr>
      <w:pStyle w:val="34"/>
      <w:jc w:val="left"/>
    </w:pPr>
    <w:r>
      <w:rPr>
        <w:rFonts w:hint="eastAsia"/>
      </w:rPr>
      <w:t xml:space="preserve">广西机电设备招标有限公司采购文件                                                               </w:t>
    </w:r>
  </w:p>
  <w:p w14:paraId="1DFC27ED">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316D2">
    <w:pPr>
      <w:pStyle w:val="34"/>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A7BB1">
    <w:pPr>
      <w:pStyle w:val="34"/>
      <w:jc w:val="left"/>
    </w:pPr>
    <w:r>
      <w:rPr>
        <w:rFonts w:hint="eastAsia"/>
      </w:rPr>
      <w:t xml:space="preserve">广西机电设备招标有限公司采购文件                                                         </w:t>
    </w:r>
  </w:p>
  <w:p w14:paraId="444823F8">
    <w:pPr>
      <w:pStyle w:val="34"/>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A07AB">
    <w:pPr>
      <w:pStyle w:val="34"/>
      <w:pBdr>
        <w:bottom w:val="single" w:color="auto" w:sz="6" w:space="0"/>
      </w:pBdr>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835DD">
    <w:pPr>
      <w:pStyle w:val="34"/>
      <w:jc w:val="left"/>
    </w:pPr>
    <w:r>
      <w:rPr>
        <w:rFonts w:hint="eastAsia"/>
      </w:rPr>
      <w:t xml:space="preserve">广西机电设备招标有限公司采购文件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35450">
    <w:pPr>
      <w:pStyle w:val="34"/>
      <w:jc w:val="left"/>
    </w:pPr>
    <w:r>
      <w:rPr>
        <w:rFonts w:hint="eastAsia"/>
      </w:rPr>
      <w:t xml:space="preserve">广西机电设备招标有限公司采购文件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37B1C">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76880">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5DDA62"/>
    <w:multiLevelType w:val="multilevel"/>
    <w:tmpl w:val="B95DDA62"/>
    <w:lvl w:ilvl="0" w:tentative="0">
      <w:start w:val="1"/>
      <w:numFmt w:val="decimal"/>
      <w:lvlText w:val="%1."/>
      <w:lvlJc w:val="left"/>
      <w:pPr>
        <w:tabs>
          <w:tab w:val="left" w:pos="0"/>
        </w:tabs>
        <w:ind w:left="425" w:hanging="425"/>
      </w:pPr>
      <w:rPr>
        <w:rFonts w:hint="default"/>
      </w:rPr>
    </w:lvl>
    <w:lvl w:ilvl="1" w:tentative="0">
      <w:start w:val="1"/>
      <w:numFmt w:val="decimal"/>
      <w:lvlText w:val="%1.%2."/>
      <w:lvlJc w:val="left"/>
      <w:pPr>
        <w:tabs>
          <w:tab w:val="left" w:pos="0"/>
        </w:tabs>
        <w:ind w:left="567" w:hanging="567"/>
      </w:pPr>
      <w:rPr>
        <w:rFonts w:hint="default"/>
      </w:rPr>
    </w:lvl>
    <w:lvl w:ilvl="2" w:tentative="0">
      <w:start w:val="1"/>
      <w:numFmt w:val="decimal"/>
      <w:lvlText w:val="%1.%2.%3."/>
      <w:lvlJc w:val="left"/>
      <w:pPr>
        <w:tabs>
          <w:tab w:val="left" w:pos="0"/>
        </w:tabs>
        <w:ind w:left="709" w:hanging="709"/>
      </w:pPr>
      <w:rPr>
        <w:rFonts w:hint="default"/>
      </w:rPr>
    </w:lvl>
    <w:lvl w:ilvl="3" w:tentative="0">
      <w:start w:val="1"/>
      <w:numFmt w:val="decimal"/>
      <w:lvlText w:val="%1.%2.%3.%4."/>
      <w:lvlJc w:val="left"/>
      <w:pPr>
        <w:tabs>
          <w:tab w:val="left" w:pos="0"/>
        </w:tabs>
        <w:ind w:left="850" w:hanging="850"/>
      </w:pPr>
      <w:rPr>
        <w:rFonts w:hint="default"/>
      </w:rPr>
    </w:lvl>
    <w:lvl w:ilvl="4" w:tentative="0">
      <w:start w:val="1"/>
      <w:numFmt w:val="decimal"/>
      <w:lvlText w:val="%1.%2.%3.%4.%5."/>
      <w:lvlJc w:val="left"/>
      <w:pPr>
        <w:tabs>
          <w:tab w:val="left" w:pos="0"/>
        </w:tabs>
        <w:ind w:left="991" w:hanging="991"/>
      </w:pPr>
      <w:rPr>
        <w:rFonts w:hint="default"/>
      </w:rPr>
    </w:lvl>
    <w:lvl w:ilvl="5" w:tentative="0">
      <w:start w:val="1"/>
      <w:numFmt w:val="decimal"/>
      <w:lvlText w:val="%1.%2.%3.%4.%5.%6."/>
      <w:lvlJc w:val="left"/>
      <w:pPr>
        <w:tabs>
          <w:tab w:val="left" w:pos="0"/>
        </w:tabs>
        <w:ind w:left="1134" w:hanging="1134"/>
      </w:pPr>
      <w:rPr>
        <w:rFonts w:hint="default"/>
      </w:rPr>
    </w:lvl>
    <w:lvl w:ilvl="6" w:tentative="0">
      <w:start w:val="1"/>
      <w:numFmt w:val="decimal"/>
      <w:lvlText w:val="%1.%2.%3.%4.%5.%6.%7."/>
      <w:lvlJc w:val="left"/>
      <w:pPr>
        <w:tabs>
          <w:tab w:val="left" w:pos="0"/>
        </w:tabs>
        <w:ind w:left="1275" w:hanging="1275"/>
      </w:pPr>
      <w:rPr>
        <w:rFonts w:hint="default"/>
      </w:rPr>
    </w:lvl>
    <w:lvl w:ilvl="7" w:tentative="0">
      <w:start w:val="1"/>
      <w:numFmt w:val="decimal"/>
      <w:lvlText w:val="%1.%2.%3.%4.%5.%6.%7.%8."/>
      <w:lvlJc w:val="left"/>
      <w:pPr>
        <w:tabs>
          <w:tab w:val="left" w:pos="0"/>
        </w:tabs>
        <w:ind w:left="1418" w:hanging="1418"/>
      </w:pPr>
      <w:rPr>
        <w:rFonts w:hint="default"/>
      </w:rPr>
    </w:lvl>
    <w:lvl w:ilvl="8" w:tentative="0">
      <w:start w:val="1"/>
      <w:numFmt w:val="decimal"/>
      <w:lvlText w:val="%1.%2.%3.%4.%5.%6.%7.%8.%9."/>
      <w:lvlJc w:val="left"/>
      <w:pPr>
        <w:tabs>
          <w:tab w:val="left" w:pos="0"/>
        </w:tabs>
        <w:ind w:left="1558" w:hanging="1558"/>
      </w:pPr>
      <w:rPr>
        <w:rFonts w:hint="default"/>
      </w:rPr>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3NjlhMzJkMWNhYTgzMzUxNGM1YmI0YmEwMDYzMmUifQ=="/>
  </w:docVars>
  <w:rsids>
    <w:rsidRoot w:val="00172A27"/>
    <w:rsid w:val="000003EF"/>
    <w:rsid w:val="000005B6"/>
    <w:rsid w:val="0000090B"/>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633"/>
    <w:rsid w:val="00040AC1"/>
    <w:rsid w:val="000418B1"/>
    <w:rsid w:val="00041BFC"/>
    <w:rsid w:val="00042BF9"/>
    <w:rsid w:val="00042F4A"/>
    <w:rsid w:val="00043295"/>
    <w:rsid w:val="00043829"/>
    <w:rsid w:val="000441ED"/>
    <w:rsid w:val="00044EE7"/>
    <w:rsid w:val="00045069"/>
    <w:rsid w:val="0004534A"/>
    <w:rsid w:val="00045828"/>
    <w:rsid w:val="00045947"/>
    <w:rsid w:val="000462A8"/>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ECF"/>
    <w:rsid w:val="00094F56"/>
    <w:rsid w:val="0009592E"/>
    <w:rsid w:val="00095D1D"/>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797"/>
    <w:rsid w:val="00111ECD"/>
    <w:rsid w:val="001121DD"/>
    <w:rsid w:val="0011227C"/>
    <w:rsid w:val="00112DBF"/>
    <w:rsid w:val="00113646"/>
    <w:rsid w:val="00113992"/>
    <w:rsid w:val="0011487E"/>
    <w:rsid w:val="001149C5"/>
    <w:rsid w:val="0011539F"/>
    <w:rsid w:val="00116015"/>
    <w:rsid w:val="00116258"/>
    <w:rsid w:val="00116781"/>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C22"/>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1F91"/>
    <w:rsid w:val="001726CF"/>
    <w:rsid w:val="00172A27"/>
    <w:rsid w:val="00172BAF"/>
    <w:rsid w:val="00172EC0"/>
    <w:rsid w:val="00173191"/>
    <w:rsid w:val="001737FE"/>
    <w:rsid w:val="0017426E"/>
    <w:rsid w:val="00174E71"/>
    <w:rsid w:val="00176E50"/>
    <w:rsid w:val="0017723E"/>
    <w:rsid w:val="001772FF"/>
    <w:rsid w:val="001775DA"/>
    <w:rsid w:val="00177AD0"/>
    <w:rsid w:val="001802E4"/>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6273"/>
    <w:rsid w:val="001C7792"/>
    <w:rsid w:val="001C7A8C"/>
    <w:rsid w:val="001D05FE"/>
    <w:rsid w:val="001D07C6"/>
    <w:rsid w:val="001D15CA"/>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6DF"/>
    <w:rsid w:val="001F1960"/>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1E5E"/>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6F26"/>
    <w:rsid w:val="002778F2"/>
    <w:rsid w:val="00277F52"/>
    <w:rsid w:val="00280056"/>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0E5"/>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5EA3"/>
    <w:rsid w:val="002A64F2"/>
    <w:rsid w:val="002A6590"/>
    <w:rsid w:val="002A7478"/>
    <w:rsid w:val="002A74AA"/>
    <w:rsid w:val="002A7B26"/>
    <w:rsid w:val="002B01AD"/>
    <w:rsid w:val="002B047F"/>
    <w:rsid w:val="002B11A6"/>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E54"/>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A3A"/>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F6A"/>
    <w:rsid w:val="003040C0"/>
    <w:rsid w:val="00304B0A"/>
    <w:rsid w:val="00305CC7"/>
    <w:rsid w:val="00305EB6"/>
    <w:rsid w:val="00305F62"/>
    <w:rsid w:val="0030652B"/>
    <w:rsid w:val="0030688B"/>
    <w:rsid w:val="003070FF"/>
    <w:rsid w:val="003074FD"/>
    <w:rsid w:val="00307A2D"/>
    <w:rsid w:val="00307C1E"/>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99C"/>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97D"/>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1C8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FE9"/>
    <w:rsid w:val="0039476B"/>
    <w:rsid w:val="00394993"/>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56F"/>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11"/>
    <w:rsid w:val="0043678E"/>
    <w:rsid w:val="00436CF3"/>
    <w:rsid w:val="0043731F"/>
    <w:rsid w:val="00437B57"/>
    <w:rsid w:val="00437ED3"/>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6A"/>
    <w:rsid w:val="004D4AC2"/>
    <w:rsid w:val="004D5038"/>
    <w:rsid w:val="004D525C"/>
    <w:rsid w:val="004D5EBD"/>
    <w:rsid w:val="004D6314"/>
    <w:rsid w:val="004D6A67"/>
    <w:rsid w:val="004D71AA"/>
    <w:rsid w:val="004D7312"/>
    <w:rsid w:val="004D736E"/>
    <w:rsid w:val="004D7420"/>
    <w:rsid w:val="004D7D69"/>
    <w:rsid w:val="004E054D"/>
    <w:rsid w:val="004E07DA"/>
    <w:rsid w:val="004E1454"/>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7113"/>
    <w:rsid w:val="004E7540"/>
    <w:rsid w:val="004E76AF"/>
    <w:rsid w:val="004E7CC0"/>
    <w:rsid w:val="004E7FC0"/>
    <w:rsid w:val="004F05B8"/>
    <w:rsid w:val="004F1A7E"/>
    <w:rsid w:val="004F1EEE"/>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88F"/>
    <w:rsid w:val="00520235"/>
    <w:rsid w:val="005207FE"/>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19"/>
    <w:rsid w:val="00540889"/>
    <w:rsid w:val="005408E9"/>
    <w:rsid w:val="00540997"/>
    <w:rsid w:val="005412F3"/>
    <w:rsid w:val="00541413"/>
    <w:rsid w:val="005431C5"/>
    <w:rsid w:val="005431F0"/>
    <w:rsid w:val="005431FC"/>
    <w:rsid w:val="00543446"/>
    <w:rsid w:val="005439F9"/>
    <w:rsid w:val="00544329"/>
    <w:rsid w:val="00544453"/>
    <w:rsid w:val="005446AA"/>
    <w:rsid w:val="00544D2B"/>
    <w:rsid w:val="005450A6"/>
    <w:rsid w:val="005451B1"/>
    <w:rsid w:val="005462B5"/>
    <w:rsid w:val="005463FC"/>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7CC"/>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3DA"/>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545"/>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34E8"/>
    <w:rsid w:val="006450A9"/>
    <w:rsid w:val="00645164"/>
    <w:rsid w:val="006469A2"/>
    <w:rsid w:val="00646AB8"/>
    <w:rsid w:val="00646D0D"/>
    <w:rsid w:val="006471F9"/>
    <w:rsid w:val="0064782E"/>
    <w:rsid w:val="00650364"/>
    <w:rsid w:val="00650691"/>
    <w:rsid w:val="006507E9"/>
    <w:rsid w:val="00650822"/>
    <w:rsid w:val="00650A98"/>
    <w:rsid w:val="00651C2B"/>
    <w:rsid w:val="00652069"/>
    <w:rsid w:val="00652863"/>
    <w:rsid w:val="0065290E"/>
    <w:rsid w:val="00652921"/>
    <w:rsid w:val="006529EE"/>
    <w:rsid w:val="00653829"/>
    <w:rsid w:val="00653BBF"/>
    <w:rsid w:val="00653C4B"/>
    <w:rsid w:val="00653D6D"/>
    <w:rsid w:val="006541C1"/>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770"/>
    <w:rsid w:val="0068082A"/>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7E8"/>
    <w:rsid w:val="006E1A47"/>
    <w:rsid w:val="006E2A8E"/>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316D"/>
    <w:rsid w:val="006F33A5"/>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4FA4"/>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19D"/>
    <w:rsid w:val="0078357E"/>
    <w:rsid w:val="0078385A"/>
    <w:rsid w:val="007839E7"/>
    <w:rsid w:val="00783A17"/>
    <w:rsid w:val="007841FF"/>
    <w:rsid w:val="007846C1"/>
    <w:rsid w:val="00784CBB"/>
    <w:rsid w:val="00785009"/>
    <w:rsid w:val="00785621"/>
    <w:rsid w:val="00785E26"/>
    <w:rsid w:val="00785EFF"/>
    <w:rsid w:val="007864E5"/>
    <w:rsid w:val="007865A7"/>
    <w:rsid w:val="00786824"/>
    <w:rsid w:val="0078724C"/>
    <w:rsid w:val="00787C9D"/>
    <w:rsid w:val="007906CA"/>
    <w:rsid w:val="007910B0"/>
    <w:rsid w:val="00791503"/>
    <w:rsid w:val="0079206A"/>
    <w:rsid w:val="0079220D"/>
    <w:rsid w:val="00792A53"/>
    <w:rsid w:val="00792F87"/>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1E0"/>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0B9"/>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564F"/>
    <w:rsid w:val="00865681"/>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7CA"/>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0F1"/>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D1F"/>
    <w:rsid w:val="008B4E19"/>
    <w:rsid w:val="008B4EC6"/>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4C6"/>
    <w:rsid w:val="00901E4D"/>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CAE"/>
    <w:rsid w:val="009512EC"/>
    <w:rsid w:val="00951992"/>
    <w:rsid w:val="009519A8"/>
    <w:rsid w:val="0095234A"/>
    <w:rsid w:val="009524FE"/>
    <w:rsid w:val="00952A5C"/>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97EE0"/>
    <w:rsid w:val="009A0208"/>
    <w:rsid w:val="009A05D0"/>
    <w:rsid w:val="009A0648"/>
    <w:rsid w:val="009A0B05"/>
    <w:rsid w:val="009A1B80"/>
    <w:rsid w:val="009A21EE"/>
    <w:rsid w:val="009A253B"/>
    <w:rsid w:val="009A3C6E"/>
    <w:rsid w:val="009A4973"/>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AB5"/>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05"/>
    <w:rsid w:val="009C6629"/>
    <w:rsid w:val="009C71F3"/>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5671"/>
    <w:rsid w:val="009D5D3A"/>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AA5"/>
    <w:rsid w:val="00A02C0A"/>
    <w:rsid w:val="00A03066"/>
    <w:rsid w:val="00A0310F"/>
    <w:rsid w:val="00A03652"/>
    <w:rsid w:val="00A03A2A"/>
    <w:rsid w:val="00A0480E"/>
    <w:rsid w:val="00A04844"/>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792"/>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42E0"/>
    <w:rsid w:val="00B14312"/>
    <w:rsid w:val="00B14CF7"/>
    <w:rsid w:val="00B15237"/>
    <w:rsid w:val="00B154C1"/>
    <w:rsid w:val="00B17485"/>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E16"/>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AE5"/>
    <w:rsid w:val="00B82D16"/>
    <w:rsid w:val="00B838E8"/>
    <w:rsid w:val="00B847A7"/>
    <w:rsid w:val="00B84EB3"/>
    <w:rsid w:val="00B85FEE"/>
    <w:rsid w:val="00B863E7"/>
    <w:rsid w:val="00B8778B"/>
    <w:rsid w:val="00B87C95"/>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A3E"/>
    <w:rsid w:val="00C01B68"/>
    <w:rsid w:val="00C01BB0"/>
    <w:rsid w:val="00C0279B"/>
    <w:rsid w:val="00C02F70"/>
    <w:rsid w:val="00C03FC3"/>
    <w:rsid w:val="00C042FB"/>
    <w:rsid w:val="00C047D8"/>
    <w:rsid w:val="00C05422"/>
    <w:rsid w:val="00C05541"/>
    <w:rsid w:val="00C0591B"/>
    <w:rsid w:val="00C06004"/>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844"/>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6FA"/>
    <w:rsid w:val="00C737B3"/>
    <w:rsid w:val="00C73BEB"/>
    <w:rsid w:val="00C73F09"/>
    <w:rsid w:val="00C744C0"/>
    <w:rsid w:val="00C74D6B"/>
    <w:rsid w:val="00C7524C"/>
    <w:rsid w:val="00C75AA9"/>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AD"/>
    <w:rsid w:val="00D76E8B"/>
    <w:rsid w:val="00D76F16"/>
    <w:rsid w:val="00D7706C"/>
    <w:rsid w:val="00D77433"/>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34D"/>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607"/>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7E5"/>
    <w:rsid w:val="00DD6A57"/>
    <w:rsid w:val="00DD6DE4"/>
    <w:rsid w:val="00DD7848"/>
    <w:rsid w:val="00DD7EAF"/>
    <w:rsid w:val="00DE0DAC"/>
    <w:rsid w:val="00DE0FBE"/>
    <w:rsid w:val="00DE1B18"/>
    <w:rsid w:val="00DE1D5F"/>
    <w:rsid w:val="00DE20F1"/>
    <w:rsid w:val="00DE21F5"/>
    <w:rsid w:val="00DE2445"/>
    <w:rsid w:val="00DE2792"/>
    <w:rsid w:val="00DE2EB4"/>
    <w:rsid w:val="00DE34E7"/>
    <w:rsid w:val="00DE357C"/>
    <w:rsid w:val="00DE3650"/>
    <w:rsid w:val="00DE37AE"/>
    <w:rsid w:val="00DE38E9"/>
    <w:rsid w:val="00DE3A21"/>
    <w:rsid w:val="00DE3CCD"/>
    <w:rsid w:val="00DE3CE5"/>
    <w:rsid w:val="00DE3D5C"/>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5C0"/>
    <w:rsid w:val="00E26A6B"/>
    <w:rsid w:val="00E27665"/>
    <w:rsid w:val="00E278AC"/>
    <w:rsid w:val="00E27BEE"/>
    <w:rsid w:val="00E3052B"/>
    <w:rsid w:val="00E30729"/>
    <w:rsid w:val="00E30D5D"/>
    <w:rsid w:val="00E30DCA"/>
    <w:rsid w:val="00E314E3"/>
    <w:rsid w:val="00E31710"/>
    <w:rsid w:val="00E32188"/>
    <w:rsid w:val="00E328D8"/>
    <w:rsid w:val="00E32CE2"/>
    <w:rsid w:val="00E32D37"/>
    <w:rsid w:val="00E33A4B"/>
    <w:rsid w:val="00E33C12"/>
    <w:rsid w:val="00E33F65"/>
    <w:rsid w:val="00E34142"/>
    <w:rsid w:val="00E3495E"/>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22E3"/>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BD4"/>
    <w:rsid w:val="00EA0D57"/>
    <w:rsid w:val="00EA0E45"/>
    <w:rsid w:val="00EA1848"/>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259"/>
    <w:rsid w:val="00EF4580"/>
    <w:rsid w:val="00EF539F"/>
    <w:rsid w:val="00EF54D9"/>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37F09"/>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224"/>
    <w:rsid w:val="00F669B5"/>
    <w:rsid w:val="00F66E54"/>
    <w:rsid w:val="00F66F43"/>
    <w:rsid w:val="00F70042"/>
    <w:rsid w:val="00F707E6"/>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6AF"/>
    <w:rsid w:val="00F94CF3"/>
    <w:rsid w:val="00F957C9"/>
    <w:rsid w:val="00F96182"/>
    <w:rsid w:val="00F963DA"/>
    <w:rsid w:val="00F9643D"/>
    <w:rsid w:val="00F967F7"/>
    <w:rsid w:val="00F97D21"/>
    <w:rsid w:val="00FA00D8"/>
    <w:rsid w:val="00FA106A"/>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B2"/>
    <w:rsid w:val="00FE3716"/>
    <w:rsid w:val="00FE4314"/>
    <w:rsid w:val="00FE4D74"/>
    <w:rsid w:val="00FE559F"/>
    <w:rsid w:val="00FE5658"/>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70B5"/>
    <w:rsid w:val="00FF7189"/>
    <w:rsid w:val="00FF7721"/>
    <w:rsid w:val="00FF7F30"/>
    <w:rsid w:val="011A11A4"/>
    <w:rsid w:val="01351803"/>
    <w:rsid w:val="014977A3"/>
    <w:rsid w:val="014B5B44"/>
    <w:rsid w:val="0160034F"/>
    <w:rsid w:val="018C5F7F"/>
    <w:rsid w:val="01BE4069"/>
    <w:rsid w:val="01BE5800"/>
    <w:rsid w:val="01D96CA4"/>
    <w:rsid w:val="01E46F65"/>
    <w:rsid w:val="020E74F8"/>
    <w:rsid w:val="024144A6"/>
    <w:rsid w:val="02531BEE"/>
    <w:rsid w:val="026C00D2"/>
    <w:rsid w:val="026C0F21"/>
    <w:rsid w:val="02D84414"/>
    <w:rsid w:val="02E536DD"/>
    <w:rsid w:val="03264FC3"/>
    <w:rsid w:val="03483A14"/>
    <w:rsid w:val="038F28BB"/>
    <w:rsid w:val="03C31708"/>
    <w:rsid w:val="03D97BA9"/>
    <w:rsid w:val="03E07E92"/>
    <w:rsid w:val="03F06C42"/>
    <w:rsid w:val="041B3357"/>
    <w:rsid w:val="04206073"/>
    <w:rsid w:val="043973B6"/>
    <w:rsid w:val="045B2258"/>
    <w:rsid w:val="04785EAF"/>
    <w:rsid w:val="047B1719"/>
    <w:rsid w:val="049F025D"/>
    <w:rsid w:val="049F45F3"/>
    <w:rsid w:val="04A30F56"/>
    <w:rsid w:val="04BF4DE8"/>
    <w:rsid w:val="04C34346"/>
    <w:rsid w:val="04E24955"/>
    <w:rsid w:val="04E30437"/>
    <w:rsid w:val="04E60EFF"/>
    <w:rsid w:val="053A4F12"/>
    <w:rsid w:val="05783352"/>
    <w:rsid w:val="059160E1"/>
    <w:rsid w:val="05ED0AA9"/>
    <w:rsid w:val="05F41FAA"/>
    <w:rsid w:val="063B78DC"/>
    <w:rsid w:val="064C75F3"/>
    <w:rsid w:val="06D30F71"/>
    <w:rsid w:val="06E74573"/>
    <w:rsid w:val="076E0F6D"/>
    <w:rsid w:val="07B84981"/>
    <w:rsid w:val="07BE70C4"/>
    <w:rsid w:val="07E84F31"/>
    <w:rsid w:val="081163FE"/>
    <w:rsid w:val="082731AE"/>
    <w:rsid w:val="0839529D"/>
    <w:rsid w:val="08D4742C"/>
    <w:rsid w:val="097640A4"/>
    <w:rsid w:val="09974C33"/>
    <w:rsid w:val="09AE2FE9"/>
    <w:rsid w:val="09B82947"/>
    <w:rsid w:val="09DD5DE5"/>
    <w:rsid w:val="0A1C3E81"/>
    <w:rsid w:val="0A1E5B7A"/>
    <w:rsid w:val="0A51342A"/>
    <w:rsid w:val="0A7E1D45"/>
    <w:rsid w:val="0BF958C7"/>
    <w:rsid w:val="0C146529"/>
    <w:rsid w:val="0C3F3332"/>
    <w:rsid w:val="0C5A09A9"/>
    <w:rsid w:val="0C6C00A7"/>
    <w:rsid w:val="0C7D670E"/>
    <w:rsid w:val="0CDB719E"/>
    <w:rsid w:val="0CED2005"/>
    <w:rsid w:val="0D0C634F"/>
    <w:rsid w:val="0D470EA5"/>
    <w:rsid w:val="0DCA460C"/>
    <w:rsid w:val="0E0812B7"/>
    <w:rsid w:val="0E0F79FE"/>
    <w:rsid w:val="0E2E7579"/>
    <w:rsid w:val="0E4B0521"/>
    <w:rsid w:val="0E673C8D"/>
    <w:rsid w:val="0EAB6A73"/>
    <w:rsid w:val="0EAD2BF9"/>
    <w:rsid w:val="0ED72541"/>
    <w:rsid w:val="0F4D0707"/>
    <w:rsid w:val="0F4D3E3F"/>
    <w:rsid w:val="0FB00BF3"/>
    <w:rsid w:val="0FBA2A45"/>
    <w:rsid w:val="0FC41654"/>
    <w:rsid w:val="0FDE7285"/>
    <w:rsid w:val="10322272"/>
    <w:rsid w:val="104F55CF"/>
    <w:rsid w:val="10796C5C"/>
    <w:rsid w:val="109C57D8"/>
    <w:rsid w:val="10A75676"/>
    <w:rsid w:val="10DE709A"/>
    <w:rsid w:val="10DF5941"/>
    <w:rsid w:val="10E721A2"/>
    <w:rsid w:val="118C2ED5"/>
    <w:rsid w:val="119C142F"/>
    <w:rsid w:val="11B83D31"/>
    <w:rsid w:val="11D230A2"/>
    <w:rsid w:val="11EE5A02"/>
    <w:rsid w:val="12020963"/>
    <w:rsid w:val="12046FD4"/>
    <w:rsid w:val="123B0393"/>
    <w:rsid w:val="12795B29"/>
    <w:rsid w:val="129C345F"/>
    <w:rsid w:val="12AD766B"/>
    <w:rsid w:val="12B46E52"/>
    <w:rsid w:val="12D51925"/>
    <w:rsid w:val="12F5292A"/>
    <w:rsid w:val="12F62B63"/>
    <w:rsid w:val="13265106"/>
    <w:rsid w:val="135A6E08"/>
    <w:rsid w:val="13696837"/>
    <w:rsid w:val="137A001D"/>
    <w:rsid w:val="137E6912"/>
    <w:rsid w:val="13807A27"/>
    <w:rsid w:val="13B31AEC"/>
    <w:rsid w:val="13FE3FBA"/>
    <w:rsid w:val="140E1568"/>
    <w:rsid w:val="1414496C"/>
    <w:rsid w:val="142100DC"/>
    <w:rsid w:val="142A3B2F"/>
    <w:rsid w:val="14404369"/>
    <w:rsid w:val="147738BA"/>
    <w:rsid w:val="14A8633C"/>
    <w:rsid w:val="14BB3567"/>
    <w:rsid w:val="14DA6B75"/>
    <w:rsid w:val="14E153AA"/>
    <w:rsid w:val="14EB5BF2"/>
    <w:rsid w:val="1585667E"/>
    <w:rsid w:val="158F4E06"/>
    <w:rsid w:val="15D1541F"/>
    <w:rsid w:val="1643524C"/>
    <w:rsid w:val="16BF46FB"/>
    <w:rsid w:val="16DC141E"/>
    <w:rsid w:val="175D674F"/>
    <w:rsid w:val="17CB7A63"/>
    <w:rsid w:val="17CD2550"/>
    <w:rsid w:val="17F7713F"/>
    <w:rsid w:val="18114189"/>
    <w:rsid w:val="186407CC"/>
    <w:rsid w:val="18A454E7"/>
    <w:rsid w:val="18F03E0E"/>
    <w:rsid w:val="18F06F2D"/>
    <w:rsid w:val="19223571"/>
    <w:rsid w:val="192B357D"/>
    <w:rsid w:val="19485654"/>
    <w:rsid w:val="19930EB3"/>
    <w:rsid w:val="19AD7F51"/>
    <w:rsid w:val="1A497C7A"/>
    <w:rsid w:val="1AAB26E2"/>
    <w:rsid w:val="1AE436C5"/>
    <w:rsid w:val="1B862808"/>
    <w:rsid w:val="1B945513"/>
    <w:rsid w:val="1BA50D14"/>
    <w:rsid w:val="1BA677E7"/>
    <w:rsid w:val="1C2D577A"/>
    <w:rsid w:val="1C2F2E9F"/>
    <w:rsid w:val="1C625D30"/>
    <w:rsid w:val="1C7671E3"/>
    <w:rsid w:val="1C777601"/>
    <w:rsid w:val="1C8A493E"/>
    <w:rsid w:val="1CA47DEB"/>
    <w:rsid w:val="1CB11B53"/>
    <w:rsid w:val="1CCB6998"/>
    <w:rsid w:val="1CD6623F"/>
    <w:rsid w:val="1CF90898"/>
    <w:rsid w:val="1CFA0FE7"/>
    <w:rsid w:val="1D490E28"/>
    <w:rsid w:val="1D50065C"/>
    <w:rsid w:val="1D7C7EF3"/>
    <w:rsid w:val="1D8C69C4"/>
    <w:rsid w:val="1E1C7C6C"/>
    <w:rsid w:val="1E4A4DAB"/>
    <w:rsid w:val="1E786F00"/>
    <w:rsid w:val="1EC93A19"/>
    <w:rsid w:val="1F1F65F5"/>
    <w:rsid w:val="1F286A3D"/>
    <w:rsid w:val="1F306B65"/>
    <w:rsid w:val="1F343C02"/>
    <w:rsid w:val="1F600A84"/>
    <w:rsid w:val="1FAC7E53"/>
    <w:rsid w:val="1FE16BA6"/>
    <w:rsid w:val="1FE83A91"/>
    <w:rsid w:val="201E6F66"/>
    <w:rsid w:val="202C33C1"/>
    <w:rsid w:val="20517FE3"/>
    <w:rsid w:val="20917462"/>
    <w:rsid w:val="20B816B5"/>
    <w:rsid w:val="20CE2C18"/>
    <w:rsid w:val="211803A6"/>
    <w:rsid w:val="211A16EC"/>
    <w:rsid w:val="213276BA"/>
    <w:rsid w:val="214F6FC9"/>
    <w:rsid w:val="21500A96"/>
    <w:rsid w:val="217A10D1"/>
    <w:rsid w:val="217C1DAF"/>
    <w:rsid w:val="218220DE"/>
    <w:rsid w:val="21E94C46"/>
    <w:rsid w:val="21F04E7F"/>
    <w:rsid w:val="221B2F87"/>
    <w:rsid w:val="222C76C6"/>
    <w:rsid w:val="22466CF3"/>
    <w:rsid w:val="226D192C"/>
    <w:rsid w:val="22851A6B"/>
    <w:rsid w:val="22A344E7"/>
    <w:rsid w:val="22D14CB0"/>
    <w:rsid w:val="22DE3197"/>
    <w:rsid w:val="22E13AE2"/>
    <w:rsid w:val="22F42D37"/>
    <w:rsid w:val="230E0741"/>
    <w:rsid w:val="23694A00"/>
    <w:rsid w:val="23747E8B"/>
    <w:rsid w:val="23885559"/>
    <w:rsid w:val="23F63E16"/>
    <w:rsid w:val="24290FC9"/>
    <w:rsid w:val="2435301D"/>
    <w:rsid w:val="24394B63"/>
    <w:rsid w:val="243A32C2"/>
    <w:rsid w:val="24686FE5"/>
    <w:rsid w:val="24F133E8"/>
    <w:rsid w:val="25093A3B"/>
    <w:rsid w:val="25236D0D"/>
    <w:rsid w:val="252F645D"/>
    <w:rsid w:val="258858A9"/>
    <w:rsid w:val="25954889"/>
    <w:rsid w:val="25A7119C"/>
    <w:rsid w:val="25B2058A"/>
    <w:rsid w:val="26016428"/>
    <w:rsid w:val="26757E2C"/>
    <w:rsid w:val="26790701"/>
    <w:rsid w:val="26A80268"/>
    <w:rsid w:val="26D82824"/>
    <w:rsid w:val="26E5207B"/>
    <w:rsid w:val="270F5D2F"/>
    <w:rsid w:val="27337E5F"/>
    <w:rsid w:val="273508EE"/>
    <w:rsid w:val="273A1656"/>
    <w:rsid w:val="27483692"/>
    <w:rsid w:val="27590D22"/>
    <w:rsid w:val="276F6E45"/>
    <w:rsid w:val="278066D7"/>
    <w:rsid w:val="27827B0F"/>
    <w:rsid w:val="27886287"/>
    <w:rsid w:val="27CB7955"/>
    <w:rsid w:val="27DB012C"/>
    <w:rsid w:val="27F53526"/>
    <w:rsid w:val="27F5599D"/>
    <w:rsid w:val="27FA5E76"/>
    <w:rsid w:val="280E4034"/>
    <w:rsid w:val="284321AC"/>
    <w:rsid w:val="28690FE5"/>
    <w:rsid w:val="288E2BD2"/>
    <w:rsid w:val="28DC50AB"/>
    <w:rsid w:val="28E55271"/>
    <w:rsid w:val="290C194A"/>
    <w:rsid w:val="29157AC7"/>
    <w:rsid w:val="2923374B"/>
    <w:rsid w:val="29A0527C"/>
    <w:rsid w:val="29BD796F"/>
    <w:rsid w:val="2AAC3644"/>
    <w:rsid w:val="2AB32753"/>
    <w:rsid w:val="2B013C39"/>
    <w:rsid w:val="2B0910E9"/>
    <w:rsid w:val="2B310CEF"/>
    <w:rsid w:val="2B8946FF"/>
    <w:rsid w:val="2BCF010F"/>
    <w:rsid w:val="2C033FB6"/>
    <w:rsid w:val="2C0A4741"/>
    <w:rsid w:val="2C6C5774"/>
    <w:rsid w:val="2CA61832"/>
    <w:rsid w:val="2CE70726"/>
    <w:rsid w:val="2CF86E08"/>
    <w:rsid w:val="2D3922B9"/>
    <w:rsid w:val="2D9B15EF"/>
    <w:rsid w:val="2E304308"/>
    <w:rsid w:val="2E5F4C31"/>
    <w:rsid w:val="2E6440BB"/>
    <w:rsid w:val="2E6F7E34"/>
    <w:rsid w:val="2EB26D79"/>
    <w:rsid w:val="2EBF30B3"/>
    <w:rsid w:val="2F087457"/>
    <w:rsid w:val="2F7145F4"/>
    <w:rsid w:val="2FDB2CCA"/>
    <w:rsid w:val="30580298"/>
    <w:rsid w:val="30646F90"/>
    <w:rsid w:val="30835A47"/>
    <w:rsid w:val="309953ED"/>
    <w:rsid w:val="30CB0402"/>
    <w:rsid w:val="30D60E15"/>
    <w:rsid w:val="31181CFC"/>
    <w:rsid w:val="313D7426"/>
    <w:rsid w:val="31607FAE"/>
    <w:rsid w:val="3166128A"/>
    <w:rsid w:val="31B66D5F"/>
    <w:rsid w:val="324D2681"/>
    <w:rsid w:val="325B5028"/>
    <w:rsid w:val="329B2608"/>
    <w:rsid w:val="32B03509"/>
    <w:rsid w:val="32E7407C"/>
    <w:rsid w:val="32FC70BF"/>
    <w:rsid w:val="334C7BCC"/>
    <w:rsid w:val="338418CB"/>
    <w:rsid w:val="33962431"/>
    <w:rsid w:val="33D633CF"/>
    <w:rsid w:val="342E42CB"/>
    <w:rsid w:val="34457450"/>
    <w:rsid w:val="348222AE"/>
    <w:rsid w:val="34C85775"/>
    <w:rsid w:val="34FD4189"/>
    <w:rsid w:val="35373F98"/>
    <w:rsid w:val="35544722"/>
    <w:rsid w:val="35B62879"/>
    <w:rsid w:val="35BE7316"/>
    <w:rsid w:val="35E1219E"/>
    <w:rsid w:val="35E9564A"/>
    <w:rsid w:val="363B7932"/>
    <w:rsid w:val="363D19CD"/>
    <w:rsid w:val="369938DF"/>
    <w:rsid w:val="36B44275"/>
    <w:rsid w:val="36C739BA"/>
    <w:rsid w:val="36CA5847"/>
    <w:rsid w:val="36D15C2A"/>
    <w:rsid w:val="36DF7544"/>
    <w:rsid w:val="36FA4BBC"/>
    <w:rsid w:val="371D61FE"/>
    <w:rsid w:val="372339F7"/>
    <w:rsid w:val="373F4717"/>
    <w:rsid w:val="374B5AC3"/>
    <w:rsid w:val="37D65E95"/>
    <w:rsid w:val="38187E4F"/>
    <w:rsid w:val="3820445B"/>
    <w:rsid w:val="38210467"/>
    <w:rsid w:val="38401B73"/>
    <w:rsid w:val="384B1D2A"/>
    <w:rsid w:val="38550CF9"/>
    <w:rsid w:val="38595EB4"/>
    <w:rsid w:val="387E4B3B"/>
    <w:rsid w:val="38CA6DC7"/>
    <w:rsid w:val="394538AA"/>
    <w:rsid w:val="3958053E"/>
    <w:rsid w:val="39780BBB"/>
    <w:rsid w:val="398B411A"/>
    <w:rsid w:val="39D617F2"/>
    <w:rsid w:val="39EA140C"/>
    <w:rsid w:val="3A242E79"/>
    <w:rsid w:val="3A59472B"/>
    <w:rsid w:val="3A794BD8"/>
    <w:rsid w:val="3AE85850"/>
    <w:rsid w:val="3B2B7CC6"/>
    <w:rsid w:val="3B610C15"/>
    <w:rsid w:val="3B731AB5"/>
    <w:rsid w:val="3B833738"/>
    <w:rsid w:val="3B874762"/>
    <w:rsid w:val="3B8C756F"/>
    <w:rsid w:val="3BAC162D"/>
    <w:rsid w:val="3C2527C5"/>
    <w:rsid w:val="3C2D7DA5"/>
    <w:rsid w:val="3C3D6105"/>
    <w:rsid w:val="3C3E5497"/>
    <w:rsid w:val="3C7828B2"/>
    <w:rsid w:val="3C7D70DA"/>
    <w:rsid w:val="3D6F75C9"/>
    <w:rsid w:val="3D7604D6"/>
    <w:rsid w:val="3D855688"/>
    <w:rsid w:val="3DBF59D9"/>
    <w:rsid w:val="3DE90F01"/>
    <w:rsid w:val="3E0A144F"/>
    <w:rsid w:val="3E1F291C"/>
    <w:rsid w:val="3E266E35"/>
    <w:rsid w:val="3F592D90"/>
    <w:rsid w:val="3F7F04D5"/>
    <w:rsid w:val="3FF4EF28"/>
    <w:rsid w:val="40026051"/>
    <w:rsid w:val="401C5365"/>
    <w:rsid w:val="4026403E"/>
    <w:rsid w:val="40615707"/>
    <w:rsid w:val="408F5D53"/>
    <w:rsid w:val="40A005F0"/>
    <w:rsid w:val="40AC6526"/>
    <w:rsid w:val="413606A8"/>
    <w:rsid w:val="413B1762"/>
    <w:rsid w:val="414B5EF7"/>
    <w:rsid w:val="417E1386"/>
    <w:rsid w:val="41847666"/>
    <w:rsid w:val="41B33AA7"/>
    <w:rsid w:val="41BA3452"/>
    <w:rsid w:val="41EC0EEE"/>
    <w:rsid w:val="42020FBA"/>
    <w:rsid w:val="422B6BF4"/>
    <w:rsid w:val="42347713"/>
    <w:rsid w:val="429F227D"/>
    <w:rsid w:val="42FF1E08"/>
    <w:rsid w:val="42FF2D1C"/>
    <w:rsid w:val="43422EF9"/>
    <w:rsid w:val="438D657A"/>
    <w:rsid w:val="43B00A8F"/>
    <w:rsid w:val="43C4699B"/>
    <w:rsid w:val="43FE7A34"/>
    <w:rsid w:val="440920A4"/>
    <w:rsid w:val="44316F05"/>
    <w:rsid w:val="44967308"/>
    <w:rsid w:val="44975FF0"/>
    <w:rsid w:val="44B160DF"/>
    <w:rsid w:val="44C47D79"/>
    <w:rsid w:val="44F87A23"/>
    <w:rsid w:val="45121D55"/>
    <w:rsid w:val="45266E7F"/>
    <w:rsid w:val="45511B47"/>
    <w:rsid w:val="45A15DDB"/>
    <w:rsid w:val="45B22926"/>
    <w:rsid w:val="462E6F3B"/>
    <w:rsid w:val="4630524A"/>
    <w:rsid w:val="4681712C"/>
    <w:rsid w:val="468B6718"/>
    <w:rsid w:val="46AD0904"/>
    <w:rsid w:val="46D26F40"/>
    <w:rsid w:val="473B23EB"/>
    <w:rsid w:val="47B32EAB"/>
    <w:rsid w:val="47B429B2"/>
    <w:rsid w:val="47C40E8C"/>
    <w:rsid w:val="48201667"/>
    <w:rsid w:val="483643E7"/>
    <w:rsid w:val="4869401F"/>
    <w:rsid w:val="487C5A2E"/>
    <w:rsid w:val="48B1218F"/>
    <w:rsid w:val="48B14AB0"/>
    <w:rsid w:val="48B4037E"/>
    <w:rsid w:val="48D6123C"/>
    <w:rsid w:val="49150F51"/>
    <w:rsid w:val="49480BD4"/>
    <w:rsid w:val="49845D29"/>
    <w:rsid w:val="499F04DF"/>
    <w:rsid w:val="49AA3C86"/>
    <w:rsid w:val="49C7262C"/>
    <w:rsid w:val="49CB3BFF"/>
    <w:rsid w:val="49FA2907"/>
    <w:rsid w:val="4A333B7E"/>
    <w:rsid w:val="4A6B1ED8"/>
    <w:rsid w:val="4AA4619B"/>
    <w:rsid w:val="4AB663B6"/>
    <w:rsid w:val="4AF76D7E"/>
    <w:rsid w:val="4B0844A3"/>
    <w:rsid w:val="4B284D77"/>
    <w:rsid w:val="4B434762"/>
    <w:rsid w:val="4B707C68"/>
    <w:rsid w:val="4B831EB2"/>
    <w:rsid w:val="4BEC1507"/>
    <w:rsid w:val="4C417F01"/>
    <w:rsid w:val="4C7F1E00"/>
    <w:rsid w:val="4C804ECE"/>
    <w:rsid w:val="4CD363C9"/>
    <w:rsid w:val="4D2A67DE"/>
    <w:rsid w:val="4D7F6702"/>
    <w:rsid w:val="4D9335A8"/>
    <w:rsid w:val="4DAA2A72"/>
    <w:rsid w:val="4DD76D6F"/>
    <w:rsid w:val="4DE44300"/>
    <w:rsid w:val="4DF06D15"/>
    <w:rsid w:val="4E0910A4"/>
    <w:rsid w:val="4E1C0B8A"/>
    <w:rsid w:val="4E637A91"/>
    <w:rsid w:val="4E8F7076"/>
    <w:rsid w:val="4E916683"/>
    <w:rsid w:val="4EF7022D"/>
    <w:rsid w:val="4F09237B"/>
    <w:rsid w:val="4F123950"/>
    <w:rsid w:val="4F134C73"/>
    <w:rsid w:val="4FA24D2D"/>
    <w:rsid w:val="4FBA240D"/>
    <w:rsid w:val="4FCB5C99"/>
    <w:rsid w:val="50607291"/>
    <w:rsid w:val="507519D9"/>
    <w:rsid w:val="508D5E0B"/>
    <w:rsid w:val="50AD050C"/>
    <w:rsid w:val="50EA500B"/>
    <w:rsid w:val="50EC442B"/>
    <w:rsid w:val="50F6151E"/>
    <w:rsid w:val="51234079"/>
    <w:rsid w:val="51922355"/>
    <w:rsid w:val="51BA49DE"/>
    <w:rsid w:val="51BD44CE"/>
    <w:rsid w:val="51F56CD0"/>
    <w:rsid w:val="520D7203"/>
    <w:rsid w:val="52127D7D"/>
    <w:rsid w:val="52157E66"/>
    <w:rsid w:val="52285DEB"/>
    <w:rsid w:val="52412A63"/>
    <w:rsid w:val="5294425E"/>
    <w:rsid w:val="52FE097C"/>
    <w:rsid w:val="53117378"/>
    <w:rsid w:val="53210278"/>
    <w:rsid w:val="534F4293"/>
    <w:rsid w:val="53763D4D"/>
    <w:rsid w:val="537B63EF"/>
    <w:rsid w:val="538D45BD"/>
    <w:rsid w:val="53A968C1"/>
    <w:rsid w:val="53C745DA"/>
    <w:rsid w:val="53CB1CFD"/>
    <w:rsid w:val="53DC264A"/>
    <w:rsid w:val="54135280"/>
    <w:rsid w:val="54437678"/>
    <w:rsid w:val="546D1A44"/>
    <w:rsid w:val="549459BA"/>
    <w:rsid w:val="54A5345E"/>
    <w:rsid w:val="5526139C"/>
    <w:rsid w:val="552B2D26"/>
    <w:rsid w:val="553027F9"/>
    <w:rsid w:val="554E1470"/>
    <w:rsid w:val="55986D51"/>
    <w:rsid w:val="55C84413"/>
    <w:rsid w:val="55D42624"/>
    <w:rsid w:val="56133CA0"/>
    <w:rsid w:val="564117A3"/>
    <w:rsid w:val="569914FD"/>
    <w:rsid w:val="569F2107"/>
    <w:rsid w:val="56DD4ABD"/>
    <w:rsid w:val="5703231E"/>
    <w:rsid w:val="57116442"/>
    <w:rsid w:val="57805D82"/>
    <w:rsid w:val="578A4E52"/>
    <w:rsid w:val="578D3493"/>
    <w:rsid w:val="57E207EA"/>
    <w:rsid w:val="5804760A"/>
    <w:rsid w:val="582572F7"/>
    <w:rsid w:val="58426A50"/>
    <w:rsid w:val="5857652F"/>
    <w:rsid w:val="586A7A45"/>
    <w:rsid w:val="587F43BC"/>
    <w:rsid w:val="58914C8B"/>
    <w:rsid w:val="58E3423E"/>
    <w:rsid w:val="58F23ED5"/>
    <w:rsid w:val="590F1AB3"/>
    <w:rsid w:val="59272F59"/>
    <w:rsid w:val="5956205C"/>
    <w:rsid w:val="599E6CB8"/>
    <w:rsid w:val="59B85CA7"/>
    <w:rsid w:val="59E031E2"/>
    <w:rsid w:val="5A4243F6"/>
    <w:rsid w:val="5AA974E8"/>
    <w:rsid w:val="5AD424FD"/>
    <w:rsid w:val="5AFD6893"/>
    <w:rsid w:val="5B501F0F"/>
    <w:rsid w:val="5B8340E7"/>
    <w:rsid w:val="5B8D0599"/>
    <w:rsid w:val="5B937814"/>
    <w:rsid w:val="5B96763E"/>
    <w:rsid w:val="5BA627EA"/>
    <w:rsid w:val="5BAA125C"/>
    <w:rsid w:val="5BC21E88"/>
    <w:rsid w:val="5C06784E"/>
    <w:rsid w:val="5C12671E"/>
    <w:rsid w:val="5C2632F7"/>
    <w:rsid w:val="5C6E79F1"/>
    <w:rsid w:val="5C8657B1"/>
    <w:rsid w:val="5CA73484"/>
    <w:rsid w:val="5CAF0938"/>
    <w:rsid w:val="5CE5499C"/>
    <w:rsid w:val="5D135E9A"/>
    <w:rsid w:val="5D4D63B1"/>
    <w:rsid w:val="5D77243C"/>
    <w:rsid w:val="5D822C9D"/>
    <w:rsid w:val="5DCE72E2"/>
    <w:rsid w:val="5DE3199B"/>
    <w:rsid w:val="5E2F13E4"/>
    <w:rsid w:val="5E313FF6"/>
    <w:rsid w:val="5E7776B3"/>
    <w:rsid w:val="5E8C2643"/>
    <w:rsid w:val="5EBE7E0C"/>
    <w:rsid w:val="5EC272D5"/>
    <w:rsid w:val="5EC546B7"/>
    <w:rsid w:val="5EC82AC9"/>
    <w:rsid w:val="5EE01513"/>
    <w:rsid w:val="5F1C66AB"/>
    <w:rsid w:val="5FA9036D"/>
    <w:rsid w:val="5FE20A6A"/>
    <w:rsid w:val="5FE80DF1"/>
    <w:rsid w:val="602B1129"/>
    <w:rsid w:val="60336E15"/>
    <w:rsid w:val="6037544B"/>
    <w:rsid w:val="60394F33"/>
    <w:rsid w:val="607A028C"/>
    <w:rsid w:val="609D1752"/>
    <w:rsid w:val="60C761CB"/>
    <w:rsid w:val="61462777"/>
    <w:rsid w:val="61904268"/>
    <w:rsid w:val="61922827"/>
    <w:rsid w:val="61941CB5"/>
    <w:rsid w:val="61985AAE"/>
    <w:rsid w:val="619B21A0"/>
    <w:rsid w:val="61AF6E5A"/>
    <w:rsid w:val="61C07BA2"/>
    <w:rsid w:val="61C95215"/>
    <w:rsid w:val="61EE3BFD"/>
    <w:rsid w:val="620863D2"/>
    <w:rsid w:val="62182CA6"/>
    <w:rsid w:val="623600B0"/>
    <w:rsid w:val="62385E17"/>
    <w:rsid w:val="626058BD"/>
    <w:rsid w:val="627A3EB2"/>
    <w:rsid w:val="62B870D2"/>
    <w:rsid w:val="62D70238"/>
    <w:rsid w:val="62E72926"/>
    <w:rsid w:val="63065D0B"/>
    <w:rsid w:val="63302D52"/>
    <w:rsid w:val="634E5810"/>
    <w:rsid w:val="636522D0"/>
    <w:rsid w:val="63712D78"/>
    <w:rsid w:val="63A81226"/>
    <w:rsid w:val="63B23B57"/>
    <w:rsid w:val="64284DEE"/>
    <w:rsid w:val="64945BA8"/>
    <w:rsid w:val="64CF3D12"/>
    <w:rsid w:val="650A079C"/>
    <w:rsid w:val="657F58CB"/>
    <w:rsid w:val="658729D1"/>
    <w:rsid w:val="65CF7132"/>
    <w:rsid w:val="65D8147F"/>
    <w:rsid w:val="65E5355A"/>
    <w:rsid w:val="65EF0F14"/>
    <w:rsid w:val="660C0C39"/>
    <w:rsid w:val="665A11EA"/>
    <w:rsid w:val="66EE2798"/>
    <w:rsid w:val="672E14E3"/>
    <w:rsid w:val="673928A4"/>
    <w:rsid w:val="674A3D4F"/>
    <w:rsid w:val="679006E0"/>
    <w:rsid w:val="68057CFC"/>
    <w:rsid w:val="6864772D"/>
    <w:rsid w:val="686E4F90"/>
    <w:rsid w:val="688E4077"/>
    <w:rsid w:val="68BC6A3B"/>
    <w:rsid w:val="68D26F09"/>
    <w:rsid w:val="690C1B6B"/>
    <w:rsid w:val="6951448C"/>
    <w:rsid w:val="695E04AE"/>
    <w:rsid w:val="69990F25"/>
    <w:rsid w:val="69CE00B5"/>
    <w:rsid w:val="69D0701B"/>
    <w:rsid w:val="6A121AD7"/>
    <w:rsid w:val="6A3C248C"/>
    <w:rsid w:val="6A460CA7"/>
    <w:rsid w:val="6A5A55F9"/>
    <w:rsid w:val="6A77686F"/>
    <w:rsid w:val="6AB029CA"/>
    <w:rsid w:val="6ACE65A7"/>
    <w:rsid w:val="6AD23B35"/>
    <w:rsid w:val="6B56537B"/>
    <w:rsid w:val="6B835192"/>
    <w:rsid w:val="6BCE09AF"/>
    <w:rsid w:val="6C1F3963"/>
    <w:rsid w:val="6C3226C6"/>
    <w:rsid w:val="6C4C7320"/>
    <w:rsid w:val="6C545FF5"/>
    <w:rsid w:val="6C591BE2"/>
    <w:rsid w:val="6D036DE1"/>
    <w:rsid w:val="6D5552E7"/>
    <w:rsid w:val="6DA3480A"/>
    <w:rsid w:val="6DCD15A1"/>
    <w:rsid w:val="6E046A79"/>
    <w:rsid w:val="6E080427"/>
    <w:rsid w:val="6E0A4A26"/>
    <w:rsid w:val="6E113896"/>
    <w:rsid w:val="6E386F5E"/>
    <w:rsid w:val="6E5E1B6C"/>
    <w:rsid w:val="6E663ACB"/>
    <w:rsid w:val="6E825D78"/>
    <w:rsid w:val="6EB57A17"/>
    <w:rsid w:val="6ED72A37"/>
    <w:rsid w:val="6EEB1E9B"/>
    <w:rsid w:val="6EEF71D1"/>
    <w:rsid w:val="6F021A16"/>
    <w:rsid w:val="6F1D40CE"/>
    <w:rsid w:val="6F524050"/>
    <w:rsid w:val="6F6D5DAB"/>
    <w:rsid w:val="6FF238F8"/>
    <w:rsid w:val="7051517A"/>
    <w:rsid w:val="708C3591"/>
    <w:rsid w:val="70D85BD1"/>
    <w:rsid w:val="70E870C3"/>
    <w:rsid w:val="715B338A"/>
    <w:rsid w:val="716A7ADC"/>
    <w:rsid w:val="71BB2380"/>
    <w:rsid w:val="71DE2E53"/>
    <w:rsid w:val="72070654"/>
    <w:rsid w:val="72142143"/>
    <w:rsid w:val="721B0A94"/>
    <w:rsid w:val="721F39FF"/>
    <w:rsid w:val="723810AB"/>
    <w:rsid w:val="727367B7"/>
    <w:rsid w:val="72762203"/>
    <w:rsid w:val="727D1DCF"/>
    <w:rsid w:val="729E121E"/>
    <w:rsid w:val="72E23A7A"/>
    <w:rsid w:val="72F6179B"/>
    <w:rsid w:val="72F912A8"/>
    <w:rsid w:val="738003CA"/>
    <w:rsid w:val="73A57F7A"/>
    <w:rsid w:val="73C56EED"/>
    <w:rsid w:val="74AE1D28"/>
    <w:rsid w:val="75301933"/>
    <w:rsid w:val="75425BF8"/>
    <w:rsid w:val="757E5780"/>
    <w:rsid w:val="758D4AB4"/>
    <w:rsid w:val="75986327"/>
    <w:rsid w:val="75C546C0"/>
    <w:rsid w:val="75D12961"/>
    <w:rsid w:val="76013414"/>
    <w:rsid w:val="76032986"/>
    <w:rsid w:val="760F67F7"/>
    <w:rsid w:val="761F2C23"/>
    <w:rsid w:val="76395437"/>
    <w:rsid w:val="765941C5"/>
    <w:rsid w:val="766528BB"/>
    <w:rsid w:val="76B2120E"/>
    <w:rsid w:val="76B41930"/>
    <w:rsid w:val="76DC43D7"/>
    <w:rsid w:val="773B6CD4"/>
    <w:rsid w:val="778614C2"/>
    <w:rsid w:val="77C900BC"/>
    <w:rsid w:val="77D5581E"/>
    <w:rsid w:val="77E30949"/>
    <w:rsid w:val="77F16A53"/>
    <w:rsid w:val="783525A0"/>
    <w:rsid w:val="786F12BD"/>
    <w:rsid w:val="786F1AA9"/>
    <w:rsid w:val="7872551D"/>
    <w:rsid w:val="789143A5"/>
    <w:rsid w:val="78B43685"/>
    <w:rsid w:val="78BD078C"/>
    <w:rsid w:val="791C05D7"/>
    <w:rsid w:val="7920071D"/>
    <w:rsid w:val="79AD23A5"/>
    <w:rsid w:val="79C52BC7"/>
    <w:rsid w:val="79C747F6"/>
    <w:rsid w:val="79D264B9"/>
    <w:rsid w:val="79E63D12"/>
    <w:rsid w:val="7A36659D"/>
    <w:rsid w:val="7A445B75"/>
    <w:rsid w:val="7A6027C1"/>
    <w:rsid w:val="7A854A12"/>
    <w:rsid w:val="7AAA4D40"/>
    <w:rsid w:val="7AB64546"/>
    <w:rsid w:val="7ABE559D"/>
    <w:rsid w:val="7AD0398B"/>
    <w:rsid w:val="7AD9379F"/>
    <w:rsid w:val="7B237820"/>
    <w:rsid w:val="7B974622"/>
    <w:rsid w:val="7BA30286"/>
    <w:rsid w:val="7C9B3D79"/>
    <w:rsid w:val="7CC22372"/>
    <w:rsid w:val="7CCA3711"/>
    <w:rsid w:val="7CDA3A4F"/>
    <w:rsid w:val="7D07647A"/>
    <w:rsid w:val="7D0E2CFF"/>
    <w:rsid w:val="7D4E72F0"/>
    <w:rsid w:val="7DC57F3F"/>
    <w:rsid w:val="7DD33C45"/>
    <w:rsid w:val="7E5A6A7D"/>
    <w:rsid w:val="7E7C79BD"/>
    <w:rsid w:val="7E9219F9"/>
    <w:rsid w:val="7E973DC0"/>
    <w:rsid w:val="7EDC1C9C"/>
    <w:rsid w:val="7EF87B3E"/>
    <w:rsid w:val="7F076C05"/>
    <w:rsid w:val="7F0777D4"/>
    <w:rsid w:val="7F363046"/>
    <w:rsid w:val="7F5962FE"/>
    <w:rsid w:val="7F924DA0"/>
    <w:rsid w:val="7FE57AAA"/>
    <w:rsid w:val="7FF46C92"/>
    <w:rsid w:val="FFBFC88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2"/>
    <w:qFormat/>
    <w:uiPriority w:val="9"/>
    <w:pPr>
      <w:keepNext/>
      <w:keepLines/>
      <w:spacing w:before="340" w:after="330" w:line="576" w:lineRule="auto"/>
      <w:outlineLvl w:val="0"/>
    </w:pPr>
    <w:rPr>
      <w:b/>
      <w:bCs/>
      <w:kern w:val="44"/>
      <w:sz w:val="44"/>
      <w:szCs w:val="44"/>
    </w:rPr>
  </w:style>
  <w:style w:type="paragraph" w:styleId="4">
    <w:name w:val="heading 2"/>
    <w:basedOn w:val="1"/>
    <w:next w:val="5"/>
    <w:link w:val="65"/>
    <w:qFormat/>
    <w:uiPriority w:val="0"/>
    <w:pPr>
      <w:keepNext/>
      <w:keepLines/>
      <w:spacing w:before="260" w:after="260" w:line="413" w:lineRule="auto"/>
      <w:outlineLvl w:val="1"/>
    </w:pPr>
    <w:rPr>
      <w:rFonts w:ascii="Arial" w:hAnsi="Arial" w:eastAsia="黑体"/>
      <w:b/>
      <w:bCs/>
      <w:sz w:val="32"/>
      <w:szCs w:val="32"/>
    </w:rPr>
  </w:style>
  <w:style w:type="paragraph" w:styleId="6">
    <w:name w:val="heading 3"/>
    <w:basedOn w:val="1"/>
    <w:next w:val="1"/>
    <w:link w:val="179"/>
    <w:qFormat/>
    <w:uiPriority w:val="0"/>
    <w:pPr>
      <w:keepNext/>
      <w:keepLines/>
      <w:spacing w:before="260" w:after="260" w:line="413" w:lineRule="auto"/>
      <w:outlineLvl w:val="2"/>
    </w:pPr>
    <w:rPr>
      <w:b/>
      <w:bCs/>
      <w:sz w:val="32"/>
      <w:szCs w:val="32"/>
    </w:rPr>
  </w:style>
  <w:style w:type="paragraph" w:styleId="7">
    <w:name w:val="heading 4"/>
    <w:basedOn w:val="1"/>
    <w:next w:val="1"/>
    <w:link w:val="92"/>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8">
    <w:name w:val="heading 5"/>
    <w:basedOn w:val="1"/>
    <w:next w:val="5"/>
    <w:link w:val="90"/>
    <w:qFormat/>
    <w:uiPriority w:val="0"/>
    <w:pPr>
      <w:keepNext/>
      <w:keepLines/>
      <w:spacing w:before="20" w:after="20" w:line="360" w:lineRule="auto"/>
      <w:outlineLvl w:val="4"/>
    </w:pPr>
    <w:rPr>
      <w:b/>
      <w:sz w:val="28"/>
    </w:rPr>
  </w:style>
  <w:style w:type="paragraph" w:styleId="9">
    <w:name w:val="heading 6"/>
    <w:basedOn w:val="1"/>
    <w:next w:val="5"/>
    <w:link w:val="76"/>
    <w:qFormat/>
    <w:uiPriority w:val="0"/>
    <w:pPr>
      <w:keepNext/>
      <w:keepLines/>
      <w:spacing w:before="20" w:after="20" w:line="360" w:lineRule="auto"/>
      <w:outlineLvl w:val="5"/>
    </w:pPr>
    <w:rPr>
      <w:rFonts w:ascii="Arial" w:hAnsi="Arial" w:eastAsia="黑体"/>
      <w:b/>
      <w:sz w:val="24"/>
    </w:rPr>
  </w:style>
  <w:style w:type="paragraph" w:styleId="10">
    <w:name w:val="heading 7"/>
    <w:basedOn w:val="1"/>
    <w:next w:val="11"/>
    <w:link w:val="72"/>
    <w:qFormat/>
    <w:uiPriority w:val="0"/>
    <w:pPr>
      <w:keepNext/>
      <w:keepLines/>
      <w:spacing w:before="240" w:after="64" w:line="317" w:lineRule="auto"/>
      <w:outlineLvl w:val="6"/>
    </w:pPr>
    <w:rPr>
      <w:b/>
      <w:sz w:val="24"/>
    </w:rPr>
  </w:style>
  <w:style w:type="paragraph" w:styleId="12">
    <w:name w:val="heading 8"/>
    <w:basedOn w:val="1"/>
    <w:next w:val="11"/>
    <w:link w:val="81"/>
    <w:qFormat/>
    <w:uiPriority w:val="0"/>
    <w:pPr>
      <w:keepNext/>
      <w:keepLines/>
      <w:spacing w:before="240" w:after="64" w:line="317" w:lineRule="auto"/>
      <w:outlineLvl w:val="7"/>
    </w:pPr>
    <w:rPr>
      <w:rFonts w:ascii="Arial" w:hAnsi="Arial" w:eastAsia="黑体"/>
      <w:sz w:val="24"/>
    </w:rPr>
  </w:style>
  <w:style w:type="paragraph" w:styleId="13">
    <w:name w:val="heading 9"/>
    <w:basedOn w:val="1"/>
    <w:next w:val="11"/>
    <w:link w:val="83"/>
    <w:qFormat/>
    <w:uiPriority w:val="0"/>
    <w:pPr>
      <w:keepNext/>
      <w:keepLines/>
      <w:spacing w:before="240" w:after="64" w:line="317" w:lineRule="auto"/>
      <w:outlineLvl w:val="8"/>
    </w:pPr>
    <w:rPr>
      <w:rFonts w:ascii="Arial" w:hAnsi="Arial" w:eastAsia="黑体"/>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8"/>
    <w:qFormat/>
    <w:uiPriority w:val="99"/>
    <w:pPr>
      <w:spacing w:line="380" w:lineRule="exact"/>
    </w:pPr>
    <w:rPr>
      <w:sz w:val="24"/>
    </w:rPr>
  </w:style>
  <w:style w:type="paragraph" w:customStyle="1" w:styleId="5">
    <w:name w:val="正文-2字符首行缩进"/>
    <w:basedOn w:val="1"/>
    <w:link w:val="175"/>
    <w:qFormat/>
    <w:uiPriority w:val="0"/>
    <w:pPr>
      <w:widowControl/>
      <w:spacing w:line="360" w:lineRule="auto"/>
      <w:ind w:firstLine="200" w:firstLineChars="200"/>
    </w:pPr>
    <w:rPr>
      <w:rFonts w:ascii="仿宋_GB2312" w:hAnsi="Calibri" w:eastAsia="仿宋_GB2312"/>
      <w:kern w:val="0"/>
      <w:sz w:val="28"/>
      <w:szCs w:val="22"/>
    </w:rPr>
  </w:style>
  <w:style w:type="paragraph" w:styleId="11">
    <w:name w:val="Normal Indent"/>
    <w:basedOn w:val="1"/>
    <w:qFormat/>
    <w:uiPriority w:val="0"/>
    <w:pPr>
      <w:ind w:firstLine="420"/>
    </w:pPr>
    <w:rPr>
      <w:szCs w:val="20"/>
    </w:rPr>
  </w:style>
  <w:style w:type="paragraph" w:styleId="14">
    <w:name w:val="List 3"/>
    <w:basedOn w:val="1"/>
    <w:qFormat/>
    <w:uiPriority w:val="0"/>
    <w:pPr>
      <w:ind w:left="100" w:leftChars="400" w:hanging="200" w:hangingChars="200"/>
    </w:pPr>
  </w:style>
  <w:style w:type="paragraph" w:styleId="15">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6">
    <w:name w:val="index 8"/>
    <w:basedOn w:val="1"/>
    <w:next w:val="1"/>
    <w:qFormat/>
    <w:uiPriority w:val="0"/>
    <w:pPr>
      <w:ind w:left="1400" w:leftChars="1400"/>
    </w:pPr>
  </w:style>
  <w:style w:type="paragraph" w:styleId="17">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8">
    <w:name w:val="caption"/>
    <w:basedOn w:val="1"/>
    <w:next w:val="1"/>
    <w:qFormat/>
    <w:uiPriority w:val="0"/>
    <w:pPr>
      <w:spacing w:before="152" w:after="160"/>
    </w:pPr>
    <w:rPr>
      <w:rFonts w:ascii="Arial" w:hAnsi="Arial" w:eastAsia="黑体" w:cs="Arial"/>
      <w:sz w:val="20"/>
      <w:szCs w:val="20"/>
    </w:rPr>
  </w:style>
  <w:style w:type="paragraph" w:styleId="19">
    <w:name w:val="Document Map"/>
    <w:basedOn w:val="1"/>
    <w:link w:val="94"/>
    <w:qFormat/>
    <w:uiPriority w:val="0"/>
    <w:pPr>
      <w:shd w:val="clear" w:color="auto" w:fill="000080"/>
      <w:adjustRightInd w:val="0"/>
      <w:spacing w:line="312" w:lineRule="atLeast"/>
      <w:textAlignment w:val="baseline"/>
    </w:pPr>
    <w:rPr>
      <w:kern w:val="0"/>
      <w:szCs w:val="20"/>
    </w:rPr>
  </w:style>
  <w:style w:type="paragraph" w:styleId="20">
    <w:name w:val="annotation text"/>
    <w:basedOn w:val="1"/>
    <w:link w:val="180"/>
    <w:qFormat/>
    <w:uiPriority w:val="0"/>
    <w:pPr>
      <w:jc w:val="left"/>
    </w:pPr>
  </w:style>
  <w:style w:type="paragraph" w:styleId="21">
    <w:name w:val="Body Text 3"/>
    <w:basedOn w:val="1"/>
    <w:link w:val="80"/>
    <w:qFormat/>
    <w:uiPriority w:val="0"/>
    <w:pPr>
      <w:spacing w:line="500" w:lineRule="exact"/>
    </w:pPr>
    <w:rPr>
      <w:b/>
      <w:bCs/>
      <w:sz w:val="24"/>
    </w:rPr>
  </w:style>
  <w:style w:type="paragraph" w:styleId="22">
    <w:name w:val="Body Text Indent"/>
    <w:basedOn w:val="1"/>
    <w:link w:val="78"/>
    <w:qFormat/>
    <w:uiPriority w:val="99"/>
    <w:pPr>
      <w:ind w:firstLine="830" w:firstLineChars="352"/>
    </w:pPr>
    <w:rPr>
      <w:rFonts w:ascii="仿宋_GB2312" w:eastAsia="仿宋_GB2312"/>
      <w:sz w:val="32"/>
      <w:szCs w:val="20"/>
    </w:rPr>
  </w:style>
  <w:style w:type="paragraph" w:styleId="23">
    <w:name w:val="List Number 3"/>
    <w:basedOn w:val="1"/>
    <w:qFormat/>
    <w:uiPriority w:val="0"/>
    <w:pPr>
      <w:tabs>
        <w:tab w:val="left" w:pos="1200"/>
      </w:tabs>
      <w:ind w:left="1200" w:leftChars="400" w:hanging="360" w:hangingChars="20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1"/>
    <w:link w:val="104"/>
    <w:qFormat/>
    <w:uiPriority w:val="0"/>
    <w:rPr>
      <w:rFonts w:ascii="宋体" w:hAnsi="Courier New" w:cs="Courier New"/>
      <w:szCs w:val="21"/>
    </w:rPr>
  </w:style>
  <w:style w:type="paragraph" w:styleId="29">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71"/>
    <w:qFormat/>
    <w:uiPriority w:val="0"/>
    <w:pPr>
      <w:ind w:left="100" w:leftChars="2500"/>
    </w:pPr>
    <w:rPr>
      <w:rFonts w:ascii="宋体" w:hAnsi="Courier New"/>
      <w:szCs w:val="21"/>
    </w:rPr>
  </w:style>
  <w:style w:type="paragraph" w:styleId="31">
    <w:name w:val="Body Text Indent 2"/>
    <w:basedOn w:val="1"/>
    <w:link w:val="97"/>
    <w:qFormat/>
    <w:uiPriority w:val="0"/>
    <w:pPr>
      <w:ind w:firstLine="630"/>
    </w:pPr>
    <w:rPr>
      <w:sz w:val="32"/>
      <w:szCs w:val="20"/>
    </w:rPr>
  </w:style>
  <w:style w:type="paragraph" w:styleId="32">
    <w:name w:val="Balloon Text"/>
    <w:basedOn w:val="1"/>
    <w:link w:val="93"/>
    <w:qFormat/>
    <w:uiPriority w:val="0"/>
    <w:rPr>
      <w:sz w:val="18"/>
      <w:szCs w:val="18"/>
    </w:rPr>
  </w:style>
  <w:style w:type="paragraph" w:styleId="33">
    <w:name w:val="footer"/>
    <w:basedOn w:val="1"/>
    <w:link w:val="67"/>
    <w:qFormat/>
    <w:uiPriority w:val="0"/>
    <w:pPr>
      <w:tabs>
        <w:tab w:val="center" w:pos="4153"/>
        <w:tab w:val="right" w:pos="8306"/>
      </w:tabs>
      <w:snapToGrid w:val="0"/>
      <w:jc w:val="left"/>
    </w:pPr>
    <w:rPr>
      <w:sz w:val="18"/>
      <w:szCs w:val="18"/>
    </w:rPr>
  </w:style>
  <w:style w:type="paragraph" w:styleId="34">
    <w:name w:val="header"/>
    <w:basedOn w:val="1"/>
    <w:link w:val="66"/>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6">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9">
    <w:name w:val="List 5"/>
    <w:basedOn w:val="1"/>
    <w:qFormat/>
    <w:uiPriority w:val="0"/>
    <w:pPr>
      <w:ind w:left="2100" w:hanging="420"/>
    </w:pPr>
    <w:rPr>
      <w:szCs w:val="20"/>
    </w:rPr>
  </w:style>
  <w:style w:type="paragraph" w:styleId="40">
    <w:name w:val="Body Text Indent 3"/>
    <w:basedOn w:val="1"/>
    <w:link w:val="88"/>
    <w:qFormat/>
    <w:uiPriority w:val="0"/>
    <w:pPr>
      <w:spacing w:after="120"/>
      <w:ind w:left="420" w:leftChars="200"/>
    </w:pPr>
    <w:rPr>
      <w:sz w:val="16"/>
      <w:szCs w:val="16"/>
    </w:rPr>
  </w:style>
  <w:style w:type="paragraph" w:styleId="41">
    <w:name w:val="toc 2"/>
    <w:basedOn w:val="1"/>
    <w:next w:val="1"/>
    <w:qFormat/>
    <w:uiPriority w:val="39"/>
    <w:pPr>
      <w:ind w:left="420" w:leftChars="200"/>
    </w:pPr>
  </w:style>
  <w:style w:type="paragraph" w:styleId="42">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3">
    <w:name w:val="Body Text 2"/>
    <w:basedOn w:val="1"/>
    <w:link w:val="87"/>
    <w:qFormat/>
    <w:uiPriority w:val="0"/>
    <w:pPr>
      <w:spacing w:after="120" w:line="480" w:lineRule="auto"/>
    </w:pPr>
  </w:style>
  <w:style w:type="paragraph" w:styleId="44">
    <w:name w:val="List 4"/>
    <w:basedOn w:val="1"/>
    <w:qFormat/>
    <w:uiPriority w:val="0"/>
    <w:pPr>
      <w:ind w:left="100" w:leftChars="600" w:hanging="200" w:hangingChars="200"/>
    </w:pPr>
  </w:style>
  <w:style w:type="paragraph" w:styleId="45">
    <w:name w:val="List Continue 2"/>
    <w:basedOn w:val="1"/>
    <w:qFormat/>
    <w:uiPriority w:val="0"/>
    <w:pPr>
      <w:spacing w:after="120"/>
      <w:ind w:left="840" w:leftChars="400"/>
    </w:pPr>
  </w:style>
  <w:style w:type="paragraph" w:styleId="46">
    <w:name w:val="HTML Preformatted"/>
    <w:basedOn w:val="1"/>
    <w:link w:val="8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7">
    <w:name w:val="Normal (Web)"/>
    <w:basedOn w:val="1"/>
    <w:qFormat/>
    <w:uiPriority w:val="99"/>
    <w:pPr>
      <w:widowControl/>
      <w:spacing w:before="100" w:beforeAutospacing="1" w:after="100" w:afterAutospacing="1"/>
      <w:jc w:val="left"/>
    </w:pPr>
    <w:rPr>
      <w:rFonts w:ascii="宋体" w:hAnsi="宋体"/>
      <w:kern w:val="0"/>
      <w:sz w:val="24"/>
    </w:rPr>
  </w:style>
  <w:style w:type="paragraph" w:styleId="48">
    <w:name w:val="index 1"/>
    <w:basedOn w:val="1"/>
    <w:next w:val="1"/>
    <w:qFormat/>
    <w:uiPriority w:val="0"/>
    <w:pPr>
      <w:spacing w:line="400" w:lineRule="exact"/>
      <w:ind w:firstLine="420" w:firstLineChars="200"/>
    </w:pPr>
    <w:rPr>
      <w:rFonts w:ascii="宋体" w:hAnsi="Courier New"/>
      <w:b/>
      <w:szCs w:val="20"/>
    </w:rPr>
  </w:style>
  <w:style w:type="paragraph" w:styleId="49">
    <w:name w:val="Title"/>
    <w:basedOn w:val="1"/>
    <w:link w:val="70"/>
    <w:qFormat/>
    <w:uiPriority w:val="0"/>
    <w:pPr>
      <w:jc w:val="center"/>
    </w:pPr>
    <w:rPr>
      <w:sz w:val="30"/>
    </w:rPr>
  </w:style>
  <w:style w:type="paragraph" w:styleId="50">
    <w:name w:val="annotation subject"/>
    <w:basedOn w:val="20"/>
    <w:next w:val="20"/>
    <w:link w:val="77"/>
    <w:qFormat/>
    <w:uiPriority w:val="0"/>
    <w:rPr>
      <w:b/>
      <w:bCs/>
    </w:rPr>
  </w:style>
  <w:style w:type="paragraph" w:styleId="51">
    <w:name w:val="Body Text First Indent"/>
    <w:basedOn w:val="2"/>
    <w:link w:val="110"/>
    <w:qFormat/>
    <w:uiPriority w:val="0"/>
    <w:pPr>
      <w:spacing w:after="120" w:line="240" w:lineRule="auto"/>
      <w:ind w:firstLine="420" w:firstLineChars="100"/>
    </w:pPr>
    <w:rPr>
      <w:sz w:val="21"/>
    </w:rPr>
  </w:style>
  <w:style w:type="paragraph" w:styleId="52">
    <w:name w:val="Body Text First Indent 2"/>
    <w:basedOn w:val="22"/>
    <w:link w:val="95"/>
    <w:qFormat/>
    <w:uiPriority w:val="0"/>
    <w:pPr>
      <w:spacing w:after="120"/>
      <w:ind w:left="420" w:leftChars="200" w:firstLine="420" w:firstLineChars="200"/>
    </w:pPr>
    <w:rPr>
      <w:rFonts w:ascii="Times New Roman" w:eastAsia="宋体"/>
      <w:sz w:val="21"/>
      <w:szCs w:val="24"/>
    </w:rPr>
  </w:style>
  <w:style w:type="table" w:styleId="54">
    <w:name w:val="Table Grid"/>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6">
    <w:name w:val="Strong"/>
    <w:qFormat/>
    <w:uiPriority w:val="22"/>
    <w:rPr>
      <w:b/>
      <w:bCs/>
    </w:rPr>
  </w:style>
  <w:style w:type="character" w:styleId="57">
    <w:name w:val="page number"/>
    <w:basedOn w:val="55"/>
    <w:qFormat/>
    <w:uiPriority w:val="0"/>
  </w:style>
  <w:style w:type="character" w:styleId="58">
    <w:name w:val="FollowedHyperlink"/>
    <w:qFormat/>
    <w:uiPriority w:val="99"/>
    <w:rPr>
      <w:color w:val="800080"/>
      <w:u w:val="single"/>
    </w:rPr>
  </w:style>
  <w:style w:type="character" w:styleId="59">
    <w:name w:val="Hyperlink"/>
    <w:qFormat/>
    <w:uiPriority w:val="99"/>
    <w:rPr>
      <w:color w:val="0000FF"/>
      <w:u w:val="single"/>
    </w:rPr>
  </w:style>
  <w:style w:type="character" w:styleId="60">
    <w:name w:val="annotation reference"/>
    <w:qFormat/>
    <w:uiPriority w:val="0"/>
    <w:rPr>
      <w:sz w:val="21"/>
      <w:szCs w:val="21"/>
    </w:rPr>
  </w:style>
  <w:style w:type="character" w:customStyle="1" w:styleId="61">
    <w:name w:val="标题 3 Char"/>
    <w:qFormat/>
    <w:uiPriority w:val="0"/>
    <w:rPr>
      <w:b/>
      <w:bCs/>
      <w:kern w:val="2"/>
      <w:sz w:val="32"/>
      <w:szCs w:val="32"/>
    </w:rPr>
  </w:style>
  <w:style w:type="character" w:customStyle="1" w:styleId="62">
    <w:name w:val="标题 1 字符"/>
    <w:link w:val="3"/>
    <w:qFormat/>
    <w:uiPriority w:val="9"/>
    <w:rPr>
      <w:rFonts w:eastAsia="宋体"/>
      <w:b/>
      <w:bCs/>
      <w:kern w:val="44"/>
      <w:sz w:val="44"/>
      <w:szCs w:val="44"/>
      <w:lang w:val="en-US" w:eastAsia="zh-CN" w:bidi="ar-SA"/>
    </w:rPr>
  </w:style>
  <w:style w:type="character" w:customStyle="1" w:styleId="63">
    <w:name w:val="style11"/>
    <w:qFormat/>
    <w:uiPriority w:val="0"/>
    <w:rPr>
      <w:rFonts w:hint="default" w:ascii="Arial" w:hAnsi="Arial" w:cs="Arial"/>
    </w:rPr>
  </w:style>
  <w:style w:type="character" w:customStyle="1" w:styleId="64">
    <w:name w:val="short_text1"/>
    <w:qFormat/>
    <w:uiPriority w:val="0"/>
    <w:rPr>
      <w:sz w:val="26"/>
    </w:rPr>
  </w:style>
  <w:style w:type="character" w:customStyle="1" w:styleId="65">
    <w:name w:val="标题 2 字符"/>
    <w:link w:val="4"/>
    <w:qFormat/>
    <w:uiPriority w:val="0"/>
    <w:rPr>
      <w:rFonts w:ascii="Arial" w:hAnsi="Arial" w:eastAsia="黑体"/>
      <w:b/>
      <w:bCs/>
      <w:kern w:val="2"/>
      <w:sz w:val="32"/>
      <w:szCs w:val="32"/>
    </w:rPr>
  </w:style>
  <w:style w:type="character" w:customStyle="1" w:styleId="66">
    <w:name w:val="页眉 字符"/>
    <w:link w:val="34"/>
    <w:qFormat/>
    <w:uiPriority w:val="99"/>
    <w:rPr>
      <w:kern w:val="2"/>
      <w:sz w:val="18"/>
      <w:szCs w:val="18"/>
    </w:rPr>
  </w:style>
  <w:style w:type="character" w:customStyle="1" w:styleId="67">
    <w:name w:val="页脚 字符"/>
    <w:link w:val="33"/>
    <w:qFormat/>
    <w:uiPriority w:val="0"/>
    <w:rPr>
      <w:kern w:val="2"/>
      <w:sz w:val="18"/>
      <w:szCs w:val="18"/>
    </w:rPr>
  </w:style>
  <w:style w:type="character" w:customStyle="1" w:styleId="68">
    <w:name w:val="white"/>
    <w:basedOn w:val="55"/>
    <w:qFormat/>
    <w:uiPriority w:val="0"/>
  </w:style>
  <w:style w:type="character" w:customStyle="1" w:styleId="69">
    <w:name w:val="text11"/>
    <w:qFormat/>
    <w:uiPriority w:val="0"/>
    <w:rPr>
      <w:rFonts w:hint="default" w:ascii="Verdana" w:hAnsi="Verdana"/>
      <w:color w:val="4E4E4E"/>
      <w:sz w:val="18"/>
      <w:szCs w:val="18"/>
    </w:rPr>
  </w:style>
  <w:style w:type="character" w:customStyle="1" w:styleId="70">
    <w:name w:val="标题 字符"/>
    <w:link w:val="49"/>
    <w:qFormat/>
    <w:uiPriority w:val="0"/>
    <w:rPr>
      <w:kern w:val="2"/>
      <w:sz w:val="30"/>
      <w:szCs w:val="24"/>
    </w:rPr>
  </w:style>
  <w:style w:type="character" w:customStyle="1" w:styleId="71">
    <w:name w:val="日期 字符"/>
    <w:link w:val="30"/>
    <w:qFormat/>
    <w:uiPriority w:val="0"/>
    <w:rPr>
      <w:rFonts w:ascii="宋体" w:hAnsi="Courier New" w:cs="Courier New"/>
      <w:kern w:val="2"/>
      <w:sz w:val="21"/>
      <w:szCs w:val="21"/>
    </w:rPr>
  </w:style>
  <w:style w:type="character" w:customStyle="1" w:styleId="72">
    <w:name w:val="标题 7 字符"/>
    <w:link w:val="10"/>
    <w:qFormat/>
    <w:uiPriority w:val="0"/>
    <w:rPr>
      <w:b/>
      <w:kern w:val="2"/>
      <w:sz w:val="24"/>
      <w:szCs w:val="24"/>
    </w:rPr>
  </w:style>
  <w:style w:type="character" w:customStyle="1" w:styleId="73">
    <w:name w:val="mark8"/>
    <w:qFormat/>
    <w:uiPriority w:val="0"/>
    <w:rPr>
      <w:b/>
      <w:bCs/>
      <w:sz w:val="21"/>
      <w:szCs w:val="21"/>
    </w:rPr>
  </w:style>
  <w:style w:type="character" w:customStyle="1" w:styleId="74">
    <w:name w:val="纯文本 Char1"/>
    <w:qFormat/>
    <w:uiPriority w:val="0"/>
    <w:rPr>
      <w:rFonts w:ascii="宋体" w:hAnsi="Courier New" w:eastAsia="宋体" w:cs="Courier New"/>
      <w:kern w:val="2"/>
      <w:sz w:val="21"/>
      <w:szCs w:val="21"/>
      <w:lang w:val="en-US" w:eastAsia="zh-CN" w:bidi="ar-SA"/>
    </w:rPr>
  </w:style>
  <w:style w:type="character" w:customStyle="1" w:styleId="75">
    <w:name w:val="f151"/>
    <w:qFormat/>
    <w:uiPriority w:val="0"/>
    <w:rPr>
      <w:sz w:val="23"/>
      <w:szCs w:val="23"/>
    </w:rPr>
  </w:style>
  <w:style w:type="character" w:customStyle="1" w:styleId="76">
    <w:name w:val="标题 6 字符"/>
    <w:link w:val="9"/>
    <w:qFormat/>
    <w:uiPriority w:val="0"/>
    <w:rPr>
      <w:rFonts w:ascii="Arial" w:hAnsi="Arial" w:eastAsia="黑体"/>
      <w:b/>
      <w:kern w:val="2"/>
      <w:sz w:val="24"/>
      <w:szCs w:val="24"/>
    </w:rPr>
  </w:style>
  <w:style w:type="character" w:customStyle="1" w:styleId="77">
    <w:name w:val="批注主题 字符"/>
    <w:link w:val="50"/>
    <w:qFormat/>
    <w:uiPriority w:val="0"/>
    <w:rPr>
      <w:b/>
      <w:bCs/>
      <w:kern w:val="2"/>
      <w:sz w:val="21"/>
      <w:szCs w:val="24"/>
    </w:rPr>
  </w:style>
  <w:style w:type="character" w:customStyle="1" w:styleId="78">
    <w:name w:val="正文文本缩进 字符"/>
    <w:link w:val="22"/>
    <w:qFormat/>
    <w:uiPriority w:val="99"/>
    <w:rPr>
      <w:rFonts w:ascii="仿宋_GB2312" w:eastAsia="仿宋_GB2312"/>
      <w:kern w:val="2"/>
      <w:sz w:val="32"/>
    </w:rPr>
  </w:style>
  <w:style w:type="character" w:customStyle="1" w:styleId="79">
    <w:name w:val="062"/>
    <w:qFormat/>
    <w:uiPriority w:val="0"/>
    <w:rPr>
      <w:rFonts w:ascii="宋体" w:hAnsi="宋体"/>
      <w:b/>
      <w:bCs/>
      <w:sz w:val="32"/>
    </w:rPr>
  </w:style>
  <w:style w:type="character" w:customStyle="1" w:styleId="80">
    <w:name w:val="正文文本 3 字符"/>
    <w:link w:val="21"/>
    <w:qFormat/>
    <w:uiPriority w:val="0"/>
    <w:rPr>
      <w:b/>
      <w:bCs/>
      <w:kern w:val="2"/>
      <w:sz w:val="24"/>
      <w:szCs w:val="24"/>
    </w:rPr>
  </w:style>
  <w:style w:type="character" w:customStyle="1" w:styleId="81">
    <w:name w:val="标题 8 字符"/>
    <w:link w:val="12"/>
    <w:qFormat/>
    <w:uiPriority w:val="0"/>
    <w:rPr>
      <w:rFonts w:ascii="Arial" w:hAnsi="Arial" w:eastAsia="黑体"/>
      <w:kern w:val="2"/>
      <w:sz w:val="24"/>
      <w:szCs w:val="24"/>
    </w:rPr>
  </w:style>
  <w:style w:type="character" w:customStyle="1" w:styleId="82">
    <w:name w:val="gray12"/>
    <w:basedOn w:val="55"/>
    <w:qFormat/>
    <w:uiPriority w:val="0"/>
  </w:style>
  <w:style w:type="character" w:customStyle="1" w:styleId="83">
    <w:name w:val="标题 9 字符"/>
    <w:link w:val="13"/>
    <w:qFormat/>
    <w:uiPriority w:val="0"/>
    <w:rPr>
      <w:rFonts w:ascii="Arial" w:hAnsi="Arial" w:eastAsia="黑体"/>
      <w:kern w:val="2"/>
      <w:sz w:val="21"/>
      <w:szCs w:val="24"/>
    </w:rPr>
  </w:style>
  <w:style w:type="character" w:customStyle="1" w:styleId="84">
    <w:name w:val="1ji Char"/>
    <w:link w:val="85"/>
    <w:qFormat/>
    <w:uiPriority w:val="0"/>
    <w:rPr>
      <w:rFonts w:ascii="宋体" w:hAnsi="宋体" w:eastAsia="宋体"/>
      <w:b/>
      <w:bCs/>
      <w:kern w:val="44"/>
      <w:sz w:val="36"/>
      <w:szCs w:val="44"/>
      <w:lang w:val="en-US" w:eastAsia="zh-CN" w:bidi="ar-SA"/>
    </w:rPr>
  </w:style>
  <w:style w:type="paragraph" w:customStyle="1" w:styleId="85">
    <w:name w:val="1ji"/>
    <w:basedOn w:val="3"/>
    <w:link w:val="84"/>
    <w:qFormat/>
    <w:uiPriority w:val="0"/>
    <w:pPr>
      <w:keepLines w:val="0"/>
      <w:widowControl/>
      <w:spacing w:before="0" w:after="0" w:line="240" w:lineRule="auto"/>
      <w:jc w:val="center"/>
    </w:pPr>
    <w:rPr>
      <w:rFonts w:ascii="宋体" w:hAnsi="宋体"/>
      <w:sz w:val="36"/>
    </w:rPr>
  </w:style>
  <w:style w:type="character" w:customStyle="1" w:styleId="86">
    <w:name w:val="font01"/>
    <w:qFormat/>
    <w:uiPriority w:val="0"/>
    <w:rPr>
      <w:rFonts w:hint="eastAsia" w:ascii="宋体" w:hAnsi="宋体" w:eastAsia="宋体"/>
      <w:color w:val="000000"/>
      <w:sz w:val="22"/>
      <w:szCs w:val="22"/>
      <w:u w:val="none"/>
    </w:rPr>
  </w:style>
  <w:style w:type="character" w:customStyle="1" w:styleId="87">
    <w:name w:val="正文文本 2 字符"/>
    <w:link w:val="43"/>
    <w:qFormat/>
    <w:uiPriority w:val="0"/>
    <w:rPr>
      <w:kern w:val="2"/>
      <w:sz w:val="21"/>
      <w:szCs w:val="24"/>
    </w:rPr>
  </w:style>
  <w:style w:type="character" w:customStyle="1" w:styleId="88">
    <w:name w:val="正文文本缩进 3 字符"/>
    <w:link w:val="40"/>
    <w:qFormat/>
    <w:uiPriority w:val="0"/>
    <w:rPr>
      <w:kern w:val="2"/>
      <w:sz w:val="16"/>
      <w:szCs w:val="16"/>
    </w:rPr>
  </w:style>
  <w:style w:type="character" w:customStyle="1" w:styleId="89">
    <w:name w:val="HTML 预设格式 字符"/>
    <w:link w:val="46"/>
    <w:qFormat/>
    <w:uiPriority w:val="0"/>
    <w:rPr>
      <w:rFonts w:ascii="黑体" w:hAnsi="Courier New" w:eastAsia="黑体" w:cs="Courier New"/>
    </w:rPr>
  </w:style>
  <w:style w:type="character" w:customStyle="1" w:styleId="90">
    <w:name w:val="标题 5 字符"/>
    <w:link w:val="8"/>
    <w:qFormat/>
    <w:uiPriority w:val="0"/>
    <w:rPr>
      <w:rFonts w:ascii="Times New Roman" w:hAnsi="Times New Roman" w:eastAsia="宋体"/>
      <w:b/>
      <w:kern w:val="2"/>
      <w:sz w:val="28"/>
      <w:szCs w:val="24"/>
    </w:rPr>
  </w:style>
  <w:style w:type="character" w:customStyle="1" w:styleId="91">
    <w:name w:val="small"/>
    <w:basedOn w:val="55"/>
    <w:qFormat/>
    <w:uiPriority w:val="0"/>
  </w:style>
  <w:style w:type="character" w:customStyle="1" w:styleId="92">
    <w:name w:val="标题 4 字符"/>
    <w:link w:val="7"/>
    <w:qFormat/>
    <w:uiPriority w:val="0"/>
    <w:rPr>
      <w:rFonts w:ascii="Arial" w:hAnsi="Arial" w:eastAsia="黑体"/>
      <w:sz w:val="28"/>
    </w:rPr>
  </w:style>
  <w:style w:type="character" w:customStyle="1" w:styleId="93">
    <w:name w:val="批注框文本 字符"/>
    <w:link w:val="32"/>
    <w:qFormat/>
    <w:uiPriority w:val="0"/>
    <w:rPr>
      <w:kern w:val="2"/>
      <w:sz w:val="18"/>
      <w:szCs w:val="18"/>
    </w:rPr>
  </w:style>
  <w:style w:type="character" w:customStyle="1" w:styleId="94">
    <w:name w:val="文档结构图 字符"/>
    <w:link w:val="19"/>
    <w:qFormat/>
    <w:uiPriority w:val="0"/>
    <w:rPr>
      <w:sz w:val="21"/>
      <w:shd w:val="clear" w:color="auto" w:fill="000080"/>
    </w:rPr>
  </w:style>
  <w:style w:type="character" w:customStyle="1" w:styleId="95">
    <w:name w:val="正文文本首行缩进 2 字符"/>
    <w:link w:val="52"/>
    <w:qFormat/>
    <w:uiPriority w:val="0"/>
    <w:rPr>
      <w:kern w:val="2"/>
      <w:sz w:val="21"/>
      <w:szCs w:val="24"/>
    </w:rPr>
  </w:style>
  <w:style w:type="character" w:customStyle="1" w:styleId="96">
    <w:name w:val="apple-converted-space"/>
    <w:qFormat/>
    <w:uiPriority w:val="0"/>
  </w:style>
  <w:style w:type="character" w:customStyle="1" w:styleId="97">
    <w:name w:val="正文文本缩进 2 字符"/>
    <w:link w:val="31"/>
    <w:qFormat/>
    <w:uiPriority w:val="0"/>
    <w:rPr>
      <w:kern w:val="2"/>
      <w:sz w:val="32"/>
    </w:rPr>
  </w:style>
  <w:style w:type="character" w:customStyle="1" w:styleId="98">
    <w:name w:val="case31"/>
    <w:qFormat/>
    <w:uiPriority w:val="0"/>
    <w:rPr>
      <w:rFonts w:hint="default" w:ascii="_x000B__x000C_" w:hAnsi="_x000B__x000C_"/>
      <w:sz w:val="21"/>
      <w:szCs w:val="21"/>
    </w:rPr>
  </w:style>
  <w:style w:type="character" w:customStyle="1" w:styleId="99">
    <w:name w:val="graytext1"/>
    <w:qFormat/>
    <w:uiPriority w:val="0"/>
    <w:rPr>
      <w:color w:val="666666"/>
    </w:rPr>
  </w:style>
  <w:style w:type="character" w:customStyle="1" w:styleId="100">
    <w:name w:val="标题3 Char"/>
    <w:link w:val="101"/>
    <w:qFormat/>
    <w:uiPriority w:val="0"/>
    <w:rPr>
      <w:rFonts w:ascii="宋体" w:hAnsi="宋体"/>
      <w:b/>
      <w:bCs/>
      <w:kern w:val="44"/>
      <w:sz w:val="24"/>
      <w:szCs w:val="24"/>
    </w:rPr>
  </w:style>
  <w:style w:type="paragraph" w:customStyle="1" w:styleId="101">
    <w:name w:val="标题3"/>
    <w:basedOn w:val="3"/>
    <w:link w:val="100"/>
    <w:qFormat/>
    <w:uiPriority w:val="0"/>
    <w:pPr>
      <w:spacing w:before="0" w:beforeLines="50" w:after="0" w:afterLines="50" w:line="400" w:lineRule="exact"/>
    </w:pPr>
    <w:rPr>
      <w:rFonts w:ascii="宋体" w:hAnsi="宋体"/>
      <w:sz w:val="24"/>
      <w:szCs w:val="24"/>
    </w:rPr>
  </w:style>
  <w:style w:type="character" w:customStyle="1" w:styleId="102">
    <w:name w:val="1051"/>
    <w:qFormat/>
    <w:uiPriority w:val="0"/>
    <w:rPr>
      <w:sz w:val="21"/>
      <w:szCs w:val="21"/>
    </w:rPr>
  </w:style>
  <w:style w:type="character" w:customStyle="1" w:styleId="103">
    <w:name w:val="批注文字 Char"/>
    <w:qFormat/>
    <w:uiPriority w:val="0"/>
    <w:rPr>
      <w:kern w:val="2"/>
      <w:sz w:val="21"/>
      <w:szCs w:val="24"/>
    </w:rPr>
  </w:style>
  <w:style w:type="character" w:customStyle="1" w:styleId="104">
    <w:name w:val="纯文本 字符2"/>
    <w:link w:val="28"/>
    <w:qFormat/>
    <w:uiPriority w:val="99"/>
    <w:rPr>
      <w:rFonts w:ascii="宋体" w:hAnsi="Courier New" w:eastAsia="宋体" w:cs="Courier New"/>
      <w:kern w:val="2"/>
      <w:sz w:val="21"/>
      <w:szCs w:val="21"/>
      <w:lang w:val="en-US" w:eastAsia="zh-CN" w:bidi="ar-SA"/>
    </w:rPr>
  </w:style>
  <w:style w:type="character" w:customStyle="1" w:styleId="105">
    <w:name w:val="content2"/>
    <w:basedOn w:val="55"/>
    <w:qFormat/>
    <w:uiPriority w:val="0"/>
  </w:style>
  <w:style w:type="character" w:customStyle="1" w:styleId="106">
    <w:name w:val="z-窗体顶端 Char"/>
    <w:link w:val="107"/>
    <w:qFormat/>
    <w:uiPriority w:val="0"/>
    <w:rPr>
      <w:rFonts w:ascii="Arial"/>
      <w:vanish/>
      <w:kern w:val="2"/>
      <w:sz w:val="16"/>
      <w:szCs w:val="24"/>
    </w:rPr>
  </w:style>
  <w:style w:type="paragraph" w:customStyle="1" w:styleId="107">
    <w:name w:val="_Style 104"/>
    <w:basedOn w:val="1"/>
    <w:next w:val="1"/>
    <w:link w:val="106"/>
    <w:qFormat/>
    <w:uiPriority w:val="0"/>
    <w:pPr>
      <w:pBdr>
        <w:bottom w:val="single" w:color="auto" w:sz="6" w:space="1"/>
      </w:pBdr>
      <w:jc w:val="center"/>
    </w:pPr>
    <w:rPr>
      <w:rFonts w:ascii="Arial"/>
      <w:vanish/>
      <w:sz w:val="16"/>
    </w:rPr>
  </w:style>
  <w:style w:type="character" w:customStyle="1" w:styleId="108">
    <w:name w:val="正文文本 字符2"/>
    <w:link w:val="2"/>
    <w:qFormat/>
    <w:uiPriority w:val="99"/>
    <w:rPr>
      <w:kern w:val="2"/>
      <w:sz w:val="24"/>
      <w:szCs w:val="24"/>
    </w:rPr>
  </w:style>
  <w:style w:type="character" w:customStyle="1" w:styleId="109">
    <w:name w:val="unnamed3"/>
    <w:basedOn w:val="55"/>
    <w:qFormat/>
    <w:uiPriority w:val="0"/>
  </w:style>
  <w:style w:type="character" w:customStyle="1" w:styleId="110">
    <w:name w:val="正文文本首行缩进 字符"/>
    <w:link w:val="51"/>
    <w:qFormat/>
    <w:uiPriority w:val="0"/>
    <w:rPr>
      <w:kern w:val="2"/>
      <w:sz w:val="21"/>
      <w:szCs w:val="24"/>
    </w:rPr>
  </w:style>
  <w:style w:type="character" w:customStyle="1" w:styleId="111">
    <w:name w:val="批注文字 Char2"/>
    <w:qFormat/>
    <w:uiPriority w:val="0"/>
    <w:rPr>
      <w:kern w:val="2"/>
      <w:sz w:val="21"/>
      <w:szCs w:val="24"/>
      <w:lang w:bidi="ar-SA"/>
    </w:rPr>
  </w:style>
  <w:style w:type="character" w:customStyle="1" w:styleId="112">
    <w:name w:val="style21"/>
    <w:qFormat/>
    <w:uiPriority w:val="0"/>
    <w:rPr>
      <w:sz w:val="17"/>
      <w:szCs w:val="17"/>
    </w:rPr>
  </w:style>
  <w:style w:type="paragraph" w:customStyle="1" w:styleId="113">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4">
    <w:name w:val="Char1"/>
    <w:basedOn w:val="1"/>
    <w:qFormat/>
    <w:uiPriority w:val="0"/>
    <w:rPr>
      <w:szCs w:val="21"/>
    </w:rPr>
  </w:style>
  <w:style w:type="paragraph" w:customStyle="1" w:styleId="115">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6">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7">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18">
    <w:name w:val="List Paragraph1"/>
    <w:basedOn w:val="1"/>
    <w:qFormat/>
    <w:uiPriority w:val="0"/>
    <w:pPr>
      <w:ind w:firstLine="420" w:firstLineChars="200"/>
    </w:pPr>
    <w:rPr>
      <w:rFonts w:ascii="Calibri" w:hAnsi="Calibri"/>
      <w:szCs w:val="22"/>
    </w:rPr>
  </w:style>
  <w:style w:type="paragraph" w:customStyle="1" w:styleId="119">
    <w:name w:val="列出段落1"/>
    <w:basedOn w:val="1"/>
    <w:qFormat/>
    <w:uiPriority w:val="34"/>
    <w:pPr>
      <w:ind w:firstLine="420" w:firstLineChars="200"/>
    </w:pPr>
    <w:rPr>
      <w:rFonts w:ascii="Calibri" w:hAnsi="Calibri"/>
      <w:szCs w:val="22"/>
    </w:rPr>
  </w:style>
  <w:style w:type="paragraph" w:customStyle="1" w:styleId="120">
    <w:name w:val="Char Char Char Char Char Char Char"/>
    <w:basedOn w:val="1"/>
    <w:qFormat/>
    <w:uiPriority w:val="0"/>
  </w:style>
  <w:style w:type="paragraph" w:customStyle="1" w:styleId="121">
    <w:name w:val="Char21"/>
    <w:basedOn w:val="1"/>
    <w:qFormat/>
    <w:uiPriority w:val="0"/>
    <w:pPr>
      <w:tabs>
        <w:tab w:val="left" w:pos="360"/>
      </w:tabs>
      <w:ind w:left="252" w:hanging="252" w:hangingChars="140"/>
    </w:pPr>
    <w:rPr>
      <w:rFonts w:ascii="宋体"/>
      <w:sz w:val="18"/>
      <w:szCs w:val="18"/>
    </w:rPr>
  </w:style>
  <w:style w:type="paragraph" w:customStyle="1" w:styleId="122">
    <w:name w:val="次小点说明 Char"/>
    <w:basedOn w:val="11"/>
    <w:qFormat/>
    <w:uiPriority w:val="0"/>
    <w:pPr>
      <w:ind w:firstLine="0"/>
    </w:pPr>
    <w:rPr>
      <w:sz w:val="24"/>
      <w:szCs w:val="24"/>
    </w:rPr>
  </w:style>
  <w:style w:type="paragraph" w:customStyle="1" w:styleId="123">
    <w:name w:val="Char Char Char"/>
    <w:basedOn w:val="19"/>
    <w:qFormat/>
    <w:uiPriority w:val="0"/>
    <w:pPr>
      <w:adjustRightInd/>
      <w:spacing w:line="240" w:lineRule="auto"/>
      <w:textAlignment w:val="auto"/>
    </w:pPr>
    <w:rPr>
      <w:rFonts w:ascii="Tahoma" w:hAnsi="Tahoma"/>
      <w:kern w:val="2"/>
      <w:sz w:val="24"/>
      <w:szCs w:val="24"/>
    </w:rPr>
  </w:style>
  <w:style w:type="paragraph" w:customStyle="1" w:styleId="124">
    <w:name w:val="Char Char Char1"/>
    <w:basedOn w:val="19"/>
    <w:qFormat/>
    <w:uiPriority w:val="0"/>
    <w:pPr>
      <w:adjustRightInd/>
      <w:spacing w:line="240" w:lineRule="auto"/>
      <w:textAlignment w:val="auto"/>
    </w:pPr>
    <w:rPr>
      <w:rFonts w:ascii="Tahoma" w:hAnsi="Tahoma"/>
      <w:kern w:val="2"/>
      <w:sz w:val="24"/>
      <w:szCs w:val="24"/>
    </w:rPr>
  </w:style>
  <w:style w:type="paragraph" w:customStyle="1" w:styleId="125">
    <w:name w:val="五号正文（标准）"/>
    <w:basedOn w:val="1"/>
    <w:qFormat/>
    <w:uiPriority w:val="0"/>
    <w:pPr>
      <w:spacing w:line="360" w:lineRule="auto"/>
      <w:ind w:right="55" w:firstLine="560" w:firstLineChars="200"/>
    </w:pPr>
    <w:rPr>
      <w:rFonts w:eastAsia="仿宋_GB2312"/>
      <w:sz w:val="28"/>
      <w:szCs w:val="20"/>
    </w:rPr>
  </w:style>
  <w:style w:type="paragraph" w:customStyle="1" w:styleId="126">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默认段落字体 Para Char"/>
    <w:basedOn w:val="1"/>
    <w:qFormat/>
    <w:uiPriority w:val="0"/>
    <w:pPr>
      <w:adjustRightInd w:val="0"/>
      <w:spacing w:line="360" w:lineRule="auto"/>
    </w:pPr>
    <w:rPr>
      <w:kern w:val="0"/>
      <w:sz w:val="24"/>
      <w:szCs w:val="20"/>
    </w:rPr>
  </w:style>
  <w:style w:type="paragraph" w:customStyle="1" w:styleId="12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29">
    <w:name w:val="样式1"/>
    <w:basedOn w:val="1"/>
    <w:qFormat/>
    <w:uiPriority w:val="0"/>
    <w:pPr>
      <w:spacing w:before="120" w:after="120" w:line="300" w:lineRule="auto"/>
    </w:pPr>
    <w:rPr>
      <w:rFonts w:ascii="宋体" w:hAnsi="宋体"/>
      <w:b/>
      <w:sz w:val="24"/>
      <w:szCs w:val="20"/>
    </w:rPr>
  </w:style>
  <w:style w:type="paragraph" w:customStyle="1" w:styleId="130">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3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2">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3">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4">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36">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37">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38">
    <w:name w:val="正文首行缩进两字符"/>
    <w:basedOn w:val="1"/>
    <w:qFormat/>
    <w:uiPriority w:val="0"/>
    <w:pPr>
      <w:spacing w:line="360" w:lineRule="auto"/>
      <w:ind w:firstLine="200" w:firstLineChars="200"/>
    </w:pPr>
  </w:style>
  <w:style w:type="paragraph" w:customStyle="1" w:styleId="139">
    <w:name w:val="_Style 136"/>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40">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4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42">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3">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45">
    <w:name w:val="1"/>
    <w:basedOn w:val="1"/>
    <w:next w:val="28"/>
    <w:qFormat/>
    <w:uiPriority w:val="0"/>
    <w:rPr>
      <w:rFonts w:ascii="宋体" w:hAnsi="Courier New"/>
      <w:szCs w:val="20"/>
    </w:rPr>
  </w:style>
  <w:style w:type="paragraph" w:customStyle="1" w:styleId="14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7">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8">
    <w:name w:val="Char Char Char2"/>
    <w:basedOn w:val="1"/>
    <w:qFormat/>
    <w:uiPriority w:val="0"/>
    <w:rPr>
      <w:rFonts w:ascii="Tahoma" w:hAnsi="Tahoma"/>
      <w:sz w:val="24"/>
      <w:szCs w:val="20"/>
    </w:rPr>
  </w:style>
  <w:style w:type="paragraph" w:customStyle="1" w:styleId="14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0">
    <w:name w:val="Char Char Char Char Char Char Char Char Char Char Char Char Char"/>
    <w:basedOn w:val="19"/>
    <w:qFormat/>
    <w:uiPriority w:val="0"/>
    <w:pPr>
      <w:adjustRightInd/>
      <w:spacing w:line="240" w:lineRule="auto"/>
      <w:textAlignment w:val="auto"/>
    </w:pPr>
    <w:rPr>
      <w:rFonts w:ascii="Tahoma" w:hAnsi="Tahoma"/>
      <w:kern w:val="2"/>
      <w:sz w:val="24"/>
      <w:szCs w:val="24"/>
    </w:rPr>
  </w:style>
  <w:style w:type="paragraph" w:customStyle="1" w:styleId="151">
    <w:name w:val="样式 首行缩进:  2 字符"/>
    <w:basedOn w:val="1"/>
    <w:qFormat/>
    <w:uiPriority w:val="0"/>
    <w:pPr>
      <w:spacing w:line="400" w:lineRule="exact"/>
      <w:ind w:firstLine="200" w:firstLineChars="200"/>
    </w:pPr>
    <w:rPr>
      <w:rFonts w:cs="宋体"/>
      <w:sz w:val="24"/>
    </w:rPr>
  </w:style>
  <w:style w:type="paragraph" w:customStyle="1" w:styleId="15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3">
    <w:name w:val="表格"/>
    <w:basedOn w:val="1"/>
    <w:qFormat/>
    <w:uiPriority w:val="0"/>
    <w:pPr>
      <w:spacing w:line="400" w:lineRule="exact"/>
    </w:pPr>
    <w:rPr>
      <w:sz w:val="24"/>
    </w:rPr>
  </w:style>
  <w:style w:type="paragraph" w:customStyle="1" w:styleId="154">
    <w:name w:val="默认段落字体 Para Char Char Char Char Char Char Char Char Char1 Char Char Char Char"/>
    <w:basedOn w:val="1"/>
    <w:qFormat/>
    <w:uiPriority w:val="0"/>
    <w:rPr>
      <w:rFonts w:ascii="Tahoma" w:hAnsi="Tahoma"/>
      <w:sz w:val="24"/>
      <w:szCs w:val="20"/>
    </w:rPr>
  </w:style>
  <w:style w:type="paragraph" w:customStyle="1" w:styleId="15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6">
    <w:name w:val="Char Char Char Char Char Char Char1"/>
    <w:basedOn w:val="1"/>
    <w:qFormat/>
    <w:uiPriority w:val="0"/>
  </w:style>
  <w:style w:type="paragraph" w:customStyle="1" w:styleId="157">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158">
    <w:name w:val="_Style 155"/>
    <w:unhideWhenUsed/>
    <w:qFormat/>
    <w:uiPriority w:val="99"/>
    <w:rPr>
      <w:rFonts w:ascii="Times New Roman" w:hAnsi="Times New Roman" w:eastAsia="宋体" w:cs="Times New Roman"/>
      <w:kern w:val="2"/>
      <w:sz w:val="21"/>
      <w:szCs w:val="24"/>
      <w:lang w:val="en-US" w:eastAsia="zh-CN" w:bidi="ar-SA"/>
    </w:rPr>
  </w:style>
  <w:style w:type="paragraph" w:customStyle="1" w:styleId="159">
    <w:name w:val="F2"/>
    <w:basedOn w:val="1"/>
    <w:qFormat/>
    <w:uiPriority w:val="0"/>
    <w:pPr>
      <w:autoSpaceDE w:val="0"/>
      <w:autoSpaceDN w:val="0"/>
      <w:adjustRightInd w:val="0"/>
      <w:ind w:firstLine="601"/>
      <w:textAlignment w:val="baseline"/>
    </w:pPr>
    <w:rPr>
      <w:kern w:val="0"/>
      <w:sz w:val="24"/>
      <w:szCs w:val="20"/>
    </w:rPr>
  </w:style>
  <w:style w:type="paragraph" w:customStyle="1" w:styleId="160">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61">
    <w:name w:val="tgt1"/>
    <w:basedOn w:val="1"/>
    <w:qFormat/>
    <w:uiPriority w:val="0"/>
    <w:pPr>
      <w:widowControl/>
      <w:spacing w:after="150"/>
      <w:jc w:val="left"/>
    </w:pPr>
    <w:rPr>
      <w:rFonts w:ascii="宋体" w:hAnsi="宋体" w:cs="宋体"/>
      <w:kern w:val="0"/>
      <w:sz w:val="24"/>
    </w:rPr>
  </w:style>
  <w:style w:type="paragraph" w:customStyle="1" w:styleId="162">
    <w:name w:val="正文段"/>
    <w:basedOn w:val="1"/>
    <w:qFormat/>
    <w:uiPriority w:val="0"/>
    <w:pPr>
      <w:widowControl/>
      <w:snapToGrid w:val="0"/>
      <w:spacing w:after="156" w:afterLines="50"/>
      <w:ind w:firstLine="200" w:firstLineChars="200"/>
    </w:pPr>
    <w:rPr>
      <w:kern w:val="0"/>
      <w:sz w:val="24"/>
      <w:szCs w:val="20"/>
    </w:rPr>
  </w:style>
  <w:style w:type="paragraph" w:customStyle="1" w:styleId="163">
    <w:name w:val="Char Char Char Char Char Char Char Char Char Char Char Char Char1"/>
    <w:basedOn w:val="19"/>
    <w:qFormat/>
    <w:uiPriority w:val="0"/>
    <w:pPr>
      <w:adjustRightInd/>
      <w:spacing w:line="240" w:lineRule="auto"/>
      <w:textAlignment w:val="auto"/>
    </w:pPr>
    <w:rPr>
      <w:rFonts w:ascii="Tahoma" w:hAnsi="Tahoma"/>
      <w:kern w:val="2"/>
      <w:sz w:val="24"/>
      <w:szCs w:val="24"/>
    </w:rPr>
  </w:style>
  <w:style w:type="paragraph" w:customStyle="1" w:styleId="164">
    <w:name w:val="2ji"/>
    <w:basedOn w:val="4"/>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65">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6">
    <w:name w:val="2-2ji"/>
    <w:basedOn w:val="4"/>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67">
    <w:name w:val="444"/>
    <w:basedOn w:val="1"/>
    <w:qFormat/>
    <w:uiPriority w:val="0"/>
    <w:pPr>
      <w:adjustRightInd w:val="0"/>
      <w:spacing w:line="312" w:lineRule="atLeast"/>
      <w:jc w:val="center"/>
      <w:textAlignment w:val="baseline"/>
    </w:pPr>
    <w:rPr>
      <w:b/>
      <w:kern w:val="0"/>
      <w:sz w:val="36"/>
      <w:szCs w:val="36"/>
    </w:rPr>
  </w:style>
  <w:style w:type="paragraph" w:customStyle="1" w:styleId="168">
    <w:name w:val="Table Paragraph"/>
    <w:basedOn w:val="1"/>
    <w:qFormat/>
    <w:uiPriority w:val="1"/>
    <w:pPr>
      <w:autoSpaceDE w:val="0"/>
      <w:autoSpaceDN w:val="0"/>
      <w:adjustRightInd w:val="0"/>
      <w:jc w:val="left"/>
    </w:pPr>
    <w:rPr>
      <w:kern w:val="0"/>
      <w:sz w:val="24"/>
    </w:rPr>
  </w:style>
  <w:style w:type="character" w:customStyle="1" w:styleId="169">
    <w:name w:val="fd"/>
    <w:qFormat/>
    <w:uiPriority w:val="0"/>
  </w:style>
  <w:style w:type="paragraph" w:customStyle="1" w:styleId="170">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71">
    <w:name w:val="批注文字 字符1"/>
    <w:qFormat/>
    <w:uiPriority w:val="0"/>
    <w:rPr>
      <w:kern w:val="2"/>
      <w:sz w:val="21"/>
      <w:szCs w:val="24"/>
    </w:rPr>
  </w:style>
  <w:style w:type="character" w:customStyle="1" w:styleId="172">
    <w:name w:val="_Style 169"/>
    <w:unhideWhenUsed/>
    <w:qFormat/>
    <w:uiPriority w:val="99"/>
    <w:rPr>
      <w:color w:val="605E5C"/>
      <w:shd w:val="clear" w:color="auto" w:fill="E1DFDD"/>
    </w:rPr>
  </w:style>
  <w:style w:type="character" w:customStyle="1" w:styleId="173">
    <w:name w:val="纯文本 字符1"/>
    <w:qFormat/>
    <w:uiPriority w:val="99"/>
    <w:rPr>
      <w:rFonts w:ascii="宋体" w:hAnsi="Courier New" w:eastAsia="宋体" w:cs="Courier New"/>
      <w:kern w:val="2"/>
      <w:sz w:val="21"/>
      <w:szCs w:val="21"/>
      <w:lang w:val="en-US" w:eastAsia="zh-CN" w:bidi="ar-SA"/>
    </w:rPr>
  </w:style>
  <w:style w:type="character" w:customStyle="1" w:styleId="174">
    <w:name w:val="正文文本 字符1"/>
    <w:qFormat/>
    <w:uiPriority w:val="99"/>
    <w:rPr>
      <w:kern w:val="2"/>
      <w:sz w:val="24"/>
      <w:szCs w:val="24"/>
    </w:rPr>
  </w:style>
  <w:style w:type="character" w:customStyle="1" w:styleId="175">
    <w:name w:val="正文-2字符首行缩进 Char"/>
    <w:link w:val="5"/>
    <w:qFormat/>
    <w:uiPriority w:val="0"/>
    <w:rPr>
      <w:rFonts w:ascii="仿宋_GB2312" w:hAnsi="Calibri" w:eastAsia="仿宋_GB2312"/>
      <w:sz w:val="28"/>
      <w:szCs w:val="22"/>
    </w:rPr>
  </w:style>
  <w:style w:type="paragraph" w:customStyle="1" w:styleId="176">
    <w:name w:val="列出段落11"/>
    <w:basedOn w:val="1"/>
    <w:qFormat/>
    <w:uiPriority w:val="99"/>
    <w:pPr>
      <w:ind w:firstLine="420" w:firstLineChars="200"/>
    </w:pPr>
    <w:rPr>
      <w:rFonts w:ascii="等线" w:hAnsi="等线" w:eastAsia="等线"/>
    </w:rPr>
  </w:style>
  <w:style w:type="character" w:customStyle="1" w:styleId="177">
    <w:name w:val="正文文本 字符"/>
    <w:qFormat/>
    <w:uiPriority w:val="99"/>
    <w:rPr>
      <w:kern w:val="2"/>
      <w:sz w:val="24"/>
      <w:szCs w:val="24"/>
    </w:rPr>
  </w:style>
  <w:style w:type="character" w:customStyle="1" w:styleId="178">
    <w:name w:val="纯文本 字符"/>
    <w:qFormat/>
    <w:uiPriority w:val="99"/>
    <w:rPr>
      <w:rFonts w:ascii="宋体" w:hAnsi="Courier New" w:eastAsia="宋体" w:cs="Courier New"/>
      <w:kern w:val="2"/>
      <w:sz w:val="21"/>
      <w:szCs w:val="21"/>
      <w:lang w:val="en-US" w:eastAsia="zh-CN" w:bidi="ar-SA"/>
    </w:rPr>
  </w:style>
  <w:style w:type="character" w:customStyle="1" w:styleId="179">
    <w:name w:val="标题 3 字符"/>
    <w:basedOn w:val="55"/>
    <w:link w:val="6"/>
    <w:qFormat/>
    <w:uiPriority w:val="0"/>
    <w:rPr>
      <w:rFonts w:ascii="等线 Light" w:hAnsi="等线 Light" w:eastAsia="等线 Light" w:cs="Times New Roman"/>
      <w:color w:val="0F4761"/>
      <w:kern w:val="2"/>
      <w:sz w:val="32"/>
      <w:szCs w:val="32"/>
    </w:rPr>
  </w:style>
  <w:style w:type="character" w:customStyle="1" w:styleId="180">
    <w:name w:val="批注文字 字符"/>
    <w:basedOn w:val="55"/>
    <w:link w:val="20"/>
    <w:qFormat/>
    <w:uiPriority w:val="0"/>
    <w:rPr>
      <w:kern w:val="2"/>
      <w:sz w:val="21"/>
      <w:szCs w:val="24"/>
    </w:rPr>
  </w:style>
  <w:style w:type="paragraph" w:customStyle="1" w:styleId="181">
    <w:name w:val="图表"/>
    <w:basedOn w:val="1"/>
    <w:qFormat/>
    <w:uiPriority w:val="0"/>
    <w:pPr>
      <w:spacing w:line="360" w:lineRule="auto"/>
      <w:ind w:firstLine="200" w:firstLineChars="200"/>
      <w:jc w:val="center"/>
    </w:pPr>
    <w:rPr>
      <w:sz w:val="28"/>
    </w:rPr>
  </w:style>
  <w:style w:type="paragraph" w:customStyle="1" w:styleId="182">
    <w:name w:val="冯图表"/>
    <w:basedOn w:val="1"/>
    <w:qFormat/>
    <w:uiPriority w:val="0"/>
    <w:pPr>
      <w:jc w:val="center"/>
    </w:pPr>
  </w:style>
  <w:style w:type="paragraph" w:customStyle="1" w:styleId="183">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8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3.emf"/><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9.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105</Pages>
  <Words>23312</Words>
  <Characters>24487</Characters>
  <Lines>541</Lines>
  <Paragraphs>152</Paragraphs>
  <TotalTime>5</TotalTime>
  <ScaleCrop>false</ScaleCrop>
  <LinksUpToDate>false</LinksUpToDate>
  <CharactersWithSpaces>24898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2026-06-16T03:43:00Z</dcterms:created>
  <dc:creator>微软用户</dc:creator>
  <cp:lastModifiedBy>PENG</cp:lastModifiedBy>
  <cp:lastPrinted>2026-06-16T03:58:00Z</cp:lastPrinted>
  <dcterms:modified xsi:type="dcterms:W3CDTF">2026-06-30T05:44:14Z</dcterms:modified>
  <dc:title>桂财采〔2009〕 号</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A3C6573C08C8438EB5F78422C1FC3530_13</vt:lpwstr>
  </property>
  <property fmtid="{D5CDD505-2E9C-101B-9397-08002B2CF9AE}" pid="14" name="KSOTemplateDocerSaveRecord">
    <vt:lpwstr>eyJoZGlkIjoiOTZiY2Y5MzJmYzBkMjk1NjU5YTAwMGNjOGU0ZDFhMTIiLCJ1c2VySWQiOiI4ODAyNzA4OTcifQ==</vt:lpwstr>
  </property>
</Properties>
</file>